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Globalstar, Inc.</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Voting 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378973408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Arthur McMahon III, Esq.</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Taft Stettinius &amp; Hollister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425 Walnut Street, Suite 1800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Cincinnati, OH 45202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(513) 357-9607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p>
    <w:p>
      <w:pPr>
        <w:spacing w:after="0" w:line="183"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the following pages)</w:t>
      </w:r>
    </w:p>
    <w:p>
      <w:pPr>
        <w:sectPr>
          <w:pgSz w:w="11900" w:h="16838" w:orient="portrait"/>
          <w:cols w:equalWidth="0" w:num="1">
            <w:col w:w="11420"/>
          </w:cols>
          <w:pgMar w:left="240" w:top="128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378973408</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NAME OF REPORTING PERSONS</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I.R.S. IDENTIFICATION NOS. OF ABOVE PERSONS (ENTITIES ONLY)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FL Investment Holdings LLC (fka Globalstar Holdings, LLC)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41-2116509</w:t>
      </w: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 CHECK THE APPROPRIATE BOX IF A MEMBER OF A GROUP*</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x</w:t>
      </w:r>
    </w:p>
    <w:p>
      <w:pPr>
        <w:spacing w:after="0" w:line="18" w:lineRule="exact"/>
        <w:rPr>
          <w:sz w:val="20"/>
          <w:szCs w:val="20"/>
          <w:color w:val="auto"/>
        </w:rPr>
      </w:pPr>
    </w:p>
    <w:p>
      <w:pPr>
        <w:ind w:left="1100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 SEC USE ONLY</w:t>
      </w:r>
    </w:p>
    <w:p>
      <w:pPr>
        <w:spacing w:after="0" w:line="200" w:lineRule="exact"/>
        <w:rPr>
          <w:sz w:val="20"/>
          <w:szCs w:val="20"/>
          <w:color w:val="auto"/>
        </w:rPr>
      </w:pPr>
    </w:p>
    <w:p>
      <w:pPr>
        <w:spacing w:after="0" w:line="255" w:lineRule="exact"/>
        <w:rPr>
          <w:sz w:val="20"/>
          <w:szCs w:val="20"/>
          <w:color w:val="auto"/>
        </w:rPr>
      </w:pPr>
    </w:p>
    <w:p>
      <w:pPr>
        <w:ind w:left="500" w:right="9360" w:hanging="357"/>
        <w:spacing w:after="0" w:line="309" w:lineRule="auto"/>
        <w:tabs>
          <w:tab w:leader="none" w:pos="33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OF FUNDS*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68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5" w:lineRule="exact"/>
        <w:rPr>
          <w:sz w:val="20"/>
          <w:szCs w:val="20"/>
          <w:color w:val="auto"/>
        </w:rPr>
      </w:pPr>
    </w:p>
    <w:p>
      <w:pPr>
        <w:ind w:left="140"/>
        <w:spacing w:after="0"/>
        <w:tabs>
          <w:tab w:leader="none" w:pos="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CHECK BOX IF DISCLOSURE OF LEGAL PROCEEDINGS IS REQUIRED</w:t>
      </w:r>
    </w:p>
    <w:p>
      <w:pPr>
        <w:spacing w:after="0" w:line="44" w:lineRule="exact"/>
        <w:rPr>
          <w:sz w:val="20"/>
          <w:szCs w:val="20"/>
          <w:color w:val="auto"/>
        </w:rPr>
      </w:pPr>
    </w:p>
    <w:p>
      <w:pPr>
        <w:ind w:left="260"/>
        <w:spacing w:after="0" w:line="207" w:lineRule="exact"/>
        <w:tabs>
          <w:tab w:leader="none" w:pos="3500" w:val="left"/>
        </w:tabs>
        <w:rPr>
          <w:sz w:val="20"/>
          <w:szCs w:val="20"/>
          <w:color w:val="auto"/>
        </w:rPr>
      </w:pPr>
      <w:r>
        <w:rPr>
          <w:rFonts w:ascii="Arial" w:cs="Arial" w:eastAsia="Arial" w:hAnsi="Arial"/>
          <w:sz w:val="18"/>
          <w:szCs w:val="18"/>
          <w:color w:val="auto"/>
        </w:rPr>
        <w:t>PURSUANT TO ITEM 2(d) or 2(e)</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 CITIZENSHIP OR PLACE OF ORGANIZATION</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250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NUMBER OF</w:t>
            </w:r>
          </w:p>
        </w:tc>
        <w:tc>
          <w:tcPr>
            <w:tcW w:w="840" w:type="dxa"/>
            <w:vAlign w:val="bottom"/>
          </w:tcPr>
          <w:p>
            <w:pPr>
              <w:spacing w:after="0"/>
              <w:rPr>
                <w:sz w:val="24"/>
                <w:szCs w:val="24"/>
                <w:color w:val="auto"/>
              </w:rPr>
            </w:pPr>
          </w:p>
        </w:tc>
        <w:tc>
          <w:tcPr>
            <w:tcW w:w="25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SHARES</w:t>
            </w:r>
          </w:p>
        </w:tc>
        <w:tc>
          <w:tcPr>
            <w:tcW w:w="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BENEFICIALLY</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250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OWNED BY</w:t>
            </w:r>
          </w:p>
        </w:tc>
        <w:tc>
          <w:tcPr>
            <w:tcW w:w="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EACH</w:t>
            </w:r>
          </w:p>
        </w:tc>
        <w:tc>
          <w:tcPr>
            <w:tcW w:w="840" w:type="dxa"/>
            <w:vAlign w:val="bottom"/>
          </w:tcPr>
          <w:p>
            <w:pPr>
              <w:spacing w:after="0"/>
              <w:rPr>
                <w:sz w:val="20"/>
                <w:szCs w:val="20"/>
                <w:color w:val="auto"/>
              </w:rPr>
            </w:pPr>
          </w:p>
        </w:tc>
        <w:tc>
          <w:tcPr>
            <w:tcW w:w="2500" w:type="dxa"/>
            <w:vAlign w:val="bottom"/>
          </w:tcPr>
          <w:p>
            <w:pPr>
              <w:ind w:left="240"/>
              <w:spacing w:after="0"/>
              <w:rPr>
                <w:sz w:val="20"/>
                <w:szCs w:val="20"/>
                <w:color w:val="auto"/>
              </w:rPr>
            </w:pPr>
            <w:r>
              <w:rPr>
                <w:rFonts w:ascii="Arial" w:cs="Arial" w:eastAsia="Arial" w:hAnsi="Arial"/>
                <w:sz w:val="18"/>
                <w:szCs w:val="18"/>
                <w:color w:val="auto"/>
              </w:rPr>
              <w:t>640,750</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REPORTING</w:t>
            </w:r>
          </w:p>
        </w:tc>
        <w:tc>
          <w:tcPr>
            <w:tcW w:w="840" w:type="dxa"/>
            <w:vAlign w:val="bottom"/>
            <w:vMerge w:val="restart"/>
          </w:tcPr>
          <w:p>
            <w:pPr>
              <w:jc w:val="right"/>
              <w:ind w:right="150"/>
              <w:spacing w:after="0"/>
              <w:rPr>
                <w:sz w:val="20"/>
                <w:szCs w:val="20"/>
                <w:color w:val="auto"/>
              </w:rPr>
            </w:pPr>
            <w:r>
              <w:rPr>
                <w:rFonts w:ascii="Arial" w:cs="Arial" w:eastAsia="Arial" w:hAnsi="Arial"/>
                <w:sz w:val="18"/>
                <w:szCs w:val="18"/>
                <w:color w:val="auto"/>
              </w:rPr>
              <w:t>9</w:t>
            </w:r>
          </w:p>
        </w:tc>
        <w:tc>
          <w:tcPr>
            <w:tcW w:w="2500" w:type="dxa"/>
            <w:vAlign w:val="bottom"/>
            <w:vMerge w:val="restart"/>
          </w:tcPr>
          <w:p>
            <w:pPr>
              <w:ind w:left="240"/>
              <w:spacing w:after="0"/>
              <w:rPr>
                <w:sz w:val="20"/>
                <w:szCs w:val="20"/>
                <w:color w:val="auto"/>
              </w:rPr>
            </w:pPr>
            <w:r>
              <w:rPr>
                <w:rFonts w:ascii="Arial" w:cs="Arial" w:eastAsia="Arial" w:hAnsi="Arial"/>
                <w:sz w:val="18"/>
                <w:szCs w:val="18"/>
                <w:color w:val="auto"/>
                <w:w w:val="93"/>
              </w:rPr>
              <w:t>SOLE DISPOSITIVE POWER</w:t>
            </w:r>
          </w:p>
        </w:tc>
        <w:tc>
          <w:tcPr>
            <w:tcW w:w="0" w:type="dxa"/>
            <w:vAlign w:val="bottom"/>
          </w:tcPr>
          <w:p>
            <w:pPr>
              <w:spacing w:after="0"/>
              <w:rPr>
                <w:sz w:val="1"/>
                <w:szCs w:val="1"/>
                <w:color w:val="auto"/>
              </w:rPr>
            </w:pPr>
          </w:p>
        </w:tc>
      </w:tr>
      <w:tr>
        <w:trPr>
          <w:trHeight w:val="122"/>
        </w:trPr>
        <w:tc>
          <w:tcPr>
            <w:tcW w:w="17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-0-</w:t>
      </w:r>
    </w:p>
    <w:p>
      <w:pPr>
        <w:spacing w:after="0" w:line="63" w:lineRule="exact"/>
        <w:rPr>
          <w:sz w:val="20"/>
          <w:szCs w:val="20"/>
          <w:color w:val="auto"/>
        </w:rPr>
      </w:pPr>
    </w:p>
    <w:p>
      <w:pPr>
        <w:ind w:left="2900" w:right="6000" w:hanging="569"/>
        <w:spacing w:after="0" w:line="528" w:lineRule="auto"/>
        <w:tabs>
          <w:tab w:leader="none" w:pos="2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SHARED DISPOSITIVE POWER 640,750</w:t>
      </w:r>
    </w:p>
    <w:p>
      <w:pPr>
        <w:spacing w:after="0" w:line="183" w:lineRule="exact"/>
        <w:rPr>
          <w:sz w:val="20"/>
          <w:szCs w:val="20"/>
          <w:color w:val="auto"/>
        </w:rPr>
      </w:pPr>
    </w:p>
    <w:p>
      <w:pPr>
        <w:ind w:left="500" w:right="5060" w:hanging="357"/>
        <w:spacing w:after="0" w:line="277" w:lineRule="auto"/>
        <w:tabs>
          <w:tab w:leader="none" w:pos="5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640,750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600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00" w:right="5260" w:hanging="350"/>
        <w:spacing w:after="0" w:line="233" w:lineRule="exact"/>
        <w:tabs>
          <w:tab w:leader="none" w:pos="480" w:val="left"/>
        </w:tabs>
        <w:rPr>
          <w:sz w:val="20"/>
          <w:szCs w:val="20"/>
          <w:color w:val="auto"/>
        </w:rPr>
      </w:pPr>
      <w:r>
        <w:rPr>
          <w:rFonts w:ascii="Arial" w:cs="Arial" w:eastAsia="Arial" w:hAnsi="Arial"/>
          <w:sz w:val="18"/>
          <w:szCs w:val="18"/>
          <w:color w:val="auto"/>
        </w:rPr>
        <w:t>12</w:t>
        <w:tab/>
        <w:t xml:space="preserve">CHECK BOX IF THE AGGREGATE AMOUNT IN ROW (11) EXCLUDES CERTAIN SHARES* </w:t>
      </w:r>
      <w:r>
        <w:rPr>
          <w:rFonts w:ascii="MS PGothic" w:cs="MS PGothic" w:eastAsia="MS PGothic" w:hAnsi="MS PGothic"/>
          <w:sz w:val="18"/>
          <w:szCs w:val="18"/>
          <w:color w:val="auto"/>
        </w:rPr>
        <w:t>☐</w:t>
      </w:r>
    </w:p>
    <w:p>
      <w:pPr>
        <w:sectPr>
          <w:pgSz w:w="11900" w:h="16838" w:orient="portrait"/>
          <w:cols w:equalWidth="0" w:num="1">
            <w:col w:w="11420"/>
          </w:cols>
          <w:pgMar w:left="240" w:top="962" w:right="239" w:bottom="1440" w:gutter="0" w:footer="0" w:header="0"/>
        </w:sectPr>
      </w:pPr>
    </w:p>
    <w:bookmarkStart w:id="2" w:name="page3"/>
    <w:bookmarkEnd w:id="2"/>
    <w:p>
      <w:pPr>
        <w:ind w:left="237" w:right="4599" w:hanging="237"/>
        <w:spacing w:after="0" w:line="559"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0.04% (See Item 5.)</w:t>
      </w:r>
    </w:p>
    <w:p>
      <w:pPr>
        <w:spacing w:after="0" w:line="129" w:lineRule="exact"/>
        <w:rPr>
          <w:rFonts w:ascii="Arial" w:cs="Arial" w:eastAsia="Arial" w:hAnsi="Arial"/>
          <w:sz w:val="18"/>
          <w:szCs w:val="18"/>
          <w:color w:val="auto"/>
        </w:rPr>
      </w:pPr>
    </w:p>
    <w:p>
      <w:pPr>
        <w:ind w:left="357" w:hanging="357"/>
        <w:spacing w:after="0"/>
        <w:tabs>
          <w:tab w:leader="none" w:pos="3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6" w:lineRule="exact"/>
        <w:rPr>
          <w:sz w:val="20"/>
          <w:szCs w:val="20"/>
          <w:color w:val="auto"/>
        </w:rPr>
      </w:pPr>
    </w:p>
    <w:p>
      <w:pPr>
        <w:ind w:left="237"/>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0076"/>
          </w:cols>
          <w:pgMar w:left="383" w:top="1125"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378973408</w:t>
      </w: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NAME OF REPORTING PERSONS</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I.R.S. IDENTIFICATION NOS. OF ABOVE PERSONS (ENTITIES ONLY)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Thermo Funding II LLC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46-3451635</w:t>
      </w: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 CHECK THE APPROPRIATE BOX IF A MEMBER OF A GROUP*</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x</w:t>
      </w:r>
    </w:p>
    <w:p>
      <w:pPr>
        <w:spacing w:after="0" w:line="18" w:lineRule="exact"/>
        <w:rPr>
          <w:sz w:val="20"/>
          <w:szCs w:val="20"/>
          <w:color w:val="auto"/>
        </w:rPr>
      </w:pPr>
    </w:p>
    <w:p>
      <w:pPr>
        <w:ind w:left="1100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 SEC USE ONLY</w:t>
      </w:r>
    </w:p>
    <w:p>
      <w:pPr>
        <w:spacing w:after="0" w:line="200" w:lineRule="exact"/>
        <w:rPr>
          <w:sz w:val="20"/>
          <w:szCs w:val="20"/>
          <w:color w:val="auto"/>
        </w:rPr>
      </w:pPr>
    </w:p>
    <w:p>
      <w:pPr>
        <w:spacing w:after="0" w:line="228" w:lineRule="exact"/>
        <w:rPr>
          <w:sz w:val="20"/>
          <w:szCs w:val="20"/>
          <w:color w:val="auto"/>
        </w:rPr>
      </w:pPr>
    </w:p>
    <w:p>
      <w:pPr>
        <w:ind w:left="500" w:right="9360" w:hanging="357"/>
        <w:spacing w:after="0" w:line="309" w:lineRule="auto"/>
        <w:tabs>
          <w:tab w:leader="none" w:pos="338"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WC</w:t>
      </w:r>
    </w:p>
    <w:p>
      <w:pPr>
        <w:spacing w:after="0" w:line="345" w:lineRule="exact"/>
        <w:rPr>
          <w:sz w:val="20"/>
          <w:szCs w:val="20"/>
          <w:color w:val="auto"/>
        </w:rPr>
      </w:pPr>
    </w:p>
    <w:p>
      <w:pPr>
        <w:ind w:left="300"/>
        <w:spacing w:after="0"/>
        <w:tabs>
          <w:tab w:leader="none" w:pos="5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CHECK BOX IF DISCLOSURE OF LEGAL PROCEEDINGS IS REQUIRED</w:t>
      </w:r>
    </w:p>
    <w:p>
      <w:pPr>
        <w:spacing w:after="0" w:line="30" w:lineRule="exact"/>
        <w:rPr>
          <w:sz w:val="20"/>
          <w:szCs w:val="20"/>
          <w:color w:val="auto"/>
        </w:rPr>
      </w:pPr>
    </w:p>
    <w:p>
      <w:pPr>
        <w:ind w:left="260"/>
        <w:spacing w:after="0" w:line="207" w:lineRule="exact"/>
        <w:tabs>
          <w:tab w:leader="none" w:pos="3620" w:val="left"/>
        </w:tabs>
        <w:rPr>
          <w:sz w:val="20"/>
          <w:szCs w:val="20"/>
          <w:color w:val="auto"/>
        </w:rPr>
      </w:pPr>
      <w:r>
        <w:rPr>
          <w:rFonts w:ascii="Arial" w:cs="Arial" w:eastAsia="Arial" w:hAnsi="Arial"/>
          <w:sz w:val="18"/>
          <w:szCs w:val="18"/>
          <w:color w:val="auto"/>
        </w:rPr>
        <w:t>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68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80" w:right="7420" w:hanging="237"/>
        <w:spacing w:after="0" w:line="575" w:lineRule="auto"/>
        <w:tabs>
          <w:tab w:leader="none" w:pos="326"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807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7</w:t>
            </w:r>
          </w:p>
        </w:tc>
        <w:tc>
          <w:tcPr>
            <w:tcW w:w="26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00"/>
        </w:trPr>
        <w:tc>
          <w:tcPr>
            <w:tcW w:w="14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80" w:type="dxa"/>
            <w:vAlign w:val="bottom"/>
          </w:tcPr>
          <w:p>
            <w:pPr>
              <w:ind w:left="200"/>
              <w:spacing w:after="0"/>
              <w:rPr>
                <w:sz w:val="20"/>
                <w:szCs w:val="20"/>
                <w:color w:val="auto"/>
              </w:rPr>
            </w:pPr>
            <w:r>
              <w:rPr>
                <w:rFonts w:ascii="Arial" w:cs="Arial" w:eastAsia="Arial" w:hAnsi="Arial"/>
                <w:sz w:val="18"/>
                <w:szCs w:val="18"/>
                <w:color w:val="auto"/>
              </w:rPr>
              <w:t>8</w:t>
            </w:r>
          </w:p>
        </w:tc>
        <w:tc>
          <w:tcPr>
            <w:tcW w:w="26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4"/>
        </w:trPr>
        <w:tc>
          <w:tcPr>
            <w:tcW w:w="14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SHARES</w:t>
            </w:r>
          </w:p>
        </w:tc>
        <w:tc>
          <w:tcPr>
            <w:tcW w:w="480" w:type="dxa"/>
            <w:vAlign w:val="bottom"/>
          </w:tcPr>
          <w:p>
            <w:pPr>
              <w:spacing w:after="0"/>
              <w:rPr>
                <w:sz w:val="18"/>
                <w:szCs w:val="18"/>
                <w:color w:val="auto"/>
              </w:rPr>
            </w:pP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843,003,133</w:t>
            </w:r>
          </w:p>
        </w:tc>
        <w:tc>
          <w:tcPr>
            <w:tcW w:w="0" w:type="dxa"/>
            <w:vAlign w:val="bottom"/>
          </w:tcPr>
          <w:p>
            <w:pPr>
              <w:spacing w:after="0"/>
              <w:rPr>
                <w:sz w:val="1"/>
                <w:szCs w:val="1"/>
                <w:color w:val="auto"/>
              </w:rPr>
            </w:pPr>
          </w:p>
        </w:tc>
      </w:tr>
      <w:tr>
        <w:trPr>
          <w:trHeight w:val="82"/>
        </w:trPr>
        <w:tc>
          <w:tcPr>
            <w:tcW w:w="14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80" w:type="dxa"/>
            <w:vAlign w:val="bottom"/>
            <w:vMerge w:val="continue"/>
          </w:tcPr>
          <w:p>
            <w:pPr>
              <w:spacing w:after="0"/>
              <w:rPr>
                <w:sz w:val="11"/>
                <w:szCs w:val="11"/>
                <w:color w:val="auto"/>
              </w:rPr>
            </w:pPr>
          </w:p>
        </w:tc>
        <w:tc>
          <w:tcPr>
            <w:tcW w:w="480" w:type="dxa"/>
            <w:vAlign w:val="bottom"/>
            <w:vMerge w:val="restart"/>
          </w:tcPr>
          <w:p>
            <w:pPr>
              <w:ind w:left="200"/>
              <w:spacing w:after="0"/>
              <w:rPr>
                <w:sz w:val="20"/>
                <w:szCs w:val="20"/>
                <w:color w:val="auto"/>
              </w:rPr>
            </w:pPr>
            <w:r>
              <w:rPr>
                <w:rFonts w:ascii="Arial" w:cs="Arial" w:eastAsia="Arial" w:hAnsi="Arial"/>
                <w:sz w:val="18"/>
                <w:szCs w:val="18"/>
                <w:color w:val="auto"/>
              </w:rPr>
              <w:t>9</w:t>
            </w: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480" w:type="dxa"/>
            <w:vAlign w:val="bottom"/>
            <w:vMerge w:val="continue"/>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EACH</w:t>
            </w:r>
          </w:p>
        </w:tc>
        <w:tc>
          <w:tcPr>
            <w:tcW w:w="480" w:type="dxa"/>
            <w:vAlign w:val="bottom"/>
          </w:tcPr>
          <w:p>
            <w:pPr>
              <w:spacing w:after="0"/>
              <w:rPr>
                <w:sz w:val="18"/>
                <w:szCs w:val="18"/>
                <w:color w:val="auto"/>
              </w:rPr>
            </w:pP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8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80" w:type="dxa"/>
            <w:vAlign w:val="bottom"/>
            <w:vMerge w:val="continue"/>
          </w:tcPr>
          <w:p>
            <w:pPr>
              <w:spacing w:after="0"/>
              <w:rPr>
                <w:sz w:val="5"/>
                <w:szCs w:val="5"/>
                <w:color w:val="auto"/>
              </w:rPr>
            </w:pPr>
          </w:p>
        </w:tc>
        <w:tc>
          <w:tcPr>
            <w:tcW w:w="480" w:type="dxa"/>
            <w:vAlign w:val="bottom"/>
            <w:vMerge w:val="restart"/>
          </w:tcPr>
          <w:p>
            <w:pPr>
              <w:ind w:left="200"/>
              <w:spacing w:after="0"/>
              <w:rPr>
                <w:sz w:val="20"/>
                <w:szCs w:val="20"/>
                <w:color w:val="auto"/>
              </w:rPr>
            </w:pPr>
            <w:r>
              <w:rPr>
                <w:rFonts w:ascii="Arial" w:cs="Arial" w:eastAsia="Arial" w:hAnsi="Arial"/>
                <w:sz w:val="18"/>
                <w:szCs w:val="18"/>
                <w:color w:val="auto"/>
              </w:rPr>
              <w:t>10</w:t>
            </w: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w w:val="94"/>
              </w:rPr>
              <w:t>SHARED DISPOSITIVE POWER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PERSON WITH</w:t>
            </w:r>
          </w:p>
        </w:tc>
        <w:tc>
          <w:tcPr>
            <w:tcW w:w="480" w:type="dxa"/>
            <w:vAlign w:val="bottom"/>
            <w:vMerge w:val="continue"/>
          </w:tcPr>
          <w:p>
            <w:pPr>
              <w:spacing w:after="0"/>
              <w:rPr>
                <w:sz w:val="20"/>
                <w:szCs w:val="20"/>
                <w:color w:val="auto"/>
              </w:rPr>
            </w:pPr>
          </w:p>
        </w:tc>
        <w:tc>
          <w:tcPr>
            <w:tcW w:w="2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843,003,133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31750</wp:posOffset>
            </wp:positionV>
            <wp:extent cx="2735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00" w:right="5060" w:hanging="357"/>
        <w:spacing w:after="0" w:line="277" w:lineRule="auto"/>
        <w:tabs>
          <w:tab w:leader="none" w:pos="5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843,003,133</w:t>
      </w:r>
    </w:p>
    <w:p>
      <w:pPr>
        <w:sectPr>
          <w:pgSz w:w="11900" w:h="16838" w:orient="portrait"/>
          <w:cols w:equalWidth="0" w:num="1">
            <w:col w:w="11420"/>
          </w:cols>
          <w:pgMar w:left="240" w:top="962" w:right="239" w:bottom="1440" w:gutter="0" w:footer="0" w:header="0"/>
        </w:sectPr>
      </w:pPr>
    </w:p>
    <w:bookmarkStart w:id="4" w:name="page5"/>
    <w:bookmarkEnd w:id="4"/>
    <w:p>
      <w:pPr>
        <w:ind w:left="357" w:right="4059" w:hanging="350"/>
        <w:spacing w:after="0" w:line="277" w:lineRule="auto"/>
        <w:tabs>
          <w:tab w:leader="none" w:pos="337" w:val="left"/>
        </w:tabs>
        <w:rPr>
          <w:sz w:val="20"/>
          <w:szCs w:val="20"/>
          <w:color w:val="auto"/>
        </w:rPr>
      </w:pPr>
      <w:r>
        <w:rPr>
          <w:rFonts w:ascii="Arial" w:cs="Arial" w:eastAsia="Arial" w:hAnsi="Arial"/>
          <w:sz w:val="18"/>
          <w:szCs w:val="18"/>
          <w:color w:val="auto"/>
        </w:rPr>
        <w:t>12</w:t>
        <w:tab/>
        <w:t>CHECK BOX IF THE AGGREGATE AMOUNT IN ROW (11) EXCLUDES CERTAIN SHARES* x</w:t>
      </w:r>
    </w:p>
    <w:p>
      <w:pPr>
        <w:spacing w:after="0" w:line="8" w:lineRule="exact"/>
        <w:rPr>
          <w:sz w:val="20"/>
          <w:szCs w:val="20"/>
          <w:color w:val="auto"/>
        </w:rPr>
      </w:pPr>
    </w:p>
    <w:p>
      <w:pPr>
        <w:ind w:left="357"/>
        <w:spacing w:after="0"/>
        <w:rPr>
          <w:sz w:val="20"/>
          <w:szCs w:val="20"/>
          <w:color w:val="auto"/>
        </w:rPr>
      </w:pPr>
      <w:r>
        <w:rPr>
          <w:rFonts w:ascii="Arial" w:cs="Arial" w:eastAsia="Arial" w:hAnsi="Arial"/>
          <w:sz w:val="18"/>
          <w:szCs w:val="18"/>
          <w:color w:val="auto"/>
        </w:rPr>
        <w:t>See Item 5.</w:t>
      </w:r>
    </w:p>
    <w:p>
      <w:pPr>
        <w:spacing w:after="0" w:line="200" w:lineRule="exact"/>
        <w:rPr>
          <w:sz w:val="20"/>
          <w:szCs w:val="20"/>
          <w:color w:val="auto"/>
        </w:rPr>
      </w:pPr>
    </w:p>
    <w:p>
      <w:pPr>
        <w:spacing w:after="0" w:line="255" w:lineRule="exact"/>
        <w:rPr>
          <w:sz w:val="20"/>
          <w:szCs w:val="20"/>
          <w:color w:val="auto"/>
        </w:rPr>
      </w:pPr>
    </w:p>
    <w:p>
      <w:pPr>
        <w:ind w:left="237" w:right="4599" w:hanging="237"/>
        <w:spacing w:after="0" w:line="559" w:lineRule="auto"/>
        <w:tabs>
          <w:tab w:leader="none" w:pos="318"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56.00% (See Item 5.)</w:t>
      </w:r>
    </w:p>
    <w:p>
      <w:pPr>
        <w:spacing w:after="0" w:line="129" w:lineRule="exact"/>
        <w:rPr>
          <w:rFonts w:ascii="Arial" w:cs="Arial" w:eastAsia="Arial" w:hAnsi="Arial"/>
          <w:sz w:val="18"/>
          <w:szCs w:val="18"/>
          <w:color w:val="auto"/>
        </w:rPr>
      </w:pPr>
    </w:p>
    <w:p>
      <w:pPr>
        <w:ind w:left="357" w:hanging="357"/>
        <w:spacing w:after="0"/>
        <w:tabs>
          <w:tab w:leader="none" w:pos="357"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sz w:val="20"/>
          <w:szCs w:val="20"/>
          <w:color w:val="auto"/>
        </w:rPr>
      </w:pPr>
    </w:p>
    <w:p>
      <w:pPr>
        <w:ind w:left="237"/>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0076"/>
          </w:cols>
          <w:pgMar w:left="383" w:top="86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378973408</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NAME OF REPORTING PERSONS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I.R.S. IDENTIFICATION NOS. OF ABOVE PERSONS (ENTITIES ONLY)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Globalstar Satellite,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33-1077009</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CHECK THE APPROPRIATE BOX IF A MEMBER OF A GROUP*</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x</w:t>
      </w:r>
    </w:p>
    <w:p>
      <w:pPr>
        <w:spacing w:after="0" w:line="18" w:lineRule="exact"/>
        <w:rPr>
          <w:sz w:val="20"/>
          <w:szCs w:val="20"/>
          <w:color w:val="auto"/>
        </w:rPr>
      </w:pPr>
    </w:p>
    <w:p>
      <w:pPr>
        <w:ind w:left="1098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SEC USE ONLY</w:t>
      </w:r>
    </w:p>
    <w:p>
      <w:pPr>
        <w:spacing w:after="0" w:line="200" w:lineRule="exact"/>
        <w:rPr>
          <w:sz w:val="20"/>
          <w:szCs w:val="20"/>
          <w:color w:val="auto"/>
        </w:rPr>
      </w:pPr>
    </w:p>
    <w:p>
      <w:pPr>
        <w:spacing w:after="0" w:line="255" w:lineRule="exact"/>
        <w:rPr>
          <w:sz w:val="20"/>
          <w:szCs w:val="20"/>
          <w:color w:val="auto"/>
        </w:rPr>
      </w:pPr>
    </w:p>
    <w:p>
      <w:pPr>
        <w:ind w:left="480" w:right="9360" w:hanging="357"/>
        <w:spacing w:after="0" w:line="309" w:lineRule="auto"/>
        <w:tabs>
          <w:tab w:leader="none" w:pos="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OF FUNDS* WC</w:t>
      </w:r>
    </w:p>
    <w:p>
      <w:pPr>
        <w:spacing w:after="0" w:line="345"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CHECK BOX IF DISCLOSURE OF LEGAL PROCEEDINGS IS REQUIRED</w:t>
      </w:r>
    </w:p>
    <w:p>
      <w:pPr>
        <w:spacing w:after="0" w:line="30" w:lineRule="exact"/>
        <w:rPr>
          <w:sz w:val="20"/>
          <w:szCs w:val="20"/>
          <w:color w:val="auto"/>
        </w:rPr>
      </w:pPr>
    </w:p>
    <w:p>
      <w:pPr>
        <w:ind w:left="240"/>
        <w:spacing w:after="0" w:line="207" w:lineRule="exact"/>
        <w:tabs>
          <w:tab w:leader="none" w:pos="3580" w:val="left"/>
        </w:tabs>
        <w:rPr>
          <w:sz w:val="20"/>
          <w:szCs w:val="20"/>
          <w:color w:val="auto"/>
        </w:rPr>
      </w:pPr>
      <w:r>
        <w:rPr>
          <w:rFonts w:ascii="Arial" w:cs="Arial" w:eastAsia="Arial" w:hAnsi="Arial"/>
          <w:sz w:val="18"/>
          <w:szCs w:val="18"/>
          <w:color w:val="auto"/>
        </w:rPr>
        <w:t>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60" w:right="7420" w:hanging="237"/>
        <w:spacing w:after="0" w:line="575" w:lineRule="auto"/>
        <w:tabs>
          <w:tab w:leader="none" w:pos="3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2360" w:type="dxa"/>
            <w:vAlign w:val="bottom"/>
          </w:tcPr>
          <w:p>
            <w:pPr>
              <w:ind w:left="240"/>
              <w:spacing w:after="0"/>
              <w:rPr>
                <w:sz w:val="20"/>
                <w:szCs w:val="20"/>
                <w:color w:val="auto"/>
              </w:rPr>
            </w:pPr>
            <w:r>
              <w:rPr>
                <w:rFonts w:ascii="Arial" w:cs="Arial" w:eastAsia="Arial" w:hAnsi="Arial"/>
                <w:sz w:val="18"/>
                <w:szCs w:val="18"/>
                <w:color w:val="auto"/>
              </w:rPr>
              <w:t>SOLE VOTING POWER</w:t>
            </w: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NUMBER OF</w:t>
            </w:r>
          </w:p>
        </w:tc>
        <w:tc>
          <w:tcPr>
            <w:tcW w:w="840" w:type="dxa"/>
            <w:vAlign w:val="bottom"/>
          </w:tcPr>
          <w:p>
            <w:pPr>
              <w:spacing w:after="0"/>
              <w:rPr>
                <w:sz w:val="24"/>
                <w:szCs w:val="24"/>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-0-</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SHARES</w:t>
            </w: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BENEFICIALLY</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2360" w:type="dxa"/>
            <w:vAlign w:val="bottom"/>
          </w:tcPr>
          <w:p>
            <w:pPr>
              <w:ind w:left="240"/>
              <w:spacing w:after="0"/>
              <w:rPr>
                <w:sz w:val="20"/>
                <w:szCs w:val="20"/>
                <w:color w:val="auto"/>
              </w:rPr>
            </w:pPr>
            <w:r>
              <w:rPr>
                <w:rFonts w:ascii="Arial" w:cs="Arial" w:eastAsia="Arial" w:hAnsi="Arial"/>
                <w:sz w:val="18"/>
                <w:szCs w:val="18"/>
                <w:color w:val="auto"/>
                <w:w w:val="94"/>
              </w:rPr>
              <w:t>SHARED VOTING POWER</w:t>
            </w: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OWNED BY</w:t>
            </w:r>
          </w:p>
        </w:tc>
        <w:tc>
          <w:tcPr>
            <w:tcW w:w="8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EACH</w:t>
            </w:r>
          </w:p>
        </w:tc>
        <w:tc>
          <w:tcPr>
            <w:tcW w:w="840" w:type="dxa"/>
            <w:vAlign w:val="bottom"/>
          </w:tcPr>
          <w:p>
            <w:pPr>
              <w:spacing w:after="0"/>
              <w:rPr>
                <w:sz w:val="20"/>
                <w:szCs w:val="20"/>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618,558</w:t>
            </w:r>
          </w:p>
        </w:tc>
      </w:tr>
      <w:tr>
        <w:trPr>
          <w:trHeight w:val="218"/>
        </w:trPr>
        <w:tc>
          <w:tcPr>
            <w:tcW w:w="1780" w:type="dxa"/>
            <w:vAlign w:val="bottom"/>
          </w:tcPr>
          <w:p>
            <w:pPr>
              <w:spacing w:after="0"/>
              <w:rPr>
                <w:sz w:val="20"/>
                <w:szCs w:val="20"/>
                <w:color w:val="auto"/>
              </w:rPr>
            </w:pPr>
            <w:r>
              <w:rPr>
                <w:rFonts w:ascii="Arial" w:cs="Arial" w:eastAsia="Arial" w:hAnsi="Arial"/>
                <w:sz w:val="18"/>
                <w:szCs w:val="18"/>
                <w:color w:val="auto"/>
              </w:rPr>
              <w:t>REPORTING</w:t>
            </w: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bl>
    <w:p>
      <w:pPr>
        <w:ind w:left="20"/>
        <w:spacing w:after="0" w:line="187" w:lineRule="auto"/>
        <w:rPr>
          <w:sz w:val="20"/>
          <w:szCs w:val="20"/>
          <w:color w:val="auto"/>
        </w:rPr>
      </w:pPr>
      <w:r>
        <w:rPr>
          <w:rFonts w:ascii="Arial" w:cs="Arial" w:eastAsia="Arial" w:hAnsi="Arial"/>
          <w:sz w:val="18"/>
          <w:szCs w:val="18"/>
          <w:color w:val="auto"/>
        </w:rPr>
        <w:t>PERSON WITH</w:t>
      </w:r>
    </w:p>
    <w:p>
      <w:pPr>
        <w:spacing w:after="0" w:line="1" w:lineRule="exact"/>
        <w:rPr>
          <w:sz w:val="20"/>
          <w:szCs w:val="20"/>
          <w:color w:val="auto"/>
        </w:rPr>
      </w:pPr>
    </w:p>
    <w:p>
      <w:pPr>
        <w:ind w:left="2880" w:hanging="569"/>
        <w:spacing w:after="0"/>
        <w:tabs>
          <w:tab w:leader="none" w:pos="2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0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-0-</w:t>
      </w:r>
    </w:p>
    <w:p>
      <w:pPr>
        <w:spacing w:after="0" w:line="63" w:lineRule="exact"/>
        <w:rPr>
          <w:sz w:val="20"/>
          <w:szCs w:val="20"/>
          <w:color w:val="auto"/>
        </w:rPr>
      </w:pPr>
    </w:p>
    <w:p>
      <w:pPr>
        <w:ind w:left="2880" w:right="6000" w:hanging="569"/>
        <w:spacing w:after="0" w:line="528" w:lineRule="auto"/>
        <w:tabs>
          <w:tab w:leader="none" w:pos="2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618,558</w:t>
      </w:r>
    </w:p>
    <w:p>
      <w:pPr>
        <w:spacing w:after="0" w:line="143" w:lineRule="exact"/>
        <w:rPr>
          <w:sz w:val="20"/>
          <w:szCs w:val="20"/>
          <w:color w:val="auto"/>
        </w:rPr>
      </w:pPr>
    </w:p>
    <w:p>
      <w:pPr>
        <w:ind w:left="480" w:right="5060" w:hanging="357"/>
        <w:spacing w:after="0" w:line="277" w:lineRule="auto"/>
        <w:tabs>
          <w:tab w:leader="none" w:pos="5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618,558</w:t>
      </w:r>
    </w:p>
    <w:p>
      <w:pPr>
        <w:sectPr>
          <w:pgSz w:w="11900" w:h="16838" w:orient="portrait"/>
          <w:cols w:equalWidth="0" w:num="1">
            <w:col w:w="11400"/>
          </w:cols>
          <w:pgMar w:left="260" w:top="935" w:right="239" w:bottom="1440" w:gutter="0" w:footer="0" w:header="0"/>
        </w:sectPr>
      </w:pPr>
    </w:p>
    <w:bookmarkStart w:id="6" w:name="page7"/>
    <w:bookmarkEnd w:id="6"/>
    <w:p>
      <w:pPr>
        <w:ind w:left="357" w:right="4059" w:hanging="350"/>
        <w:spacing w:after="0" w:line="233" w:lineRule="exact"/>
        <w:tabs>
          <w:tab w:leader="none" w:pos="337" w:val="left"/>
        </w:tabs>
        <w:rPr>
          <w:sz w:val="20"/>
          <w:szCs w:val="20"/>
          <w:color w:val="auto"/>
        </w:rPr>
      </w:pPr>
      <w:r>
        <w:rPr>
          <w:rFonts w:ascii="Arial" w:cs="Arial" w:eastAsia="Arial" w:hAnsi="Arial"/>
          <w:sz w:val="18"/>
          <w:szCs w:val="18"/>
          <w:color w:val="auto"/>
        </w:rPr>
        <w:t>12</w:t>
        <w:tab/>
        <w:t xml:space="preserve">CHECK BOX IF THE AGGREGATE AMOUNT IN ROW (11) EXCLUDES CERTAIN SHARES*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left="237" w:right="4599" w:hanging="237"/>
        <w:spacing w:after="0" w:line="559" w:lineRule="auto"/>
        <w:tabs>
          <w:tab w:leader="none" w:pos="3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0.04% (See Item 5.)</w:t>
      </w:r>
    </w:p>
    <w:p>
      <w:pPr>
        <w:spacing w:after="0" w:line="129" w:lineRule="exact"/>
        <w:rPr>
          <w:rFonts w:ascii="Arial" w:cs="Arial" w:eastAsia="Arial" w:hAnsi="Arial"/>
          <w:sz w:val="18"/>
          <w:szCs w:val="18"/>
          <w:color w:val="auto"/>
        </w:rPr>
      </w:pPr>
    </w:p>
    <w:p>
      <w:pPr>
        <w:ind w:left="317" w:hanging="317"/>
        <w:spacing w:after="0"/>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sz w:val="20"/>
          <w:szCs w:val="20"/>
          <w:color w:val="auto"/>
        </w:rPr>
      </w:pPr>
    </w:p>
    <w:p>
      <w:pPr>
        <w:ind w:left="297"/>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0076"/>
          </w:cols>
          <w:pgMar w:left="383" w:top="868"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378973408</w:t>
      </w: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NAME OF REPORTING PERSONS</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I.R.S. IDENTIFICATION NOS. OF ABOVE PERSONS (ENTITIES ONLY)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James Monroe III</w:t>
      </w: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 CHECK THE APPROPRIATE BOX IF A MEMBER OF A GROUP*</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x</w:t>
      </w:r>
    </w:p>
    <w:p>
      <w:pPr>
        <w:spacing w:after="0" w:line="18" w:lineRule="exact"/>
        <w:rPr>
          <w:sz w:val="20"/>
          <w:szCs w:val="20"/>
          <w:color w:val="auto"/>
        </w:rPr>
      </w:pPr>
    </w:p>
    <w:p>
      <w:pPr>
        <w:ind w:left="1100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ind w:left="520" w:hanging="377"/>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14" w:lineRule="exact"/>
        <w:rPr>
          <w:sz w:val="20"/>
          <w:szCs w:val="20"/>
          <w:color w:val="auto"/>
        </w:rPr>
      </w:pPr>
    </w:p>
    <w:p>
      <w:pPr>
        <w:ind w:left="500" w:right="9220" w:hanging="222"/>
        <w:spacing w:after="0" w:line="309" w:lineRule="auto"/>
        <w:tabs>
          <w:tab w:leader="none" w:pos="4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OF FUNDS* PF</w:t>
      </w:r>
    </w:p>
    <w:p>
      <w:pPr>
        <w:spacing w:after="0" w:line="345" w:lineRule="exact"/>
        <w:rPr>
          <w:sz w:val="20"/>
          <w:szCs w:val="20"/>
          <w:color w:val="auto"/>
        </w:rPr>
      </w:pPr>
    </w:p>
    <w:p>
      <w:pPr>
        <w:ind w:left="140"/>
        <w:spacing w:after="0"/>
        <w:tabs>
          <w:tab w:leader="none" w:pos="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CHECK BOX IF DISCLOSURE OF LEGAL PROCEEDINGS IS REQUIRED</w:t>
      </w:r>
    </w:p>
    <w:p>
      <w:pPr>
        <w:spacing w:after="0" w:line="30" w:lineRule="exact"/>
        <w:rPr>
          <w:sz w:val="20"/>
          <w:szCs w:val="20"/>
          <w:color w:val="auto"/>
        </w:rPr>
      </w:pPr>
    </w:p>
    <w:p>
      <w:pPr>
        <w:ind w:left="260"/>
        <w:spacing w:after="0" w:line="207" w:lineRule="exact"/>
        <w:tabs>
          <w:tab w:leader="none" w:pos="3500" w:val="left"/>
        </w:tabs>
        <w:rPr>
          <w:sz w:val="20"/>
          <w:szCs w:val="20"/>
          <w:color w:val="auto"/>
        </w:rPr>
      </w:pPr>
      <w:r>
        <w:rPr>
          <w:rFonts w:ascii="Arial" w:cs="Arial" w:eastAsia="Arial" w:hAnsi="Arial"/>
          <w:sz w:val="18"/>
          <w:szCs w:val="18"/>
          <w:color w:val="auto"/>
        </w:rPr>
        <w:t>PURSUANT TO ITEM 2(d) or 2(e)</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87" w:lineRule="exact"/>
        <w:rPr>
          <w:sz w:val="20"/>
          <w:szCs w:val="20"/>
          <w:color w:val="auto"/>
        </w:rPr>
      </w:pPr>
    </w:p>
    <w:p>
      <w:pPr>
        <w:ind w:left="380" w:right="7420" w:hanging="237"/>
        <w:spacing w:after="0" w:line="559"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rPr>
              <w:t>7</w:t>
            </w:r>
          </w:p>
        </w:tc>
        <w:tc>
          <w:tcPr>
            <w:tcW w:w="27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7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24"/>
                <w:szCs w:val="24"/>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178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SHARES</w:t>
            </w:r>
          </w:p>
        </w:tc>
        <w:tc>
          <w:tcPr>
            <w:tcW w:w="880" w:type="dxa"/>
            <w:vAlign w:val="bottom"/>
          </w:tcPr>
          <w:p>
            <w:pPr>
              <w:ind w:left="520"/>
              <w:spacing w:after="0"/>
              <w:rPr>
                <w:sz w:val="20"/>
                <w:szCs w:val="20"/>
                <w:color w:val="auto"/>
              </w:rPr>
            </w:pPr>
            <w:r>
              <w:rPr>
                <w:rFonts w:ascii="Arial" w:cs="Arial" w:eastAsia="Arial" w:hAnsi="Arial"/>
                <w:sz w:val="18"/>
                <w:szCs w:val="18"/>
                <w:color w:val="auto"/>
              </w:rPr>
              <w:t>8</w:t>
            </w:r>
          </w:p>
        </w:tc>
        <w:tc>
          <w:tcPr>
            <w:tcW w:w="272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844,568,842</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EACH</w:t>
            </w:r>
          </w:p>
        </w:tc>
        <w:tc>
          <w:tcPr>
            <w:tcW w:w="8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restart"/>
          </w:tcPr>
          <w:p>
            <w:pPr>
              <w:ind w:left="520"/>
              <w:spacing w:after="0"/>
              <w:rPr>
                <w:sz w:val="20"/>
                <w:szCs w:val="20"/>
                <w:color w:val="auto"/>
              </w:rPr>
            </w:pPr>
            <w:r>
              <w:rPr>
                <w:rFonts w:ascii="Arial" w:cs="Arial" w:eastAsia="Arial" w:hAnsi="Arial"/>
                <w:sz w:val="18"/>
                <w:szCs w:val="18"/>
                <w:color w:val="auto"/>
              </w:rPr>
              <w:t>9</w:t>
            </w:r>
          </w:p>
        </w:tc>
        <w:tc>
          <w:tcPr>
            <w:tcW w:w="27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7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80" w:type="dxa"/>
            <w:vAlign w:val="bottom"/>
            <w:vMerge w:val="continue"/>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6"/>
        </w:trPr>
        <w:tc>
          <w:tcPr>
            <w:tcW w:w="1780" w:type="dxa"/>
            <w:vAlign w:val="bottom"/>
          </w:tcPr>
          <w:p>
            <w:pPr>
              <w:spacing w:after="0"/>
              <w:rPr>
                <w:sz w:val="24"/>
                <w:szCs w:val="24"/>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rPr>
              <w:t>10</w:t>
            </w:r>
          </w:p>
        </w:tc>
        <w:tc>
          <w:tcPr>
            <w:tcW w:w="2720" w:type="dxa"/>
            <w:vAlign w:val="bottom"/>
          </w:tcPr>
          <w:p>
            <w:pPr>
              <w:ind w:left="200"/>
              <w:spacing w:after="0"/>
              <w:rPr>
                <w:sz w:val="20"/>
                <w:szCs w:val="20"/>
                <w:color w:val="auto"/>
              </w:rPr>
            </w:pPr>
            <w:r>
              <w:rPr>
                <w:rFonts w:ascii="Arial" w:cs="Arial" w:eastAsia="Arial" w:hAnsi="Arial"/>
                <w:sz w:val="18"/>
                <w:szCs w:val="18"/>
                <w:color w:val="auto"/>
                <w:w w:val="93"/>
              </w:rPr>
              <w:t>SHARED DISPOSITIVE POWER</w:t>
            </w: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844,568,842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right="5060" w:hanging="357"/>
        <w:spacing w:after="0" w:line="277"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844,568,842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160655</wp:posOffset>
            </wp:positionV>
            <wp:extent cx="28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8" w:name="page9"/>
    <w:bookmarkEnd w:id="8"/>
    <w:p>
      <w:pPr>
        <w:ind w:left="357" w:right="4059" w:hanging="350"/>
        <w:spacing w:after="0" w:line="277" w:lineRule="auto"/>
        <w:tabs>
          <w:tab w:leader="none" w:pos="337" w:val="left"/>
        </w:tabs>
        <w:rPr>
          <w:sz w:val="20"/>
          <w:szCs w:val="20"/>
          <w:color w:val="auto"/>
        </w:rPr>
      </w:pPr>
      <w:r>
        <w:rPr>
          <w:rFonts w:ascii="Arial" w:cs="Arial" w:eastAsia="Arial" w:hAnsi="Arial"/>
          <w:sz w:val="18"/>
          <w:szCs w:val="18"/>
          <w:color w:val="auto"/>
        </w:rPr>
        <w:t>12</w:t>
        <w:tab/>
        <w:t>CHECK BOX IF THE AGGREGATE AMOUNT IN ROW (11) EXCLUDES CERTAIN SHARES* x</w:t>
      </w:r>
    </w:p>
    <w:p>
      <w:pPr>
        <w:spacing w:after="0" w:line="8" w:lineRule="exact"/>
        <w:rPr>
          <w:sz w:val="20"/>
          <w:szCs w:val="20"/>
          <w:color w:val="auto"/>
        </w:rPr>
      </w:pPr>
    </w:p>
    <w:p>
      <w:pPr>
        <w:ind w:left="357"/>
        <w:spacing w:after="0"/>
        <w:rPr>
          <w:sz w:val="20"/>
          <w:szCs w:val="20"/>
          <w:color w:val="auto"/>
        </w:rPr>
      </w:pPr>
      <w:r>
        <w:rPr>
          <w:rFonts w:ascii="Arial" w:cs="Arial" w:eastAsia="Arial" w:hAnsi="Arial"/>
          <w:sz w:val="18"/>
          <w:szCs w:val="18"/>
          <w:color w:val="auto"/>
        </w:rPr>
        <w:t>See Item 5.</w:t>
      </w:r>
    </w:p>
    <w:p>
      <w:pPr>
        <w:spacing w:after="0" w:line="200" w:lineRule="exact"/>
        <w:rPr>
          <w:sz w:val="20"/>
          <w:szCs w:val="20"/>
          <w:color w:val="auto"/>
        </w:rPr>
      </w:pPr>
    </w:p>
    <w:p>
      <w:pPr>
        <w:spacing w:after="0" w:line="255" w:lineRule="exact"/>
        <w:rPr>
          <w:sz w:val="20"/>
          <w:szCs w:val="20"/>
          <w:color w:val="auto"/>
        </w:rPr>
      </w:pPr>
    </w:p>
    <w:p>
      <w:pPr>
        <w:ind w:left="237" w:right="4599" w:hanging="237"/>
        <w:spacing w:after="0" w:line="559" w:lineRule="auto"/>
        <w:tabs>
          <w:tab w:leader="none" w:pos="3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56.11% (See Item 5.)</w:t>
      </w:r>
    </w:p>
    <w:p>
      <w:pPr>
        <w:spacing w:after="0" w:line="129" w:lineRule="exact"/>
        <w:rPr>
          <w:rFonts w:ascii="Arial" w:cs="Arial" w:eastAsia="Arial" w:hAnsi="Arial"/>
          <w:sz w:val="18"/>
          <w:szCs w:val="18"/>
          <w:color w:val="auto"/>
        </w:rPr>
      </w:pPr>
    </w:p>
    <w:p>
      <w:pPr>
        <w:ind w:left="357" w:right="7139" w:hanging="357"/>
        <w:spacing w:after="0" w:line="559" w:lineRule="auto"/>
        <w:tabs>
          <w:tab w:leader="none" w:pos="3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IN</w:t>
      </w:r>
    </w:p>
    <w:p>
      <w:pPr>
        <w:sectPr>
          <w:pgSz w:w="11900" w:h="16838" w:orient="portrait"/>
          <w:cols w:equalWidth="0" w:num="1">
            <w:col w:w="10076"/>
          </w:cols>
          <w:pgMar w:left="383" w:top="868" w:right="1440" w:bottom="1440" w:gutter="0" w:footer="0" w:header="0"/>
        </w:sectPr>
      </w:pPr>
    </w:p>
    <w:bookmarkStart w:id="9" w:name="page10"/>
    <w:bookmarkEnd w:id="9"/>
    <w:p>
      <w:pPr>
        <w:jc w:val="both"/>
        <w:ind w:firstLine="500"/>
        <w:spacing w:after="0" w:line="259" w:lineRule="auto"/>
        <w:rPr>
          <w:sz w:val="20"/>
          <w:szCs w:val="20"/>
          <w:color w:val="auto"/>
        </w:rPr>
      </w:pPr>
      <w:r>
        <w:rPr>
          <w:rFonts w:ascii="Arial" w:cs="Arial" w:eastAsia="Arial" w:hAnsi="Arial"/>
          <w:sz w:val="18"/>
          <w:szCs w:val="18"/>
          <w:color w:val="auto"/>
        </w:rPr>
        <w:t>FL Investment Holdings LLC, Thermo Funding II LLC, Globalstar Satellite, L.P. and James Monroe III (including a trust controlled by him) are sometimes collectively referred to as “Thermo” or the “Reporting Persons.” Any disclosures herein with respect to persons other than the Reporting Persons are made on information and belief after making inquiry to the appropriate party. Unless otherwise noted, references to the Company’s Common Stock refers to the Company’s Voting Common Stock.</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filing amends the Schedule 13D Amendment Number 9 filed January 4, 2019 to amend Items 3 through 5 as follows:</w:t>
      </w:r>
    </w:p>
    <w:p>
      <w:pPr>
        <w:spacing w:after="0" w:line="3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256"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Since the filing of the Reporting Persons’ Schedule 13D Amendment Number 9 in January 2019, the Reporting Persons acquired securities as set forth in Item 5. The source of funding for such acquisitions was working capital or personal funds.</w:t>
      </w:r>
    </w:p>
    <w:p>
      <w:pPr>
        <w:spacing w:after="0" w:line="32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Since the Company’s initial public offering in November 2006, Thermo has been the Company’s controlling stockholder and source of a significant portion of funding. In addition, Mr. Monroe served as the Company’s Chairman from April 2004 to September 2018, has served as the Company’s Executive Chairman since September 2018, and, except from July 2009 to July 2011, served as the Company’s Chief Executive Officer from January 2005 to September 2018.</w:t>
      </w:r>
    </w:p>
    <w:p>
      <w:pPr>
        <w:spacing w:after="0" w:line="200" w:lineRule="exact"/>
        <w:rPr>
          <w:sz w:val="20"/>
          <w:szCs w:val="20"/>
          <w:color w:val="auto"/>
        </w:rPr>
      </w:pPr>
    </w:p>
    <w:p>
      <w:pPr>
        <w:jc w:val="both"/>
        <w:ind w:firstLine="500"/>
        <w:spacing w:after="0" w:line="269" w:lineRule="auto"/>
        <w:rPr>
          <w:sz w:val="20"/>
          <w:szCs w:val="20"/>
          <w:color w:val="auto"/>
        </w:rPr>
      </w:pPr>
      <w:r>
        <w:rPr>
          <w:rFonts w:ascii="Arial" w:cs="Arial" w:eastAsia="Arial" w:hAnsi="Arial"/>
          <w:sz w:val="18"/>
          <w:szCs w:val="18"/>
          <w:color w:val="auto"/>
        </w:rPr>
        <w:t xml:space="preserve">On December 31, 2019, Thermo exercised warrants to purchase 9,500,000 shares of the Company’s Common Stock at an exercise price of $0.38 per share. These warrants were a portion of the warrants to purchase </w:t>
      </w:r>
      <w:r>
        <w:rPr>
          <w:rFonts w:ascii="Arial" w:cs="Arial" w:eastAsia="Arial" w:hAnsi="Arial"/>
          <w:sz w:val="19"/>
          <w:szCs w:val="19"/>
          <w:color w:val="auto"/>
        </w:rPr>
        <w:t>59,537,578</w:t>
      </w:r>
      <w:r>
        <w:rPr>
          <w:rFonts w:ascii="Arial" w:cs="Arial" w:eastAsia="Arial" w:hAnsi="Arial"/>
          <w:sz w:val="18"/>
          <w:szCs w:val="18"/>
          <w:color w:val="auto"/>
        </w:rPr>
        <w:t xml:space="preserve"> shares of the Company’s Common Stock issued to Thermo in connection with the Second Lien Term Loan Facility the Company entered into with Thermo and certain other lenders on November 26, 2019. The Second Lien Loan Term Loan Facility and certain related transactions are described more fully in the Company’s Current Report on Form 8-K filed with the Commission on November 27, 2019.</w:t>
      </w:r>
    </w:p>
    <w:p>
      <w:pPr>
        <w:spacing w:after="0" w:line="178" w:lineRule="exact"/>
        <w:rPr>
          <w:sz w:val="20"/>
          <w:szCs w:val="20"/>
          <w:color w:val="auto"/>
        </w:rPr>
      </w:pPr>
    </w:p>
    <w:p>
      <w:pPr>
        <w:jc w:val="both"/>
        <w:ind w:firstLine="500"/>
        <w:spacing w:after="0" w:line="287" w:lineRule="auto"/>
        <w:rPr>
          <w:sz w:val="20"/>
          <w:szCs w:val="20"/>
          <w:color w:val="auto"/>
        </w:rPr>
      </w:pPr>
      <w:r>
        <w:rPr>
          <w:rFonts w:ascii="Arial" w:cs="Arial" w:eastAsia="Arial" w:hAnsi="Arial"/>
          <w:sz w:val="16"/>
          <w:szCs w:val="16"/>
          <w:color w:val="auto"/>
        </w:rPr>
        <w:t>Thermo also made open market acquisitions of Common Stock during the year ended December 31, 2019. On November 29, 2019, Thermo purchased 2,871,541 shares of Common Stock on the open market at an average price per share of approximately $0.39. On December 2, 2019, Thermo purchased 221,606 shares of Common Stock on the open market at an average price per share of approximately $0.39. On December 3, 2019, Thermo purchased 332,276 shares of Common Stock on the open market at an average price per share of approximately $0.41. On December 6, 2019, Thermo purchased 1,000,000 shares of Common Stock on the open market at an average price per share of approximately $0.45. On December 13, 2019, Thermo purchased 500,000 shares of Common Stock on the open market at an average price per share of approximately $0.39. On December 16, 2019, Thermo purchased 281,000 shares of Common Stock on the open market at an average price per share of approximately $0.39. On December 17, 2019, Thermo purchased 108,048 shares of Common Stock on the open market at an average price per share of approximately $0.41. On December 18, 2019, Thermo purchased 750,000 shares of Common Stock on the open market at an average price per share of approximately $0.43. On December 19, 2019, Thermo purchased 1,500,000 shares of Common Stock on the open market at an average price per share of approximately $0.45. On December 20, 2019, Thermo purchased 570,000 shares of Common Stock on the open market at an average price per share of approximately $0.49. On December 23, 2019, Thermo purchased 9,727 shares of Common Stock on the open market at an average price per share of approximately $0.50.</w:t>
      </w:r>
    </w:p>
    <w:p>
      <w:pPr>
        <w:spacing w:after="0" w:line="169"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In addition, on December 27, 2019, 106,383 restricted shares of Common Stock previously awarded to Mr. Monroe for his service as a director became vested.</w:t>
      </w:r>
    </w:p>
    <w:p>
      <w:pPr>
        <w:spacing w:after="0" w:line="170"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The Reporting Persons considered the Common Stock to be an attractive investment at the price levels at which they acquired the shares of Common Stock. The Reporting Persons may acquire additional shares of Common Stock in the future.</w:t>
      </w:r>
    </w:p>
    <w:p>
      <w:pPr>
        <w:spacing w:after="0" w:line="21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As disclosed on the Company’s Current Report on Form 8-K dated November 27, 2019, Thermo agreed to voluntarily convert all of the Company's outstanding obligations under its existing 2009 loan agreement to Common Stock at $0.69 per share in early 2020. Except as set forth in this Item 4, Thermo does not have any plans or proposals that relate to or would result in:</w:t>
      </w:r>
    </w:p>
    <w:p>
      <w:pPr>
        <w:sectPr>
          <w:pgSz w:w="11900" w:h="16838" w:orient="portrait"/>
          <w:cols w:equalWidth="0" w:num="1">
            <w:col w:w="11420"/>
          </w:cols>
          <w:pgMar w:left="240" w:top="1138" w:right="239" w:bottom="1440" w:gutter="0" w:footer="0" w:header="0"/>
        </w:sectPr>
      </w:pPr>
    </w:p>
    <w:bookmarkStart w:id="10" w:name="page11"/>
    <w:bookmarkEnd w:id="10"/>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333" w:lineRule="exact"/>
        <w:rPr>
          <w:rFonts w:ascii="Arial" w:cs="Arial" w:eastAsia="Arial" w:hAnsi="Arial"/>
          <w:sz w:val="18"/>
          <w:szCs w:val="18"/>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extraordinary corporation transaction, such as a merger, reorganization or liquidation, involving the issuer or any of its subsidiaries;</w:t>
      </w:r>
    </w:p>
    <w:p>
      <w:pPr>
        <w:spacing w:after="0" w:line="333" w:lineRule="exact"/>
        <w:rPr>
          <w:rFonts w:ascii="Arial" w:cs="Arial" w:eastAsia="Arial" w:hAnsi="Arial"/>
          <w:sz w:val="18"/>
          <w:szCs w:val="18"/>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of any of its subsidiaries;</w:t>
      </w:r>
    </w:p>
    <w:p>
      <w:pPr>
        <w:spacing w:after="0" w:line="333" w:lineRule="exact"/>
        <w:rPr>
          <w:rFonts w:ascii="Arial" w:cs="Arial" w:eastAsia="Arial" w:hAnsi="Arial"/>
          <w:sz w:val="18"/>
          <w:szCs w:val="18"/>
          <w:color w:val="auto"/>
        </w:rPr>
      </w:pPr>
    </w:p>
    <w:p>
      <w:pPr>
        <w:ind w:left="720" w:right="20" w:hanging="68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278" w:lineRule="exact"/>
        <w:rPr>
          <w:rFonts w:ascii="Arial" w:cs="Arial" w:eastAsia="Arial" w:hAnsi="Arial"/>
          <w:sz w:val="18"/>
          <w:szCs w:val="18"/>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333" w:lineRule="exact"/>
        <w:rPr>
          <w:rFonts w:ascii="Arial" w:cs="Arial" w:eastAsia="Arial" w:hAnsi="Arial"/>
          <w:sz w:val="18"/>
          <w:szCs w:val="18"/>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333" w:lineRule="exact"/>
        <w:rPr>
          <w:rFonts w:ascii="Arial" w:cs="Arial" w:eastAsia="Arial" w:hAnsi="Arial"/>
          <w:sz w:val="18"/>
          <w:szCs w:val="18"/>
          <w:color w:val="auto"/>
        </w:rPr>
      </w:pPr>
    </w:p>
    <w:p>
      <w:pPr>
        <w:ind w:left="720" w:right="40" w:hanging="68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278" w:lineRule="exact"/>
        <w:rPr>
          <w:rFonts w:ascii="Arial" w:cs="Arial" w:eastAsia="Arial" w:hAnsi="Arial"/>
          <w:sz w:val="18"/>
          <w:szCs w:val="18"/>
          <w:color w:val="auto"/>
        </w:rPr>
      </w:pPr>
    </w:p>
    <w:p>
      <w:pPr>
        <w:ind w:left="720" w:right="40" w:hanging="68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278" w:lineRule="exact"/>
        <w:rPr>
          <w:rFonts w:ascii="Arial" w:cs="Arial" w:eastAsia="Arial" w:hAnsi="Arial"/>
          <w:sz w:val="18"/>
          <w:szCs w:val="18"/>
          <w:color w:val="auto"/>
        </w:rPr>
      </w:pPr>
    </w:p>
    <w:p>
      <w:pPr>
        <w:ind w:left="720" w:hanging="685"/>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Causing a class of equity securities of the issuer becoming eligible for termination of registration pursuant to Section 12(g)(4) of the Act; or</w:t>
      </w:r>
    </w:p>
    <w:p>
      <w:pPr>
        <w:spacing w:after="0" w:line="344" w:lineRule="exact"/>
        <w:rPr>
          <w:rFonts w:ascii="Arial" w:cs="Arial" w:eastAsia="Arial" w:hAnsi="Arial"/>
          <w:sz w:val="17"/>
          <w:szCs w:val="17"/>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52" w:lineRule="exact"/>
        <w:rPr>
          <w:sz w:val="20"/>
          <w:szCs w:val="20"/>
          <w:color w:val="auto"/>
        </w:rPr>
      </w:pPr>
    </w:p>
    <w:p>
      <w:pPr>
        <w:ind w:firstLine="500"/>
        <w:spacing w:after="0" w:line="308" w:lineRule="auto"/>
        <w:rPr>
          <w:sz w:val="20"/>
          <w:szCs w:val="20"/>
          <w:color w:val="auto"/>
        </w:rPr>
      </w:pPr>
      <w:r>
        <w:rPr>
          <w:rFonts w:ascii="Arial" w:cs="Arial" w:eastAsia="Arial" w:hAnsi="Arial"/>
          <w:sz w:val="17"/>
          <w:szCs w:val="17"/>
          <w:color w:val="auto"/>
        </w:rPr>
        <w:t>In the ordinary course of strategic planning for the Company, the Board of Directors and the management team have discussed, and in the future may discuss, some or all of the items listed in (a) through (j) above. Mr. Monroe participates in those discussions as Chairman of the Board.</w:t>
      </w:r>
    </w:p>
    <w:p>
      <w:pPr>
        <w:spacing w:after="0" w:line="200" w:lineRule="exact"/>
        <w:rPr>
          <w:sz w:val="20"/>
          <w:szCs w:val="20"/>
          <w:color w:val="auto"/>
        </w:rPr>
      </w:pPr>
    </w:p>
    <w:p>
      <w:pPr>
        <w:spacing w:after="0" w:line="3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5. Interest in Securities of Issuer.</w:t>
      </w:r>
    </w:p>
    <w:p>
      <w:pPr>
        <w:spacing w:after="0" w:line="256" w:lineRule="exact"/>
        <w:rPr>
          <w:sz w:val="20"/>
          <w:szCs w:val="20"/>
          <w:color w:val="auto"/>
        </w:rPr>
      </w:pPr>
    </w:p>
    <w:p>
      <w:pPr>
        <w:ind w:firstLine="500"/>
        <w:spacing w:after="0" w:line="342" w:lineRule="auto"/>
        <w:rPr>
          <w:sz w:val="20"/>
          <w:szCs w:val="20"/>
          <w:color w:val="auto"/>
        </w:rPr>
      </w:pPr>
      <w:r>
        <w:rPr>
          <w:rFonts w:ascii="Arial" w:cs="Arial" w:eastAsia="Arial" w:hAnsi="Arial"/>
          <w:sz w:val="16"/>
          <w:szCs w:val="16"/>
          <w:color w:val="auto"/>
        </w:rPr>
        <w:t>The calculations of percentages in this Schedule 13D, Amendment No. 10 are based on the number of shares of Common Stock (1,455,106,646 shares) outstanding on December 31, 2019 plus the shares that may be issued to the Reporting Persons within 60 days upon the exercise of options and warrants.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 Investment Holdings LLC (FKA Globalstar Holdings, LLC)</w:t>
      </w:r>
    </w:p>
    <w:p>
      <w:pPr>
        <w:spacing w:after="0" w:line="391" w:lineRule="exact"/>
        <w:rPr>
          <w:sz w:val="20"/>
          <w:szCs w:val="20"/>
          <w:color w:val="auto"/>
        </w:rPr>
      </w:pPr>
    </w:p>
    <w:p>
      <w:pPr>
        <w:ind w:left="500" w:hanging="465"/>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page 2, nos. 11 and 13.</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page 2, nos. 7-10.</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420"/>
          </w:cols>
          <w:pgMar w:left="240" w:top="8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Thermo Funding II LLC</w:t>
      </w:r>
    </w:p>
    <w:p>
      <w:pPr>
        <w:spacing w:after="0" w:line="391" w:lineRule="exact"/>
        <w:rPr>
          <w:sz w:val="20"/>
          <w:szCs w:val="20"/>
          <w:color w:val="auto"/>
        </w:rPr>
      </w:pPr>
    </w:p>
    <w:p>
      <w:pPr>
        <w:ind w:left="500" w:hanging="465"/>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page 3, nos. 11 and 13.</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page 3, nos. 7-10.</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only acquisitions by Thermo Funding II LLC during 2019 are as follows:</w:t>
      </w:r>
    </w:p>
    <w:p>
      <w:pPr>
        <w:sectPr>
          <w:pgSz w:w="11900" w:h="16838" w:orient="portrait"/>
          <w:cols w:equalWidth="0" w:num="1">
            <w:col w:w="10820"/>
          </w:cols>
          <w:pgMar w:left="240" w:top="958" w:right="8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29, 2019</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2,871,541 shares of Common Stock purchased on the open market at an average price per share of approximately $0.39 (see Item 4).</w:t>
      </w:r>
    </w:p>
    <w:p>
      <w:pPr>
        <w:spacing w:after="0" w:line="8"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December 2, 2019</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221,606 shares of Common Stock purchased on the open market at an average price per share of approximately $0.39 (see Item 4).</w:t>
      </w:r>
    </w:p>
    <w:p>
      <w:pPr>
        <w:spacing w:after="0" w:line="8"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December 3, 2019</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332,276 shares of Common Stock purchased on the open market at an average price per share of approximately $0.41 (see Item 4).</w:t>
      </w:r>
    </w:p>
    <w:p>
      <w:pPr>
        <w:spacing w:after="0" w:line="8"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December 6, 2019</w:t>
      </w:r>
    </w:p>
    <w:p>
      <w:pPr>
        <w:spacing w:after="0" w:line="20" w:lineRule="exact"/>
        <w:rPr>
          <w:sz w:val="20"/>
          <w:szCs w:val="20"/>
          <w:color w:val="auto"/>
        </w:rPr>
      </w:pPr>
      <w:r>
        <w:rPr>
          <w:sz w:val="20"/>
          <w:szCs w:val="20"/>
          <w:color w:val="auto"/>
        </w:rPr>
        <w:br w:type="column"/>
      </w:r>
    </w:p>
    <w:p>
      <w:pPr>
        <w:ind w:right="960"/>
        <w:spacing w:after="0" w:line="277" w:lineRule="auto"/>
        <w:rPr>
          <w:sz w:val="20"/>
          <w:szCs w:val="20"/>
          <w:color w:val="auto"/>
        </w:rPr>
      </w:pPr>
      <w:r>
        <w:rPr>
          <w:rFonts w:ascii="Arial" w:cs="Arial" w:eastAsia="Arial" w:hAnsi="Arial"/>
          <w:sz w:val="18"/>
          <w:szCs w:val="18"/>
          <w:color w:val="auto"/>
        </w:rPr>
        <w:t>1,000,000 shares of Common Stock purchased on the open market at an average price per share of approximately $0.45 (see Item 4).</w:t>
      </w:r>
    </w:p>
    <w:p>
      <w:pPr>
        <w:spacing w:after="0" w:line="8"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December 13, 2019</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500,000 shares of Common Stock purchased on the open market at an average price per share of approximately $0.39 (see Item 4).</w:t>
      </w:r>
    </w:p>
    <w:p>
      <w:pPr>
        <w:spacing w:after="0" w:line="8"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December 16, 2019</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281,000 shares of Common Stock purchased on the open market at an average price per share of approximately $0.39 (see Item 4).</w:t>
      </w:r>
    </w:p>
    <w:p>
      <w:pPr>
        <w:spacing w:after="0" w:line="8"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December 17, 2019</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108,048 shares of Common Stock purchased on the open market at an average price per share of approximately $0.41 (see Item 4).</w:t>
      </w:r>
    </w:p>
    <w:p>
      <w:pPr>
        <w:spacing w:after="0" w:line="8"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December 18, 2019</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750,000 shares of Common Stock purchased on the open market at an average price per share of approximately $0.43 (see Item 4).</w:t>
      </w:r>
    </w:p>
    <w:p>
      <w:pPr>
        <w:spacing w:after="0" w:line="8"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December 19, 2019</w:t>
      </w:r>
    </w:p>
    <w:p>
      <w:pPr>
        <w:spacing w:after="0" w:line="20" w:lineRule="exact"/>
        <w:rPr>
          <w:sz w:val="20"/>
          <w:szCs w:val="20"/>
          <w:color w:val="auto"/>
        </w:rPr>
      </w:pPr>
      <w:r>
        <w:rPr>
          <w:sz w:val="20"/>
          <w:szCs w:val="20"/>
          <w:color w:val="auto"/>
        </w:rPr>
        <w:br w:type="column"/>
      </w:r>
    </w:p>
    <w:p>
      <w:pPr>
        <w:ind w:right="960"/>
        <w:spacing w:after="0" w:line="277" w:lineRule="auto"/>
        <w:rPr>
          <w:sz w:val="20"/>
          <w:szCs w:val="20"/>
          <w:color w:val="auto"/>
        </w:rPr>
      </w:pPr>
      <w:r>
        <w:rPr>
          <w:rFonts w:ascii="Arial" w:cs="Arial" w:eastAsia="Arial" w:hAnsi="Arial"/>
          <w:sz w:val="18"/>
          <w:szCs w:val="18"/>
          <w:color w:val="auto"/>
        </w:rPr>
        <w:t>1,500,000 shares of Common Stock purchased on the open market at an average price per share of approximately $0.45 (see Item 4).</w:t>
      </w:r>
    </w:p>
    <w:p>
      <w:pPr>
        <w:spacing w:after="0" w:line="8"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December 20, 2019</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570,000 shares of Common Stock purchased on the open market at an average price per share of approximately $0.49 (see Item 4).</w:t>
      </w:r>
    </w:p>
    <w:p>
      <w:pPr>
        <w:spacing w:after="0" w:line="8"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December 23, 2019</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9,727 shares of Common Stock purchased on the open market at an average price per share of approximately $0.50 per share (see Item 4).</w:t>
      </w:r>
    </w:p>
    <w:p>
      <w:pPr>
        <w:spacing w:after="0" w:line="200"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31, 2019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9,500,000 shares of Common Stock acquired upon the exercise, for cash, of warrants at a price of $0.38 per share (see Item 4).</w:t>
      </w:r>
    </w:p>
    <w:p>
      <w:pPr>
        <w:spacing w:after="0" w:line="200" w:lineRule="exact"/>
        <w:rPr>
          <w:sz w:val="20"/>
          <w:szCs w:val="20"/>
          <w:color w:val="auto"/>
        </w:rPr>
      </w:pPr>
    </w:p>
    <w:p>
      <w:pPr>
        <w:sectPr>
          <w:pgSz w:w="11900" w:h="16838" w:orient="portrait"/>
          <w:cols w:equalWidth="0" w:num="2">
            <w:col w:w="2080" w:space="720"/>
            <w:col w:w="8020"/>
          </w:cols>
          <w:pgMar w:left="240" w:top="958" w:right="8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Not Applicable.</w:t>
      </w:r>
    </w:p>
    <w:p>
      <w:pPr>
        <w:sectPr>
          <w:pgSz w:w="11900" w:h="16838" w:orient="portrait"/>
          <w:cols w:equalWidth="0" w:num="1">
            <w:col w:w="10820"/>
          </w:cols>
          <w:pgMar w:left="240" w:top="958" w:right="8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Globalstar Satellite, L.P.</w:t>
      </w:r>
    </w:p>
    <w:p>
      <w:pPr>
        <w:spacing w:after="0" w:line="391" w:lineRule="exact"/>
        <w:rPr>
          <w:sz w:val="20"/>
          <w:szCs w:val="20"/>
          <w:color w:val="auto"/>
        </w:rPr>
      </w:pPr>
    </w:p>
    <w:p>
      <w:pPr>
        <w:ind w:left="380" w:hanging="345"/>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page 4, nos. 11 and 13.</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page 4, nos. 7-10.</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Monroe III</w:t>
      </w:r>
    </w:p>
    <w:p>
      <w:pPr>
        <w:spacing w:after="0" w:line="391" w:lineRule="exact"/>
        <w:rPr>
          <w:sz w:val="20"/>
          <w:szCs w:val="20"/>
          <w:color w:val="auto"/>
        </w:rPr>
      </w:pPr>
    </w:p>
    <w:p>
      <w:pPr>
        <w:ind w:left="380" w:hanging="345"/>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page 5, nos. 11 and 13.</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page 5, nos. 7-10.</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only acquisition made by Mr. Monroe in 2019 is as follows:</w:t>
      </w:r>
    </w:p>
    <w:p>
      <w:pPr>
        <w:spacing w:after="0" w:line="333" w:lineRule="exact"/>
        <w:rPr>
          <w:sz w:val="20"/>
          <w:szCs w:val="20"/>
          <w:color w:val="auto"/>
        </w:rPr>
      </w:pPr>
    </w:p>
    <w:p>
      <w:pPr>
        <w:ind w:left="3020" w:right="1960" w:hanging="2984"/>
        <w:spacing w:after="0" w:line="277" w:lineRule="auto"/>
        <w:tabs>
          <w:tab w:leader="none" w:pos="3000" w:val="left"/>
        </w:tabs>
        <w:rPr>
          <w:sz w:val="20"/>
          <w:szCs w:val="20"/>
          <w:color w:val="auto"/>
        </w:rPr>
      </w:pPr>
      <w:r>
        <w:rPr>
          <w:rFonts w:ascii="Arial" w:cs="Arial" w:eastAsia="Arial" w:hAnsi="Arial"/>
          <w:sz w:val="18"/>
          <w:szCs w:val="18"/>
          <w:color w:val="auto"/>
        </w:rPr>
        <w:t>December 27, 2019</w:t>
      </w:r>
      <w:r>
        <w:rPr>
          <w:sz w:val="20"/>
          <w:szCs w:val="20"/>
          <w:color w:val="auto"/>
        </w:rPr>
        <w:tab/>
      </w:r>
      <w:r>
        <w:rPr>
          <w:rFonts w:ascii="Arial" w:cs="Arial" w:eastAsia="Arial" w:hAnsi="Arial"/>
          <w:sz w:val="18"/>
          <w:szCs w:val="18"/>
          <w:color w:val="auto"/>
        </w:rPr>
        <w:t>106,383 restricted shares of Common Stock previously awarded to Mr. Monroe for his service as a director became vested.</w:t>
      </w:r>
    </w:p>
    <w:p>
      <w:pPr>
        <w:spacing w:after="0" w:line="200" w:lineRule="exact"/>
        <w:rPr>
          <w:sz w:val="20"/>
          <w:szCs w:val="20"/>
          <w:color w:val="auto"/>
        </w:rPr>
      </w:pPr>
    </w:p>
    <w:p>
      <w:pPr>
        <w:spacing w:after="0" w:line="308" w:lineRule="exact"/>
        <w:rPr>
          <w:sz w:val="20"/>
          <w:szCs w:val="20"/>
          <w:color w:val="auto"/>
        </w:rPr>
      </w:pPr>
    </w:p>
    <w:p>
      <w:pPr>
        <w:ind w:left="380" w:hanging="345"/>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 2020</w:t>
      </w:r>
    </w:p>
    <w:p>
      <w:pPr>
        <w:sectPr>
          <w:pgSz w:w="11900" w:h="16838" w:orient="portrait"/>
          <w:cols w:equalWidth="0" w:num="1">
            <w:col w:w="11420"/>
          </w:cols>
          <w:pgMar w:left="240" w:top="702" w:right="239" w:bottom="1440" w:gutter="0" w:footer="0" w:header="0"/>
        </w:sectPr>
      </w:pPr>
    </w:p>
    <w:bookmarkStart w:id="13" w:name="page14"/>
    <w:bookmarkEnd w:id="13"/>
    <w:p>
      <w:pPr>
        <w:ind w:left="4320"/>
        <w:spacing w:after="0"/>
        <w:rPr>
          <w:sz w:val="20"/>
          <w:szCs w:val="20"/>
          <w:color w:val="auto"/>
        </w:rPr>
      </w:pPr>
      <w:r>
        <w:rPr>
          <w:rFonts w:ascii="Arial" w:cs="Arial" w:eastAsia="Arial" w:hAnsi="Arial"/>
          <w:sz w:val="18"/>
          <w:szCs w:val="18"/>
          <w:color w:val="auto"/>
        </w:rPr>
        <w:t>FL INVESTMENT HOLDINGS LLC</w:t>
      </w:r>
    </w:p>
    <w:p>
      <w:pPr>
        <w:spacing w:after="0" w:line="333" w:lineRule="exact"/>
        <w:rPr>
          <w:sz w:val="20"/>
          <w:szCs w:val="20"/>
          <w:color w:val="auto"/>
        </w:rPr>
      </w:pPr>
    </w:p>
    <w:p>
      <w:pPr>
        <w:ind w:left="432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31750</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James Monroe III, Manager</w:t>
      </w:r>
    </w:p>
    <w:p>
      <w:pPr>
        <w:spacing w:after="0" w:line="6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Dated: January 3,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THERMO FUNDING II LLC</w:t>
      </w:r>
    </w:p>
    <w:p>
      <w:pPr>
        <w:spacing w:after="0" w:line="333" w:lineRule="exact"/>
        <w:rPr>
          <w:sz w:val="20"/>
          <w:szCs w:val="20"/>
          <w:color w:val="auto"/>
        </w:rPr>
      </w:pPr>
    </w:p>
    <w:p>
      <w:pPr>
        <w:ind w:left="432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31750</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43"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James Monroe III, Trustee of Sole Member</w:t>
      </w:r>
    </w:p>
    <w:p>
      <w:pPr>
        <w:spacing w:after="0" w:line="7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Dated: January 3,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GLOBALSTAR SATELLITE, L.P.</w:t>
      </w:r>
    </w:p>
    <w:p>
      <w:pPr>
        <w:spacing w:after="0" w:line="333" w:lineRule="exact"/>
        <w:rPr>
          <w:sz w:val="20"/>
          <w:szCs w:val="20"/>
          <w:color w:val="auto"/>
        </w:rPr>
      </w:pPr>
    </w:p>
    <w:p>
      <w:pPr>
        <w:ind w:left="432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31750</wp:posOffset>
            </wp:positionV>
            <wp:extent cx="2101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43"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James Monroe III, President of General Partner</w:t>
      </w:r>
    </w:p>
    <w:p>
      <w:pPr>
        <w:spacing w:after="0" w:line="8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Dated: January 3,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31750</wp:posOffset>
            </wp:positionV>
            <wp:extent cx="260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James Monroe III</w:t>
      </w:r>
    </w:p>
    <w:p>
      <w:pPr>
        <w:spacing w:after="0" w:line="6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Dated: January 3,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By Arthur McMahon III, Attorney-in-Fact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Arthur McMahon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31750</wp:posOffset>
            </wp:positionV>
            <wp:extent cx="2607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Arthur McMahon III</w:t>
      </w:r>
    </w:p>
    <w:p>
      <w:pPr>
        <w:spacing w:after="0" w:line="6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Dated: January 3, 2020</w:t>
      </w:r>
    </w:p>
    <w:sectPr>
      <w:pgSz w:w="11900" w:h="16838" w:orient="portrait"/>
      <w:cols w:equalWidth="0" w:num="1">
        <w:col w:w="9019"/>
      </w:cols>
      <w:pgMar w:left="1440" w:top="8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4"/>
      <w:numFmt w:val="bullet"/>
      <w:start w:val="1"/>
    </w:lvl>
  </w:abstractNum>
  <w:abstractNum w:abstractNumId="1">
    <w:nsid w:val="DED7263"/>
    <w:multiLevelType w:val="hybridMultilevel"/>
    <w:lvl w:ilvl="0">
      <w:lvlJc w:val="left"/>
      <w:lvlText w:val="%1"/>
      <w:numFmt w:val="decimal"/>
      <w:start w:val="10"/>
    </w:lvl>
  </w:abstractNum>
  <w:abstractNum w:abstractNumId="2">
    <w:nsid w:val="7FDCC233"/>
    <w:multiLevelType w:val="hybridMultilevel"/>
    <w:lvl w:ilvl="0">
      <w:lvlJc w:val="left"/>
      <w:lvlText w:val="%1"/>
      <w:numFmt w:val="decimal"/>
      <w:start w:val="11"/>
    </w:lvl>
  </w:abstractNum>
  <w:abstractNum w:abstractNumId="3">
    <w:nsid w:val="1BEFD79F"/>
    <w:multiLevelType w:val="hybridMultilevel"/>
    <w:lvl w:ilvl="0">
      <w:lvlJc w:val="left"/>
      <w:lvlText w:val="%1"/>
      <w:numFmt w:val="decimal"/>
      <w:start w:val="13"/>
    </w:lvl>
  </w:abstractNum>
  <w:abstractNum w:abstractNumId="4">
    <w:nsid w:val="41A7C4C9"/>
    <w:multiLevelType w:val="hybridMultilevel"/>
    <w:lvl w:ilvl="0">
      <w:lvlJc w:val="left"/>
      <w:lvlText w:val="4"/>
      <w:numFmt w:val="bullet"/>
      <w:start w:val="1"/>
    </w:lvl>
  </w:abstractNum>
  <w:abstractNum w:abstractNumId="5">
    <w:nsid w:val="6B68079A"/>
    <w:multiLevelType w:val="hybridMultilevel"/>
    <w:lvl w:ilvl="0">
      <w:lvlJc w:val="left"/>
      <w:lvlText w:val="6"/>
      <w:numFmt w:val="bullet"/>
      <w:start w:val="1"/>
    </w:lvl>
  </w:abstractNum>
  <w:abstractNum w:abstractNumId="6">
    <w:nsid w:val="4E6AFB66"/>
    <w:multiLevelType w:val="hybridMultilevel"/>
    <w:lvl w:ilvl="0">
      <w:lvlJc w:val="left"/>
      <w:lvlText w:val="%1"/>
      <w:numFmt w:val="decimal"/>
      <w:start w:val="11"/>
    </w:lvl>
  </w:abstractNum>
  <w:abstractNum w:abstractNumId="7">
    <w:nsid w:val="25E45D32"/>
    <w:multiLevelType w:val="hybridMultilevel"/>
    <w:lvl w:ilvl="0">
      <w:lvlJc w:val="left"/>
      <w:lvlText w:val="%1"/>
      <w:numFmt w:val="decimal"/>
      <w:start w:val="13"/>
    </w:lvl>
  </w:abstractNum>
  <w:abstractNum w:abstractNumId="8">
    <w:nsid w:val="519B500D"/>
    <w:multiLevelType w:val="hybridMultilevel"/>
    <w:lvl w:ilvl="0">
      <w:lvlJc w:val="left"/>
      <w:lvlText w:val="4"/>
      <w:numFmt w:val="bullet"/>
      <w:start w:val="1"/>
    </w:lvl>
  </w:abstractNum>
  <w:abstractNum w:abstractNumId="9">
    <w:nsid w:val="431BD7B7"/>
    <w:multiLevelType w:val="hybridMultilevel"/>
    <w:lvl w:ilvl="0">
      <w:lvlJc w:val="left"/>
      <w:lvlText w:val="6"/>
      <w:numFmt w:val="bullet"/>
      <w:start w:val="1"/>
    </w:lvl>
  </w:abstractNum>
  <w:abstractNum w:abstractNumId="10">
    <w:nsid w:val="3F2DBA31"/>
    <w:multiLevelType w:val="hybridMultilevel"/>
    <w:lvl w:ilvl="0">
      <w:lvlJc w:val="left"/>
      <w:lvlText w:val="9"/>
      <w:numFmt w:val="bullet"/>
      <w:start w:val="1"/>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3"/>
      <w:numFmt w:val="bullet"/>
      <w:start w:val="1"/>
    </w:lvl>
  </w:abstractNum>
  <w:abstractNum w:abstractNumId="15">
    <w:nsid w:val="628C895D"/>
    <w:multiLevelType w:val="hybridMultilevel"/>
    <w:lvl w:ilvl="0">
      <w:lvlJc w:val="left"/>
      <w:lvlText w:val="4"/>
      <w:numFmt w:val="bullet"/>
      <w:start w:val="1"/>
    </w:lvl>
  </w:abstractNum>
  <w:abstractNum w:abstractNumId="16">
    <w:nsid w:val="333AB105"/>
    <w:multiLevelType w:val="hybridMultilevel"/>
    <w:lvl w:ilvl="0">
      <w:lvlJc w:val="left"/>
      <w:lvlText w:val="6"/>
      <w:numFmt w:val="bullet"/>
      <w:start w:val="1"/>
    </w:lvl>
  </w:abstractNum>
  <w:abstractNum w:abstractNumId="17">
    <w:nsid w:val="721DA317"/>
    <w:multiLevelType w:val="hybridMultilevel"/>
    <w:lvl w:ilvl="0">
      <w:lvlJc w:val="left"/>
      <w:lvlText w:val="%1"/>
      <w:numFmt w:val="decimal"/>
      <w:start w:val="11"/>
    </w:lvl>
  </w:abstractNum>
  <w:abstractNum w:abstractNumId="18">
    <w:nsid w:val="2443A858"/>
    <w:multiLevelType w:val="hybridMultilevel"/>
    <w:lvl w:ilvl="0">
      <w:lvlJc w:val="left"/>
      <w:lvlText w:val="%1"/>
      <w:numFmt w:val="decimal"/>
      <w:start w:val="13"/>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4"/>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2020-01-03T12:30:12Z</dcterms:created>
  <dcterms:modified xsi:type="dcterms:W3CDTF">2020-01-03T12:30:12Z</dcterms:modified>
</cp:coreProperties>
</file>