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619"/>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619"/>
        <w:spacing w:after="0"/>
        <w:rPr>
          <w:sz w:val="20"/>
          <w:szCs w:val="20"/>
          <w:color w:val="auto"/>
        </w:rPr>
      </w:pPr>
      <w:r>
        <w:rPr>
          <w:rFonts w:ascii="Arial" w:cs="Arial" w:eastAsia="Arial" w:hAnsi="Arial"/>
          <w:sz w:val="12"/>
          <w:szCs w:val="12"/>
          <w:b w:val="1"/>
          <w:bCs w:val="1"/>
          <w:color w:val="auto"/>
        </w:rPr>
        <w:t>Washington, D.C. 20549</w:t>
      </w:r>
    </w:p>
    <w:p>
      <w:pPr>
        <w:spacing w:after="0" w:line="155" w:lineRule="exact"/>
        <w:rPr>
          <w:sz w:val="24"/>
          <w:szCs w:val="24"/>
          <w:color w:val="auto"/>
        </w:rPr>
      </w:pPr>
    </w:p>
    <w:p>
      <w:pPr>
        <w:jc w:val="center"/>
        <w:ind w:right="-619"/>
        <w:spacing w:after="0"/>
        <w:rPr>
          <w:sz w:val="20"/>
          <w:szCs w:val="20"/>
          <w:color w:val="auto"/>
        </w:rPr>
      </w:pPr>
      <w:r>
        <w:rPr>
          <w:rFonts w:ascii="Arial" w:cs="Arial" w:eastAsia="Arial" w:hAnsi="Arial"/>
          <w:sz w:val="12"/>
          <w:szCs w:val="12"/>
          <w:b w:val="1"/>
          <w:bCs w:val="1"/>
          <w:color w:val="auto"/>
        </w:rPr>
        <w:t>SCHEDULE 14A</w:t>
      </w:r>
    </w:p>
    <w:p>
      <w:pPr>
        <w:spacing w:after="0" w:line="172" w:lineRule="exact"/>
        <w:rPr>
          <w:sz w:val="24"/>
          <w:szCs w:val="24"/>
          <w:color w:val="auto"/>
        </w:rPr>
      </w:pPr>
    </w:p>
    <w:p>
      <w:pPr>
        <w:jc w:val="center"/>
        <w:ind w:right="-619"/>
        <w:spacing w:after="0"/>
        <w:rPr>
          <w:sz w:val="20"/>
          <w:szCs w:val="20"/>
          <w:color w:val="auto"/>
        </w:rPr>
      </w:pPr>
      <w:r>
        <w:rPr>
          <w:rFonts w:ascii="Arial" w:cs="Arial" w:eastAsia="Arial" w:hAnsi="Arial"/>
          <w:sz w:val="12"/>
          <w:szCs w:val="12"/>
          <w:color w:val="auto"/>
        </w:rPr>
        <w:t>Proxy Statement Pursuant to Section 14(a) of</w:t>
      </w:r>
    </w:p>
    <w:p>
      <w:pPr>
        <w:spacing w:after="0" w:line="15" w:lineRule="exact"/>
        <w:rPr>
          <w:sz w:val="24"/>
          <w:szCs w:val="24"/>
          <w:color w:val="auto"/>
        </w:rPr>
      </w:pPr>
    </w:p>
    <w:p>
      <w:pPr>
        <w:jc w:val="center"/>
        <w:ind w:right="-639"/>
        <w:spacing w:after="0"/>
        <w:tabs>
          <w:tab w:leader="none" w:pos="140" w:val="left"/>
        </w:tabs>
        <w:rPr>
          <w:sz w:val="20"/>
          <w:szCs w:val="20"/>
          <w:color w:val="auto"/>
        </w:rPr>
      </w:pPr>
      <w:r>
        <w:rPr>
          <w:rFonts w:ascii="Arial" w:cs="Arial" w:eastAsia="Arial" w:hAnsi="Arial"/>
          <w:sz w:val="11"/>
          <w:szCs w:val="11"/>
          <w:color w:val="auto"/>
        </w:rPr>
        <w:t>the Securities Exchange Act of 1934 (Amendment No.</w:t>
      </w:r>
      <w:r>
        <w:rPr>
          <w:sz w:val="20"/>
          <w:szCs w:val="20"/>
          <w:color w:val="auto"/>
        </w:rPr>
        <w:tab/>
      </w:r>
      <w:r>
        <w:rPr>
          <w:rFonts w:ascii="Arial" w:cs="Arial" w:eastAsia="Arial" w:hAnsi="Arial"/>
          <w:sz w:val="12"/>
          <w:szCs w:val="12"/>
          <w:color w:val="auto"/>
        </w:rPr>
        <w:t>)</w:t>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Filed by the Registrant x</w:t>
      </w:r>
    </w:p>
    <w:p>
      <w:pPr>
        <w:spacing w:after="0" w:line="146"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w:t>
      </w:r>
    </w:p>
    <w:p>
      <w:pPr>
        <w:spacing w:after="0" w:line="114" w:lineRule="exact"/>
        <w:rPr>
          <w:sz w:val="24"/>
          <w:szCs w:val="24"/>
          <w:color w:val="auto"/>
        </w:rPr>
      </w:pPr>
    </w:p>
    <w:p>
      <w:pPr>
        <w:ind w:left="1100" w:hanging="511"/>
        <w:spacing w:after="0"/>
        <w:tabs>
          <w:tab w:leader="none" w:pos="110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Preliminary Proxy Statement</w:t>
      </w:r>
    </w:p>
    <w:p>
      <w:pPr>
        <w:spacing w:after="0" w:line="15" w:lineRule="exact"/>
        <w:rPr>
          <w:sz w:val="24"/>
          <w:szCs w:val="24"/>
          <w:color w:val="auto"/>
        </w:rPr>
      </w:pPr>
    </w:p>
    <w:p>
      <w:pPr>
        <w:ind w:left="1100" w:hanging="511"/>
        <w:spacing w:after="0"/>
        <w:tabs>
          <w:tab w:leader="none" w:pos="110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Confidential, for Use of the Commission Only (as permitted by Rule 14a-6(e)(2))</w:t>
      </w:r>
    </w:p>
    <w:p>
      <w:pPr>
        <w:spacing w:after="0" w:line="25" w:lineRule="exact"/>
        <w:rPr>
          <w:rFonts w:ascii="MS PGothic" w:cs="MS PGothic" w:eastAsia="MS PGothic" w:hAnsi="MS PGothic"/>
          <w:sz w:val="12"/>
          <w:szCs w:val="12"/>
          <w:color w:val="auto"/>
        </w:rPr>
      </w:pPr>
    </w:p>
    <w:p>
      <w:pPr>
        <w:ind w:left="1100" w:hanging="511"/>
        <w:spacing w:after="0"/>
        <w:tabs>
          <w:tab w:leader="none" w:pos="110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Definitive Proxy Statement</w:t>
      </w:r>
    </w:p>
    <w:p>
      <w:pPr>
        <w:spacing w:after="0" w:line="15" w:lineRule="exact"/>
        <w:rPr>
          <w:rFonts w:ascii="MS PGothic" w:cs="MS PGothic" w:eastAsia="MS PGothic" w:hAnsi="MS PGothic"/>
          <w:sz w:val="12"/>
          <w:szCs w:val="12"/>
          <w:color w:val="auto"/>
        </w:rPr>
      </w:pPr>
    </w:p>
    <w:p>
      <w:pPr>
        <w:ind w:left="1100" w:hanging="511"/>
        <w:spacing w:after="0"/>
        <w:tabs>
          <w:tab w:leader="none" w:pos="110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Definitive Additional Materials</w:t>
      </w:r>
    </w:p>
    <w:p>
      <w:pPr>
        <w:spacing w:after="0" w:line="15" w:lineRule="exact"/>
        <w:rPr>
          <w:rFonts w:ascii="MS PGothic" w:cs="MS PGothic" w:eastAsia="MS PGothic" w:hAnsi="MS PGothic"/>
          <w:sz w:val="12"/>
          <w:szCs w:val="12"/>
          <w:color w:val="auto"/>
        </w:rPr>
      </w:pPr>
    </w:p>
    <w:p>
      <w:pPr>
        <w:ind w:left="1100" w:hanging="511"/>
        <w:spacing w:after="0"/>
        <w:tabs>
          <w:tab w:leader="none" w:pos="110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§240.14a-12</w:t>
      </w:r>
    </w:p>
    <w:p>
      <w:pPr>
        <w:spacing w:after="0" w:line="86" w:lineRule="exact"/>
        <w:rPr>
          <w:sz w:val="24"/>
          <w:szCs w:val="24"/>
          <w:color w:val="auto"/>
        </w:rPr>
      </w:pPr>
    </w:p>
    <w:p>
      <w:pPr>
        <w:jc w:val="center"/>
        <w:ind w:right="-619"/>
        <w:spacing w:after="0"/>
        <w:rPr>
          <w:sz w:val="20"/>
          <w:szCs w:val="20"/>
          <w:color w:val="auto"/>
        </w:rPr>
      </w:pPr>
      <w:r>
        <w:rPr>
          <w:rFonts w:ascii="Arial" w:cs="Arial" w:eastAsia="Arial" w:hAnsi="Arial"/>
          <w:sz w:val="12"/>
          <w:szCs w:val="12"/>
          <w:color w:val="auto"/>
        </w:rPr>
        <w:t>GLOBALSTAR,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wp:posOffset>
            </wp:positionH>
            <wp:positionV relativeFrom="paragraph">
              <wp:posOffset>9525</wp:posOffset>
            </wp:positionV>
            <wp:extent cx="643509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35090" cy="5715"/>
                    </a:xfrm>
                    <a:prstGeom prst="rect">
                      <a:avLst/>
                    </a:prstGeom>
                    <a:noFill/>
                  </pic:spPr>
                </pic:pic>
              </a:graphicData>
            </a:graphic>
          </wp:anchor>
        </w:drawing>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12"/>
          <w:szCs w:val="1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wp:posOffset>
            </wp:positionH>
            <wp:positionV relativeFrom="paragraph">
              <wp:posOffset>118110</wp:posOffset>
            </wp:positionV>
            <wp:extent cx="643509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5090" cy="5715"/>
                    </a:xfrm>
                    <a:prstGeom prst="rect">
                      <a:avLst/>
                    </a:prstGeom>
                    <a:noFill/>
                  </pic:spPr>
                </pic:pic>
              </a:graphicData>
            </a:graphic>
          </wp:anchor>
        </w:drawing>
      </w:r>
    </w:p>
    <w:p>
      <w:pPr>
        <w:spacing w:after="0" w:line="175" w:lineRule="exact"/>
        <w:rPr>
          <w:sz w:val="24"/>
          <w:szCs w:val="24"/>
          <w:color w:val="auto"/>
        </w:rPr>
      </w:pPr>
    </w:p>
    <w:p>
      <w:pPr>
        <w:ind w:left="3920"/>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105" w:lineRule="exact"/>
        <w:rPr>
          <w:sz w:val="24"/>
          <w:szCs w:val="24"/>
          <w:color w:val="auto"/>
        </w:rPr>
      </w:pPr>
    </w:p>
    <w:p>
      <w:pPr>
        <w:spacing w:after="0"/>
        <w:rPr>
          <w:sz w:val="20"/>
          <w:szCs w:val="20"/>
          <w:color w:val="auto"/>
        </w:rPr>
      </w:pPr>
      <w:r>
        <w:rPr>
          <w:rFonts w:ascii="Arial" w:cs="Arial" w:eastAsia="Arial" w:hAnsi="Arial"/>
          <w:sz w:val="12"/>
          <w:szCs w:val="12"/>
          <w:color w:val="auto"/>
        </w:rPr>
        <w:t>Payment of Filing Fee (Check the appropriate box):</w:t>
      </w:r>
    </w:p>
    <w:p>
      <w:pPr>
        <w:spacing w:after="0" w:line="141" w:lineRule="exact"/>
        <w:rPr>
          <w:sz w:val="24"/>
          <w:szCs w:val="24"/>
          <w:color w:val="auto"/>
        </w:rPr>
      </w:pPr>
    </w:p>
    <w:p>
      <w:pPr>
        <w:ind w:left="1040" w:hanging="451"/>
        <w:spacing w:after="0"/>
        <w:tabs>
          <w:tab w:leader="none" w:pos="10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 fee required.</w:t>
      </w:r>
    </w:p>
    <w:p>
      <w:pPr>
        <w:spacing w:after="0" w:line="15" w:lineRule="exact"/>
        <w:rPr>
          <w:sz w:val="24"/>
          <w:szCs w:val="24"/>
          <w:color w:val="auto"/>
        </w:rPr>
      </w:pPr>
    </w:p>
    <w:p>
      <w:pPr>
        <w:ind w:left="1040" w:hanging="451"/>
        <w:spacing w:after="0"/>
        <w:tabs>
          <w:tab w:leader="none" w:pos="1040"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Fee computed on table below per Exchange Act Rules 14a-6(i)(1) and 0-11.</w:t>
      </w:r>
    </w:p>
    <w:p>
      <w:pPr>
        <w:spacing w:after="0" w:line="25" w:lineRule="exact"/>
        <w:rPr>
          <w:rFonts w:ascii="MS PGothic" w:cs="MS PGothic" w:eastAsia="MS PGothic" w:hAnsi="MS PGothic"/>
          <w:sz w:val="12"/>
          <w:szCs w:val="12"/>
          <w:color w:val="auto"/>
        </w:rPr>
      </w:pPr>
    </w:p>
    <w:p>
      <w:pPr>
        <w:ind w:left="1460" w:hanging="412"/>
        <w:spacing w:after="0"/>
        <w:tabs>
          <w:tab w:leader="none" w:pos="1460" w:val="left"/>
        </w:tabs>
        <w:numPr>
          <w:ilvl w:val="1"/>
          <w:numId w:val="4"/>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spacing w:after="0" w:line="86" w:lineRule="exact"/>
        <w:rPr>
          <w:rFonts w:ascii="Arial" w:cs="Arial" w:eastAsia="Arial" w:hAnsi="Arial"/>
          <w:sz w:val="12"/>
          <w:szCs w:val="12"/>
          <w:color w:val="auto"/>
        </w:rPr>
      </w:pPr>
    </w:p>
    <w:p>
      <w:pPr>
        <w:ind w:left="1460" w:hanging="412"/>
        <w:spacing w:after="0"/>
        <w:tabs>
          <w:tab w:leader="none" w:pos="1460" w:val="left"/>
        </w:tabs>
        <w:numPr>
          <w:ilvl w:val="1"/>
          <w:numId w:val="4"/>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spacing w:after="0" w:line="96" w:lineRule="exact"/>
        <w:rPr>
          <w:rFonts w:ascii="Arial" w:cs="Arial" w:eastAsia="Arial" w:hAnsi="Arial"/>
          <w:sz w:val="12"/>
          <w:szCs w:val="12"/>
          <w:color w:val="auto"/>
        </w:rPr>
      </w:pPr>
    </w:p>
    <w:p>
      <w:pPr>
        <w:ind w:left="1460"/>
        <w:spacing w:after="0"/>
        <w:rPr>
          <w:rFonts w:ascii="Arial" w:cs="Arial" w:eastAsia="Arial" w:hAnsi="Arial"/>
          <w:sz w:val="12"/>
          <w:szCs w:val="12"/>
          <w:color w:val="auto"/>
        </w:rPr>
      </w:pPr>
      <w:r>
        <w:rPr>
          <w:rFonts w:ascii="Arial" w:cs="Arial" w:eastAsia="Arial" w:hAnsi="Arial"/>
          <w:sz w:val="11"/>
          <w:szCs w:val="11"/>
          <w:color w:val="auto"/>
        </w:rPr>
        <w:t>Per unit price or other underlying value of transaction computed pursuant to Exchange Act Rule 0-11 (set forth the amount on which the filing fee is calculated and state how it was</w:t>
      </w:r>
    </w:p>
    <w:p>
      <w:pPr>
        <w:ind w:left="1460" w:hanging="412"/>
        <w:spacing w:after="0"/>
        <w:tabs>
          <w:tab w:leader="none" w:pos="1460" w:val="left"/>
        </w:tabs>
        <w:numPr>
          <w:ilvl w:val="1"/>
          <w:numId w:val="4"/>
        </w:numPr>
        <w:rPr>
          <w:rFonts w:ascii="Arial" w:cs="Arial" w:eastAsia="Arial" w:hAnsi="Arial"/>
          <w:sz w:val="12"/>
          <w:szCs w:val="12"/>
          <w:color w:val="auto"/>
        </w:rPr>
      </w:pPr>
      <w:r>
        <w:rPr>
          <w:rFonts w:ascii="Arial" w:cs="Arial" w:eastAsia="Arial" w:hAnsi="Arial"/>
          <w:sz w:val="12"/>
          <w:szCs w:val="12"/>
          <w:color w:val="auto"/>
        </w:rPr>
        <w:t>determined):</w:t>
      </w:r>
    </w:p>
    <w:p>
      <w:pPr>
        <w:spacing w:after="0" w:line="95" w:lineRule="exact"/>
        <w:rPr>
          <w:rFonts w:ascii="Arial" w:cs="Arial" w:eastAsia="Arial" w:hAnsi="Arial"/>
          <w:sz w:val="12"/>
          <w:szCs w:val="12"/>
          <w:color w:val="auto"/>
        </w:rPr>
      </w:pPr>
    </w:p>
    <w:p>
      <w:pPr>
        <w:ind w:left="1460" w:hanging="412"/>
        <w:spacing w:after="0"/>
        <w:tabs>
          <w:tab w:leader="none" w:pos="1460" w:val="left"/>
        </w:tabs>
        <w:numPr>
          <w:ilvl w:val="1"/>
          <w:numId w:val="4"/>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spacing w:after="0" w:line="96" w:lineRule="exact"/>
        <w:rPr>
          <w:rFonts w:ascii="Arial" w:cs="Arial" w:eastAsia="Arial" w:hAnsi="Arial"/>
          <w:sz w:val="12"/>
          <w:szCs w:val="12"/>
          <w:color w:val="auto"/>
        </w:rPr>
      </w:pPr>
    </w:p>
    <w:p>
      <w:pPr>
        <w:ind w:left="1460" w:hanging="412"/>
        <w:spacing w:after="0"/>
        <w:tabs>
          <w:tab w:leader="none" w:pos="1460" w:val="left"/>
        </w:tabs>
        <w:numPr>
          <w:ilvl w:val="1"/>
          <w:numId w:val="4"/>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96" w:lineRule="exact"/>
        <w:rPr>
          <w:rFonts w:ascii="Arial" w:cs="Arial" w:eastAsia="Arial" w:hAnsi="Arial"/>
          <w:sz w:val="12"/>
          <w:szCs w:val="12"/>
          <w:color w:val="auto"/>
        </w:rPr>
      </w:pPr>
    </w:p>
    <w:p>
      <w:pPr>
        <w:ind w:left="1040" w:hanging="451"/>
        <w:spacing w:after="0"/>
        <w:tabs>
          <w:tab w:leader="none" w:pos="1040"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Fee paid previously with preliminary materials.</w:t>
      </w:r>
    </w:p>
    <w:p>
      <w:pPr>
        <w:spacing w:after="0" w:line="25" w:lineRule="exact"/>
        <w:rPr>
          <w:rFonts w:ascii="MS PGothic" w:cs="MS PGothic" w:eastAsia="MS PGothic" w:hAnsi="MS PGothic"/>
          <w:sz w:val="12"/>
          <w:szCs w:val="12"/>
          <w:color w:val="auto"/>
        </w:rPr>
      </w:pPr>
    </w:p>
    <w:p>
      <w:pPr>
        <w:ind w:left="1040" w:hanging="451"/>
        <w:spacing w:after="0" w:line="226" w:lineRule="auto"/>
        <w:tabs>
          <w:tab w:leader="none" w:pos="1040"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 w:lineRule="exact"/>
        <w:rPr>
          <w:rFonts w:ascii="MS PGothic" w:cs="MS PGothic" w:eastAsia="MS PGothic" w:hAnsi="MS PGothic"/>
          <w:sz w:val="12"/>
          <w:szCs w:val="12"/>
          <w:color w:val="auto"/>
        </w:rPr>
      </w:pPr>
    </w:p>
    <w:p>
      <w:pPr>
        <w:ind w:left="1460" w:hanging="412"/>
        <w:spacing w:after="0"/>
        <w:tabs>
          <w:tab w:leader="none" w:pos="1460" w:val="left"/>
        </w:tabs>
        <w:numPr>
          <w:ilvl w:val="1"/>
          <w:numId w:val="4"/>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96" w:lineRule="exact"/>
        <w:rPr>
          <w:rFonts w:ascii="Arial" w:cs="Arial" w:eastAsia="Arial" w:hAnsi="Arial"/>
          <w:sz w:val="12"/>
          <w:szCs w:val="12"/>
          <w:color w:val="auto"/>
        </w:rPr>
      </w:pPr>
    </w:p>
    <w:p>
      <w:pPr>
        <w:ind w:left="1460" w:hanging="412"/>
        <w:spacing w:after="0"/>
        <w:tabs>
          <w:tab w:leader="none" w:pos="1460" w:val="left"/>
        </w:tabs>
        <w:numPr>
          <w:ilvl w:val="1"/>
          <w:numId w:val="4"/>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96" w:lineRule="exact"/>
        <w:rPr>
          <w:rFonts w:ascii="Arial" w:cs="Arial" w:eastAsia="Arial" w:hAnsi="Arial"/>
          <w:sz w:val="12"/>
          <w:szCs w:val="12"/>
          <w:color w:val="auto"/>
        </w:rPr>
      </w:pPr>
    </w:p>
    <w:p>
      <w:pPr>
        <w:ind w:left="1460" w:hanging="412"/>
        <w:spacing w:after="0"/>
        <w:tabs>
          <w:tab w:leader="none" w:pos="1460" w:val="left"/>
        </w:tabs>
        <w:numPr>
          <w:ilvl w:val="1"/>
          <w:numId w:val="4"/>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96" w:lineRule="exact"/>
        <w:rPr>
          <w:rFonts w:ascii="Arial" w:cs="Arial" w:eastAsia="Arial" w:hAnsi="Arial"/>
          <w:sz w:val="12"/>
          <w:szCs w:val="12"/>
          <w:color w:val="auto"/>
        </w:rPr>
      </w:pPr>
    </w:p>
    <w:p>
      <w:pPr>
        <w:ind w:left="1460" w:hanging="412"/>
        <w:spacing w:after="0"/>
        <w:tabs>
          <w:tab w:leader="none" w:pos="1460" w:val="left"/>
        </w:tabs>
        <w:numPr>
          <w:ilvl w:val="1"/>
          <w:numId w:val="4"/>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545465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55245</wp:posOffset>
            </wp:positionV>
            <wp:extent cx="643509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5090" cy="5715"/>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-92710</wp:posOffset>
            </wp:positionV>
            <wp:extent cx="643509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5090" cy="5715"/>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-241300</wp:posOffset>
            </wp:positionV>
            <wp:extent cx="643509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5090" cy="5715"/>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-389890</wp:posOffset>
            </wp:positionV>
            <wp:extent cx="643509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5090" cy="5715"/>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-812800</wp:posOffset>
            </wp:positionV>
            <wp:extent cx="643509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5090" cy="5715"/>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-961390</wp:posOffset>
            </wp:positionV>
            <wp:extent cx="643509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5090" cy="5715"/>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-1109980</wp:posOffset>
            </wp:positionV>
            <wp:extent cx="643509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5090" cy="5715"/>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-1338580</wp:posOffset>
            </wp:positionV>
            <wp:extent cx="643509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5090" cy="5715"/>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-1487170</wp:posOffset>
            </wp:positionV>
            <wp:extent cx="643509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5090" cy="5715"/>
                    </a:xfrm>
                    <a:prstGeom prst="rect">
                      <a:avLst/>
                    </a:prstGeom>
                    <a:noFill/>
                  </pic:spPr>
                </pic:pic>
              </a:graphicData>
            </a:graphic>
          </wp:anchor>
        </w:drawing>
      </w:r>
    </w:p>
    <w:p>
      <w:pPr>
        <w:sectPr>
          <w:pgSz w:w="11900" w:h="16838" w:orient="portrait"/>
          <w:cols w:equalWidth="0" w:num="1">
            <w:col w:w="10660"/>
          </w:cols>
          <w:pgMar w:left="300" w:top="1063" w:right="9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648970</wp:posOffset>
            </wp:positionV>
            <wp:extent cx="1788795" cy="4349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8795" cy="434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20"/>
        <w:spacing w:after="0"/>
        <w:rPr>
          <w:sz w:val="20"/>
          <w:szCs w:val="20"/>
          <w:color w:val="auto"/>
        </w:rPr>
      </w:pPr>
      <w:r>
        <w:rPr>
          <w:rFonts w:ascii="Arial" w:cs="Arial" w:eastAsia="Arial" w:hAnsi="Arial"/>
          <w:sz w:val="10"/>
          <w:szCs w:val="10"/>
          <w:b w:val="1"/>
          <w:bCs w:val="1"/>
          <w:color w:val="54585A"/>
        </w:rPr>
        <w:t>Date</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0"/>
          <w:szCs w:val="10"/>
          <w:color w:val="54585A"/>
        </w:rPr>
        <w:t>June 27, 2023</w:t>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10"/>
          <w:szCs w:val="10"/>
          <w:b w:val="1"/>
          <w:bCs w:val="1"/>
          <w:color w:val="54585A"/>
        </w:rPr>
        <w:t>Time</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0"/>
          <w:szCs w:val="10"/>
          <w:color w:val="54585A"/>
        </w:rPr>
        <w:t>10:00 a.m. Central Time</w:t>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10"/>
          <w:szCs w:val="10"/>
          <w:b w:val="1"/>
          <w:bCs w:val="1"/>
          <w:color w:val="54585A"/>
        </w:rPr>
        <w:t>Place</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8"/>
          <w:szCs w:val="8"/>
          <w:color w:val="54585A"/>
        </w:rPr>
        <w:t>1351 Holiday Square Blvd.,</w:t>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0"/>
          <w:szCs w:val="10"/>
          <w:color w:val="54585A"/>
        </w:rPr>
        <w:t>Covington, LA 70433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EB6C10"/>
        </w:rPr>
        <w:t>Your vote is important.</w:t>
      </w:r>
    </w:p>
    <w:p>
      <w:pPr>
        <w:spacing w:after="0" w:line="147" w:lineRule="exact"/>
        <w:rPr>
          <w:sz w:val="20"/>
          <w:szCs w:val="20"/>
          <w:color w:val="auto"/>
        </w:rPr>
      </w:pPr>
    </w:p>
    <w:p>
      <w:pPr>
        <w:jc w:val="both"/>
        <w:spacing w:after="0" w:line="387" w:lineRule="auto"/>
        <w:rPr>
          <w:sz w:val="20"/>
          <w:szCs w:val="20"/>
          <w:color w:val="auto"/>
        </w:rPr>
      </w:pPr>
      <w:r>
        <w:rPr>
          <w:rFonts w:ascii="Arial" w:cs="Arial" w:eastAsia="Arial" w:hAnsi="Arial"/>
          <w:sz w:val="10"/>
          <w:szCs w:val="10"/>
          <w:color w:val="54585A"/>
        </w:rPr>
        <w:t>To ensure that your shares are voted at the meeting, we encourage you to act promptly.</w:t>
      </w:r>
    </w:p>
    <w:p>
      <w:pPr>
        <w:spacing w:after="0" w:line="70" w:lineRule="exact"/>
        <w:rPr>
          <w:sz w:val="20"/>
          <w:szCs w:val="20"/>
          <w:color w:val="auto"/>
        </w:rPr>
      </w:pPr>
    </w:p>
    <w:p>
      <w:pPr>
        <w:ind w:right="60"/>
        <w:spacing w:after="0" w:line="359" w:lineRule="auto"/>
        <w:rPr>
          <w:sz w:val="20"/>
          <w:szCs w:val="20"/>
          <w:color w:val="auto"/>
        </w:rPr>
      </w:pPr>
      <w:r>
        <w:rPr>
          <w:rFonts w:ascii="Arial" w:cs="Arial" w:eastAsia="Arial" w:hAnsi="Arial"/>
          <w:sz w:val="10"/>
          <w:szCs w:val="10"/>
          <w:color w:val="54585A"/>
        </w:rPr>
        <w:t xml:space="preserve">Important Notice Regarding the Availability of Proxy Materials for the Stockholder Meeting to Be Held on June 27, 2023. The proxy statement and annual report are available at </w:t>
      </w:r>
      <w:r>
        <w:rPr>
          <w:rFonts w:ascii="Arial" w:cs="Arial" w:eastAsia="Arial" w:hAnsi="Arial"/>
          <w:sz w:val="10"/>
          <w:szCs w:val="10"/>
          <w:i w:val="1"/>
          <w:iCs w:val="1"/>
          <w:color w:val="54585A"/>
        </w:rPr>
        <w:t>www.globalstar.com</w:t>
      </w:r>
      <w:r>
        <w:rPr>
          <w:rFonts w:ascii="Arial" w:cs="Arial" w:eastAsia="Arial" w:hAnsi="Arial"/>
          <w:sz w:val="10"/>
          <w:szCs w:val="10"/>
          <w:color w:val="54585A"/>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6"/>
          <w:szCs w:val="36"/>
          <w:color w:val="EB6C10"/>
        </w:rPr>
        <w:t>Notice of Annual</w:t>
      </w:r>
    </w:p>
    <w:p>
      <w:pPr>
        <w:spacing w:after="0" w:line="14" w:lineRule="exact"/>
        <w:rPr>
          <w:sz w:val="20"/>
          <w:szCs w:val="20"/>
          <w:color w:val="auto"/>
        </w:rPr>
      </w:pPr>
    </w:p>
    <w:p>
      <w:pPr>
        <w:spacing w:after="0"/>
        <w:rPr>
          <w:sz w:val="20"/>
          <w:szCs w:val="20"/>
          <w:color w:val="auto"/>
        </w:rPr>
      </w:pPr>
      <w:r>
        <w:rPr>
          <w:rFonts w:ascii="Arial" w:cs="Arial" w:eastAsia="Arial" w:hAnsi="Arial"/>
          <w:sz w:val="36"/>
          <w:szCs w:val="36"/>
          <w:color w:val="EB6C10"/>
        </w:rPr>
        <w:t>Meeting of Stockholders</w:t>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Dear Stockholder:</w:t>
      </w:r>
    </w:p>
    <w:p>
      <w:pPr>
        <w:spacing w:after="0" w:line="76" w:lineRule="exact"/>
        <w:rPr>
          <w:sz w:val="20"/>
          <w:szCs w:val="20"/>
          <w:color w:val="auto"/>
        </w:rPr>
      </w:pPr>
    </w:p>
    <w:p>
      <w:pPr>
        <w:ind w:right="20"/>
        <w:spacing w:after="0" w:line="319" w:lineRule="auto"/>
        <w:rPr>
          <w:sz w:val="20"/>
          <w:szCs w:val="20"/>
          <w:color w:val="auto"/>
        </w:rPr>
      </w:pPr>
      <w:r>
        <w:rPr>
          <w:rFonts w:ascii="Arial" w:cs="Arial" w:eastAsia="Arial" w:hAnsi="Arial"/>
          <w:sz w:val="11"/>
          <w:szCs w:val="11"/>
          <w:color w:val="54585A"/>
        </w:rPr>
        <w:t>It is my pleasure to invite you to attend the 2023 Annual Meeting of Stockholders (the “Annual Meeting”) of Globalstar, Inc. (“we,” “us,” “Globalstar,” or the “Company”). The meeting will be held at our headquarters at 1351 Holiday Square Blvd., Covington, LA 70433 at 10:00 a.m. Central Time on June 27, 2023. At the meeting, shareholders will be asked to vote on the following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520636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06365" cy="20574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20"/>
        <w:spacing w:after="0"/>
        <w:rPr>
          <w:sz w:val="20"/>
          <w:szCs w:val="20"/>
          <w:color w:val="auto"/>
        </w:rPr>
      </w:pPr>
      <w:r>
        <w:rPr>
          <w:rFonts w:ascii="Arial" w:cs="Arial" w:eastAsia="Arial" w:hAnsi="Arial"/>
          <w:sz w:val="10"/>
          <w:szCs w:val="10"/>
          <w:b w:val="1"/>
          <w:bCs w:val="1"/>
          <w:color w:val="54585A"/>
        </w:rPr>
        <w:t>Elect James F. Lynch and Timothy E. Taylor as our two Class B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520636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06365" cy="5715"/>
                    </a:xfrm>
                    <a:prstGeom prst="rect">
                      <a:avLst/>
                    </a:prstGeom>
                    <a:noFill/>
                  </pic:spPr>
                </pic:pic>
              </a:graphicData>
            </a:graphic>
          </wp:anchor>
        </w:drawing>
        <w:drawing>
          <wp:anchor simplePos="0" relativeHeight="251657728" behindDoc="1" locked="0" layoutInCell="0" allowOverlap="1">
            <wp:simplePos x="0" y="0"/>
            <wp:positionH relativeFrom="column">
              <wp:posOffset>106680</wp:posOffset>
            </wp:positionH>
            <wp:positionV relativeFrom="paragraph">
              <wp:posOffset>144145</wp:posOffset>
            </wp:positionV>
            <wp:extent cx="182880" cy="182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880" cy="182880"/>
                    </a:xfrm>
                    <a:prstGeom prst="rect">
                      <a:avLst/>
                    </a:prstGeom>
                    <a:noFill/>
                  </pic:spPr>
                </pic:pic>
              </a:graphicData>
            </a:graphic>
          </wp:anchor>
        </w:drawing>
      </w:r>
    </w:p>
    <w:p>
      <w:pPr>
        <w:spacing w:after="0" w:line="315" w:lineRule="exact"/>
        <w:rPr>
          <w:sz w:val="20"/>
          <w:szCs w:val="20"/>
          <w:color w:val="auto"/>
        </w:rPr>
      </w:pPr>
    </w:p>
    <w:p>
      <w:pPr>
        <w:ind w:left="920"/>
        <w:spacing w:after="0"/>
        <w:rPr>
          <w:sz w:val="20"/>
          <w:szCs w:val="20"/>
          <w:color w:val="auto"/>
        </w:rPr>
      </w:pPr>
      <w:r>
        <w:rPr>
          <w:rFonts w:ascii="Arial" w:cs="Arial" w:eastAsia="Arial" w:hAnsi="Arial"/>
          <w:sz w:val="10"/>
          <w:szCs w:val="10"/>
          <w:b w:val="1"/>
          <w:bCs w:val="1"/>
          <w:color w:val="54585A"/>
        </w:rPr>
        <w:t>Ratify the selection of Ernst &amp; Young LLP as our independent registered public accounting firm for the year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520636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06365" cy="188595"/>
                    </a:xfrm>
                    <a:prstGeom prst="rect">
                      <a:avLst/>
                    </a:prstGeom>
                    <a:noFill/>
                  </pic:spPr>
                </pic:pic>
              </a:graphicData>
            </a:graphic>
          </wp:anchor>
        </w:drawing>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0"/>
          <w:szCs w:val="10"/>
          <w:b w:val="1"/>
          <w:bCs w:val="1"/>
          <w:color w:val="54585A"/>
        </w:rPr>
        <w:t>Approve, on an advisory basis,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520636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06365" cy="188595"/>
                    </a:xfrm>
                    <a:prstGeom prst="rect">
                      <a:avLst/>
                    </a:prstGeom>
                    <a:noFill/>
                  </pic:spPr>
                </pic:pic>
              </a:graphicData>
            </a:graphic>
          </wp:anchor>
        </w:drawing>
      </w:r>
    </w:p>
    <w:p>
      <w:pPr>
        <w:spacing w:after="0" w:line="162" w:lineRule="exact"/>
        <w:rPr>
          <w:sz w:val="20"/>
          <w:szCs w:val="20"/>
          <w:color w:val="auto"/>
        </w:rPr>
      </w:pPr>
    </w:p>
    <w:p>
      <w:pPr>
        <w:ind w:left="920"/>
        <w:spacing w:after="0" w:line="268" w:lineRule="auto"/>
        <w:rPr>
          <w:sz w:val="20"/>
          <w:szCs w:val="20"/>
          <w:color w:val="auto"/>
        </w:rPr>
      </w:pPr>
      <w:r>
        <w:rPr>
          <w:rFonts w:ascii="Arial" w:cs="Arial" w:eastAsia="Arial" w:hAnsi="Arial"/>
          <w:sz w:val="10"/>
          <w:szCs w:val="10"/>
          <w:b w:val="1"/>
          <w:bCs w:val="1"/>
          <w:color w:val="54585A"/>
        </w:rPr>
        <w:t>Approve, on an advisory basis, the frequency with which shareholders will be provided an advisory vote on the compensation of our named executive officers;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520636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06365" cy="5715"/>
                    </a:xfrm>
                    <a:prstGeom prst="rect">
                      <a:avLst/>
                    </a:prstGeom>
                    <a:noFill/>
                  </pic:spPr>
                </pic:pic>
              </a:graphicData>
            </a:graphic>
          </wp:anchor>
        </w:drawing>
      </w:r>
    </w:p>
    <w:p>
      <w:pPr>
        <w:spacing w:after="0" w:line="47" w:lineRule="exact"/>
        <w:rPr>
          <w:sz w:val="20"/>
          <w:szCs w:val="20"/>
          <w:color w:val="auto"/>
        </w:rPr>
      </w:pPr>
    </w:p>
    <w:p>
      <w:pPr>
        <w:ind w:left="920" w:right="260"/>
        <w:spacing w:after="0" w:line="246" w:lineRule="auto"/>
        <w:rPr>
          <w:sz w:val="20"/>
          <w:szCs w:val="20"/>
          <w:color w:val="auto"/>
        </w:rPr>
      </w:pPr>
      <w:r>
        <w:rPr>
          <w:rFonts w:ascii="Arial" w:cs="Arial" w:eastAsia="Arial" w:hAnsi="Arial"/>
          <w:sz w:val="10"/>
          <w:szCs w:val="10"/>
          <w:b w:val="1"/>
          <w:bCs w:val="1"/>
          <w:color w:val="54585A"/>
        </w:rPr>
        <w:t>Approve the Company’s entry into the Guaranty of certain of the Company’s obligations under its Prepayment Agreements with an affiliate of the Thermo Companies, which is beneficially held by and under the control of James Monroe III, our Executive Chairman and controlling stockholder (“Thermo”). Only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-184150</wp:posOffset>
            </wp:positionV>
            <wp:extent cx="182880" cy="182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880" cy="18288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0"/>
          <w:szCs w:val="10"/>
          <w:b w:val="1"/>
          <w:bCs w:val="1"/>
          <w:color w:val="54585A"/>
        </w:rPr>
        <w:t>not affiliated with Thermo will be permitted to 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520636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06365" cy="571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1"/>
          <w:szCs w:val="11"/>
          <w:color w:val="54585A"/>
        </w:rPr>
        <w:t>We may also consider any other matters that may properly be brought before the meeting.</w:t>
      </w:r>
    </w:p>
    <w:p>
      <w:pPr>
        <w:spacing w:after="0" w:line="153" w:lineRule="exact"/>
        <w:rPr>
          <w:sz w:val="20"/>
          <w:szCs w:val="20"/>
          <w:color w:val="auto"/>
        </w:rPr>
      </w:pPr>
    </w:p>
    <w:p>
      <w:pPr>
        <w:ind w:right="60"/>
        <w:spacing w:after="0" w:line="315" w:lineRule="auto"/>
        <w:rPr>
          <w:sz w:val="20"/>
          <w:szCs w:val="20"/>
          <w:color w:val="auto"/>
        </w:rPr>
      </w:pPr>
      <w:r>
        <w:rPr>
          <w:rFonts w:ascii="Arial" w:cs="Arial" w:eastAsia="Arial" w:hAnsi="Arial"/>
          <w:sz w:val="11"/>
          <w:szCs w:val="11"/>
          <w:color w:val="54585A"/>
        </w:rPr>
        <w:t>We are pleased to take advantage of Securities and Exchange Commission rules that allow us to furnish our proxy materials via the Internet. As a result, we are sending our stockholders a Notice of Internet Availability of Proxy Materials instead of paper copies of this proxy statement and our 2022 Annual Report. The Notice contains instructions on how to access and review those documents using the Internet. The Notice also instructs you on how to submit your proxy using the Internet or by phone. If you would like to receive a printed copy of our proxy materials, you should follow the instructions for requesting them included in the Notice.</w:t>
      </w:r>
    </w:p>
    <w:p>
      <w:pPr>
        <w:spacing w:after="0" w:line="110" w:lineRule="exact"/>
        <w:rPr>
          <w:sz w:val="20"/>
          <w:szCs w:val="20"/>
          <w:color w:val="auto"/>
        </w:rPr>
      </w:pPr>
    </w:p>
    <w:p>
      <w:pPr>
        <w:spacing w:after="0"/>
        <w:rPr>
          <w:sz w:val="20"/>
          <w:szCs w:val="20"/>
          <w:color w:val="auto"/>
        </w:rPr>
      </w:pPr>
      <w:r>
        <w:rPr>
          <w:rFonts w:ascii="Arial" w:cs="Arial" w:eastAsia="Arial" w:hAnsi="Arial"/>
          <w:sz w:val="11"/>
          <w:szCs w:val="11"/>
          <w:color w:val="54585A"/>
        </w:rPr>
        <w:t>We look forward to seeing you at the meeting.</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54585A"/>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457200" cy="228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7200" cy="22860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James Monroe III</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i w:val="1"/>
          <w:iCs w:val="1"/>
          <w:color w:val="54585A"/>
        </w:rPr>
        <w:t>Executive Chairman of the Board</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54585A"/>
        </w:rPr>
        <w:t>Covington, Louisiana</w:t>
      </w:r>
    </w:p>
    <w:p>
      <w:pPr>
        <w:spacing w:after="0" w:line="2" w:lineRule="exact"/>
        <w:rPr>
          <w:sz w:val="20"/>
          <w:szCs w:val="20"/>
          <w:color w:val="auto"/>
        </w:rPr>
      </w:pPr>
    </w:p>
    <w:p>
      <w:pPr>
        <w:spacing w:after="0"/>
        <w:rPr>
          <w:sz w:val="20"/>
          <w:szCs w:val="20"/>
          <w:color w:val="auto"/>
        </w:rPr>
      </w:pPr>
      <w:r>
        <w:rPr>
          <w:rFonts w:ascii="Arial" w:cs="Arial" w:eastAsia="Arial" w:hAnsi="Arial"/>
          <w:sz w:val="10"/>
          <w:szCs w:val="10"/>
          <w:color w:val="54585A"/>
        </w:rPr>
        <w:t>April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495300</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2100" w:space="680"/>
            <w:col w:w="8160"/>
          </w:cols>
          <w:pgMar w:left="620" w:top="1002"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020"/>
        <w:spacing w:after="0"/>
        <w:rPr>
          <w:sz w:val="20"/>
          <w:szCs w:val="20"/>
          <w:color w:val="auto"/>
        </w:rPr>
      </w:pPr>
      <w:r>
        <w:rPr>
          <w:rFonts w:ascii="Arial" w:cs="Arial" w:eastAsia="Arial" w:hAnsi="Arial"/>
          <w:sz w:val="30"/>
          <w:szCs w:val="30"/>
          <w:color w:val="54585A"/>
        </w:rPr>
        <w:t>Table of Contents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520" w:type="dxa"/>
            <w:vAlign w:val="bottom"/>
          </w:tcPr>
          <w:p>
            <w:pPr>
              <w:ind w:left="5020"/>
              <w:spacing w:after="0"/>
              <w:rPr>
                <w:sz w:val="20"/>
                <w:szCs w:val="20"/>
                <w:color w:val="auto"/>
              </w:rPr>
            </w:pPr>
            <w:r>
              <w:rPr>
                <w:rFonts w:ascii="Arial" w:cs="Arial" w:eastAsia="Arial" w:hAnsi="Arial"/>
                <w:sz w:val="11"/>
                <w:szCs w:val="11"/>
                <w:b w:val="1"/>
                <w:bCs w:val="1"/>
                <w:color w:val="54585A"/>
              </w:rPr>
              <w:t>Annual Meeting and Other Information</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54585A"/>
              </w:rPr>
              <w:t>1</w:t>
            </w:r>
          </w:p>
        </w:tc>
        <w:tc>
          <w:tcPr>
            <w:tcW w:w="0" w:type="dxa"/>
            <w:vAlign w:val="bottom"/>
          </w:tcPr>
          <w:p>
            <w:pPr>
              <w:spacing w:after="0"/>
              <w:rPr>
                <w:sz w:val="1"/>
                <w:szCs w:val="1"/>
                <w:color w:val="auto"/>
              </w:rPr>
            </w:pPr>
          </w:p>
        </w:tc>
      </w:tr>
      <w:tr>
        <w:trPr>
          <w:trHeight w:val="315"/>
        </w:trPr>
        <w:tc>
          <w:tcPr>
            <w:tcW w:w="10520" w:type="dxa"/>
            <w:vAlign w:val="bottom"/>
          </w:tcPr>
          <w:p>
            <w:pPr>
              <w:ind w:left="5240"/>
              <w:spacing w:after="0"/>
              <w:rPr>
                <w:sz w:val="20"/>
                <w:szCs w:val="20"/>
                <w:color w:val="auto"/>
              </w:rPr>
            </w:pPr>
            <w:r>
              <w:rPr>
                <w:rFonts w:ascii="Arial" w:cs="Arial" w:eastAsia="Arial" w:hAnsi="Arial"/>
                <w:sz w:val="11"/>
                <w:szCs w:val="11"/>
                <w:color w:val="54585A"/>
              </w:rPr>
              <w:t>Information about the Meeting, Voting and Attendance</w:t>
            </w:r>
          </w:p>
        </w:tc>
        <w:tc>
          <w:tcPr>
            <w:tcW w:w="780" w:type="dxa"/>
            <w:vAlign w:val="bottom"/>
          </w:tcPr>
          <w:p>
            <w:pPr>
              <w:jc w:val="right"/>
              <w:spacing w:after="0"/>
              <w:rPr>
                <w:sz w:val="20"/>
                <w:szCs w:val="20"/>
                <w:color w:val="auto"/>
              </w:rPr>
            </w:pPr>
            <w:r>
              <w:rPr>
                <w:rFonts w:ascii="Arial" w:cs="Arial" w:eastAsia="Arial" w:hAnsi="Arial"/>
                <w:sz w:val="11"/>
                <w:szCs w:val="11"/>
                <w:color w:val="54585A"/>
              </w:rPr>
              <w:t>1</w:t>
            </w:r>
          </w:p>
        </w:tc>
        <w:tc>
          <w:tcPr>
            <w:tcW w:w="0" w:type="dxa"/>
            <w:vAlign w:val="bottom"/>
          </w:tcPr>
          <w:p>
            <w:pPr>
              <w:spacing w:after="0"/>
              <w:rPr>
                <w:sz w:val="1"/>
                <w:szCs w:val="1"/>
                <w:color w:val="auto"/>
              </w:rPr>
            </w:pPr>
          </w:p>
        </w:tc>
      </w:tr>
      <w:tr>
        <w:trPr>
          <w:trHeight w:val="315"/>
        </w:trPr>
        <w:tc>
          <w:tcPr>
            <w:tcW w:w="10520" w:type="dxa"/>
            <w:vAlign w:val="bottom"/>
          </w:tcPr>
          <w:p>
            <w:pPr>
              <w:ind w:left="5020"/>
              <w:spacing w:after="0"/>
              <w:rPr>
                <w:sz w:val="20"/>
                <w:szCs w:val="20"/>
                <w:color w:val="auto"/>
              </w:rPr>
            </w:pPr>
            <w:r>
              <w:rPr>
                <w:rFonts w:ascii="Arial" w:cs="Arial" w:eastAsia="Arial" w:hAnsi="Arial"/>
                <w:sz w:val="11"/>
                <w:szCs w:val="11"/>
                <w:b w:val="1"/>
                <w:bCs w:val="1"/>
                <w:color w:val="54585A"/>
              </w:rPr>
              <w:t>Board of Directors and Corporate Governance</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54585A"/>
              </w:rPr>
              <w:t>5</w:t>
            </w:r>
          </w:p>
        </w:tc>
        <w:tc>
          <w:tcPr>
            <w:tcW w:w="0" w:type="dxa"/>
            <w:vAlign w:val="bottom"/>
          </w:tcPr>
          <w:p>
            <w:pPr>
              <w:spacing w:after="0"/>
              <w:rPr>
                <w:sz w:val="1"/>
                <w:szCs w:val="1"/>
                <w:color w:val="auto"/>
              </w:rPr>
            </w:pPr>
          </w:p>
        </w:tc>
      </w:tr>
      <w:tr>
        <w:trPr>
          <w:trHeight w:val="315"/>
        </w:trPr>
        <w:tc>
          <w:tcPr>
            <w:tcW w:w="10520" w:type="dxa"/>
            <w:vAlign w:val="bottom"/>
          </w:tcPr>
          <w:p>
            <w:pPr>
              <w:ind w:left="5240"/>
              <w:spacing w:after="0"/>
              <w:rPr>
                <w:sz w:val="20"/>
                <w:szCs w:val="20"/>
                <w:color w:val="auto"/>
              </w:rPr>
            </w:pPr>
            <w:r>
              <w:rPr>
                <w:rFonts w:ascii="Arial" w:cs="Arial" w:eastAsia="Arial" w:hAnsi="Arial"/>
                <w:sz w:val="11"/>
                <w:szCs w:val="11"/>
                <w:color w:val="54585A"/>
              </w:rPr>
              <w:t>Information about the Board and its Committees</w:t>
            </w:r>
          </w:p>
        </w:tc>
        <w:tc>
          <w:tcPr>
            <w:tcW w:w="780" w:type="dxa"/>
            <w:vAlign w:val="bottom"/>
          </w:tcPr>
          <w:p>
            <w:pPr>
              <w:jc w:val="right"/>
              <w:spacing w:after="0"/>
              <w:rPr>
                <w:sz w:val="20"/>
                <w:szCs w:val="20"/>
                <w:color w:val="auto"/>
              </w:rPr>
            </w:pPr>
            <w:r>
              <w:rPr>
                <w:rFonts w:ascii="Arial" w:cs="Arial" w:eastAsia="Arial" w:hAnsi="Arial"/>
                <w:sz w:val="11"/>
                <w:szCs w:val="11"/>
                <w:color w:val="54585A"/>
              </w:rPr>
              <w:t>5</w:t>
            </w:r>
          </w:p>
        </w:tc>
        <w:tc>
          <w:tcPr>
            <w:tcW w:w="0" w:type="dxa"/>
            <w:vAlign w:val="bottom"/>
          </w:tcPr>
          <w:p>
            <w:pPr>
              <w:spacing w:after="0"/>
              <w:rPr>
                <w:sz w:val="1"/>
                <w:szCs w:val="1"/>
                <w:color w:val="auto"/>
              </w:rPr>
            </w:pPr>
          </w:p>
        </w:tc>
      </w:tr>
      <w:tr>
        <w:trPr>
          <w:trHeight w:val="315"/>
        </w:trPr>
        <w:tc>
          <w:tcPr>
            <w:tcW w:w="10520" w:type="dxa"/>
            <w:vAlign w:val="bottom"/>
          </w:tcPr>
          <w:p>
            <w:pPr>
              <w:ind w:left="5240"/>
              <w:spacing w:after="0"/>
              <w:rPr>
                <w:sz w:val="20"/>
                <w:szCs w:val="20"/>
                <w:color w:val="auto"/>
              </w:rPr>
            </w:pPr>
            <w:r>
              <w:rPr>
                <w:rFonts w:ascii="Arial" w:cs="Arial" w:eastAsia="Arial" w:hAnsi="Arial"/>
                <w:sz w:val="11"/>
                <w:szCs w:val="11"/>
                <w:b w:val="1"/>
                <w:bCs w:val="1"/>
                <w:color w:val="EB6C10"/>
              </w:rPr>
              <w:t xml:space="preserve">Proposal 1 </w:t>
            </w:r>
            <w:r>
              <w:rPr>
                <w:rFonts w:ascii="Arial" w:cs="Arial" w:eastAsia="Arial" w:hAnsi="Arial"/>
                <w:sz w:val="11"/>
                <w:szCs w:val="11"/>
                <w:b w:val="1"/>
                <w:bCs w:val="1"/>
                <w:color w:val="54585A"/>
              </w:rPr>
              <w:t>/</w:t>
            </w:r>
            <w:r>
              <w:rPr>
                <w:rFonts w:ascii="Arial" w:cs="Arial" w:eastAsia="Arial" w:hAnsi="Arial"/>
                <w:sz w:val="11"/>
                <w:szCs w:val="11"/>
                <w:b w:val="1"/>
                <w:bCs w:val="1"/>
                <w:color w:val="EB6C10"/>
              </w:rPr>
              <w:t xml:space="preserve"> </w:t>
            </w:r>
            <w:r>
              <w:rPr>
                <w:rFonts w:ascii="Arial" w:cs="Arial" w:eastAsia="Arial" w:hAnsi="Arial"/>
                <w:sz w:val="11"/>
                <w:szCs w:val="11"/>
                <w:color w:val="54585A"/>
              </w:rPr>
              <w:t>Election of Directors</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EB6C10"/>
              </w:rPr>
              <w:t>17</w:t>
            </w:r>
          </w:p>
        </w:tc>
        <w:tc>
          <w:tcPr>
            <w:tcW w:w="0" w:type="dxa"/>
            <w:vAlign w:val="bottom"/>
          </w:tcPr>
          <w:p>
            <w:pPr>
              <w:spacing w:after="0"/>
              <w:rPr>
                <w:sz w:val="1"/>
                <w:szCs w:val="1"/>
                <w:color w:val="auto"/>
              </w:rPr>
            </w:pPr>
          </w:p>
        </w:tc>
      </w:tr>
      <w:tr>
        <w:trPr>
          <w:trHeight w:val="315"/>
        </w:trPr>
        <w:tc>
          <w:tcPr>
            <w:tcW w:w="10520" w:type="dxa"/>
            <w:vAlign w:val="bottom"/>
          </w:tcPr>
          <w:p>
            <w:pPr>
              <w:ind w:left="5240"/>
              <w:spacing w:after="0"/>
              <w:rPr>
                <w:sz w:val="20"/>
                <w:szCs w:val="20"/>
                <w:color w:val="auto"/>
              </w:rPr>
            </w:pPr>
            <w:r>
              <w:rPr>
                <w:rFonts w:ascii="Arial" w:cs="Arial" w:eastAsia="Arial" w:hAnsi="Arial"/>
                <w:sz w:val="11"/>
                <w:szCs w:val="11"/>
                <w:color w:val="54585A"/>
              </w:rPr>
              <w:t>Compensation of Directors</w:t>
            </w:r>
          </w:p>
        </w:tc>
        <w:tc>
          <w:tcPr>
            <w:tcW w:w="780" w:type="dxa"/>
            <w:vAlign w:val="bottom"/>
          </w:tcPr>
          <w:p>
            <w:pPr>
              <w:jc w:val="right"/>
              <w:spacing w:after="0"/>
              <w:rPr>
                <w:sz w:val="20"/>
                <w:szCs w:val="20"/>
                <w:color w:val="auto"/>
              </w:rPr>
            </w:pPr>
            <w:r>
              <w:rPr>
                <w:rFonts w:ascii="Arial" w:cs="Arial" w:eastAsia="Arial" w:hAnsi="Arial"/>
                <w:sz w:val="11"/>
                <w:szCs w:val="11"/>
                <w:color w:val="54585A"/>
              </w:rPr>
              <w:t>18</w:t>
            </w:r>
          </w:p>
        </w:tc>
        <w:tc>
          <w:tcPr>
            <w:tcW w:w="0" w:type="dxa"/>
            <w:vAlign w:val="bottom"/>
          </w:tcPr>
          <w:p>
            <w:pPr>
              <w:spacing w:after="0"/>
              <w:rPr>
                <w:sz w:val="1"/>
                <w:szCs w:val="1"/>
                <w:color w:val="auto"/>
              </w:rPr>
            </w:pPr>
          </w:p>
        </w:tc>
      </w:tr>
      <w:tr>
        <w:trPr>
          <w:trHeight w:val="315"/>
        </w:trPr>
        <w:tc>
          <w:tcPr>
            <w:tcW w:w="10520" w:type="dxa"/>
            <w:vAlign w:val="bottom"/>
          </w:tcPr>
          <w:p>
            <w:pPr>
              <w:ind w:left="5020"/>
              <w:spacing w:after="0"/>
              <w:rPr>
                <w:sz w:val="20"/>
                <w:szCs w:val="20"/>
                <w:color w:val="auto"/>
              </w:rPr>
            </w:pPr>
            <w:r>
              <w:rPr>
                <w:rFonts w:ascii="Arial" w:cs="Arial" w:eastAsia="Arial" w:hAnsi="Arial"/>
                <w:sz w:val="11"/>
                <w:szCs w:val="11"/>
                <w:b w:val="1"/>
                <w:bCs w:val="1"/>
                <w:color w:val="54585A"/>
              </w:rPr>
              <w:t>Audit Matters</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54585A"/>
              </w:rPr>
              <w:t>19</w:t>
            </w:r>
          </w:p>
        </w:tc>
        <w:tc>
          <w:tcPr>
            <w:tcW w:w="0" w:type="dxa"/>
            <w:vAlign w:val="bottom"/>
          </w:tcPr>
          <w:p>
            <w:pPr>
              <w:spacing w:after="0"/>
              <w:rPr>
                <w:sz w:val="1"/>
                <w:szCs w:val="1"/>
                <w:color w:val="auto"/>
              </w:rPr>
            </w:pPr>
          </w:p>
        </w:tc>
      </w:tr>
      <w:tr>
        <w:trPr>
          <w:trHeight w:val="315"/>
        </w:trPr>
        <w:tc>
          <w:tcPr>
            <w:tcW w:w="10520" w:type="dxa"/>
            <w:vAlign w:val="bottom"/>
          </w:tcPr>
          <w:p>
            <w:pPr>
              <w:ind w:left="5240"/>
              <w:spacing w:after="0"/>
              <w:rPr>
                <w:sz w:val="20"/>
                <w:szCs w:val="20"/>
                <w:color w:val="auto"/>
              </w:rPr>
            </w:pPr>
            <w:r>
              <w:rPr>
                <w:rFonts w:ascii="Arial" w:cs="Arial" w:eastAsia="Arial" w:hAnsi="Arial"/>
                <w:sz w:val="11"/>
                <w:szCs w:val="11"/>
                <w:b w:val="1"/>
                <w:bCs w:val="1"/>
                <w:color w:val="1D8DB8"/>
              </w:rPr>
              <w:t xml:space="preserve">Proposal 2 </w:t>
            </w:r>
            <w:r>
              <w:rPr>
                <w:rFonts w:ascii="Arial" w:cs="Arial" w:eastAsia="Arial" w:hAnsi="Arial"/>
                <w:sz w:val="11"/>
                <w:szCs w:val="11"/>
                <w:b w:val="1"/>
                <w:bCs w:val="1"/>
                <w:color w:val="54585A"/>
              </w:rPr>
              <w:t>/</w:t>
            </w:r>
            <w:r>
              <w:rPr>
                <w:rFonts w:ascii="Arial" w:cs="Arial" w:eastAsia="Arial" w:hAnsi="Arial"/>
                <w:sz w:val="11"/>
                <w:szCs w:val="11"/>
                <w:b w:val="1"/>
                <w:bCs w:val="1"/>
                <w:color w:val="1D8DB8"/>
              </w:rPr>
              <w:t xml:space="preserve"> </w:t>
            </w:r>
            <w:r>
              <w:rPr>
                <w:rFonts w:ascii="Arial" w:cs="Arial" w:eastAsia="Arial" w:hAnsi="Arial"/>
                <w:sz w:val="11"/>
                <w:szCs w:val="11"/>
                <w:color w:val="54585A"/>
              </w:rPr>
              <w:t>Ratification of Independent Registered Public Accounting Firm</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1D8DB8"/>
              </w:rPr>
              <w:t>19</w:t>
            </w:r>
          </w:p>
        </w:tc>
        <w:tc>
          <w:tcPr>
            <w:tcW w:w="0" w:type="dxa"/>
            <w:vAlign w:val="bottom"/>
          </w:tcPr>
          <w:p>
            <w:pPr>
              <w:spacing w:after="0"/>
              <w:rPr>
                <w:sz w:val="1"/>
                <w:szCs w:val="1"/>
                <w:color w:val="auto"/>
              </w:rPr>
            </w:pPr>
          </w:p>
        </w:tc>
      </w:tr>
      <w:tr>
        <w:trPr>
          <w:trHeight w:val="315"/>
        </w:trPr>
        <w:tc>
          <w:tcPr>
            <w:tcW w:w="10520" w:type="dxa"/>
            <w:vAlign w:val="bottom"/>
          </w:tcPr>
          <w:p>
            <w:pPr>
              <w:ind w:left="5020"/>
              <w:spacing w:after="0"/>
              <w:rPr>
                <w:sz w:val="20"/>
                <w:szCs w:val="20"/>
                <w:color w:val="auto"/>
              </w:rPr>
            </w:pPr>
            <w:r>
              <w:rPr>
                <w:rFonts w:ascii="Arial" w:cs="Arial" w:eastAsia="Arial" w:hAnsi="Arial"/>
                <w:sz w:val="11"/>
                <w:szCs w:val="11"/>
                <w:b w:val="1"/>
                <w:bCs w:val="1"/>
                <w:color w:val="54585A"/>
              </w:rPr>
              <w:t>Executive Officers and Compensation</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54585A"/>
              </w:rPr>
              <w:t>21</w:t>
            </w:r>
          </w:p>
        </w:tc>
        <w:tc>
          <w:tcPr>
            <w:tcW w:w="0" w:type="dxa"/>
            <w:vAlign w:val="bottom"/>
          </w:tcPr>
          <w:p>
            <w:pPr>
              <w:spacing w:after="0"/>
              <w:rPr>
                <w:sz w:val="1"/>
                <w:szCs w:val="1"/>
                <w:color w:val="auto"/>
              </w:rPr>
            </w:pPr>
          </w:p>
        </w:tc>
      </w:tr>
      <w:tr>
        <w:trPr>
          <w:trHeight w:val="315"/>
        </w:trPr>
        <w:tc>
          <w:tcPr>
            <w:tcW w:w="10520" w:type="dxa"/>
            <w:vAlign w:val="bottom"/>
          </w:tcPr>
          <w:p>
            <w:pPr>
              <w:ind w:left="5240"/>
              <w:spacing w:after="0"/>
              <w:rPr>
                <w:sz w:val="20"/>
                <w:szCs w:val="20"/>
                <w:color w:val="auto"/>
              </w:rPr>
            </w:pPr>
            <w:r>
              <w:rPr>
                <w:rFonts w:ascii="Arial" w:cs="Arial" w:eastAsia="Arial" w:hAnsi="Arial"/>
                <w:sz w:val="11"/>
                <w:szCs w:val="11"/>
                <w:color w:val="54585A"/>
              </w:rPr>
              <w:t>Executive Officers</w:t>
            </w:r>
          </w:p>
        </w:tc>
        <w:tc>
          <w:tcPr>
            <w:tcW w:w="780" w:type="dxa"/>
            <w:vAlign w:val="bottom"/>
          </w:tcPr>
          <w:p>
            <w:pPr>
              <w:jc w:val="right"/>
              <w:spacing w:after="0"/>
              <w:rPr>
                <w:sz w:val="20"/>
                <w:szCs w:val="20"/>
                <w:color w:val="auto"/>
              </w:rPr>
            </w:pPr>
            <w:r>
              <w:rPr>
                <w:rFonts w:ascii="Arial" w:cs="Arial" w:eastAsia="Arial" w:hAnsi="Arial"/>
                <w:sz w:val="11"/>
                <w:szCs w:val="11"/>
                <w:color w:val="54585A"/>
              </w:rPr>
              <w:t>21</w:t>
            </w:r>
          </w:p>
        </w:tc>
        <w:tc>
          <w:tcPr>
            <w:tcW w:w="0" w:type="dxa"/>
            <w:vAlign w:val="bottom"/>
          </w:tcPr>
          <w:p>
            <w:pPr>
              <w:spacing w:after="0"/>
              <w:rPr>
                <w:sz w:val="1"/>
                <w:szCs w:val="1"/>
                <w:color w:val="auto"/>
              </w:rPr>
            </w:pPr>
          </w:p>
        </w:tc>
      </w:tr>
      <w:tr>
        <w:trPr>
          <w:trHeight w:val="315"/>
        </w:trPr>
        <w:tc>
          <w:tcPr>
            <w:tcW w:w="10520" w:type="dxa"/>
            <w:vAlign w:val="bottom"/>
          </w:tcPr>
          <w:p>
            <w:pPr>
              <w:ind w:left="5240"/>
              <w:spacing w:after="0"/>
              <w:rPr>
                <w:sz w:val="20"/>
                <w:szCs w:val="20"/>
                <w:color w:val="auto"/>
              </w:rPr>
            </w:pPr>
            <w:r>
              <w:rPr>
                <w:rFonts w:ascii="Arial" w:cs="Arial" w:eastAsia="Arial" w:hAnsi="Arial"/>
                <w:sz w:val="11"/>
                <w:szCs w:val="11"/>
                <w:color w:val="54585A"/>
              </w:rPr>
              <w:t>Compensation Discussion and Analysis</w:t>
            </w:r>
          </w:p>
        </w:tc>
        <w:tc>
          <w:tcPr>
            <w:tcW w:w="780" w:type="dxa"/>
            <w:vAlign w:val="bottom"/>
          </w:tcPr>
          <w:p>
            <w:pPr>
              <w:jc w:val="right"/>
              <w:spacing w:after="0"/>
              <w:rPr>
                <w:sz w:val="20"/>
                <w:szCs w:val="20"/>
                <w:color w:val="auto"/>
              </w:rPr>
            </w:pPr>
            <w:r>
              <w:rPr>
                <w:rFonts w:ascii="Arial" w:cs="Arial" w:eastAsia="Arial" w:hAnsi="Arial"/>
                <w:sz w:val="11"/>
                <w:szCs w:val="11"/>
                <w:color w:val="54585A"/>
              </w:rPr>
              <w:t>21</w:t>
            </w:r>
          </w:p>
        </w:tc>
        <w:tc>
          <w:tcPr>
            <w:tcW w:w="0" w:type="dxa"/>
            <w:vAlign w:val="bottom"/>
          </w:tcPr>
          <w:p>
            <w:pPr>
              <w:spacing w:after="0"/>
              <w:rPr>
                <w:sz w:val="1"/>
                <w:szCs w:val="1"/>
                <w:color w:val="auto"/>
              </w:rPr>
            </w:pPr>
          </w:p>
        </w:tc>
      </w:tr>
      <w:tr>
        <w:trPr>
          <w:trHeight w:val="315"/>
        </w:trPr>
        <w:tc>
          <w:tcPr>
            <w:tcW w:w="10520" w:type="dxa"/>
            <w:vAlign w:val="bottom"/>
          </w:tcPr>
          <w:p>
            <w:pPr>
              <w:ind w:left="5240"/>
              <w:spacing w:after="0"/>
              <w:rPr>
                <w:sz w:val="20"/>
                <w:szCs w:val="20"/>
                <w:color w:val="auto"/>
              </w:rPr>
            </w:pPr>
            <w:r>
              <w:rPr>
                <w:rFonts w:ascii="Arial" w:cs="Arial" w:eastAsia="Arial" w:hAnsi="Arial"/>
                <w:sz w:val="11"/>
                <w:szCs w:val="11"/>
                <w:b w:val="1"/>
                <w:bCs w:val="1"/>
                <w:color w:val="63C237"/>
              </w:rPr>
              <w:t xml:space="preserve">Proposal 3 </w:t>
            </w:r>
            <w:r>
              <w:rPr>
                <w:rFonts w:ascii="Arial" w:cs="Arial" w:eastAsia="Arial" w:hAnsi="Arial"/>
                <w:sz w:val="11"/>
                <w:szCs w:val="11"/>
                <w:b w:val="1"/>
                <w:bCs w:val="1"/>
                <w:color w:val="54585A"/>
              </w:rPr>
              <w:t>/</w:t>
            </w:r>
            <w:r>
              <w:rPr>
                <w:rFonts w:ascii="Arial" w:cs="Arial" w:eastAsia="Arial" w:hAnsi="Arial"/>
                <w:sz w:val="11"/>
                <w:szCs w:val="11"/>
                <w:b w:val="1"/>
                <w:bCs w:val="1"/>
                <w:color w:val="63C237"/>
              </w:rPr>
              <w:t xml:space="preserve"> </w:t>
            </w:r>
            <w:r>
              <w:rPr>
                <w:rFonts w:ascii="Arial" w:cs="Arial" w:eastAsia="Arial" w:hAnsi="Arial"/>
                <w:sz w:val="11"/>
                <w:szCs w:val="11"/>
                <w:color w:val="54585A"/>
              </w:rPr>
              <w:t>Advisory Vote on Named Executive Officer Compensation</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63C237"/>
              </w:rPr>
              <w:t>24</w:t>
            </w:r>
          </w:p>
        </w:tc>
        <w:tc>
          <w:tcPr>
            <w:tcW w:w="0" w:type="dxa"/>
            <w:vAlign w:val="bottom"/>
          </w:tcPr>
          <w:p>
            <w:pPr>
              <w:spacing w:after="0"/>
              <w:rPr>
                <w:sz w:val="1"/>
                <w:szCs w:val="1"/>
                <w:color w:val="auto"/>
              </w:rPr>
            </w:pPr>
          </w:p>
        </w:tc>
      </w:tr>
      <w:tr>
        <w:trPr>
          <w:trHeight w:val="315"/>
        </w:trPr>
        <w:tc>
          <w:tcPr>
            <w:tcW w:w="10520" w:type="dxa"/>
            <w:vAlign w:val="bottom"/>
          </w:tcPr>
          <w:p>
            <w:pPr>
              <w:ind w:left="5240"/>
              <w:spacing w:after="0"/>
              <w:rPr>
                <w:sz w:val="20"/>
                <w:szCs w:val="20"/>
                <w:color w:val="auto"/>
              </w:rPr>
            </w:pPr>
            <w:r>
              <w:rPr>
                <w:rFonts w:ascii="Arial" w:cs="Arial" w:eastAsia="Arial" w:hAnsi="Arial"/>
                <w:sz w:val="11"/>
                <w:szCs w:val="11"/>
                <w:b w:val="1"/>
                <w:bCs w:val="1"/>
                <w:color w:val="FFD900"/>
              </w:rPr>
              <w:t xml:space="preserve">Proposal 4 </w:t>
            </w:r>
            <w:r>
              <w:rPr>
                <w:rFonts w:ascii="Arial" w:cs="Arial" w:eastAsia="Arial" w:hAnsi="Arial"/>
                <w:sz w:val="11"/>
                <w:szCs w:val="11"/>
                <w:b w:val="1"/>
                <w:bCs w:val="1"/>
                <w:color w:val="54585A"/>
              </w:rPr>
              <w:t>/</w:t>
            </w:r>
            <w:r>
              <w:rPr>
                <w:rFonts w:ascii="Arial" w:cs="Arial" w:eastAsia="Arial" w:hAnsi="Arial"/>
                <w:sz w:val="11"/>
                <w:szCs w:val="11"/>
                <w:b w:val="1"/>
                <w:bCs w:val="1"/>
                <w:color w:val="FFD900"/>
              </w:rPr>
              <w:t xml:space="preserve"> </w:t>
            </w:r>
            <w:r>
              <w:rPr>
                <w:rFonts w:ascii="Arial" w:cs="Arial" w:eastAsia="Arial" w:hAnsi="Arial"/>
                <w:sz w:val="11"/>
                <w:szCs w:val="11"/>
                <w:color w:val="54585A"/>
              </w:rPr>
              <w:t>Advisory Vote on Frequency of Future Advisory Votes on Executive Compensation</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FFDE0F"/>
              </w:rPr>
              <w:t>25</w:t>
            </w:r>
          </w:p>
        </w:tc>
        <w:tc>
          <w:tcPr>
            <w:tcW w:w="0" w:type="dxa"/>
            <w:vAlign w:val="bottom"/>
          </w:tcPr>
          <w:p>
            <w:pPr>
              <w:spacing w:after="0"/>
              <w:rPr>
                <w:sz w:val="1"/>
                <w:szCs w:val="1"/>
                <w:color w:val="auto"/>
              </w:rPr>
            </w:pPr>
          </w:p>
        </w:tc>
      </w:tr>
      <w:tr>
        <w:trPr>
          <w:trHeight w:val="315"/>
        </w:trPr>
        <w:tc>
          <w:tcPr>
            <w:tcW w:w="10520" w:type="dxa"/>
            <w:vAlign w:val="bottom"/>
          </w:tcPr>
          <w:p>
            <w:pPr>
              <w:ind w:left="5240"/>
              <w:spacing w:after="0"/>
              <w:rPr>
                <w:sz w:val="20"/>
                <w:szCs w:val="20"/>
                <w:color w:val="auto"/>
              </w:rPr>
            </w:pPr>
            <w:r>
              <w:rPr>
                <w:rFonts w:ascii="Arial" w:cs="Arial" w:eastAsia="Arial" w:hAnsi="Arial"/>
                <w:sz w:val="11"/>
                <w:szCs w:val="11"/>
                <w:color w:val="54585A"/>
              </w:rPr>
              <w:t>Summary Compensation Table</w:t>
            </w:r>
          </w:p>
        </w:tc>
        <w:tc>
          <w:tcPr>
            <w:tcW w:w="780" w:type="dxa"/>
            <w:vAlign w:val="bottom"/>
          </w:tcPr>
          <w:p>
            <w:pPr>
              <w:jc w:val="right"/>
              <w:spacing w:after="0"/>
              <w:rPr>
                <w:sz w:val="20"/>
                <w:szCs w:val="20"/>
                <w:color w:val="auto"/>
              </w:rPr>
            </w:pPr>
            <w:r>
              <w:rPr>
                <w:rFonts w:ascii="Arial" w:cs="Arial" w:eastAsia="Arial" w:hAnsi="Arial"/>
                <w:sz w:val="11"/>
                <w:szCs w:val="11"/>
                <w:color w:val="54585A"/>
              </w:rPr>
              <w:t>26</w:t>
            </w:r>
          </w:p>
        </w:tc>
        <w:tc>
          <w:tcPr>
            <w:tcW w:w="0" w:type="dxa"/>
            <w:vAlign w:val="bottom"/>
          </w:tcPr>
          <w:p>
            <w:pPr>
              <w:spacing w:after="0"/>
              <w:rPr>
                <w:sz w:val="1"/>
                <w:szCs w:val="1"/>
                <w:color w:val="auto"/>
              </w:rPr>
            </w:pPr>
          </w:p>
        </w:tc>
      </w:tr>
      <w:tr>
        <w:trPr>
          <w:trHeight w:val="315"/>
        </w:trPr>
        <w:tc>
          <w:tcPr>
            <w:tcW w:w="10520" w:type="dxa"/>
            <w:vAlign w:val="bottom"/>
          </w:tcPr>
          <w:p>
            <w:pPr>
              <w:ind w:left="5240"/>
              <w:spacing w:after="0"/>
              <w:rPr>
                <w:sz w:val="20"/>
                <w:szCs w:val="20"/>
                <w:color w:val="auto"/>
              </w:rPr>
            </w:pPr>
            <w:r>
              <w:rPr>
                <w:rFonts w:ascii="Arial" w:cs="Arial" w:eastAsia="Arial" w:hAnsi="Arial"/>
                <w:sz w:val="11"/>
                <w:szCs w:val="11"/>
                <w:color w:val="54585A"/>
              </w:rPr>
              <w:t>Equity Compensation</w:t>
            </w:r>
          </w:p>
        </w:tc>
        <w:tc>
          <w:tcPr>
            <w:tcW w:w="780" w:type="dxa"/>
            <w:vAlign w:val="bottom"/>
          </w:tcPr>
          <w:p>
            <w:pPr>
              <w:jc w:val="right"/>
              <w:spacing w:after="0"/>
              <w:rPr>
                <w:sz w:val="20"/>
                <w:szCs w:val="20"/>
                <w:color w:val="auto"/>
              </w:rPr>
            </w:pPr>
            <w:r>
              <w:rPr>
                <w:rFonts w:ascii="Arial" w:cs="Arial" w:eastAsia="Arial" w:hAnsi="Arial"/>
                <w:sz w:val="11"/>
                <w:szCs w:val="11"/>
                <w:color w:val="54585A"/>
              </w:rPr>
              <w:t>27</w:t>
            </w:r>
          </w:p>
        </w:tc>
        <w:tc>
          <w:tcPr>
            <w:tcW w:w="0" w:type="dxa"/>
            <w:vAlign w:val="bottom"/>
          </w:tcPr>
          <w:p>
            <w:pPr>
              <w:spacing w:after="0"/>
              <w:rPr>
                <w:sz w:val="1"/>
                <w:szCs w:val="1"/>
                <w:color w:val="auto"/>
              </w:rPr>
            </w:pPr>
          </w:p>
        </w:tc>
      </w:tr>
      <w:tr>
        <w:trPr>
          <w:trHeight w:val="315"/>
        </w:trPr>
        <w:tc>
          <w:tcPr>
            <w:tcW w:w="10520" w:type="dxa"/>
            <w:vAlign w:val="bottom"/>
          </w:tcPr>
          <w:p>
            <w:pPr>
              <w:ind w:left="5240"/>
              <w:spacing w:after="0"/>
              <w:rPr>
                <w:sz w:val="20"/>
                <w:szCs w:val="20"/>
                <w:color w:val="auto"/>
              </w:rPr>
            </w:pPr>
            <w:r>
              <w:rPr>
                <w:rFonts w:ascii="Arial" w:cs="Arial" w:eastAsia="Arial" w:hAnsi="Arial"/>
                <w:sz w:val="11"/>
                <w:szCs w:val="11"/>
                <w:color w:val="54585A"/>
              </w:rPr>
              <w:t>Equity Compensation Plan Information</w:t>
            </w:r>
          </w:p>
        </w:tc>
        <w:tc>
          <w:tcPr>
            <w:tcW w:w="780" w:type="dxa"/>
            <w:vAlign w:val="bottom"/>
          </w:tcPr>
          <w:p>
            <w:pPr>
              <w:jc w:val="right"/>
              <w:spacing w:after="0"/>
              <w:rPr>
                <w:sz w:val="20"/>
                <w:szCs w:val="20"/>
                <w:color w:val="auto"/>
              </w:rPr>
            </w:pPr>
            <w:r>
              <w:rPr>
                <w:rFonts w:ascii="Arial" w:cs="Arial" w:eastAsia="Arial" w:hAnsi="Arial"/>
                <w:sz w:val="11"/>
                <w:szCs w:val="11"/>
                <w:color w:val="54585A"/>
              </w:rPr>
              <w:t>30</w:t>
            </w:r>
          </w:p>
        </w:tc>
        <w:tc>
          <w:tcPr>
            <w:tcW w:w="0" w:type="dxa"/>
            <w:vAlign w:val="bottom"/>
          </w:tcPr>
          <w:p>
            <w:pPr>
              <w:spacing w:after="0"/>
              <w:rPr>
                <w:sz w:val="1"/>
                <w:szCs w:val="1"/>
                <w:color w:val="auto"/>
              </w:rPr>
            </w:pPr>
          </w:p>
        </w:tc>
      </w:tr>
      <w:tr>
        <w:trPr>
          <w:trHeight w:val="315"/>
        </w:trPr>
        <w:tc>
          <w:tcPr>
            <w:tcW w:w="10520" w:type="dxa"/>
            <w:vAlign w:val="bottom"/>
          </w:tcPr>
          <w:p>
            <w:pPr>
              <w:ind w:left="5240"/>
              <w:spacing w:after="0"/>
              <w:rPr>
                <w:sz w:val="20"/>
                <w:szCs w:val="20"/>
                <w:color w:val="auto"/>
              </w:rPr>
            </w:pPr>
            <w:r>
              <w:rPr>
                <w:rFonts w:ascii="Arial" w:cs="Arial" w:eastAsia="Arial" w:hAnsi="Arial"/>
                <w:sz w:val="11"/>
                <w:szCs w:val="11"/>
                <w:color w:val="54585A"/>
              </w:rPr>
              <w:t>Pay Versus Performance</w:t>
            </w:r>
          </w:p>
        </w:tc>
        <w:tc>
          <w:tcPr>
            <w:tcW w:w="780" w:type="dxa"/>
            <w:vAlign w:val="bottom"/>
          </w:tcPr>
          <w:p>
            <w:pPr>
              <w:jc w:val="right"/>
              <w:spacing w:after="0"/>
              <w:rPr>
                <w:sz w:val="20"/>
                <w:szCs w:val="20"/>
                <w:color w:val="auto"/>
              </w:rPr>
            </w:pPr>
            <w:r>
              <w:rPr>
                <w:rFonts w:ascii="Arial" w:cs="Arial" w:eastAsia="Arial" w:hAnsi="Arial"/>
                <w:sz w:val="11"/>
                <w:szCs w:val="11"/>
                <w:color w:val="54585A"/>
              </w:rPr>
              <w:t>31</w:t>
            </w:r>
          </w:p>
        </w:tc>
        <w:tc>
          <w:tcPr>
            <w:tcW w:w="0" w:type="dxa"/>
            <w:vAlign w:val="bottom"/>
          </w:tcPr>
          <w:p>
            <w:pPr>
              <w:spacing w:after="0"/>
              <w:rPr>
                <w:sz w:val="1"/>
                <w:szCs w:val="1"/>
                <w:color w:val="auto"/>
              </w:rPr>
            </w:pPr>
          </w:p>
        </w:tc>
      </w:tr>
      <w:tr>
        <w:trPr>
          <w:trHeight w:val="315"/>
        </w:trPr>
        <w:tc>
          <w:tcPr>
            <w:tcW w:w="10520" w:type="dxa"/>
            <w:vAlign w:val="bottom"/>
          </w:tcPr>
          <w:p>
            <w:pPr>
              <w:ind w:left="5240"/>
              <w:spacing w:after="0"/>
              <w:rPr>
                <w:sz w:val="20"/>
                <w:szCs w:val="20"/>
                <w:color w:val="auto"/>
              </w:rPr>
            </w:pPr>
            <w:r>
              <w:rPr>
                <w:rFonts w:ascii="Arial" w:cs="Arial" w:eastAsia="Arial" w:hAnsi="Arial"/>
                <w:sz w:val="11"/>
                <w:szCs w:val="11"/>
                <w:color w:val="54585A"/>
              </w:rPr>
              <w:t>Pay Ratio</w:t>
            </w:r>
          </w:p>
        </w:tc>
        <w:tc>
          <w:tcPr>
            <w:tcW w:w="780" w:type="dxa"/>
            <w:vAlign w:val="bottom"/>
          </w:tcPr>
          <w:p>
            <w:pPr>
              <w:jc w:val="right"/>
              <w:spacing w:after="0"/>
              <w:rPr>
                <w:sz w:val="20"/>
                <w:szCs w:val="20"/>
                <w:color w:val="auto"/>
              </w:rPr>
            </w:pPr>
            <w:r>
              <w:rPr>
                <w:rFonts w:ascii="Arial" w:cs="Arial" w:eastAsia="Arial" w:hAnsi="Arial"/>
                <w:sz w:val="11"/>
                <w:szCs w:val="11"/>
                <w:color w:val="54585A"/>
              </w:rPr>
              <w:t>37</w:t>
            </w:r>
          </w:p>
        </w:tc>
        <w:tc>
          <w:tcPr>
            <w:tcW w:w="0" w:type="dxa"/>
            <w:vAlign w:val="bottom"/>
          </w:tcPr>
          <w:p>
            <w:pPr>
              <w:spacing w:after="0"/>
              <w:rPr>
                <w:sz w:val="1"/>
                <w:szCs w:val="1"/>
                <w:color w:val="auto"/>
              </w:rPr>
            </w:pPr>
          </w:p>
        </w:tc>
      </w:tr>
      <w:tr>
        <w:trPr>
          <w:trHeight w:val="293"/>
        </w:trPr>
        <w:tc>
          <w:tcPr>
            <w:tcW w:w="10520" w:type="dxa"/>
            <w:vAlign w:val="bottom"/>
          </w:tcPr>
          <w:p>
            <w:pPr>
              <w:ind w:left="5240"/>
              <w:spacing w:after="0"/>
              <w:rPr>
                <w:sz w:val="20"/>
                <w:szCs w:val="20"/>
                <w:color w:val="auto"/>
              </w:rPr>
            </w:pPr>
            <w:r>
              <w:rPr>
                <w:rFonts w:ascii="Arial" w:cs="Arial" w:eastAsia="Arial" w:hAnsi="Arial"/>
                <w:sz w:val="11"/>
                <w:szCs w:val="11"/>
                <w:b w:val="1"/>
                <w:bCs w:val="1"/>
                <w:color w:val="54585A"/>
              </w:rPr>
              <w:t xml:space="preserve">Proposal 5 </w:t>
            </w:r>
            <w:r>
              <w:rPr>
                <w:rFonts w:ascii="Arial" w:cs="Arial" w:eastAsia="Arial" w:hAnsi="Arial"/>
                <w:sz w:val="11"/>
                <w:szCs w:val="11"/>
                <w:color w:val="54585A"/>
              </w:rPr>
              <w:t>/ Company’s entry into the Guaranty of certain of the Company’s obligations under its</w:t>
            </w:r>
          </w:p>
        </w:tc>
        <w:tc>
          <w:tcPr>
            <w:tcW w:w="780" w:type="dxa"/>
            <w:vAlign w:val="bottom"/>
            <w:vMerge w:val="restart"/>
          </w:tcPr>
          <w:p>
            <w:pPr>
              <w:jc w:val="right"/>
              <w:spacing w:after="0"/>
              <w:rPr>
                <w:sz w:val="20"/>
                <w:szCs w:val="20"/>
                <w:color w:val="auto"/>
              </w:rPr>
            </w:pPr>
            <w:r>
              <w:rPr>
                <w:rFonts w:ascii="Arial" w:cs="Arial" w:eastAsia="Arial" w:hAnsi="Arial"/>
                <w:sz w:val="11"/>
                <w:szCs w:val="11"/>
                <w:b w:val="1"/>
                <w:bCs w:val="1"/>
                <w:color w:val="54585A"/>
              </w:rPr>
              <w:t>38</w:t>
            </w:r>
          </w:p>
        </w:tc>
        <w:tc>
          <w:tcPr>
            <w:tcW w:w="0" w:type="dxa"/>
            <w:vAlign w:val="bottom"/>
          </w:tcPr>
          <w:p>
            <w:pPr>
              <w:spacing w:after="0"/>
              <w:rPr>
                <w:sz w:val="1"/>
                <w:szCs w:val="1"/>
                <w:color w:val="auto"/>
              </w:rPr>
            </w:pPr>
          </w:p>
        </w:tc>
      </w:tr>
      <w:tr>
        <w:trPr>
          <w:trHeight w:val="67"/>
        </w:trPr>
        <w:tc>
          <w:tcPr>
            <w:tcW w:w="10520" w:type="dxa"/>
            <w:vAlign w:val="bottom"/>
            <w:vMerge w:val="restart"/>
          </w:tcPr>
          <w:p>
            <w:pPr>
              <w:ind w:left="5240"/>
              <w:spacing w:after="0"/>
              <w:rPr>
                <w:sz w:val="20"/>
                <w:szCs w:val="20"/>
                <w:color w:val="auto"/>
              </w:rPr>
            </w:pPr>
            <w:r>
              <w:rPr>
                <w:rFonts w:ascii="Arial" w:cs="Arial" w:eastAsia="Arial" w:hAnsi="Arial"/>
                <w:sz w:val="11"/>
                <w:szCs w:val="11"/>
                <w:color w:val="54585A"/>
              </w:rPr>
              <w:t>Prepayment Agreements with an affiliate of the Thermo Companies</w:t>
            </w: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10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0520" w:type="dxa"/>
            <w:vAlign w:val="bottom"/>
          </w:tcPr>
          <w:p>
            <w:pPr>
              <w:ind w:left="5020"/>
              <w:spacing w:after="0"/>
              <w:rPr>
                <w:sz w:val="20"/>
                <w:szCs w:val="20"/>
                <w:color w:val="auto"/>
              </w:rPr>
            </w:pPr>
            <w:r>
              <w:rPr>
                <w:rFonts w:ascii="Arial" w:cs="Arial" w:eastAsia="Arial" w:hAnsi="Arial"/>
                <w:sz w:val="11"/>
                <w:szCs w:val="11"/>
                <w:b w:val="1"/>
                <w:bCs w:val="1"/>
                <w:color w:val="54585A"/>
              </w:rPr>
              <w:t>Security Ownership</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54585A"/>
              </w:rPr>
              <w:t>39</w:t>
            </w:r>
          </w:p>
        </w:tc>
        <w:tc>
          <w:tcPr>
            <w:tcW w:w="0" w:type="dxa"/>
            <w:vAlign w:val="bottom"/>
          </w:tcPr>
          <w:p>
            <w:pPr>
              <w:spacing w:after="0"/>
              <w:rPr>
                <w:sz w:val="1"/>
                <w:szCs w:val="1"/>
                <w:color w:val="auto"/>
              </w:rPr>
            </w:pPr>
          </w:p>
        </w:tc>
      </w:tr>
      <w:tr>
        <w:trPr>
          <w:trHeight w:val="315"/>
        </w:trPr>
        <w:tc>
          <w:tcPr>
            <w:tcW w:w="10520" w:type="dxa"/>
            <w:vAlign w:val="bottom"/>
          </w:tcPr>
          <w:p>
            <w:pPr>
              <w:ind w:left="5020"/>
              <w:spacing w:after="0"/>
              <w:rPr>
                <w:sz w:val="20"/>
                <w:szCs w:val="20"/>
                <w:color w:val="auto"/>
              </w:rPr>
            </w:pPr>
            <w:r>
              <w:rPr>
                <w:rFonts w:ascii="Arial" w:cs="Arial" w:eastAsia="Arial" w:hAnsi="Arial"/>
                <w:sz w:val="11"/>
                <w:szCs w:val="11"/>
                <w:b w:val="1"/>
                <w:bCs w:val="1"/>
                <w:color w:val="54585A"/>
              </w:rPr>
              <w:t>Related Person Transactions</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54585A"/>
              </w:rPr>
              <w:t>41</w:t>
            </w:r>
          </w:p>
        </w:tc>
        <w:tc>
          <w:tcPr>
            <w:tcW w:w="0" w:type="dxa"/>
            <w:vAlign w:val="bottom"/>
          </w:tcPr>
          <w:p>
            <w:pPr>
              <w:spacing w:after="0"/>
              <w:rPr>
                <w:sz w:val="1"/>
                <w:szCs w:val="1"/>
                <w:color w:val="auto"/>
              </w:rPr>
            </w:pPr>
          </w:p>
        </w:tc>
      </w:tr>
      <w:tr>
        <w:trPr>
          <w:trHeight w:val="315"/>
        </w:trPr>
        <w:tc>
          <w:tcPr>
            <w:tcW w:w="10520" w:type="dxa"/>
            <w:vAlign w:val="bottom"/>
          </w:tcPr>
          <w:p>
            <w:pPr>
              <w:ind w:left="5020"/>
              <w:spacing w:after="0"/>
              <w:rPr>
                <w:sz w:val="20"/>
                <w:szCs w:val="20"/>
                <w:color w:val="auto"/>
              </w:rPr>
            </w:pPr>
            <w:r>
              <w:rPr>
                <w:rFonts w:ascii="Arial" w:cs="Arial" w:eastAsia="Arial" w:hAnsi="Arial"/>
                <w:sz w:val="11"/>
                <w:szCs w:val="11"/>
                <w:b w:val="1"/>
                <w:bCs w:val="1"/>
                <w:color w:val="54585A"/>
              </w:rPr>
              <w:t>Other Information</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54585A"/>
              </w:rPr>
              <w:t>43</w:t>
            </w:r>
          </w:p>
        </w:tc>
        <w:tc>
          <w:tcPr>
            <w:tcW w:w="0" w:type="dxa"/>
            <w:vAlign w:val="bottom"/>
          </w:tcPr>
          <w:p>
            <w:pPr>
              <w:spacing w:after="0"/>
              <w:rPr>
                <w:sz w:val="1"/>
                <w:szCs w:val="1"/>
                <w:color w:val="auto"/>
              </w:rPr>
            </w:pPr>
          </w:p>
        </w:tc>
      </w:tr>
      <w:tr>
        <w:trPr>
          <w:trHeight w:val="315"/>
        </w:trPr>
        <w:tc>
          <w:tcPr>
            <w:tcW w:w="10520" w:type="dxa"/>
            <w:vAlign w:val="bottom"/>
          </w:tcPr>
          <w:p>
            <w:pPr>
              <w:ind w:left="5240"/>
              <w:spacing w:after="0"/>
              <w:rPr>
                <w:sz w:val="20"/>
                <w:szCs w:val="20"/>
                <w:color w:val="auto"/>
              </w:rPr>
            </w:pPr>
            <w:r>
              <w:rPr>
                <w:rFonts w:ascii="Arial" w:cs="Arial" w:eastAsia="Arial" w:hAnsi="Arial"/>
                <w:sz w:val="11"/>
                <w:szCs w:val="11"/>
                <w:color w:val="54585A"/>
              </w:rPr>
              <w:t>Requests for Documents</w:t>
            </w:r>
          </w:p>
        </w:tc>
        <w:tc>
          <w:tcPr>
            <w:tcW w:w="780" w:type="dxa"/>
            <w:vAlign w:val="bottom"/>
          </w:tcPr>
          <w:p>
            <w:pPr>
              <w:jc w:val="right"/>
              <w:spacing w:after="0"/>
              <w:rPr>
                <w:sz w:val="20"/>
                <w:szCs w:val="20"/>
                <w:color w:val="auto"/>
              </w:rPr>
            </w:pPr>
            <w:r>
              <w:rPr>
                <w:rFonts w:ascii="Arial" w:cs="Arial" w:eastAsia="Arial" w:hAnsi="Arial"/>
                <w:sz w:val="11"/>
                <w:szCs w:val="11"/>
                <w:color w:val="54585A"/>
              </w:rPr>
              <w:t>43</w:t>
            </w:r>
          </w:p>
        </w:tc>
        <w:tc>
          <w:tcPr>
            <w:tcW w:w="0" w:type="dxa"/>
            <w:vAlign w:val="bottom"/>
          </w:tcPr>
          <w:p>
            <w:pPr>
              <w:spacing w:after="0"/>
              <w:rPr>
                <w:sz w:val="1"/>
                <w:szCs w:val="1"/>
                <w:color w:val="auto"/>
              </w:rPr>
            </w:pPr>
          </w:p>
        </w:tc>
      </w:tr>
      <w:tr>
        <w:trPr>
          <w:trHeight w:val="315"/>
        </w:trPr>
        <w:tc>
          <w:tcPr>
            <w:tcW w:w="10520" w:type="dxa"/>
            <w:vAlign w:val="bottom"/>
          </w:tcPr>
          <w:p>
            <w:pPr>
              <w:ind w:left="5020"/>
              <w:spacing w:after="0"/>
              <w:rPr>
                <w:sz w:val="20"/>
                <w:szCs w:val="20"/>
                <w:color w:val="auto"/>
              </w:rPr>
            </w:pPr>
            <w:r>
              <w:rPr>
                <w:rFonts w:ascii="Arial" w:cs="Arial" w:eastAsia="Arial" w:hAnsi="Arial"/>
                <w:sz w:val="11"/>
                <w:szCs w:val="11"/>
                <w:b w:val="1"/>
                <w:bCs w:val="1"/>
                <w:color w:val="54585A"/>
              </w:rPr>
              <w:t>Appendix A</w:t>
            </w:r>
          </w:p>
        </w:tc>
        <w:tc>
          <w:tcPr>
            <w:tcW w:w="780" w:type="dxa"/>
            <w:vAlign w:val="bottom"/>
          </w:tcPr>
          <w:p>
            <w:pPr>
              <w:jc w:val="right"/>
              <w:spacing w:after="0"/>
              <w:rPr>
                <w:sz w:val="20"/>
                <w:szCs w:val="20"/>
                <w:color w:val="auto"/>
              </w:rPr>
            </w:pPr>
            <w:r>
              <w:rPr>
                <w:rFonts w:ascii="Arial" w:cs="Arial" w:eastAsia="Arial" w:hAnsi="Arial"/>
                <w:sz w:val="11"/>
                <w:szCs w:val="11"/>
                <w:color w:val="54585A"/>
              </w:rPr>
              <w:t>1</w:t>
            </w:r>
          </w:p>
        </w:tc>
        <w:tc>
          <w:tcPr>
            <w:tcW w:w="0" w:type="dxa"/>
            <w:vAlign w:val="bottom"/>
          </w:tcPr>
          <w:p>
            <w:pPr>
              <w:spacing w:after="0"/>
              <w:rPr>
                <w:sz w:val="1"/>
                <w:szCs w:val="1"/>
                <w:color w:val="auto"/>
              </w:rPr>
            </w:pPr>
          </w:p>
        </w:tc>
      </w:tr>
      <w:tr>
        <w:trPr>
          <w:trHeight w:val="1111"/>
        </w:trPr>
        <w:tc>
          <w:tcPr>
            <w:tcW w:w="10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0"/>
          <w:szCs w:val="10"/>
          <w:color w:val="54585A"/>
        </w:rPr>
        <w:t xml:space="preserve">Annual Meeting and Other Information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36"/>
          <w:szCs w:val="36"/>
          <w:color w:val="EB6C10"/>
        </w:rPr>
        <w:t>Annual Meeting and Other Information</w:t>
      </w:r>
    </w:p>
    <w:p>
      <w:pPr>
        <w:spacing w:after="0" w:line="359" w:lineRule="exact"/>
        <w:rPr>
          <w:sz w:val="20"/>
          <w:szCs w:val="20"/>
          <w:color w:val="auto"/>
        </w:rPr>
      </w:pPr>
    </w:p>
    <w:p>
      <w:pPr>
        <w:spacing w:after="0"/>
        <w:rPr>
          <w:sz w:val="20"/>
          <w:szCs w:val="20"/>
          <w:color w:val="auto"/>
        </w:rPr>
      </w:pPr>
      <w:r>
        <w:rPr>
          <w:rFonts w:ascii="Arial" w:cs="Arial" w:eastAsia="Arial" w:hAnsi="Arial"/>
          <w:sz w:val="19"/>
          <w:szCs w:val="19"/>
          <w:color w:val="54585A"/>
        </w:rPr>
        <w:t>Information About the Meeting, Voting and Attendance</w:t>
      </w:r>
    </w:p>
    <w:p>
      <w:pPr>
        <w:spacing w:after="0" w:line="146" w:lineRule="exact"/>
        <w:rPr>
          <w:sz w:val="20"/>
          <w:szCs w:val="20"/>
          <w:color w:val="auto"/>
        </w:rPr>
      </w:pPr>
    </w:p>
    <w:p>
      <w:pPr>
        <w:ind w:right="20"/>
        <w:spacing w:after="0" w:line="315" w:lineRule="auto"/>
        <w:rPr>
          <w:sz w:val="20"/>
          <w:szCs w:val="20"/>
          <w:color w:val="auto"/>
        </w:rPr>
      </w:pPr>
      <w:r>
        <w:rPr>
          <w:rFonts w:ascii="Arial" w:cs="Arial" w:eastAsia="Arial" w:hAnsi="Arial"/>
          <w:sz w:val="11"/>
          <w:szCs w:val="11"/>
          <w:color w:val="54585A"/>
        </w:rPr>
        <w:t>We are providing you with this proxy statement and the related form of proxy because our Board of Directors (the “Board”) is soliciting your proxy to vote your stock at our Annual Meeting. At the Annual Meeting, stockholders will be asked to elect two Class B Directors; ratify the selection of Ernst &amp; Young LLP ("EY") as our independent registered public accounting firm, approve, on an advisory basis, the compensation of our named executive officers; approve, on an advisory basis, the frequency of future advisory votes on the compensation of our named executive officers; approve the Thermo Guaranty of our prepayment obligations; and consider any other matters that may properly be brought before the meeting. You are invited to attend the Annual Meeting, where you may vote your stock in person. However, whether or not you attend the Annual Meeting, you may vote by proxy as described on the next page.</w:t>
      </w:r>
    </w:p>
    <w:p>
      <w:pPr>
        <w:spacing w:after="0" w:line="110" w:lineRule="exact"/>
        <w:rPr>
          <w:sz w:val="20"/>
          <w:szCs w:val="20"/>
          <w:color w:val="auto"/>
        </w:rPr>
      </w:pPr>
    </w:p>
    <w:p>
      <w:pPr>
        <w:spacing w:after="0"/>
        <w:rPr>
          <w:sz w:val="20"/>
          <w:szCs w:val="20"/>
          <w:color w:val="auto"/>
        </w:rPr>
      </w:pPr>
      <w:r>
        <w:rPr>
          <w:rFonts w:ascii="Arial" w:cs="Arial" w:eastAsia="Arial" w:hAnsi="Arial"/>
          <w:sz w:val="10"/>
          <w:szCs w:val="10"/>
          <w:color w:val="54585A"/>
        </w:rPr>
        <w:t>Similar to previous years, we are furnishing our proxy materials via the Internet. We expect to begin mailing the notice card on or about May 15, 2023 to stockholders of record at the close of business on May 1, 2023 (the “Record Date”).</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Who Can Vote</w:t>
      </w:r>
    </w:p>
    <w:p>
      <w:pPr>
        <w:spacing w:after="0" w:line="76" w:lineRule="exact"/>
        <w:rPr>
          <w:sz w:val="20"/>
          <w:szCs w:val="20"/>
          <w:color w:val="auto"/>
        </w:rPr>
      </w:pPr>
    </w:p>
    <w:p>
      <w:pPr>
        <w:ind w:right="200"/>
        <w:spacing w:after="0" w:line="313" w:lineRule="auto"/>
        <w:rPr>
          <w:sz w:val="20"/>
          <w:szCs w:val="20"/>
          <w:color w:val="auto"/>
        </w:rPr>
      </w:pPr>
      <w:r>
        <w:rPr>
          <w:rFonts w:ascii="Arial" w:cs="Arial" w:eastAsia="Arial" w:hAnsi="Arial"/>
          <w:sz w:val="11"/>
          <w:szCs w:val="11"/>
          <w:color w:val="54585A"/>
        </w:rPr>
        <w:t>Only holders of our voting common stock at the close of business on the Record Date are entitled to vote at the Annual Meeting. On the Record Date, there were * shares of voting common stock outstanding and entitled to vote. Each share of voting common stock that you owned as of the Record Date entitles you to one vote on each matter to be voted at the Annual Meeting.</w:t>
      </w:r>
    </w:p>
    <w:p>
      <w:pPr>
        <w:spacing w:after="0" w:line="111" w:lineRule="exact"/>
        <w:rPr>
          <w:sz w:val="20"/>
          <w:szCs w:val="20"/>
          <w:color w:val="auto"/>
        </w:rPr>
      </w:pPr>
    </w:p>
    <w:p>
      <w:pPr>
        <w:ind w:right="140"/>
        <w:spacing w:after="0" w:line="368" w:lineRule="auto"/>
        <w:rPr>
          <w:sz w:val="20"/>
          <w:szCs w:val="20"/>
          <w:color w:val="auto"/>
        </w:rPr>
      </w:pPr>
      <w:r>
        <w:rPr>
          <w:rFonts w:ascii="Arial" w:cs="Arial" w:eastAsia="Arial" w:hAnsi="Arial"/>
          <w:sz w:val="10"/>
          <w:szCs w:val="10"/>
          <w:color w:val="54585A"/>
        </w:rPr>
        <w:t>In accordance with the rules of the Securities and Exchange Commission (“SEC” or the "Commission"), instead of mailing a printed copy of our proxy materials to each stockholder of record, we intend to furnish our proxy materials, including this proxy statement and our 2022 annual report to stockholders, by providing access to these documents on the Internet. Generally, stockholders will not receive printed copies of the proxy materials unless they request them.</w:t>
      </w:r>
    </w:p>
    <w:p>
      <w:pPr>
        <w:spacing w:after="0" w:line="88" w:lineRule="exact"/>
        <w:rPr>
          <w:sz w:val="20"/>
          <w:szCs w:val="20"/>
          <w:color w:val="auto"/>
        </w:rPr>
      </w:pPr>
    </w:p>
    <w:p>
      <w:pPr>
        <w:jc w:val="both"/>
        <w:ind w:right="180"/>
        <w:spacing w:after="0" w:line="319" w:lineRule="auto"/>
        <w:rPr>
          <w:sz w:val="20"/>
          <w:szCs w:val="20"/>
          <w:color w:val="auto"/>
        </w:rPr>
      </w:pPr>
      <w:r>
        <w:rPr>
          <w:rFonts w:ascii="Arial" w:cs="Arial" w:eastAsia="Arial" w:hAnsi="Arial"/>
          <w:sz w:val="11"/>
          <w:szCs w:val="11"/>
          <w:color w:val="54585A"/>
        </w:rPr>
        <w:t>We have mailed a Notice of Annual Meeting of Stockholders and Internet Availability of Proxy Materials (“Notice”) to registered stockholders. The Notice provides instructions to registered stockholders for accessing our proxy materials and for voting their shares of common stock on the Internet. If you are a registered stockholder and prefer to receive a paper or email copy of our proxy materials, you should follow the instructions provided in the Notice for requesting those materials.</w:t>
      </w:r>
    </w:p>
    <w:p>
      <w:pPr>
        <w:spacing w:after="0" w:line="108" w:lineRule="exact"/>
        <w:rPr>
          <w:sz w:val="20"/>
          <w:szCs w:val="20"/>
          <w:color w:val="auto"/>
        </w:rPr>
      </w:pPr>
    </w:p>
    <w:p>
      <w:pPr>
        <w:jc w:val="both"/>
        <w:ind w:right="160"/>
        <w:spacing w:after="0" w:line="313" w:lineRule="auto"/>
        <w:rPr>
          <w:sz w:val="20"/>
          <w:szCs w:val="20"/>
          <w:color w:val="auto"/>
        </w:rPr>
      </w:pPr>
      <w:r>
        <w:rPr>
          <w:rFonts w:ascii="Arial" w:cs="Arial" w:eastAsia="Arial" w:hAnsi="Arial"/>
          <w:sz w:val="11"/>
          <w:szCs w:val="11"/>
          <w:color w:val="54585A"/>
        </w:rPr>
        <w:t>Stockholders of record can vote before or at the Annual Meeting in any one of the four ways described below. When you vote on the Internet or by telephone or proxy card, you are authorizing the persons named on the proxy form (the management proxies) to vote your shares in the manner you direct.</w:t>
      </w:r>
    </w:p>
    <w:p>
      <w:pPr>
        <w:spacing w:after="0" w:line="99" w:lineRule="exact"/>
        <w:rPr>
          <w:sz w:val="20"/>
          <w:szCs w:val="20"/>
          <w:color w:val="auto"/>
        </w:rPr>
      </w:pPr>
    </w:p>
    <w:p>
      <w:pPr>
        <w:ind w:left="300" w:hanging="92"/>
        <w:spacing w:after="0"/>
        <w:tabs>
          <w:tab w:leader="none" w:pos="300" w:val="left"/>
        </w:tabs>
        <w:numPr>
          <w:ilvl w:val="0"/>
          <w:numId w:val="5"/>
        </w:numPr>
        <w:rPr>
          <w:rFonts w:ascii="Arial" w:cs="Arial" w:eastAsia="Arial" w:hAnsi="Arial"/>
          <w:sz w:val="11"/>
          <w:szCs w:val="11"/>
          <w:b w:val="1"/>
          <w:bCs w:val="1"/>
          <w:color w:val="54585A"/>
        </w:rPr>
      </w:pPr>
      <w:r>
        <w:rPr>
          <w:rFonts w:ascii="Arial" w:cs="Arial" w:eastAsia="Arial" w:hAnsi="Arial"/>
          <w:sz w:val="11"/>
          <w:szCs w:val="11"/>
          <w:b w:val="1"/>
          <w:bCs w:val="1"/>
          <w:color w:val="54585A"/>
        </w:rPr>
        <w:t xml:space="preserve">By Internet - </w:t>
      </w:r>
      <w:r>
        <w:rPr>
          <w:rFonts w:ascii="Arial" w:cs="Arial" w:eastAsia="Arial" w:hAnsi="Arial"/>
          <w:sz w:val="11"/>
          <w:szCs w:val="11"/>
          <w:color w:val="54585A"/>
        </w:rPr>
        <w:t>You may vote on the Internet at www.proxyvote.com. The Notice sent to you describes how to do this.</w:t>
      </w:r>
    </w:p>
    <w:p>
      <w:pPr>
        <w:spacing w:after="0" w:line="152" w:lineRule="exact"/>
        <w:rPr>
          <w:rFonts w:ascii="Arial" w:cs="Arial" w:eastAsia="Arial" w:hAnsi="Arial"/>
          <w:sz w:val="11"/>
          <w:szCs w:val="11"/>
          <w:b w:val="1"/>
          <w:bCs w:val="1"/>
          <w:color w:val="54585A"/>
        </w:rPr>
      </w:pPr>
    </w:p>
    <w:p>
      <w:pPr>
        <w:ind w:left="300" w:hanging="92"/>
        <w:spacing w:after="0"/>
        <w:tabs>
          <w:tab w:leader="none" w:pos="300" w:val="left"/>
        </w:tabs>
        <w:numPr>
          <w:ilvl w:val="0"/>
          <w:numId w:val="5"/>
        </w:numPr>
        <w:rPr>
          <w:rFonts w:ascii="Arial" w:cs="Arial" w:eastAsia="Arial" w:hAnsi="Arial"/>
          <w:sz w:val="11"/>
          <w:szCs w:val="11"/>
          <w:b w:val="1"/>
          <w:bCs w:val="1"/>
          <w:color w:val="54585A"/>
        </w:rPr>
      </w:pPr>
      <w:r>
        <w:rPr>
          <w:rFonts w:ascii="Arial" w:cs="Arial" w:eastAsia="Arial" w:hAnsi="Arial"/>
          <w:sz w:val="11"/>
          <w:szCs w:val="11"/>
          <w:b w:val="1"/>
          <w:bCs w:val="1"/>
          <w:color w:val="54585A"/>
        </w:rPr>
        <w:t xml:space="preserve">By Telephone - </w:t>
      </w:r>
      <w:r>
        <w:rPr>
          <w:rFonts w:ascii="Arial" w:cs="Arial" w:eastAsia="Arial" w:hAnsi="Arial"/>
          <w:sz w:val="11"/>
          <w:szCs w:val="11"/>
          <w:color w:val="54585A"/>
        </w:rPr>
        <w:t>You can vote by telephone only if you request and receive a paper copy of the proxy materials and proxy card. The Notice describes how to do this; you must make your request for materials by June 13, 2023.</w:t>
      </w:r>
    </w:p>
    <w:p>
      <w:pPr>
        <w:spacing w:after="0" w:line="143" w:lineRule="exact"/>
        <w:rPr>
          <w:rFonts w:ascii="Arial" w:cs="Arial" w:eastAsia="Arial" w:hAnsi="Arial"/>
          <w:sz w:val="11"/>
          <w:szCs w:val="11"/>
          <w:b w:val="1"/>
          <w:bCs w:val="1"/>
          <w:color w:val="54585A"/>
        </w:rPr>
      </w:pPr>
    </w:p>
    <w:p>
      <w:pPr>
        <w:ind w:left="320" w:right="200" w:hanging="112"/>
        <w:spacing w:after="0" w:line="353" w:lineRule="auto"/>
        <w:tabs>
          <w:tab w:leader="none" w:pos="313" w:val="left"/>
        </w:tabs>
        <w:numPr>
          <w:ilvl w:val="0"/>
          <w:numId w:val="5"/>
        </w:numPr>
        <w:rPr>
          <w:rFonts w:ascii="Arial" w:cs="Arial" w:eastAsia="Arial" w:hAnsi="Arial"/>
          <w:sz w:val="11"/>
          <w:szCs w:val="11"/>
          <w:b w:val="1"/>
          <w:bCs w:val="1"/>
          <w:color w:val="54585A"/>
        </w:rPr>
      </w:pPr>
      <w:r>
        <w:rPr>
          <w:rFonts w:ascii="Arial" w:cs="Arial" w:eastAsia="Arial" w:hAnsi="Arial"/>
          <w:sz w:val="11"/>
          <w:szCs w:val="11"/>
          <w:b w:val="1"/>
          <w:bCs w:val="1"/>
          <w:color w:val="54585A"/>
        </w:rPr>
        <w:t xml:space="preserve">By Mail - </w:t>
      </w:r>
      <w:r>
        <w:rPr>
          <w:rFonts w:ascii="Arial" w:cs="Arial" w:eastAsia="Arial" w:hAnsi="Arial"/>
          <w:sz w:val="11"/>
          <w:szCs w:val="11"/>
          <w:color w:val="54585A"/>
        </w:rPr>
        <w:t>You can vote by mail only if you request and receive a paper copy of the proxy materials and proxy card. The Notice provides instructions on how to do this; you must make your request for materials by June 13, 2023.</w:t>
      </w:r>
      <w:r>
        <w:rPr>
          <w:rFonts w:ascii="Arial" w:cs="Arial" w:eastAsia="Arial" w:hAnsi="Arial"/>
          <w:sz w:val="11"/>
          <w:szCs w:val="11"/>
          <w:b w:val="1"/>
          <w:bCs w:val="1"/>
          <w:color w:val="54585A"/>
        </w:rPr>
        <w:t xml:space="preserve"> </w:t>
      </w:r>
      <w:r>
        <w:rPr>
          <w:rFonts w:ascii="Arial" w:cs="Arial" w:eastAsia="Arial" w:hAnsi="Arial"/>
          <w:sz w:val="11"/>
          <w:szCs w:val="11"/>
          <w:color w:val="54585A"/>
        </w:rPr>
        <w:t>You then vote by completing, signing, dating, and timely returning a proxy card.</w:t>
      </w:r>
    </w:p>
    <w:p>
      <w:pPr>
        <w:spacing w:after="0" w:line="68" w:lineRule="exact"/>
        <w:rPr>
          <w:rFonts w:ascii="Arial" w:cs="Arial" w:eastAsia="Arial" w:hAnsi="Arial"/>
          <w:sz w:val="11"/>
          <w:szCs w:val="11"/>
          <w:b w:val="1"/>
          <w:bCs w:val="1"/>
          <w:color w:val="54585A"/>
        </w:rPr>
      </w:pPr>
    </w:p>
    <w:p>
      <w:pPr>
        <w:ind w:left="300" w:hanging="92"/>
        <w:spacing w:after="0"/>
        <w:tabs>
          <w:tab w:leader="none" w:pos="300" w:val="left"/>
        </w:tabs>
        <w:numPr>
          <w:ilvl w:val="0"/>
          <w:numId w:val="5"/>
        </w:numPr>
        <w:rPr>
          <w:rFonts w:ascii="Arial" w:cs="Arial" w:eastAsia="Arial" w:hAnsi="Arial"/>
          <w:sz w:val="11"/>
          <w:szCs w:val="11"/>
          <w:b w:val="1"/>
          <w:bCs w:val="1"/>
          <w:color w:val="54585A"/>
        </w:rPr>
      </w:pPr>
      <w:r>
        <w:rPr>
          <w:rFonts w:ascii="Arial" w:cs="Arial" w:eastAsia="Arial" w:hAnsi="Arial"/>
          <w:sz w:val="11"/>
          <w:szCs w:val="11"/>
          <w:b w:val="1"/>
          <w:bCs w:val="1"/>
          <w:color w:val="54585A"/>
        </w:rPr>
        <w:t xml:space="preserve">In Person - </w:t>
      </w:r>
      <w:r>
        <w:rPr>
          <w:rFonts w:ascii="Arial" w:cs="Arial" w:eastAsia="Arial" w:hAnsi="Arial"/>
          <w:sz w:val="11"/>
          <w:szCs w:val="11"/>
          <w:color w:val="54585A"/>
        </w:rPr>
        <w:t>You may come to the Annual Meeting and cast your vote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252095</wp:posOffset>
            </wp:positionV>
            <wp:extent cx="1714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972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163830</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 w:name="page5"/>
    <w:bookmarkEnd w:id="4"/>
    <w:p>
      <w:pPr>
        <w:ind w:left="68" w:hanging="68"/>
        <w:spacing w:after="0"/>
        <w:tabs>
          <w:tab w:leader="none" w:pos="68" w:val="left"/>
        </w:tabs>
        <w:numPr>
          <w:ilvl w:val="0"/>
          <w:numId w:val="6"/>
        </w:numPr>
        <w:rPr>
          <w:rFonts w:ascii="Arial" w:cs="Arial" w:eastAsia="Arial" w:hAnsi="Arial"/>
          <w:sz w:val="12"/>
          <w:szCs w:val="12"/>
          <w:b w:val="1"/>
          <w:bCs w:val="1"/>
          <w:color w:val="EB6C10"/>
        </w:rPr>
      </w:pPr>
      <w:r>
        <w:rPr>
          <w:rFonts w:ascii="Arial" w:cs="Arial" w:eastAsia="Arial" w:hAnsi="Arial"/>
          <w:sz w:val="10"/>
          <w:szCs w:val="10"/>
          <w:color w:val="54585A"/>
        </w:rPr>
        <w:t>Annual Meeting and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 w:right="100"/>
        <w:spacing w:after="0" w:line="319" w:lineRule="auto"/>
        <w:rPr>
          <w:sz w:val="20"/>
          <w:szCs w:val="20"/>
          <w:color w:val="auto"/>
        </w:rPr>
      </w:pPr>
      <w:r>
        <w:rPr>
          <w:rFonts w:ascii="Arial" w:cs="Arial" w:eastAsia="Arial" w:hAnsi="Arial"/>
          <w:sz w:val="11"/>
          <w:szCs w:val="11"/>
          <w:color w:val="54585A"/>
        </w:rPr>
        <w:t>For beneficial stockholders (with shares held in street name), the Notice, which has been forwarded to you by your broker, bank or other holder of record (nominee), directs you to the Internet site where you will find our proxy materials. Your nominee has also provided instructions on how you may request a paper or email copy of our proxy materials and how you may provide voting instructions to your nominee. Beneficial owners are also invited to attend the Annual Meeting. However, since you are not the stockholder of record, you may not vote your shares in person at the Annual Meeting unless you follow your broker's procedures for obtaining legal proxy.</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Voting Authority of Management Proxies</w:t>
      </w:r>
    </w:p>
    <w:p>
      <w:pPr>
        <w:spacing w:after="0" w:line="76" w:lineRule="exact"/>
        <w:rPr>
          <w:sz w:val="20"/>
          <w:szCs w:val="20"/>
          <w:color w:val="auto"/>
        </w:rPr>
      </w:pPr>
    </w:p>
    <w:p>
      <w:pPr>
        <w:ind w:left="8"/>
        <w:spacing w:after="0" w:line="313" w:lineRule="auto"/>
        <w:rPr>
          <w:sz w:val="20"/>
          <w:szCs w:val="20"/>
          <w:color w:val="auto"/>
        </w:rPr>
      </w:pPr>
      <w:r>
        <w:rPr>
          <w:rFonts w:ascii="Arial" w:cs="Arial" w:eastAsia="Arial" w:hAnsi="Arial"/>
          <w:sz w:val="11"/>
          <w:szCs w:val="11"/>
          <w:color w:val="54585A"/>
        </w:rPr>
        <w:t>Whether you hold your shares of record or in street name, your proxy vote authorizes the management proxies to vote as directed by you. If you are a stockholder of record and you send in a properly executed proxy card without specific voting instructions, your shares of common stock represented by the proxy will be voted as recommended by the Board, namely:</w:t>
      </w:r>
    </w:p>
    <w:p>
      <w:pPr>
        <w:spacing w:after="0" w:line="97" w:lineRule="exact"/>
        <w:rPr>
          <w:sz w:val="20"/>
          <w:szCs w:val="20"/>
          <w:color w:val="auto"/>
        </w:rPr>
      </w:pPr>
    </w:p>
    <w:p>
      <w:pPr>
        <w:ind w:left="368" w:hanging="152"/>
        <w:spacing w:after="0"/>
        <w:tabs>
          <w:tab w:leader="none" w:pos="368" w:val="left"/>
        </w:tabs>
        <w:numPr>
          <w:ilvl w:val="0"/>
          <w:numId w:val="7"/>
        </w:numPr>
        <w:rPr>
          <w:rFonts w:ascii="Arial" w:cs="Arial" w:eastAsia="Arial" w:hAnsi="Arial"/>
          <w:sz w:val="12"/>
          <w:szCs w:val="12"/>
          <w:b w:val="1"/>
          <w:bCs w:val="1"/>
          <w:color w:val="EB6C10"/>
        </w:rPr>
      </w:pPr>
      <w:r>
        <w:rPr>
          <w:rFonts w:ascii="Arial" w:cs="Arial" w:eastAsia="Arial" w:hAnsi="Arial"/>
          <w:sz w:val="12"/>
          <w:szCs w:val="12"/>
          <w:b w:val="1"/>
          <w:bCs w:val="1"/>
          <w:color w:val="EB6C10"/>
        </w:rPr>
        <w:t xml:space="preserve">FOR </w:t>
      </w:r>
      <w:r>
        <w:rPr>
          <w:rFonts w:ascii="Arial" w:cs="Arial" w:eastAsia="Arial" w:hAnsi="Arial"/>
          <w:sz w:val="10"/>
          <w:szCs w:val="10"/>
          <w:color w:val="54585A"/>
        </w:rPr>
        <w:t>the election of the two nominees for Class B director named in this proxy statement;</w:t>
      </w:r>
    </w:p>
    <w:p>
      <w:pPr>
        <w:spacing w:after="0" w:line="150" w:lineRule="exact"/>
        <w:rPr>
          <w:rFonts w:ascii="Arial" w:cs="Arial" w:eastAsia="Arial" w:hAnsi="Arial"/>
          <w:sz w:val="12"/>
          <w:szCs w:val="12"/>
          <w:b w:val="1"/>
          <w:bCs w:val="1"/>
          <w:color w:val="EB6C10"/>
        </w:rPr>
      </w:pPr>
    </w:p>
    <w:p>
      <w:pPr>
        <w:ind w:left="348" w:hanging="132"/>
        <w:spacing w:after="0"/>
        <w:tabs>
          <w:tab w:leader="none" w:pos="348" w:val="left"/>
        </w:tabs>
        <w:numPr>
          <w:ilvl w:val="0"/>
          <w:numId w:val="7"/>
        </w:numPr>
        <w:rPr>
          <w:rFonts w:ascii="Arial" w:cs="Arial" w:eastAsia="Arial" w:hAnsi="Arial"/>
          <w:sz w:val="12"/>
          <w:szCs w:val="12"/>
          <w:b w:val="1"/>
          <w:bCs w:val="1"/>
          <w:color w:val="1D8DB8"/>
        </w:rPr>
      </w:pPr>
      <w:r>
        <w:rPr>
          <w:rFonts w:ascii="Arial" w:cs="Arial" w:eastAsia="Arial" w:hAnsi="Arial"/>
          <w:sz w:val="12"/>
          <w:szCs w:val="12"/>
          <w:b w:val="1"/>
          <w:bCs w:val="1"/>
          <w:color w:val="1D8DB8"/>
        </w:rPr>
        <w:t xml:space="preserve">FOR </w:t>
      </w:r>
      <w:r>
        <w:rPr>
          <w:rFonts w:ascii="Arial" w:cs="Arial" w:eastAsia="Arial" w:hAnsi="Arial"/>
          <w:sz w:val="10"/>
          <w:szCs w:val="10"/>
          <w:color w:val="54585A"/>
        </w:rPr>
        <w:t>the ratification of the appointment of EY as our independent registered public accounting firm;</w:t>
      </w:r>
    </w:p>
    <w:p>
      <w:pPr>
        <w:spacing w:after="0" w:line="150" w:lineRule="exact"/>
        <w:rPr>
          <w:rFonts w:ascii="Arial" w:cs="Arial" w:eastAsia="Arial" w:hAnsi="Arial"/>
          <w:sz w:val="12"/>
          <w:szCs w:val="12"/>
          <w:b w:val="1"/>
          <w:bCs w:val="1"/>
          <w:color w:val="1D8DB8"/>
        </w:rPr>
      </w:pPr>
    </w:p>
    <w:p>
      <w:pPr>
        <w:ind w:left="348" w:hanging="132"/>
        <w:spacing w:after="0"/>
        <w:tabs>
          <w:tab w:leader="none" w:pos="348" w:val="left"/>
        </w:tabs>
        <w:numPr>
          <w:ilvl w:val="0"/>
          <w:numId w:val="7"/>
        </w:numPr>
        <w:rPr>
          <w:rFonts w:ascii="Arial" w:cs="Arial" w:eastAsia="Arial" w:hAnsi="Arial"/>
          <w:sz w:val="12"/>
          <w:szCs w:val="12"/>
          <w:b w:val="1"/>
          <w:bCs w:val="1"/>
          <w:color w:val="63C237"/>
        </w:rPr>
      </w:pPr>
      <w:r>
        <w:rPr>
          <w:rFonts w:ascii="Arial" w:cs="Arial" w:eastAsia="Arial" w:hAnsi="Arial"/>
          <w:sz w:val="12"/>
          <w:szCs w:val="12"/>
          <w:b w:val="1"/>
          <w:bCs w:val="1"/>
          <w:color w:val="63C237"/>
        </w:rPr>
        <w:t xml:space="preserve">FOR </w:t>
      </w:r>
      <w:r>
        <w:rPr>
          <w:rFonts w:ascii="Arial" w:cs="Arial" w:eastAsia="Arial" w:hAnsi="Arial"/>
          <w:sz w:val="10"/>
          <w:szCs w:val="10"/>
          <w:color w:val="54585A"/>
        </w:rPr>
        <w:t>the approval of named executive officer compensation;</w:t>
      </w:r>
    </w:p>
    <w:p>
      <w:pPr>
        <w:spacing w:after="0" w:line="150" w:lineRule="exact"/>
        <w:rPr>
          <w:rFonts w:ascii="Arial" w:cs="Arial" w:eastAsia="Arial" w:hAnsi="Arial"/>
          <w:sz w:val="12"/>
          <w:szCs w:val="12"/>
          <w:b w:val="1"/>
          <w:bCs w:val="1"/>
          <w:color w:val="63C237"/>
        </w:rPr>
      </w:pPr>
    </w:p>
    <w:p>
      <w:pPr>
        <w:ind w:left="348" w:hanging="132"/>
        <w:spacing w:after="0"/>
        <w:tabs>
          <w:tab w:leader="none" w:pos="348" w:val="left"/>
        </w:tabs>
        <w:numPr>
          <w:ilvl w:val="0"/>
          <w:numId w:val="7"/>
        </w:numPr>
        <w:rPr>
          <w:rFonts w:ascii="Arial" w:cs="Arial" w:eastAsia="Arial" w:hAnsi="Arial"/>
          <w:sz w:val="12"/>
          <w:szCs w:val="12"/>
          <w:b w:val="1"/>
          <w:bCs w:val="1"/>
          <w:color w:val="FFD900"/>
        </w:rPr>
      </w:pPr>
      <w:r>
        <w:rPr>
          <w:rFonts w:ascii="Arial" w:cs="Arial" w:eastAsia="Arial" w:hAnsi="Arial"/>
          <w:sz w:val="12"/>
          <w:szCs w:val="12"/>
          <w:b w:val="1"/>
          <w:bCs w:val="1"/>
          <w:color w:val="FFD900"/>
        </w:rPr>
        <w:t xml:space="preserve">FOR </w:t>
      </w:r>
      <w:r>
        <w:rPr>
          <w:rFonts w:ascii="Arial" w:cs="Arial" w:eastAsia="Arial" w:hAnsi="Arial"/>
          <w:sz w:val="10"/>
          <w:szCs w:val="10"/>
          <w:color w:val="54585A"/>
        </w:rPr>
        <w:t>the option of every three years as the future frequency with which stockholders will be provided an advisory vote on the compensation of our named executive officers; and</w:t>
      </w:r>
    </w:p>
    <w:p>
      <w:pPr>
        <w:spacing w:after="0" w:line="150" w:lineRule="exact"/>
        <w:rPr>
          <w:rFonts w:ascii="Arial" w:cs="Arial" w:eastAsia="Arial" w:hAnsi="Arial"/>
          <w:sz w:val="12"/>
          <w:szCs w:val="12"/>
          <w:b w:val="1"/>
          <w:bCs w:val="1"/>
          <w:color w:val="FFD900"/>
        </w:rPr>
      </w:pPr>
    </w:p>
    <w:p>
      <w:pPr>
        <w:ind w:left="348" w:hanging="132"/>
        <w:spacing w:after="0"/>
        <w:tabs>
          <w:tab w:leader="none" w:pos="348" w:val="left"/>
        </w:tabs>
        <w:numPr>
          <w:ilvl w:val="0"/>
          <w:numId w:val="7"/>
        </w:numPr>
        <w:rPr>
          <w:rFonts w:ascii="Arial" w:cs="Arial" w:eastAsia="Arial" w:hAnsi="Arial"/>
          <w:sz w:val="12"/>
          <w:szCs w:val="12"/>
          <w:b w:val="1"/>
          <w:bCs w:val="1"/>
          <w:color w:val="54585A"/>
        </w:rPr>
      </w:pPr>
      <w:r>
        <w:rPr>
          <w:rFonts w:ascii="Arial" w:cs="Arial" w:eastAsia="Arial" w:hAnsi="Arial"/>
          <w:sz w:val="12"/>
          <w:szCs w:val="12"/>
          <w:b w:val="1"/>
          <w:bCs w:val="1"/>
          <w:color w:val="54585A"/>
        </w:rPr>
        <w:t xml:space="preserve">FOR </w:t>
      </w:r>
      <w:r>
        <w:rPr>
          <w:rFonts w:ascii="Arial" w:cs="Arial" w:eastAsia="Arial" w:hAnsi="Arial"/>
          <w:sz w:val="10"/>
          <w:szCs w:val="10"/>
          <w:color w:val="54585A"/>
        </w:rPr>
        <w:t>the approval of our entry into the Guaranty with Thermo.</w:t>
      </w:r>
    </w:p>
    <w:p>
      <w:pPr>
        <w:spacing w:after="0" w:line="164" w:lineRule="exact"/>
        <w:rPr>
          <w:sz w:val="20"/>
          <w:szCs w:val="20"/>
          <w:color w:val="auto"/>
        </w:rPr>
      </w:pPr>
    </w:p>
    <w:p>
      <w:pPr>
        <w:ind w:left="8" w:right="120"/>
        <w:spacing w:after="0" w:line="330" w:lineRule="auto"/>
        <w:rPr>
          <w:sz w:val="20"/>
          <w:szCs w:val="20"/>
          <w:color w:val="auto"/>
        </w:rPr>
      </w:pPr>
      <w:r>
        <w:rPr>
          <w:rFonts w:ascii="Arial" w:cs="Arial" w:eastAsia="Arial" w:hAnsi="Arial"/>
          <w:sz w:val="11"/>
          <w:szCs w:val="11"/>
          <w:color w:val="54585A"/>
        </w:rPr>
        <w:t>Our Executive Chairman and controlling stockholder, Mr. James Monroe III, has informed us that he intends to vote, on behalf of himself and the entities he controls, in favor of Proposal No. 1 through Proposal No. 4. This vote assures approval of Proposal No. 1 through Proposal No. 4 in accordance with the Board’s recommendations. Mr. James Monroe III and his affiliates are not eligible to vote on Proposal No. 5.</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 xml:space="preserve">Other Business - </w:t>
      </w:r>
      <w:r>
        <w:rPr>
          <w:rFonts w:ascii="Arial" w:cs="Arial" w:eastAsia="Arial" w:hAnsi="Arial"/>
          <w:sz w:val="11"/>
          <w:szCs w:val="11"/>
          <w:color w:val="54585A"/>
        </w:rPr>
        <w:t>We are not aware of any other matter that is expected to be acted on at the Annual Meeting.</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Effect of Not Casting Your Vote</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1"/>
          <w:szCs w:val="11"/>
          <w:color w:val="54585A"/>
        </w:rPr>
        <w:t>If you are a stockholder of record no votes will be cast on your behalf on any of the items of business at the Annual Meeting unless you submit a proxy or vote at the meeting.</w:t>
      </w:r>
    </w:p>
    <w:p>
      <w:pPr>
        <w:spacing w:after="0" w:line="144" w:lineRule="exact"/>
        <w:rPr>
          <w:sz w:val="20"/>
          <w:szCs w:val="20"/>
          <w:color w:val="auto"/>
        </w:rPr>
      </w:pPr>
    </w:p>
    <w:p>
      <w:pPr>
        <w:ind w:left="8" w:right="60"/>
        <w:spacing w:after="0" w:line="327" w:lineRule="auto"/>
        <w:rPr>
          <w:sz w:val="20"/>
          <w:szCs w:val="20"/>
          <w:color w:val="auto"/>
        </w:rPr>
      </w:pPr>
      <w:r>
        <w:rPr>
          <w:rFonts w:ascii="Arial" w:cs="Arial" w:eastAsia="Arial" w:hAnsi="Arial"/>
          <w:sz w:val="11"/>
          <w:szCs w:val="11"/>
          <w:color w:val="54585A"/>
        </w:rPr>
        <w:t>If you hold shares in street name, you must give instructions to your nominee on how you would like your shares to be voted. If you do not provide any instructions, your nominee can vote your shares only on “routine” items, such as the ratification of the appointment of our independent registered public accounting firm. The election of directors and the approval of the Guaranty are not considered “routine” items. Thus, if a nominee holds your shares and you do not instruct the nominee how to vote on these items, your shares will not be voted on your behalf.</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How to Change or Revoke Your Proxy Vote</w:t>
      </w:r>
    </w:p>
    <w:p>
      <w:pPr>
        <w:spacing w:after="0" w:line="64" w:lineRule="exact"/>
        <w:rPr>
          <w:sz w:val="20"/>
          <w:szCs w:val="20"/>
          <w:color w:val="auto"/>
        </w:rPr>
      </w:pPr>
    </w:p>
    <w:p>
      <w:pPr>
        <w:ind w:left="8" w:right="200"/>
        <w:spacing w:after="0" w:line="353" w:lineRule="auto"/>
        <w:rPr>
          <w:sz w:val="20"/>
          <w:szCs w:val="20"/>
          <w:color w:val="auto"/>
        </w:rPr>
      </w:pPr>
      <w:r>
        <w:rPr>
          <w:rFonts w:ascii="Arial" w:cs="Arial" w:eastAsia="Arial" w:hAnsi="Arial"/>
          <w:sz w:val="11"/>
          <w:szCs w:val="11"/>
          <w:b w:val="1"/>
          <w:bCs w:val="1"/>
          <w:color w:val="54585A"/>
        </w:rPr>
        <w:t xml:space="preserve">Shares Held of Record - </w:t>
      </w:r>
      <w:r>
        <w:rPr>
          <w:rFonts w:ascii="Arial" w:cs="Arial" w:eastAsia="Arial" w:hAnsi="Arial"/>
          <w:sz w:val="11"/>
          <w:szCs w:val="11"/>
          <w:color w:val="54585A"/>
        </w:rPr>
        <w:t>If you give Internet or telephonic voting instructions or send in a proxy card and later want to change or revoke your vote, you may do so at any time provided that your instructions are received before voting</w:t>
      </w:r>
      <w:r>
        <w:rPr>
          <w:rFonts w:ascii="Arial" w:cs="Arial" w:eastAsia="Arial" w:hAnsi="Arial"/>
          <w:sz w:val="11"/>
          <w:szCs w:val="11"/>
          <w:b w:val="1"/>
          <w:bCs w:val="1"/>
          <w:color w:val="54585A"/>
        </w:rPr>
        <w:t xml:space="preserve"> </w:t>
      </w:r>
      <w:r>
        <w:rPr>
          <w:rFonts w:ascii="Arial" w:cs="Arial" w:eastAsia="Arial" w:hAnsi="Arial"/>
          <w:sz w:val="11"/>
          <w:szCs w:val="11"/>
          <w:color w:val="54585A"/>
        </w:rPr>
        <w:t>closes for the method you select or if you vote at the meeting. You may change or revoke your vote in any of the following ways:</w:t>
      </w:r>
    </w:p>
    <w:p>
      <w:pPr>
        <w:spacing w:after="0" w:line="45" w:lineRule="exact"/>
        <w:rPr>
          <w:sz w:val="20"/>
          <w:szCs w:val="20"/>
          <w:color w:val="auto"/>
        </w:rPr>
      </w:pPr>
    </w:p>
    <w:p>
      <w:pPr>
        <w:ind w:left="308" w:hanging="92"/>
        <w:spacing w:after="0"/>
        <w:tabs>
          <w:tab w:leader="none" w:pos="308" w:val="left"/>
        </w:tabs>
        <w:numPr>
          <w:ilvl w:val="0"/>
          <w:numId w:val="8"/>
        </w:numPr>
        <w:rPr>
          <w:rFonts w:ascii="Arial" w:cs="Arial" w:eastAsia="Arial" w:hAnsi="Arial"/>
          <w:sz w:val="11"/>
          <w:szCs w:val="11"/>
          <w:color w:val="54585A"/>
        </w:rPr>
      </w:pPr>
      <w:r>
        <w:rPr>
          <w:rFonts w:ascii="Arial" w:cs="Arial" w:eastAsia="Arial" w:hAnsi="Arial"/>
          <w:sz w:val="11"/>
          <w:szCs w:val="11"/>
          <w:color w:val="54585A"/>
        </w:rPr>
        <w:t>by giving new voting instructions on the Internet or by telephone, or by mailing new voting instructions to us on a proxy card with a later date;</w:t>
      </w:r>
    </w:p>
    <w:p>
      <w:pPr>
        <w:spacing w:after="0" w:line="80" w:lineRule="exact"/>
        <w:rPr>
          <w:rFonts w:ascii="Arial" w:cs="Arial" w:eastAsia="Arial" w:hAnsi="Arial"/>
          <w:sz w:val="11"/>
          <w:szCs w:val="11"/>
          <w:color w:val="54585A"/>
        </w:rPr>
      </w:pPr>
    </w:p>
    <w:p>
      <w:pPr>
        <w:ind w:left="308" w:hanging="92"/>
        <w:spacing w:after="0"/>
        <w:tabs>
          <w:tab w:leader="none" w:pos="308" w:val="left"/>
        </w:tabs>
        <w:numPr>
          <w:ilvl w:val="0"/>
          <w:numId w:val="8"/>
        </w:numPr>
        <w:rPr>
          <w:rFonts w:ascii="Arial" w:cs="Arial" w:eastAsia="Arial" w:hAnsi="Arial"/>
          <w:sz w:val="11"/>
          <w:szCs w:val="11"/>
          <w:color w:val="54585A"/>
        </w:rPr>
      </w:pPr>
      <w:r>
        <w:rPr>
          <w:rFonts w:ascii="Arial" w:cs="Arial" w:eastAsia="Arial" w:hAnsi="Arial"/>
          <w:sz w:val="11"/>
          <w:szCs w:val="11"/>
          <w:color w:val="54585A"/>
        </w:rPr>
        <w:t>by notifying our Corporate Secretary in writing (at the mailing address listed on page 16) that you have revoked your proxy; or</w:t>
      </w:r>
    </w:p>
    <w:p>
      <w:pPr>
        <w:spacing w:after="0" w:line="80" w:lineRule="exact"/>
        <w:rPr>
          <w:rFonts w:ascii="Arial" w:cs="Arial" w:eastAsia="Arial" w:hAnsi="Arial"/>
          <w:sz w:val="11"/>
          <w:szCs w:val="11"/>
          <w:color w:val="54585A"/>
        </w:rPr>
      </w:pPr>
    </w:p>
    <w:p>
      <w:pPr>
        <w:ind w:left="308" w:hanging="92"/>
        <w:spacing w:after="0"/>
        <w:tabs>
          <w:tab w:leader="none" w:pos="308" w:val="left"/>
        </w:tabs>
        <w:numPr>
          <w:ilvl w:val="0"/>
          <w:numId w:val="8"/>
        </w:numPr>
        <w:rPr>
          <w:rFonts w:ascii="Arial" w:cs="Arial" w:eastAsia="Arial" w:hAnsi="Arial"/>
          <w:sz w:val="11"/>
          <w:szCs w:val="11"/>
          <w:color w:val="54585A"/>
        </w:rPr>
      </w:pPr>
      <w:r>
        <w:rPr>
          <w:rFonts w:ascii="Arial" w:cs="Arial" w:eastAsia="Arial" w:hAnsi="Arial"/>
          <w:sz w:val="11"/>
          <w:szCs w:val="11"/>
          <w:color w:val="54585A"/>
        </w:rPr>
        <w:t>by voting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215900</wp:posOffset>
            </wp:positionV>
            <wp:extent cx="17145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96"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2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156"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10"/>
          <w:szCs w:val="10"/>
          <w:color w:val="54585A"/>
        </w:rPr>
        <w:t xml:space="preserve">Annual Meeting and Other Information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 xml:space="preserve">Shares Held in “Street Name” - </w:t>
      </w:r>
      <w:r>
        <w:rPr>
          <w:rFonts w:ascii="Arial" w:cs="Arial" w:eastAsia="Arial" w:hAnsi="Arial"/>
          <w:sz w:val="11"/>
          <w:szCs w:val="11"/>
          <w:color w:val="54585A"/>
        </w:rPr>
        <w:t>You should follow the instructions given to you by your broker or nominee on how to change or revoke your vote.</w:t>
      </w:r>
    </w:p>
    <w:p>
      <w:pPr>
        <w:spacing w:after="0" w:line="165" w:lineRule="exact"/>
        <w:rPr>
          <w:sz w:val="20"/>
          <w:szCs w:val="20"/>
          <w:color w:val="auto"/>
        </w:rPr>
      </w:pPr>
    </w:p>
    <w:p>
      <w:pPr>
        <w:ind w:right="100"/>
        <w:spacing w:after="0" w:line="313" w:lineRule="auto"/>
        <w:rPr>
          <w:sz w:val="20"/>
          <w:szCs w:val="20"/>
          <w:color w:val="auto"/>
        </w:rPr>
      </w:pPr>
      <w:r>
        <w:rPr>
          <w:rFonts w:ascii="Arial" w:cs="Arial" w:eastAsia="Arial" w:hAnsi="Arial"/>
          <w:sz w:val="11"/>
          <w:szCs w:val="11"/>
          <w:color w:val="54585A"/>
        </w:rPr>
        <w:t>You may use any of these methods to change your vote, regardless of the method previously used to submit your vote. The inspector of election for the meeting will count only the most recent vote received before the deadlines set forth in the voting instructions.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How to Vote Your Shares in our Employee Benefit Plans</w:t>
      </w:r>
    </w:p>
    <w:p>
      <w:pPr>
        <w:spacing w:after="0" w:line="76" w:lineRule="exact"/>
        <w:rPr>
          <w:sz w:val="20"/>
          <w:szCs w:val="20"/>
          <w:color w:val="auto"/>
        </w:rPr>
      </w:pPr>
    </w:p>
    <w:p>
      <w:pPr>
        <w:ind w:right="240"/>
        <w:spacing w:after="0" w:line="313" w:lineRule="auto"/>
        <w:rPr>
          <w:sz w:val="20"/>
          <w:szCs w:val="20"/>
          <w:color w:val="auto"/>
        </w:rPr>
      </w:pPr>
      <w:r>
        <w:rPr>
          <w:rFonts w:ascii="Arial" w:cs="Arial" w:eastAsia="Arial" w:hAnsi="Arial"/>
          <w:sz w:val="11"/>
          <w:szCs w:val="11"/>
          <w:color w:val="54585A"/>
        </w:rPr>
        <w:t>If you hold common stock in our Employee Stock Purchase Plan (“ESPP”), you cannot vote your shares directly. The trustee for the ESPP will vote the shares held in the plan. You will receive a voting instruction card from the trustee, which will provide voting instructions. If you provide voting instructions, the trustee will vote your shares in the ESPP as you direct. If you do not provide voting instructions, your shares in the ESPP will not be voted.</w:t>
      </w:r>
    </w:p>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54585A"/>
        </w:rPr>
        <w:t>Holders of stock options or unvested restricted stock units issued under our Equity Incentive Plan cannot vote the shares issuable upon exercise or vesting until those shares are issued.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Quorum Requirement</w:t>
      </w:r>
    </w:p>
    <w:p>
      <w:pPr>
        <w:spacing w:after="0" w:line="76" w:lineRule="exact"/>
        <w:rPr>
          <w:sz w:val="20"/>
          <w:szCs w:val="20"/>
          <w:color w:val="auto"/>
        </w:rPr>
      </w:pPr>
    </w:p>
    <w:p>
      <w:pPr>
        <w:ind w:right="200"/>
        <w:spacing w:after="0" w:line="313" w:lineRule="auto"/>
        <w:rPr>
          <w:sz w:val="20"/>
          <w:szCs w:val="20"/>
          <w:color w:val="auto"/>
        </w:rPr>
      </w:pPr>
      <w:r>
        <w:rPr>
          <w:rFonts w:ascii="Arial" w:cs="Arial" w:eastAsia="Arial" w:hAnsi="Arial"/>
          <w:sz w:val="11"/>
          <w:szCs w:val="11"/>
          <w:color w:val="54585A"/>
        </w:rPr>
        <w:t>A quorum of stockholders is necessary to hold a valid meeting. A quorum will exist if holders of a majority [*] of the shares of common stock entitled to vote at the meeting are present in person or by proxy. Abstentions and broker non-votes count as shares of common stock present at the meeting for purposes of establishing a quorum.</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Method and Cost of Soliciting Proxies</w:t>
      </w:r>
    </w:p>
    <w:p>
      <w:pPr>
        <w:spacing w:after="0" w:line="76" w:lineRule="exact"/>
        <w:rPr>
          <w:sz w:val="20"/>
          <w:szCs w:val="20"/>
          <w:color w:val="auto"/>
        </w:rPr>
      </w:pPr>
    </w:p>
    <w:p>
      <w:pPr>
        <w:ind w:right="200"/>
        <w:spacing w:after="0" w:line="313" w:lineRule="auto"/>
        <w:rPr>
          <w:sz w:val="20"/>
          <w:szCs w:val="20"/>
          <w:color w:val="auto"/>
        </w:rPr>
      </w:pPr>
      <w:r>
        <w:rPr>
          <w:rFonts w:ascii="Arial" w:cs="Arial" w:eastAsia="Arial" w:hAnsi="Arial"/>
          <w:sz w:val="11"/>
          <w:szCs w:val="11"/>
          <w:color w:val="54585A"/>
        </w:rPr>
        <w:t>We have asked banks, brokers and other financial institutions, nominees and fiduciaries to forward our proxy materials to beneficial owners and to obtain authority to execute proxies on their behalf, and we will reimburse them for their expenses in doing so. Proxies also may be solicited by our management, without additional compensation, through the mail, in person, or by telephone or electronic means.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Admission to the Meeting</w:t>
      </w:r>
    </w:p>
    <w:p>
      <w:pPr>
        <w:spacing w:after="0" w:line="76" w:lineRule="exact"/>
        <w:rPr>
          <w:sz w:val="20"/>
          <w:szCs w:val="20"/>
          <w:color w:val="auto"/>
        </w:rPr>
      </w:pPr>
    </w:p>
    <w:p>
      <w:pPr>
        <w:ind w:right="20"/>
        <w:spacing w:after="0" w:line="362" w:lineRule="auto"/>
        <w:rPr>
          <w:sz w:val="20"/>
          <w:szCs w:val="20"/>
          <w:color w:val="auto"/>
        </w:rPr>
      </w:pPr>
      <w:r>
        <w:rPr>
          <w:rFonts w:ascii="Arial" w:cs="Arial" w:eastAsia="Arial" w:hAnsi="Arial"/>
          <w:sz w:val="10"/>
          <w:szCs w:val="10"/>
          <w:color w:val="54585A"/>
        </w:rPr>
        <w:t>We reserve the right to limit admission to the Annual Meeting to our stockholders of record, persons holding valid proxies from our stockholders of record and beneficial owners of our common stock. If your common stock is registered in your name, we may verify your ownership at the meeting in our list of stockholders as of the Record Date. If your common stock is held through a broker or a bank, you should bring to the meeting proof of your beneficial ownership of the stock. This documentation could consist of, for example, a bank or brokerage firm account statement that shows your ownership as of the Record Date or a letter from your bank or broker confirming your ownership as of the Record Date.</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Interests of Certain Persons in Proposal No. 5</w:t>
      </w:r>
    </w:p>
    <w:p>
      <w:pPr>
        <w:spacing w:after="0" w:line="76" w:lineRule="exact"/>
        <w:rPr>
          <w:sz w:val="20"/>
          <w:szCs w:val="20"/>
          <w:color w:val="auto"/>
        </w:rPr>
      </w:pPr>
    </w:p>
    <w:p>
      <w:pPr>
        <w:jc w:val="both"/>
        <w:ind w:right="20"/>
        <w:spacing w:after="0" w:line="313" w:lineRule="auto"/>
        <w:rPr>
          <w:sz w:val="20"/>
          <w:szCs w:val="20"/>
          <w:color w:val="auto"/>
        </w:rPr>
      </w:pPr>
      <w:r>
        <w:rPr>
          <w:rFonts w:ascii="Arial" w:cs="Arial" w:eastAsia="Arial" w:hAnsi="Arial"/>
          <w:sz w:val="11"/>
          <w:szCs w:val="11"/>
          <w:color w:val="54585A"/>
        </w:rPr>
        <w:t>Thermo is the principal owner and largest stockholder of Globalstar. As of April 28, 2023, Thermo owned approximately 60% of our outstanding common stock (see “Stock Ownership of Principal Shareholders and Management”). Thermo is controlled by James Monroe III, our Executive Chairman. Additionally, James Lynch, one of our directors, and Timothy Taylor, our Vice President, Finance, Business Operations and Strategy, are partners of Thermo.</w:t>
      </w:r>
    </w:p>
    <w:p>
      <w:pPr>
        <w:spacing w:after="0" w:line="111" w:lineRule="exact"/>
        <w:rPr>
          <w:sz w:val="20"/>
          <w:szCs w:val="20"/>
          <w:color w:val="auto"/>
        </w:rPr>
      </w:pPr>
    </w:p>
    <w:p>
      <w:pPr>
        <w:ind w:right="80"/>
        <w:spacing w:after="0" w:line="320" w:lineRule="auto"/>
        <w:rPr>
          <w:sz w:val="20"/>
          <w:szCs w:val="20"/>
          <w:color w:val="auto"/>
        </w:rPr>
      </w:pPr>
      <w:r>
        <w:rPr>
          <w:rFonts w:ascii="Arial" w:cs="Arial" w:eastAsia="Arial" w:hAnsi="Arial"/>
          <w:sz w:val="11"/>
          <w:szCs w:val="11"/>
          <w:color w:val="54585A"/>
        </w:rPr>
        <w:t>The transactions described under Proposal No. 5 contemplate the Company’s entry into the Guaranty with Thermo. Thermo and Mr. Monroe have a material interest in these transactions, because, among other things, they could require Thermo to pay amounts in excess of $5 million in the event Globalstar is unable to pay certain amounts under its Prepayment Agreements or pursuant to certain related obligations. As consideration for the Guaranty, the Company will issue to Thermo warrants to purchase the Company’s common stock. In addition, Thermo would receive common stock of the Company as reimbursement for such cash payments on terms further described under Proposal No. 5. The interests of Thermo, Mr. Monroe, Mr. Lynch and Mr. Taylor may conflict with the interests of our other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216535</wp:posOffset>
            </wp:positionV>
            <wp:extent cx="1714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97" w:lineRule="exact"/>
        <w:rPr>
          <w:sz w:val="20"/>
          <w:szCs w:val="20"/>
          <w:color w:val="auto"/>
        </w:rPr>
      </w:pPr>
    </w:p>
    <w:p>
      <w:pPr>
        <w:ind w:left="972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158115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6" w:name="page7"/>
    <w:bookmarkEnd w:id="6"/>
    <w:p>
      <w:pPr>
        <w:ind w:left="68" w:hanging="68"/>
        <w:spacing w:after="0"/>
        <w:tabs>
          <w:tab w:leader="none" w:pos="68" w:val="left"/>
        </w:tabs>
        <w:numPr>
          <w:ilvl w:val="0"/>
          <w:numId w:val="9"/>
        </w:numPr>
        <w:rPr>
          <w:rFonts w:ascii="Arial" w:cs="Arial" w:eastAsia="Arial" w:hAnsi="Arial"/>
          <w:sz w:val="12"/>
          <w:szCs w:val="12"/>
          <w:b w:val="1"/>
          <w:bCs w:val="1"/>
          <w:color w:val="EB6C10"/>
        </w:rPr>
      </w:pPr>
      <w:r>
        <w:rPr>
          <w:rFonts w:ascii="Arial" w:cs="Arial" w:eastAsia="Arial" w:hAnsi="Arial"/>
          <w:sz w:val="10"/>
          <w:szCs w:val="10"/>
          <w:color w:val="54585A"/>
        </w:rPr>
        <w:t>Annual Meeting and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
        <w:spacing w:after="0" w:line="319" w:lineRule="auto"/>
        <w:rPr>
          <w:sz w:val="20"/>
          <w:szCs w:val="20"/>
          <w:color w:val="auto"/>
        </w:rPr>
      </w:pPr>
      <w:r>
        <w:rPr>
          <w:rFonts w:ascii="Arial" w:cs="Arial" w:eastAsia="Arial" w:hAnsi="Arial"/>
          <w:sz w:val="11"/>
          <w:szCs w:val="11"/>
          <w:color w:val="54585A"/>
        </w:rPr>
        <w:t>In addition, this constitutes a transaction between Thermo, on one hand, and the Company, on the other, that has a value in excess of $5 million, as determined by the Company’s Strategic Review Company, and therefore constitutes a Related Party Transaction under the Company’s Third Amended and Restated Certificate of Incorporation (the “Certificate of Incorporation”). Under the Certificate of Incorporation, Related Party Transactions must be approved by the affirmative vote of a majority of the shares of common stock owned by stockholders of the Company other than Thermo and voting affirmatively or negatively on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215900</wp:posOffset>
            </wp:positionV>
            <wp:extent cx="17145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96"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4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8"/>
          </w:cols>
          <w:pgMar w:left="292" w:top="156" w:right="4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751840</wp:posOffset>
            </wp:positionV>
            <wp:extent cx="1788795" cy="3737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8795"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EB6C10"/>
        </w:rPr>
        <w:t>Standing Committees</w:t>
      </w:r>
    </w:p>
    <w:p>
      <w:pPr>
        <w:spacing w:after="0" w:line="202" w:lineRule="exact"/>
        <w:rPr>
          <w:sz w:val="20"/>
          <w:szCs w:val="20"/>
          <w:color w:val="auto"/>
        </w:rPr>
      </w:pPr>
    </w:p>
    <w:p>
      <w:pPr>
        <w:ind w:left="80" w:hanging="72"/>
        <w:spacing w:after="0"/>
        <w:tabs>
          <w:tab w:leader="none" w:pos="80" w:val="left"/>
        </w:tabs>
        <w:numPr>
          <w:ilvl w:val="0"/>
          <w:numId w:val="10"/>
        </w:numPr>
        <w:rPr>
          <w:rFonts w:ascii="Arial" w:cs="Arial" w:eastAsia="Arial" w:hAnsi="Arial"/>
          <w:sz w:val="12"/>
          <w:szCs w:val="12"/>
          <w:b w:val="1"/>
          <w:bCs w:val="1"/>
          <w:color w:val="EB6C10"/>
        </w:rPr>
      </w:pPr>
      <w:r>
        <w:rPr>
          <w:rFonts w:ascii="Arial" w:cs="Arial" w:eastAsia="Arial" w:hAnsi="Arial"/>
          <w:sz w:val="12"/>
          <w:szCs w:val="12"/>
          <w:color w:val="54585A"/>
        </w:rPr>
        <w:t>Audit</w:t>
      </w:r>
    </w:p>
    <w:p>
      <w:pPr>
        <w:spacing w:after="0" w:line="159" w:lineRule="exact"/>
        <w:rPr>
          <w:rFonts w:ascii="Arial" w:cs="Arial" w:eastAsia="Arial" w:hAnsi="Arial"/>
          <w:sz w:val="12"/>
          <w:szCs w:val="12"/>
          <w:b w:val="1"/>
          <w:bCs w:val="1"/>
          <w:color w:val="EB6C10"/>
        </w:rPr>
      </w:pPr>
    </w:p>
    <w:p>
      <w:pPr>
        <w:ind w:left="80" w:hanging="72"/>
        <w:spacing w:after="0"/>
        <w:tabs>
          <w:tab w:leader="none" w:pos="80" w:val="left"/>
        </w:tabs>
        <w:numPr>
          <w:ilvl w:val="0"/>
          <w:numId w:val="10"/>
        </w:numPr>
        <w:rPr>
          <w:rFonts w:ascii="Arial" w:cs="Arial" w:eastAsia="Arial" w:hAnsi="Arial"/>
          <w:sz w:val="12"/>
          <w:szCs w:val="12"/>
          <w:b w:val="1"/>
          <w:bCs w:val="1"/>
          <w:color w:val="EB6C10"/>
        </w:rPr>
      </w:pPr>
      <w:r>
        <w:rPr>
          <w:rFonts w:ascii="Arial" w:cs="Arial" w:eastAsia="Arial" w:hAnsi="Arial"/>
          <w:sz w:val="12"/>
          <w:szCs w:val="12"/>
          <w:color w:val="54585A"/>
        </w:rPr>
        <w:t>Compensation</w:t>
      </w:r>
    </w:p>
    <w:p>
      <w:pPr>
        <w:spacing w:after="0" w:line="150" w:lineRule="exact"/>
        <w:rPr>
          <w:rFonts w:ascii="Arial" w:cs="Arial" w:eastAsia="Arial" w:hAnsi="Arial"/>
          <w:sz w:val="12"/>
          <w:szCs w:val="12"/>
          <w:b w:val="1"/>
          <w:bCs w:val="1"/>
          <w:color w:val="EB6C10"/>
        </w:rPr>
      </w:pPr>
    </w:p>
    <w:p>
      <w:pPr>
        <w:ind w:left="80" w:hanging="72"/>
        <w:spacing w:after="0"/>
        <w:tabs>
          <w:tab w:leader="none" w:pos="80" w:val="left"/>
        </w:tabs>
        <w:numPr>
          <w:ilvl w:val="0"/>
          <w:numId w:val="10"/>
        </w:numPr>
        <w:rPr>
          <w:rFonts w:ascii="Arial" w:cs="Arial" w:eastAsia="Arial" w:hAnsi="Arial"/>
          <w:sz w:val="11"/>
          <w:szCs w:val="11"/>
          <w:b w:val="1"/>
          <w:bCs w:val="1"/>
          <w:color w:val="EB6C10"/>
        </w:rPr>
      </w:pPr>
      <w:r>
        <w:rPr>
          <w:rFonts w:ascii="Arial" w:cs="Arial" w:eastAsia="Arial" w:hAnsi="Arial"/>
          <w:sz w:val="11"/>
          <w:szCs w:val="11"/>
          <w:color w:val="54585A"/>
        </w:rPr>
        <w:t>Nominating and Governance</w:t>
      </w:r>
    </w:p>
    <w:p>
      <w:pPr>
        <w:spacing w:after="0" w:line="170" w:lineRule="exact"/>
        <w:rPr>
          <w:rFonts w:ascii="Arial" w:cs="Arial" w:eastAsia="Arial" w:hAnsi="Arial"/>
          <w:sz w:val="11"/>
          <w:szCs w:val="11"/>
          <w:b w:val="1"/>
          <w:bCs w:val="1"/>
          <w:color w:val="EB6C10"/>
        </w:rPr>
      </w:pPr>
    </w:p>
    <w:p>
      <w:pPr>
        <w:ind w:left="80" w:hanging="72"/>
        <w:spacing w:after="0"/>
        <w:tabs>
          <w:tab w:leader="none" w:pos="80" w:val="left"/>
        </w:tabs>
        <w:numPr>
          <w:ilvl w:val="0"/>
          <w:numId w:val="10"/>
        </w:numPr>
        <w:rPr>
          <w:rFonts w:ascii="Arial" w:cs="Arial" w:eastAsia="Arial" w:hAnsi="Arial"/>
          <w:sz w:val="12"/>
          <w:szCs w:val="12"/>
          <w:b w:val="1"/>
          <w:bCs w:val="1"/>
          <w:color w:val="EB6C10"/>
        </w:rPr>
      </w:pPr>
      <w:r>
        <w:rPr>
          <w:rFonts w:ascii="Arial" w:cs="Arial" w:eastAsia="Arial" w:hAnsi="Arial"/>
          <w:sz w:val="12"/>
          <w:szCs w:val="12"/>
          <w:color w:val="54585A"/>
        </w:rPr>
        <w:t>Strategic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1776095</wp:posOffset>
            </wp:positionV>
            <wp:extent cx="1714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0"/>
          <w:szCs w:val="10"/>
          <w:color w:val="54585A"/>
        </w:rPr>
        <w:t xml:space="preserve">Board of Directors and Corporate Governance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36"/>
          <w:szCs w:val="36"/>
          <w:color w:val="EB6C10"/>
        </w:rPr>
        <w:t>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36"/>
          <w:szCs w:val="36"/>
          <w:color w:val="EB6C10"/>
        </w:rPr>
        <w:t>and Corporate Governance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54585A"/>
        </w:rPr>
        <w:t>Information About the Board and its Committees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Board Governance</w:t>
      </w:r>
    </w:p>
    <w:p>
      <w:pPr>
        <w:spacing w:after="0" w:line="76" w:lineRule="exact"/>
        <w:rPr>
          <w:sz w:val="20"/>
          <w:szCs w:val="20"/>
          <w:color w:val="auto"/>
        </w:rPr>
      </w:pPr>
    </w:p>
    <w:p>
      <w:pPr>
        <w:ind w:right="220"/>
        <w:spacing w:after="0" w:line="313" w:lineRule="auto"/>
        <w:rPr>
          <w:sz w:val="20"/>
          <w:szCs w:val="20"/>
          <w:color w:val="auto"/>
        </w:rPr>
      </w:pPr>
      <w:r>
        <w:rPr>
          <w:rFonts w:ascii="Arial" w:cs="Arial" w:eastAsia="Arial" w:hAnsi="Arial"/>
          <w:sz w:val="11"/>
          <w:szCs w:val="11"/>
          <w:color w:val="54585A"/>
        </w:rPr>
        <w:t>Our Board has four standing committees: Audit, Compensation, Nominating and Governance and Strategic Review. The Board has adopted a charter for each standing committee.</w:t>
      </w:r>
    </w:p>
    <w:p>
      <w:pPr>
        <w:spacing w:after="0" w:line="111" w:lineRule="exact"/>
        <w:rPr>
          <w:sz w:val="20"/>
          <w:szCs w:val="20"/>
          <w:color w:val="auto"/>
        </w:rPr>
      </w:pPr>
    </w:p>
    <w:p>
      <w:pPr>
        <w:ind w:right="40"/>
        <w:spacing w:after="0" w:line="320" w:lineRule="auto"/>
        <w:rPr>
          <w:sz w:val="20"/>
          <w:szCs w:val="20"/>
          <w:color w:val="auto"/>
        </w:rPr>
      </w:pPr>
      <w:r>
        <w:rPr>
          <w:rFonts w:ascii="Arial" w:cs="Arial" w:eastAsia="Arial" w:hAnsi="Arial"/>
          <w:sz w:val="11"/>
          <w:szCs w:val="11"/>
          <w:color w:val="54585A"/>
        </w:rPr>
        <w:t xml:space="preserve">We have a Code of Conduct that is applicable to all employees, including executive officers, as well as directors to the extent relevant to their service as directors. The committee charters and Code of Conduct are available on our website at investors.globalstar.com under “Governance.” You may request a copy of any of these documents to be mailed to you as described on page </w:t>
      </w:r>
      <w:r>
        <w:rPr>
          <w:rFonts w:ascii="Arial" w:cs="Arial" w:eastAsia="Arial" w:hAnsi="Arial"/>
          <w:sz w:val="11"/>
          <w:szCs w:val="11"/>
          <w:u w:val="single" w:color="auto"/>
          <w:color w:val="0000FF"/>
        </w:rPr>
        <w:t>43</w:t>
      </w:r>
      <w:r>
        <w:rPr>
          <w:rFonts w:ascii="Arial" w:cs="Arial" w:eastAsia="Arial" w:hAnsi="Arial"/>
          <w:sz w:val="11"/>
          <w:szCs w:val="11"/>
          <w:color w:val="54585A"/>
        </w:rPr>
        <w:t xml:space="preserve"> of this proxy statement. We will post any amendments to, or waivers from, the Code of Conduct that apply to our principal executive and financial officers on our website. At the date of this proxy statement, no such waivers have been requested or granted.</w:t>
      </w:r>
    </w:p>
    <w:p>
      <w:pPr>
        <w:spacing w:after="0" w:line="99" w:lineRule="exact"/>
        <w:rPr>
          <w:sz w:val="20"/>
          <w:szCs w:val="20"/>
          <w:color w:val="auto"/>
        </w:rPr>
      </w:pPr>
    </w:p>
    <w:p>
      <w:pPr>
        <w:ind w:right="120"/>
        <w:spacing w:after="0" w:line="320" w:lineRule="auto"/>
        <w:rPr>
          <w:sz w:val="20"/>
          <w:szCs w:val="20"/>
          <w:color w:val="auto"/>
        </w:rPr>
      </w:pPr>
      <w:r>
        <w:rPr>
          <w:rFonts w:ascii="Arial" w:cs="Arial" w:eastAsia="Arial" w:hAnsi="Arial"/>
          <w:sz w:val="11"/>
          <w:szCs w:val="11"/>
          <w:color w:val="54585A"/>
        </w:rPr>
        <w:t>Thermo holds stock representing a majority of our voting power. As a result, we are a “controlled company” for purposes of the NYSE American rules and are not required to have a majority of independent directors on the Board or to comply with the director independence requirements for compensation and nominating/governance committees. However, we are subject to all other NYSE American corporate governance requirements, including the rule requiring that the audit committee be composed entirely of independent directors.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Risk Oversight</w:t>
      </w:r>
    </w:p>
    <w:p>
      <w:pPr>
        <w:spacing w:after="0" w:line="76" w:lineRule="exact"/>
        <w:rPr>
          <w:sz w:val="20"/>
          <w:szCs w:val="20"/>
          <w:color w:val="auto"/>
        </w:rPr>
      </w:pPr>
    </w:p>
    <w:p>
      <w:pPr>
        <w:jc w:val="both"/>
        <w:ind w:right="220"/>
        <w:spacing w:after="0" w:line="319" w:lineRule="auto"/>
        <w:rPr>
          <w:sz w:val="20"/>
          <w:szCs w:val="20"/>
          <w:color w:val="auto"/>
        </w:rPr>
      </w:pPr>
      <w:r>
        <w:rPr>
          <w:rFonts w:ascii="Arial" w:cs="Arial" w:eastAsia="Arial" w:hAnsi="Arial"/>
          <w:sz w:val="11"/>
          <w:szCs w:val="11"/>
          <w:color w:val="54585A"/>
        </w:rPr>
        <w:t>The Board has determined that the role of risk oversight will remain with the full Board rather than having responsibility delegated to a specific committee, although the Audit Committee continues to focus on accounting and financial risks. Our executive officers evaluate and manage day-to-day risks and report regularly to the Board on these matters.</w:t>
      </w:r>
    </w:p>
    <w:p>
      <w:pPr>
        <w:spacing w:after="0" w:line="99" w:lineRule="exact"/>
        <w:rPr>
          <w:sz w:val="20"/>
          <w:szCs w:val="20"/>
          <w:color w:val="auto"/>
        </w:rPr>
      </w:pPr>
    </w:p>
    <w:p>
      <w:pPr>
        <w:ind w:right="60"/>
        <w:spacing w:after="0" w:line="318" w:lineRule="auto"/>
        <w:rPr>
          <w:sz w:val="20"/>
          <w:szCs w:val="20"/>
          <w:color w:val="auto"/>
        </w:rPr>
      </w:pPr>
      <w:r>
        <w:rPr>
          <w:rFonts w:ascii="Arial" w:cs="Arial" w:eastAsia="Arial" w:hAnsi="Arial"/>
          <w:sz w:val="11"/>
          <w:szCs w:val="11"/>
          <w:color w:val="54585A"/>
        </w:rPr>
        <w:t>The Board has oversight responsibility for information security and cybersecurity. The Company prioritizes the protection of data and is committed to the ongoing enhancement of its cybersecurity and privacy capabilities. Management has established an information security program as well as policies and procedures to mitigate risks resulting from cyber-attacks, including dedicated information security personnel (both internal employees and specialized contractors with security expertise), network monitoring and annual penetration testing on the Company's network. Management maintains effective internal controls and is in compliance with the Payment Card Industry Data Security Standard as well as other applicable laws and regulations. Ongoing information security training is also provided to employees. Management provides regular updates to the Audit Committee and the Board regarding these matters, including any significant cyber threats or incidents.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2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163830</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2060" w:space="720"/>
            <w:col w:w="8200"/>
          </w:cols>
          <w:pgMar w:left="620" w:top="125" w:right="299" w:bottom="1440" w:gutter="0" w:footer="0" w:header="0"/>
        </w:sectPr>
      </w:pPr>
    </w:p>
    <w:bookmarkStart w:id="8" w:name="page9"/>
    <w:bookmarkEnd w:id="8"/>
    <w:p>
      <w:pPr>
        <w:ind w:left="68" w:hanging="68"/>
        <w:spacing w:after="0"/>
        <w:tabs>
          <w:tab w:leader="none" w:pos="68" w:val="left"/>
        </w:tabs>
        <w:numPr>
          <w:ilvl w:val="0"/>
          <w:numId w:val="11"/>
        </w:numPr>
        <w:rPr>
          <w:rFonts w:ascii="Arial" w:cs="Arial" w:eastAsia="Arial" w:hAnsi="Arial"/>
          <w:sz w:val="12"/>
          <w:szCs w:val="12"/>
          <w:b w:val="1"/>
          <w:bCs w:val="1"/>
          <w:color w:val="EB6C10"/>
        </w:rPr>
      </w:pPr>
      <w:r>
        <w:rPr>
          <w:rFonts w:ascii="Arial" w:cs="Arial" w:eastAsia="Arial" w:hAnsi="Arial"/>
          <w:sz w:val="10"/>
          <w:szCs w:val="10"/>
          <w:color w:val="54585A"/>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Director Skills, Expertise and Demographics</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1"/>
          <w:szCs w:val="11"/>
          <w:color w:val="54585A"/>
        </w:rPr>
        <w:t>The matrix below displays a summary of relevant skills, expertise and demographics of our directors.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color w:val="EB6C10"/>
        </w:rPr>
        <w:t>Skills and Experience</w:t>
      </w:r>
    </w:p>
    <w:p>
      <w:pPr>
        <w:spacing w:after="0" w:line="61"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640" w:type="dxa"/>
            <w:vAlign w:val="bottom"/>
            <w:shd w:val="clear" w:color="auto" w:fill="EEEDED"/>
          </w:tcPr>
          <w:p>
            <w:pPr>
              <w:spacing w:after="0"/>
              <w:rPr>
                <w:sz w:val="12"/>
                <w:szCs w:val="12"/>
                <w:color w:val="auto"/>
              </w:rPr>
            </w:pPr>
          </w:p>
        </w:tc>
        <w:tc>
          <w:tcPr>
            <w:tcW w:w="2160" w:type="dxa"/>
            <w:vAlign w:val="bottom"/>
            <w:shd w:val="clear" w:color="auto" w:fill="EEEDED"/>
          </w:tcPr>
          <w:p>
            <w:pPr>
              <w:spacing w:after="0"/>
              <w:rPr>
                <w:sz w:val="12"/>
                <w:szCs w:val="12"/>
                <w:color w:val="auto"/>
              </w:rPr>
            </w:pPr>
          </w:p>
        </w:tc>
        <w:tc>
          <w:tcPr>
            <w:tcW w:w="940" w:type="dxa"/>
            <w:vAlign w:val="bottom"/>
            <w:shd w:val="clear" w:color="auto" w:fill="EEEDED"/>
          </w:tcPr>
          <w:p>
            <w:pPr>
              <w:jc w:val="center"/>
              <w:ind w:left="24"/>
              <w:spacing w:after="0"/>
              <w:rPr>
                <w:sz w:val="20"/>
                <w:szCs w:val="20"/>
                <w:color w:val="auto"/>
              </w:rPr>
            </w:pPr>
            <w:r>
              <w:rPr>
                <w:rFonts w:ascii="Arial" w:cs="Arial" w:eastAsia="Arial" w:hAnsi="Arial"/>
                <w:sz w:val="10"/>
                <w:szCs w:val="10"/>
                <w:b w:val="1"/>
                <w:bCs w:val="1"/>
                <w:color w:val="54585A"/>
                <w:w w:val="94"/>
              </w:rPr>
              <w:t>Keith O. Cowan</w:t>
            </w:r>
          </w:p>
        </w:tc>
        <w:tc>
          <w:tcPr>
            <w:tcW w:w="1440" w:type="dxa"/>
            <w:vAlign w:val="bottom"/>
            <w:shd w:val="clear" w:color="auto" w:fill="EEEDED"/>
          </w:tcPr>
          <w:p>
            <w:pPr>
              <w:jc w:val="center"/>
              <w:ind w:left="68"/>
              <w:spacing w:after="0"/>
              <w:rPr>
                <w:sz w:val="20"/>
                <w:szCs w:val="20"/>
                <w:color w:val="auto"/>
              </w:rPr>
            </w:pPr>
            <w:r>
              <w:rPr>
                <w:rFonts w:ascii="Arial" w:cs="Arial" w:eastAsia="Arial" w:hAnsi="Arial"/>
                <w:sz w:val="10"/>
                <w:szCs w:val="10"/>
                <w:b w:val="1"/>
                <w:bCs w:val="1"/>
                <w:color w:val="54585A"/>
                <w:w w:val="97"/>
              </w:rPr>
              <w:t>Benjamin G. Wolff</w:t>
            </w:r>
          </w:p>
        </w:tc>
        <w:tc>
          <w:tcPr>
            <w:tcW w:w="116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3"/>
              </w:rPr>
              <w:t>James F. Lynch</w:t>
            </w:r>
          </w:p>
        </w:tc>
        <w:tc>
          <w:tcPr>
            <w:tcW w:w="1120" w:type="dxa"/>
            <w:vAlign w:val="bottom"/>
            <w:shd w:val="clear" w:color="auto" w:fill="EEEDED"/>
          </w:tcPr>
          <w:p>
            <w:pPr>
              <w:jc w:val="center"/>
              <w:ind w:left="44"/>
              <w:spacing w:after="0"/>
              <w:rPr>
                <w:sz w:val="20"/>
                <w:szCs w:val="20"/>
                <w:color w:val="auto"/>
              </w:rPr>
            </w:pPr>
            <w:r>
              <w:rPr>
                <w:rFonts w:ascii="Arial" w:cs="Arial" w:eastAsia="Arial" w:hAnsi="Arial"/>
                <w:sz w:val="10"/>
                <w:szCs w:val="10"/>
                <w:b w:val="1"/>
                <w:bCs w:val="1"/>
                <w:color w:val="54585A"/>
                <w:w w:val="92"/>
              </w:rPr>
              <w:t>Timothy E. Taylor</w:t>
            </w:r>
          </w:p>
        </w:tc>
        <w:tc>
          <w:tcPr>
            <w:tcW w:w="1340" w:type="dxa"/>
            <w:vAlign w:val="bottom"/>
            <w:shd w:val="clear" w:color="auto" w:fill="EEEDED"/>
          </w:tcPr>
          <w:p>
            <w:pPr>
              <w:jc w:val="center"/>
              <w:ind w:left="28"/>
              <w:spacing w:after="0"/>
              <w:rPr>
                <w:sz w:val="20"/>
                <w:szCs w:val="20"/>
                <w:color w:val="auto"/>
              </w:rPr>
            </w:pPr>
            <w:r>
              <w:rPr>
                <w:rFonts w:ascii="Arial" w:cs="Arial" w:eastAsia="Arial" w:hAnsi="Arial"/>
                <w:sz w:val="10"/>
                <w:szCs w:val="10"/>
                <w:b w:val="1"/>
                <w:bCs w:val="1"/>
                <w:color w:val="54585A"/>
                <w:w w:val="96"/>
              </w:rPr>
              <w:t>William A. Hasler</w:t>
            </w:r>
          </w:p>
        </w:tc>
        <w:tc>
          <w:tcPr>
            <w:tcW w:w="122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6"/>
              </w:rPr>
              <w:t>James Monroe III</w:t>
            </w:r>
          </w:p>
        </w:tc>
        <w:tc>
          <w:tcPr>
            <w:tcW w:w="122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6"/>
              </w:rPr>
              <w:t>Michael J. Lovett</w:t>
            </w:r>
          </w:p>
        </w:tc>
        <w:tc>
          <w:tcPr>
            <w:tcW w:w="0" w:type="dxa"/>
            <w:vAlign w:val="bottom"/>
          </w:tcPr>
          <w:p>
            <w:pPr>
              <w:spacing w:after="0"/>
              <w:rPr>
                <w:sz w:val="1"/>
                <w:szCs w:val="1"/>
                <w:color w:val="auto"/>
              </w:rPr>
            </w:pPr>
          </w:p>
        </w:tc>
      </w:tr>
      <w:tr>
        <w:trPr>
          <w:trHeight w:val="69"/>
        </w:trPr>
        <w:tc>
          <w:tcPr>
            <w:tcW w:w="640" w:type="dxa"/>
            <w:vAlign w:val="bottom"/>
            <w:shd w:val="clear" w:color="auto" w:fill="EEEDED"/>
          </w:tcPr>
          <w:p>
            <w:pPr>
              <w:spacing w:after="0"/>
              <w:rPr>
                <w:sz w:val="6"/>
                <w:szCs w:val="6"/>
                <w:color w:val="auto"/>
              </w:rPr>
            </w:pPr>
          </w:p>
        </w:tc>
        <w:tc>
          <w:tcPr>
            <w:tcW w:w="2160" w:type="dxa"/>
            <w:vAlign w:val="bottom"/>
            <w:shd w:val="clear" w:color="auto" w:fill="EEEDED"/>
          </w:tcPr>
          <w:p>
            <w:pPr>
              <w:spacing w:after="0"/>
              <w:rPr>
                <w:sz w:val="6"/>
                <w:szCs w:val="6"/>
                <w:color w:val="auto"/>
              </w:rPr>
            </w:pPr>
          </w:p>
        </w:tc>
        <w:tc>
          <w:tcPr>
            <w:tcW w:w="940" w:type="dxa"/>
            <w:vAlign w:val="bottom"/>
            <w:shd w:val="clear" w:color="auto" w:fill="EEEDED"/>
          </w:tcPr>
          <w:p>
            <w:pPr>
              <w:spacing w:after="0"/>
              <w:rPr>
                <w:sz w:val="6"/>
                <w:szCs w:val="6"/>
                <w:color w:val="auto"/>
              </w:rPr>
            </w:pPr>
          </w:p>
        </w:tc>
        <w:tc>
          <w:tcPr>
            <w:tcW w:w="1440" w:type="dxa"/>
            <w:vAlign w:val="bottom"/>
            <w:shd w:val="clear" w:color="auto" w:fill="EEEDED"/>
          </w:tcPr>
          <w:p>
            <w:pPr>
              <w:spacing w:after="0"/>
              <w:rPr>
                <w:sz w:val="6"/>
                <w:szCs w:val="6"/>
                <w:color w:val="auto"/>
              </w:rPr>
            </w:pPr>
          </w:p>
        </w:tc>
        <w:tc>
          <w:tcPr>
            <w:tcW w:w="1160" w:type="dxa"/>
            <w:vAlign w:val="bottom"/>
            <w:shd w:val="clear" w:color="auto" w:fill="EEEDED"/>
          </w:tcPr>
          <w:p>
            <w:pPr>
              <w:spacing w:after="0"/>
              <w:rPr>
                <w:sz w:val="6"/>
                <w:szCs w:val="6"/>
                <w:color w:val="auto"/>
              </w:rPr>
            </w:pPr>
          </w:p>
        </w:tc>
        <w:tc>
          <w:tcPr>
            <w:tcW w:w="1120" w:type="dxa"/>
            <w:vAlign w:val="bottom"/>
            <w:shd w:val="clear" w:color="auto" w:fill="EEEDED"/>
          </w:tcPr>
          <w:p>
            <w:pPr>
              <w:spacing w:after="0"/>
              <w:rPr>
                <w:sz w:val="6"/>
                <w:szCs w:val="6"/>
                <w:color w:val="auto"/>
              </w:rPr>
            </w:pPr>
          </w:p>
        </w:tc>
        <w:tc>
          <w:tcPr>
            <w:tcW w:w="1340" w:type="dxa"/>
            <w:vAlign w:val="bottom"/>
            <w:shd w:val="clear" w:color="auto" w:fill="EEEDED"/>
          </w:tcPr>
          <w:p>
            <w:pPr>
              <w:spacing w:after="0"/>
              <w:rPr>
                <w:sz w:val="6"/>
                <w:szCs w:val="6"/>
                <w:color w:val="auto"/>
              </w:rPr>
            </w:pPr>
          </w:p>
        </w:tc>
        <w:tc>
          <w:tcPr>
            <w:tcW w:w="1220" w:type="dxa"/>
            <w:vAlign w:val="bottom"/>
            <w:shd w:val="clear" w:color="auto" w:fill="EEEDED"/>
          </w:tcPr>
          <w:p>
            <w:pPr>
              <w:spacing w:after="0"/>
              <w:rPr>
                <w:sz w:val="6"/>
                <w:szCs w:val="6"/>
                <w:color w:val="auto"/>
              </w:rPr>
            </w:pPr>
          </w:p>
        </w:tc>
        <w:tc>
          <w:tcPr>
            <w:tcW w:w="1220" w:type="dxa"/>
            <w:vAlign w:val="bottom"/>
            <w:shd w:val="clear" w:color="auto" w:fill="EEEDED"/>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40" w:type="dxa"/>
            <w:vAlign w:val="bottom"/>
          </w:tcPr>
          <w:p>
            <w:pPr>
              <w:spacing w:after="0"/>
              <w:rPr>
                <w:sz w:val="13"/>
                <w:szCs w:val="13"/>
                <w:color w:val="auto"/>
              </w:rPr>
            </w:pPr>
          </w:p>
        </w:tc>
        <w:tc>
          <w:tcPr>
            <w:tcW w:w="2160" w:type="dxa"/>
            <w:vAlign w:val="bottom"/>
          </w:tcPr>
          <w:p>
            <w:pPr>
              <w:ind w:left="20"/>
              <w:spacing w:after="0"/>
              <w:rPr>
                <w:sz w:val="20"/>
                <w:szCs w:val="20"/>
                <w:color w:val="auto"/>
              </w:rPr>
            </w:pPr>
            <w:r>
              <w:rPr>
                <w:rFonts w:ascii="Arial" w:cs="Arial" w:eastAsia="Arial" w:hAnsi="Arial"/>
                <w:sz w:val="10"/>
                <w:szCs w:val="10"/>
                <w:b w:val="1"/>
                <w:bCs w:val="1"/>
                <w:color w:val="54585A"/>
              </w:rPr>
              <w:t>CEO / Executive</w:t>
            </w:r>
          </w:p>
        </w:tc>
        <w:tc>
          <w:tcPr>
            <w:tcW w:w="940" w:type="dxa"/>
            <w:vAlign w:val="bottom"/>
            <w:vMerge w:val="restart"/>
          </w:tcPr>
          <w:p>
            <w:pPr>
              <w:jc w:val="center"/>
              <w:ind w:left="4"/>
              <w:spacing w:after="0"/>
              <w:rPr>
                <w:sz w:val="20"/>
                <w:szCs w:val="20"/>
                <w:color w:val="auto"/>
              </w:rPr>
            </w:pPr>
            <w:r>
              <w:rPr>
                <w:rFonts w:ascii="Arial" w:cs="Arial" w:eastAsia="Arial" w:hAnsi="Arial"/>
                <w:sz w:val="22"/>
                <w:szCs w:val="22"/>
                <w:b w:val="1"/>
                <w:bCs w:val="1"/>
                <w:color w:val="EB6C10"/>
              </w:rPr>
              <w:t>•</w:t>
            </w:r>
          </w:p>
        </w:tc>
        <w:tc>
          <w:tcPr>
            <w:tcW w:w="1440" w:type="dxa"/>
            <w:vAlign w:val="bottom"/>
            <w:vMerge w:val="restart"/>
          </w:tcPr>
          <w:p>
            <w:pPr>
              <w:jc w:val="center"/>
              <w:ind w:left="68"/>
              <w:spacing w:after="0"/>
              <w:rPr>
                <w:sz w:val="20"/>
                <w:szCs w:val="20"/>
                <w:color w:val="auto"/>
              </w:rPr>
            </w:pPr>
            <w:r>
              <w:rPr>
                <w:rFonts w:ascii="Arial" w:cs="Arial" w:eastAsia="Arial" w:hAnsi="Arial"/>
                <w:sz w:val="22"/>
                <w:szCs w:val="22"/>
                <w:b w:val="1"/>
                <w:bCs w:val="1"/>
                <w:color w:val="EB6C10"/>
              </w:rPr>
              <w:t>•</w:t>
            </w:r>
          </w:p>
        </w:tc>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EB6C10"/>
              </w:rPr>
              <w:t>•</w:t>
            </w:r>
          </w:p>
        </w:tc>
        <w:tc>
          <w:tcPr>
            <w:tcW w:w="1120" w:type="dxa"/>
            <w:vAlign w:val="bottom"/>
          </w:tcPr>
          <w:p>
            <w:pPr>
              <w:spacing w:after="0"/>
              <w:rPr>
                <w:sz w:val="13"/>
                <w:szCs w:val="13"/>
                <w:color w:val="auto"/>
              </w:rPr>
            </w:pPr>
          </w:p>
        </w:tc>
        <w:tc>
          <w:tcPr>
            <w:tcW w:w="1340" w:type="dxa"/>
            <w:vAlign w:val="bottom"/>
            <w:vMerge w:val="restart"/>
          </w:tcPr>
          <w:p>
            <w:pPr>
              <w:jc w:val="center"/>
              <w:ind w:left="8"/>
              <w:spacing w:after="0"/>
              <w:rPr>
                <w:sz w:val="20"/>
                <w:szCs w:val="20"/>
                <w:color w:val="auto"/>
              </w:rPr>
            </w:pPr>
            <w:r>
              <w:rPr>
                <w:rFonts w:ascii="Arial" w:cs="Arial" w:eastAsia="Arial" w:hAnsi="Arial"/>
                <w:sz w:val="22"/>
                <w:szCs w:val="22"/>
                <w:b w:val="1"/>
                <w:bCs w:val="1"/>
                <w:color w:val="EB6C10"/>
              </w:rPr>
              <w:t>•</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EB6C10"/>
              </w:rPr>
              <w:t>•</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EB6C10"/>
              </w:rPr>
              <w:t>•</w:t>
            </w:r>
          </w:p>
        </w:tc>
        <w:tc>
          <w:tcPr>
            <w:tcW w:w="0" w:type="dxa"/>
            <w:vAlign w:val="bottom"/>
          </w:tcPr>
          <w:p>
            <w:pPr>
              <w:spacing w:after="0"/>
              <w:rPr>
                <w:sz w:val="1"/>
                <w:szCs w:val="1"/>
                <w:color w:val="auto"/>
              </w:rPr>
            </w:pPr>
          </w:p>
        </w:tc>
      </w:tr>
      <w:tr>
        <w:trPr>
          <w:trHeight w:val="154"/>
        </w:trPr>
        <w:tc>
          <w:tcPr>
            <w:tcW w:w="640" w:type="dxa"/>
            <w:vAlign w:val="bottom"/>
          </w:tcPr>
          <w:p>
            <w:pPr>
              <w:spacing w:after="0"/>
              <w:rPr>
                <w:sz w:val="13"/>
                <w:szCs w:val="13"/>
                <w:color w:val="auto"/>
              </w:rPr>
            </w:pPr>
          </w:p>
        </w:tc>
        <w:tc>
          <w:tcPr>
            <w:tcW w:w="2160" w:type="dxa"/>
            <w:vAlign w:val="bottom"/>
          </w:tcPr>
          <w:p>
            <w:pPr>
              <w:ind w:left="20"/>
              <w:spacing w:after="0"/>
              <w:rPr>
                <w:sz w:val="20"/>
                <w:szCs w:val="20"/>
                <w:color w:val="auto"/>
              </w:rPr>
            </w:pPr>
            <w:r>
              <w:rPr>
                <w:rFonts w:ascii="Arial" w:cs="Arial" w:eastAsia="Arial" w:hAnsi="Arial"/>
                <w:sz w:val="10"/>
                <w:szCs w:val="10"/>
                <w:b w:val="1"/>
                <w:bCs w:val="1"/>
                <w:color w:val="54585A"/>
              </w:rPr>
              <w:t>Officer Experience</w:t>
            </w:r>
          </w:p>
        </w:tc>
        <w:tc>
          <w:tcPr>
            <w:tcW w:w="94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640" w:type="dxa"/>
            <w:vAlign w:val="bottom"/>
            <w:tcBorders>
              <w:bottom w:val="single" w:sz="8" w:color="54585A"/>
            </w:tcBorders>
          </w:tcPr>
          <w:p>
            <w:pPr>
              <w:spacing w:after="0"/>
              <w:rPr>
                <w:sz w:val="3"/>
                <w:szCs w:val="3"/>
                <w:color w:val="auto"/>
              </w:rPr>
            </w:pPr>
          </w:p>
        </w:tc>
        <w:tc>
          <w:tcPr>
            <w:tcW w:w="2160" w:type="dxa"/>
            <w:vAlign w:val="bottom"/>
            <w:tcBorders>
              <w:bottom w:val="single" w:sz="8" w:color="54585A"/>
            </w:tcBorders>
          </w:tcPr>
          <w:p>
            <w:pPr>
              <w:spacing w:after="0"/>
              <w:rPr>
                <w:sz w:val="3"/>
                <w:szCs w:val="3"/>
                <w:color w:val="auto"/>
              </w:rPr>
            </w:pPr>
          </w:p>
        </w:tc>
        <w:tc>
          <w:tcPr>
            <w:tcW w:w="940" w:type="dxa"/>
            <w:vAlign w:val="bottom"/>
            <w:tcBorders>
              <w:bottom w:val="single" w:sz="8" w:color="54585A"/>
            </w:tcBorders>
          </w:tcPr>
          <w:p>
            <w:pPr>
              <w:spacing w:after="0"/>
              <w:rPr>
                <w:sz w:val="3"/>
                <w:szCs w:val="3"/>
                <w:color w:val="auto"/>
              </w:rPr>
            </w:pPr>
          </w:p>
        </w:tc>
        <w:tc>
          <w:tcPr>
            <w:tcW w:w="1440" w:type="dxa"/>
            <w:vAlign w:val="bottom"/>
            <w:tcBorders>
              <w:bottom w:val="single" w:sz="8" w:color="54585A"/>
            </w:tcBorders>
          </w:tcPr>
          <w:p>
            <w:pPr>
              <w:spacing w:after="0"/>
              <w:rPr>
                <w:sz w:val="3"/>
                <w:szCs w:val="3"/>
                <w:color w:val="auto"/>
              </w:rPr>
            </w:pPr>
          </w:p>
        </w:tc>
        <w:tc>
          <w:tcPr>
            <w:tcW w:w="1160" w:type="dxa"/>
            <w:vAlign w:val="bottom"/>
            <w:tcBorders>
              <w:bottom w:val="single" w:sz="8" w:color="54585A"/>
            </w:tcBorders>
          </w:tcPr>
          <w:p>
            <w:pPr>
              <w:spacing w:after="0"/>
              <w:rPr>
                <w:sz w:val="3"/>
                <w:szCs w:val="3"/>
                <w:color w:val="auto"/>
              </w:rPr>
            </w:pPr>
          </w:p>
        </w:tc>
        <w:tc>
          <w:tcPr>
            <w:tcW w:w="1120" w:type="dxa"/>
            <w:vAlign w:val="bottom"/>
            <w:tcBorders>
              <w:bottom w:val="single" w:sz="8" w:color="54585A"/>
            </w:tcBorders>
          </w:tcPr>
          <w:p>
            <w:pPr>
              <w:spacing w:after="0"/>
              <w:rPr>
                <w:sz w:val="3"/>
                <w:szCs w:val="3"/>
                <w:color w:val="auto"/>
              </w:rPr>
            </w:pPr>
          </w:p>
        </w:tc>
        <w:tc>
          <w:tcPr>
            <w:tcW w:w="1340" w:type="dxa"/>
            <w:vAlign w:val="bottom"/>
            <w:tcBorders>
              <w:bottom w:val="single" w:sz="8" w:color="54585A"/>
            </w:tcBorders>
          </w:tcPr>
          <w:p>
            <w:pPr>
              <w:spacing w:after="0"/>
              <w:rPr>
                <w:sz w:val="3"/>
                <w:szCs w:val="3"/>
                <w:color w:val="auto"/>
              </w:rPr>
            </w:pPr>
          </w:p>
        </w:tc>
        <w:tc>
          <w:tcPr>
            <w:tcW w:w="1220" w:type="dxa"/>
            <w:vAlign w:val="bottom"/>
            <w:tcBorders>
              <w:bottom w:val="single" w:sz="8" w:color="54585A"/>
            </w:tcBorders>
          </w:tcPr>
          <w:p>
            <w:pPr>
              <w:spacing w:after="0"/>
              <w:rPr>
                <w:sz w:val="3"/>
                <w:szCs w:val="3"/>
                <w:color w:val="auto"/>
              </w:rPr>
            </w:pPr>
          </w:p>
        </w:tc>
        <w:tc>
          <w:tcPr>
            <w:tcW w:w="1220" w:type="dxa"/>
            <w:vAlign w:val="bottom"/>
            <w:tcBorders>
              <w:bottom w:val="single" w:sz="8" w:color="54585A"/>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160" w:type="dxa"/>
            <w:vAlign w:val="bottom"/>
            <w:vMerge w:val="restart"/>
          </w:tcPr>
          <w:p>
            <w:pPr>
              <w:ind w:left="20"/>
              <w:spacing w:after="0"/>
              <w:rPr>
                <w:sz w:val="20"/>
                <w:szCs w:val="20"/>
                <w:color w:val="auto"/>
              </w:rPr>
            </w:pPr>
            <w:r>
              <w:rPr>
                <w:rFonts w:ascii="Arial" w:cs="Arial" w:eastAsia="Arial" w:hAnsi="Arial"/>
                <w:sz w:val="10"/>
                <w:szCs w:val="10"/>
                <w:b w:val="1"/>
                <w:bCs w:val="1"/>
                <w:color w:val="54585A"/>
              </w:rPr>
              <w:t>Telecommunications</w:t>
            </w:r>
          </w:p>
        </w:tc>
        <w:tc>
          <w:tcPr>
            <w:tcW w:w="940" w:type="dxa"/>
            <w:vAlign w:val="bottom"/>
          </w:tcPr>
          <w:p>
            <w:pPr>
              <w:jc w:val="center"/>
              <w:ind w:left="4"/>
              <w:spacing w:after="0" w:line="195" w:lineRule="exact"/>
              <w:rPr>
                <w:sz w:val="20"/>
                <w:szCs w:val="20"/>
                <w:color w:val="auto"/>
              </w:rPr>
            </w:pPr>
            <w:r>
              <w:rPr>
                <w:rFonts w:ascii="Arial" w:cs="Arial" w:eastAsia="Arial" w:hAnsi="Arial"/>
                <w:sz w:val="22"/>
                <w:szCs w:val="22"/>
                <w:b w:val="1"/>
                <w:bCs w:val="1"/>
                <w:color w:val="54585A"/>
              </w:rPr>
              <w:t>•</w:t>
            </w:r>
          </w:p>
        </w:tc>
        <w:tc>
          <w:tcPr>
            <w:tcW w:w="1440" w:type="dxa"/>
            <w:vAlign w:val="bottom"/>
          </w:tcPr>
          <w:p>
            <w:pPr>
              <w:jc w:val="center"/>
              <w:ind w:left="68"/>
              <w:spacing w:after="0" w:line="195" w:lineRule="exact"/>
              <w:rPr>
                <w:sz w:val="20"/>
                <w:szCs w:val="20"/>
                <w:color w:val="auto"/>
              </w:rPr>
            </w:pPr>
            <w:r>
              <w:rPr>
                <w:rFonts w:ascii="Arial" w:cs="Arial" w:eastAsia="Arial" w:hAnsi="Arial"/>
                <w:sz w:val="22"/>
                <w:szCs w:val="22"/>
                <w:b w:val="1"/>
                <w:bCs w:val="1"/>
                <w:color w:val="54585A"/>
              </w:rPr>
              <w:t>•</w:t>
            </w:r>
          </w:p>
        </w:tc>
        <w:tc>
          <w:tcPr>
            <w:tcW w:w="1160" w:type="dxa"/>
            <w:vAlign w:val="bottom"/>
          </w:tcPr>
          <w:p>
            <w:pPr>
              <w:jc w:val="center"/>
              <w:spacing w:after="0" w:line="195" w:lineRule="exact"/>
              <w:rPr>
                <w:sz w:val="20"/>
                <w:szCs w:val="20"/>
                <w:color w:val="auto"/>
              </w:rPr>
            </w:pPr>
            <w:r>
              <w:rPr>
                <w:rFonts w:ascii="Arial" w:cs="Arial" w:eastAsia="Arial" w:hAnsi="Arial"/>
                <w:sz w:val="22"/>
                <w:szCs w:val="22"/>
                <w:b w:val="1"/>
                <w:bCs w:val="1"/>
                <w:color w:val="54585A"/>
              </w:rPr>
              <w:t>•</w:t>
            </w:r>
          </w:p>
        </w:tc>
        <w:tc>
          <w:tcPr>
            <w:tcW w:w="1120" w:type="dxa"/>
            <w:vAlign w:val="bottom"/>
          </w:tcPr>
          <w:p>
            <w:pPr>
              <w:jc w:val="center"/>
              <w:ind w:left="44"/>
              <w:spacing w:after="0" w:line="195" w:lineRule="exact"/>
              <w:rPr>
                <w:sz w:val="20"/>
                <w:szCs w:val="20"/>
                <w:color w:val="auto"/>
              </w:rPr>
            </w:pPr>
            <w:r>
              <w:rPr>
                <w:rFonts w:ascii="Arial" w:cs="Arial" w:eastAsia="Arial" w:hAnsi="Arial"/>
                <w:sz w:val="22"/>
                <w:szCs w:val="22"/>
                <w:b w:val="1"/>
                <w:bCs w:val="1"/>
                <w:color w:val="54585A"/>
                <w:w w:val="77"/>
              </w:rPr>
              <w:t>•</w:t>
            </w:r>
          </w:p>
        </w:tc>
        <w:tc>
          <w:tcPr>
            <w:tcW w:w="1340" w:type="dxa"/>
            <w:vAlign w:val="bottom"/>
          </w:tcPr>
          <w:p>
            <w:pPr>
              <w:jc w:val="center"/>
              <w:ind w:left="8"/>
              <w:spacing w:after="0" w:line="195" w:lineRule="exact"/>
              <w:rPr>
                <w:sz w:val="20"/>
                <w:szCs w:val="20"/>
                <w:color w:val="auto"/>
              </w:rPr>
            </w:pPr>
            <w:r>
              <w:rPr>
                <w:rFonts w:ascii="Arial" w:cs="Arial" w:eastAsia="Arial" w:hAnsi="Arial"/>
                <w:sz w:val="22"/>
                <w:szCs w:val="22"/>
                <w:b w:val="1"/>
                <w:bCs w:val="1"/>
                <w:color w:val="54585A"/>
              </w:rPr>
              <w:t>•</w:t>
            </w:r>
          </w:p>
        </w:tc>
        <w:tc>
          <w:tcPr>
            <w:tcW w:w="1220" w:type="dxa"/>
            <w:vAlign w:val="bottom"/>
          </w:tcPr>
          <w:p>
            <w:pPr>
              <w:jc w:val="center"/>
              <w:spacing w:after="0" w:line="195" w:lineRule="exact"/>
              <w:rPr>
                <w:sz w:val="20"/>
                <w:szCs w:val="20"/>
                <w:color w:val="auto"/>
              </w:rPr>
            </w:pPr>
            <w:r>
              <w:rPr>
                <w:rFonts w:ascii="Arial" w:cs="Arial" w:eastAsia="Arial" w:hAnsi="Arial"/>
                <w:sz w:val="22"/>
                <w:szCs w:val="22"/>
                <w:b w:val="1"/>
                <w:bCs w:val="1"/>
                <w:color w:val="54585A"/>
              </w:rPr>
              <w:t>•</w:t>
            </w:r>
          </w:p>
        </w:tc>
        <w:tc>
          <w:tcPr>
            <w:tcW w:w="1220" w:type="dxa"/>
            <w:vAlign w:val="bottom"/>
          </w:tcPr>
          <w:p>
            <w:pPr>
              <w:jc w:val="center"/>
              <w:spacing w:after="0" w:line="195" w:lineRule="exact"/>
              <w:rPr>
                <w:sz w:val="20"/>
                <w:szCs w:val="20"/>
                <w:color w:val="auto"/>
              </w:rPr>
            </w:pPr>
            <w:r>
              <w:rPr>
                <w:rFonts w:ascii="Arial" w:cs="Arial" w:eastAsia="Arial" w:hAnsi="Arial"/>
                <w:sz w:val="22"/>
                <w:szCs w:val="22"/>
                <w:b w:val="1"/>
                <w:bCs w:val="1"/>
                <w:color w:val="54585A"/>
              </w:rPr>
              <w:t>•</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216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640" w:type="dxa"/>
            <w:vAlign w:val="bottom"/>
            <w:tcBorders>
              <w:bottom w:val="single" w:sz="8" w:color="54585A"/>
            </w:tcBorders>
          </w:tcPr>
          <w:p>
            <w:pPr>
              <w:spacing w:after="0"/>
              <w:rPr>
                <w:sz w:val="10"/>
                <w:szCs w:val="10"/>
                <w:color w:val="auto"/>
              </w:rPr>
            </w:pPr>
          </w:p>
        </w:tc>
        <w:tc>
          <w:tcPr>
            <w:tcW w:w="2160" w:type="dxa"/>
            <w:vAlign w:val="bottom"/>
            <w:tcBorders>
              <w:bottom w:val="single" w:sz="8" w:color="54585A"/>
            </w:tcBorders>
          </w:tcPr>
          <w:p>
            <w:pPr>
              <w:spacing w:after="0"/>
              <w:rPr>
                <w:sz w:val="10"/>
                <w:szCs w:val="10"/>
                <w:color w:val="auto"/>
              </w:rPr>
            </w:pPr>
          </w:p>
        </w:tc>
        <w:tc>
          <w:tcPr>
            <w:tcW w:w="940" w:type="dxa"/>
            <w:vAlign w:val="bottom"/>
            <w:tcBorders>
              <w:bottom w:val="single" w:sz="8" w:color="54585A"/>
            </w:tcBorders>
          </w:tcPr>
          <w:p>
            <w:pPr>
              <w:spacing w:after="0"/>
              <w:rPr>
                <w:sz w:val="10"/>
                <w:szCs w:val="10"/>
                <w:color w:val="auto"/>
              </w:rPr>
            </w:pPr>
          </w:p>
        </w:tc>
        <w:tc>
          <w:tcPr>
            <w:tcW w:w="1440" w:type="dxa"/>
            <w:vAlign w:val="bottom"/>
            <w:tcBorders>
              <w:bottom w:val="single" w:sz="8" w:color="54585A"/>
            </w:tcBorders>
          </w:tcPr>
          <w:p>
            <w:pPr>
              <w:spacing w:after="0"/>
              <w:rPr>
                <w:sz w:val="10"/>
                <w:szCs w:val="10"/>
                <w:color w:val="auto"/>
              </w:rPr>
            </w:pPr>
          </w:p>
        </w:tc>
        <w:tc>
          <w:tcPr>
            <w:tcW w:w="1160" w:type="dxa"/>
            <w:vAlign w:val="bottom"/>
            <w:tcBorders>
              <w:bottom w:val="single" w:sz="8" w:color="54585A"/>
            </w:tcBorders>
          </w:tcPr>
          <w:p>
            <w:pPr>
              <w:spacing w:after="0"/>
              <w:rPr>
                <w:sz w:val="10"/>
                <w:szCs w:val="10"/>
                <w:color w:val="auto"/>
              </w:rPr>
            </w:pPr>
          </w:p>
        </w:tc>
        <w:tc>
          <w:tcPr>
            <w:tcW w:w="1120" w:type="dxa"/>
            <w:vAlign w:val="bottom"/>
            <w:tcBorders>
              <w:bottom w:val="single" w:sz="8" w:color="54585A"/>
            </w:tcBorders>
          </w:tcPr>
          <w:p>
            <w:pPr>
              <w:spacing w:after="0"/>
              <w:rPr>
                <w:sz w:val="10"/>
                <w:szCs w:val="10"/>
                <w:color w:val="auto"/>
              </w:rPr>
            </w:pPr>
          </w:p>
        </w:tc>
        <w:tc>
          <w:tcPr>
            <w:tcW w:w="1340" w:type="dxa"/>
            <w:vAlign w:val="bottom"/>
            <w:tcBorders>
              <w:bottom w:val="single" w:sz="8" w:color="54585A"/>
            </w:tcBorders>
          </w:tcPr>
          <w:p>
            <w:pPr>
              <w:spacing w:after="0"/>
              <w:rPr>
                <w:sz w:val="10"/>
                <w:szCs w:val="10"/>
                <w:color w:val="auto"/>
              </w:rPr>
            </w:pPr>
          </w:p>
        </w:tc>
        <w:tc>
          <w:tcPr>
            <w:tcW w:w="1220" w:type="dxa"/>
            <w:vAlign w:val="bottom"/>
            <w:tcBorders>
              <w:bottom w:val="single" w:sz="8" w:color="54585A"/>
            </w:tcBorders>
          </w:tcPr>
          <w:p>
            <w:pPr>
              <w:spacing w:after="0"/>
              <w:rPr>
                <w:sz w:val="10"/>
                <w:szCs w:val="10"/>
                <w:color w:val="auto"/>
              </w:rPr>
            </w:pPr>
          </w:p>
        </w:tc>
        <w:tc>
          <w:tcPr>
            <w:tcW w:w="1220" w:type="dxa"/>
            <w:vAlign w:val="bottom"/>
            <w:tcBorders>
              <w:bottom w:val="single" w:sz="8" w:color="54585A"/>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160" w:type="dxa"/>
            <w:vAlign w:val="bottom"/>
            <w:vMerge w:val="restart"/>
          </w:tcPr>
          <w:p>
            <w:pPr>
              <w:ind w:left="20"/>
              <w:spacing w:after="0"/>
              <w:rPr>
                <w:sz w:val="20"/>
                <w:szCs w:val="20"/>
                <w:color w:val="auto"/>
              </w:rPr>
            </w:pPr>
            <w:r>
              <w:rPr>
                <w:rFonts w:ascii="Arial" w:cs="Arial" w:eastAsia="Arial" w:hAnsi="Arial"/>
                <w:sz w:val="10"/>
                <w:szCs w:val="10"/>
                <w:b w:val="1"/>
                <w:bCs w:val="1"/>
                <w:color w:val="54585A"/>
              </w:rPr>
              <w:t>Accounting or Finance</w:t>
            </w:r>
          </w:p>
        </w:tc>
        <w:tc>
          <w:tcPr>
            <w:tcW w:w="940" w:type="dxa"/>
            <w:vAlign w:val="bottom"/>
          </w:tcPr>
          <w:p>
            <w:pPr>
              <w:spacing w:after="0"/>
              <w:rPr>
                <w:sz w:val="17"/>
                <w:szCs w:val="17"/>
                <w:color w:val="auto"/>
              </w:rPr>
            </w:pPr>
          </w:p>
        </w:tc>
        <w:tc>
          <w:tcPr>
            <w:tcW w:w="1440" w:type="dxa"/>
            <w:vAlign w:val="bottom"/>
          </w:tcPr>
          <w:p>
            <w:pPr>
              <w:jc w:val="center"/>
              <w:ind w:left="68"/>
              <w:spacing w:after="0" w:line="195" w:lineRule="exact"/>
              <w:rPr>
                <w:sz w:val="20"/>
                <w:szCs w:val="20"/>
                <w:color w:val="auto"/>
              </w:rPr>
            </w:pPr>
            <w:r>
              <w:rPr>
                <w:rFonts w:ascii="Arial" w:cs="Arial" w:eastAsia="Arial" w:hAnsi="Arial"/>
                <w:sz w:val="22"/>
                <w:szCs w:val="22"/>
                <w:b w:val="1"/>
                <w:bCs w:val="1"/>
                <w:color w:val="1D8DB8"/>
              </w:rPr>
              <w:t>•</w:t>
            </w:r>
          </w:p>
        </w:tc>
        <w:tc>
          <w:tcPr>
            <w:tcW w:w="1160" w:type="dxa"/>
            <w:vAlign w:val="bottom"/>
          </w:tcPr>
          <w:p>
            <w:pPr>
              <w:jc w:val="center"/>
              <w:spacing w:after="0" w:line="195" w:lineRule="exact"/>
              <w:rPr>
                <w:sz w:val="20"/>
                <w:szCs w:val="20"/>
                <w:color w:val="auto"/>
              </w:rPr>
            </w:pPr>
            <w:r>
              <w:rPr>
                <w:rFonts w:ascii="Arial" w:cs="Arial" w:eastAsia="Arial" w:hAnsi="Arial"/>
                <w:sz w:val="22"/>
                <w:szCs w:val="22"/>
                <w:b w:val="1"/>
                <w:bCs w:val="1"/>
                <w:color w:val="1D8DB8"/>
              </w:rPr>
              <w:t>•</w:t>
            </w:r>
          </w:p>
        </w:tc>
        <w:tc>
          <w:tcPr>
            <w:tcW w:w="1120" w:type="dxa"/>
            <w:vAlign w:val="bottom"/>
          </w:tcPr>
          <w:p>
            <w:pPr>
              <w:jc w:val="center"/>
              <w:ind w:left="44"/>
              <w:spacing w:after="0" w:line="195" w:lineRule="exact"/>
              <w:rPr>
                <w:sz w:val="20"/>
                <w:szCs w:val="20"/>
                <w:color w:val="auto"/>
              </w:rPr>
            </w:pPr>
            <w:r>
              <w:rPr>
                <w:rFonts w:ascii="Arial" w:cs="Arial" w:eastAsia="Arial" w:hAnsi="Arial"/>
                <w:sz w:val="22"/>
                <w:szCs w:val="22"/>
                <w:b w:val="1"/>
                <w:bCs w:val="1"/>
                <w:color w:val="1D8DB8"/>
                <w:w w:val="77"/>
              </w:rPr>
              <w:t>•</w:t>
            </w:r>
          </w:p>
        </w:tc>
        <w:tc>
          <w:tcPr>
            <w:tcW w:w="1340" w:type="dxa"/>
            <w:vAlign w:val="bottom"/>
          </w:tcPr>
          <w:p>
            <w:pPr>
              <w:jc w:val="center"/>
              <w:ind w:left="8"/>
              <w:spacing w:after="0" w:line="195" w:lineRule="exact"/>
              <w:rPr>
                <w:sz w:val="20"/>
                <w:szCs w:val="20"/>
                <w:color w:val="auto"/>
              </w:rPr>
            </w:pPr>
            <w:r>
              <w:rPr>
                <w:rFonts w:ascii="Arial" w:cs="Arial" w:eastAsia="Arial" w:hAnsi="Arial"/>
                <w:sz w:val="22"/>
                <w:szCs w:val="22"/>
                <w:b w:val="1"/>
                <w:bCs w:val="1"/>
                <w:color w:val="1D8DB8"/>
              </w:rPr>
              <w:t>•</w:t>
            </w:r>
          </w:p>
        </w:tc>
        <w:tc>
          <w:tcPr>
            <w:tcW w:w="1220" w:type="dxa"/>
            <w:vAlign w:val="bottom"/>
          </w:tcPr>
          <w:p>
            <w:pPr>
              <w:jc w:val="center"/>
              <w:spacing w:after="0" w:line="195" w:lineRule="exact"/>
              <w:rPr>
                <w:sz w:val="20"/>
                <w:szCs w:val="20"/>
                <w:color w:val="auto"/>
              </w:rPr>
            </w:pPr>
            <w:r>
              <w:rPr>
                <w:rFonts w:ascii="Arial" w:cs="Arial" w:eastAsia="Arial" w:hAnsi="Arial"/>
                <w:sz w:val="22"/>
                <w:szCs w:val="22"/>
                <w:b w:val="1"/>
                <w:bCs w:val="1"/>
                <w:color w:val="1D8DB8"/>
              </w:rPr>
              <w:t>•</w:t>
            </w:r>
          </w:p>
        </w:tc>
        <w:tc>
          <w:tcPr>
            <w:tcW w:w="1220" w:type="dxa"/>
            <w:vAlign w:val="bottom"/>
          </w:tcPr>
          <w:p>
            <w:pPr>
              <w:jc w:val="center"/>
              <w:spacing w:after="0" w:line="195" w:lineRule="exact"/>
              <w:rPr>
                <w:sz w:val="20"/>
                <w:szCs w:val="20"/>
                <w:color w:val="auto"/>
              </w:rPr>
            </w:pPr>
            <w:r>
              <w:rPr>
                <w:rFonts w:ascii="Arial" w:cs="Arial" w:eastAsia="Arial" w:hAnsi="Arial"/>
                <w:sz w:val="22"/>
                <w:szCs w:val="22"/>
                <w:b w:val="1"/>
                <w:bCs w:val="1"/>
                <w:color w:val="1D8DB8"/>
              </w:rPr>
              <w:t>•</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216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640" w:type="dxa"/>
            <w:vAlign w:val="bottom"/>
            <w:tcBorders>
              <w:bottom w:val="single" w:sz="8" w:color="54585A"/>
            </w:tcBorders>
          </w:tcPr>
          <w:p>
            <w:pPr>
              <w:spacing w:after="0"/>
              <w:rPr>
                <w:sz w:val="10"/>
                <w:szCs w:val="10"/>
                <w:color w:val="auto"/>
              </w:rPr>
            </w:pPr>
          </w:p>
        </w:tc>
        <w:tc>
          <w:tcPr>
            <w:tcW w:w="2160" w:type="dxa"/>
            <w:vAlign w:val="bottom"/>
            <w:tcBorders>
              <w:bottom w:val="single" w:sz="8" w:color="54585A"/>
            </w:tcBorders>
          </w:tcPr>
          <w:p>
            <w:pPr>
              <w:spacing w:after="0"/>
              <w:rPr>
                <w:sz w:val="10"/>
                <w:szCs w:val="10"/>
                <w:color w:val="auto"/>
              </w:rPr>
            </w:pPr>
          </w:p>
        </w:tc>
        <w:tc>
          <w:tcPr>
            <w:tcW w:w="940" w:type="dxa"/>
            <w:vAlign w:val="bottom"/>
            <w:tcBorders>
              <w:bottom w:val="single" w:sz="8" w:color="54585A"/>
            </w:tcBorders>
          </w:tcPr>
          <w:p>
            <w:pPr>
              <w:spacing w:after="0"/>
              <w:rPr>
                <w:sz w:val="10"/>
                <w:szCs w:val="10"/>
                <w:color w:val="auto"/>
              </w:rPr>
            </w:pPr>
          </w:p>
        </w:tc>
        <w:tc>
          <w:tcPr>
            <w:tcW w:w="1440" w:type="dxa"/>
            <w:vAlign w:val="bottom"/>
            <w:tcBorders>
              <w:bottom w:val="single" w:sz="8" w:color="54585A"/>
            </w:tcBorders>
          </w:tcPr>
          <w:p>
            <w:pPr>
              <w:spacing w:after="0"/>
              <w:rPr>
                <w:sz w:val="10"/>
                <w:szCs w:val="10"/>
                <w:color w:val="auto"/>
              </w:rPr>
            </w:pPr>
          </w:p>
        </w:tc>
        <w:tc>
          <w:tcPr>
            <w:tcW w:w="1160" w:type="dxa"/>
            <w:vAlign w:val="bottom"/>
            <w:tcBorders>
              <w:bottom w:val="single" w:sz="8" w:color="54585A"/>
            </w:tcBorders>
          </w:tcPr>
          <w:p>
            <w:pPr>
              <w:spacing w:after="0"/>
              <w:rPr>
                <w:sz w:val="10"/>
                <w:szCs w:val="10"/>
                <w:color w:val="auto"/>
              </w:rPr>
            </w:pPr>
          </w:p>
        </w:tc>
        <w:tc>
          <w:tcPr>
            <w:tcW w:w="1120" w:type="dxa"/>
            <w:vAlign w:val="bottom"/>
            <w:tcBorders>
              <w:bottom w:val="single" w:sz="8" w:color="54585A"/>
            </w:tcBorders>
          </w:tcPr>
          <w:p>
            <w:pPr>
              <w:spacing w:after="0"/>
              <w:rPr>
                <w:sz w:val="10"/>
                <w:szCs w:val="10"/>
                <w:color w:val="auto"/>
              </w:rPr>
            </w:pPr>
          </w:p>
        </w:tc>
        <w:tc>
          <w:tcPr>
            <w:tcW w:w="1340" w:type="dxa"/>
            <w:vAlign w:val="bottom"/>
            <w:tcBorders>
              <w:bottom w:val="single" w:sz="8" w:color="54585A"/>
            </w:tcBorders>
          </w:tcPr>
          <w:p>
            <w:pPr>
              <w:spacing w:after="0"/>
              <w:rPr>
                <w:sz w:val="10"/>
                <w:szCs w:val="10"/>
                <w:color w:val="auto"/>
              </w:rPr>
            </w:pPr>
          </w:p>
        </w:tc>
        <w:tc>
          <w:tcPr>
            <w:tcW w:w="1220" w:type="dxa"/>
            <w:vAlign w:val="bottom"/>
            <w:tcBorders>
              <w:bottom w:val="single" w:sz="8" w:color="54585A"/>
            </w:tcBorders>
          </w:tcPr>
          <w:p>
            <w:pPr>
              <w:spacing w:after="0"/>
              <w:rPr>
                <w:sz w:val="10"/>
                <w:szCs w:val="10"/>
                <w:color w:val="auto"/>
              </w:rPr>
            </w:pPr>
          </w:p>
        </w:tc>
        <w:tc>
          <w:tcPr>
            <w:tcW w:w="1220" w:type="dxa"/>
            <w:vAlign w:val="bottom"/>
            <w:tcBorders>
              <w:bottom w:val="single" w:sz="8" w:color="54585A"/>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160" w:type="dxa"/>
            <w:vAlign w:val="bottom"/>
            <w:vMerge w:val="restart"/>
          </w:tcPr>
          <w:p>
            <w:pPr>
              <w:ind w:left="20"/>
              <w:spacing w:after="0"/>
              <w:rPr>
                <w:sz w:val="20"/>
                <w:szCs w:val="20"/>
                <w:color w:val="auto"/>
              </w:rPr>
            </w:pPr>
            <w:r>
              <w:rPr>
                <w:rFonts w:ascii="Arial" w:cs="Arial" w:eastAsia="Arial" w:hAnsi="Arial"/>
                <w:sz w:val="10"/>
                <w:szCs w:val="10"/>
                <w:b w:val="1"/>
                <w:bCs w:val="1"/>
                <w:color w:val="54585A"/>
              </w:rPr>
              <w:t>Global Business</w:t>
            </w:r>
          </w:p>
        </w:tc>
        <w:tc>
          <w:tcPr>
            <w:tcW w:w="940" w:type="dxa"/>
            <w:vAlign w:val="bottom"/>
          </w:tcPr>
          <w:p>
            <w:pPr>
              <w:jc w:val="center"/>
              <w:ind w:left="4"/>
              <w:spacing w:after="0" w:line="195" w:lineRule="exact"/>
              <w:rPr>
                <w:sz w:val="20"/>
                <w:szCs w:val="20"/>
                <w:color w:val="auto"/>
              </w:rPr>
            </w:pPr>
            <w:r>
              <w:rPr>
                <w:rFonts w:ascii="Arial" w:cs="Arial" w:eastAsia="Arial" w:hAnsi="Arial"/>
                <w:sz w:val="22"/>
                <w:szCs w:val="22"/>
                <w:b w:val="1"/>
                <w:bCs w:val="1"/>
                <w:color w:val="63C237"/>
              </w:rPr>
              <w:t>•</w:t>
            </w:r>
          </w:p>
        </w:tc>
        <w:tc>
          <w:tcPr>
            <w:tcW w:w="1440" w:type="dxa"/>
            <w:vAlign w:val="bottom"/>
          </w:tcPr>
          <w:p>
            <w:pPr>
              <w:jc w:val="center"/>
              <w:ind w:left="68"/>
              <w:spacing w:after="0" w:line="195" w:lineRule="exact"/>
              <w:rPr>
                <w:sz w:val="20"/>
                <w:szCs w:val="20"/>
                <w:color w:val="auto"/>
              </w:rPr>
            </w:pPr>
            <w:r>
              <w:rPr>
                <w:rFonts w:ascii="Arial" w:cs="Arial" w:eastAsia="Arial" w:hAnsi="Arial"/>
                <w:sz w:val="22"/>
                <w:szCs w:val="22"/>
                <w:b w:val="1"/>
                <w:bCs w:val="1"/>
                <w:color w:val="63C237"/>
              </w:rPr>
              <w:t>•</w:t>
            </w:r>
          </w:p>
        </w:tc>
        <w:tc>
          <w:tcPr>
            <w:tcW w:w="1160" w:type="dxa"/>
            <w:vAlign w:val="bottom"/>
          </w:tcPr>
          <w:p>
            <w:pPr>
              <w:jc w:val="center"/>
              <w:spacing w:after="0" w:line="195" w:lineRule="exact"/>
              <w:rPr>
                <w:sz w:val="20"/>
                <w:szCs w:val="20"/>
                <w:color w:val="auto"/>
              </w:rPr>
            </w:pPr>
            <w:r>
              <w:rPr>
                <w:rFonts w:ascii="Arial" w:cs="Arial" w:eastAsia="Arial" w:hAnsi="Arial"/>
                <w:sz w:val="22"/>
                <w:szCs w:val="22"/>
                <w:b w:val="1"/>
                <w:bCs w:val="1"/>
                <w:color w:val="63C237"/>
              </w:rPr>
              <w:t>•</w:t>
            </w:r>
          </w:p>
        </w:tc>
        <w:tc>
          <w:tcPr>
            <w:tcW w:w="1120" w:type="dxa"/>
            <w:vAlign w:val="bottom"/>
          </w:tcPr>
          <w:p>
            <w:pPr>
              <w:jc w:val="center"/>
              <w:ind w:left="44"/>
              <w:spacing w:after="0" w:line="195" w:lineRule="exact"/>
              <w:rPr>
                <w:sz w:val="20"/>
                <w:szCs w:val="20"/>
                <w:color w:val="auto"/>
              </w:rPr>
            </w:pPr>
            <w:r>
              <w:rPr>
                <w:rFonts w:ascii="Arial" w:cs="Arial" w:eastAsia="Arial" w:hAnsi="Arial"/>
                <w:sz w:val="22"/>
                <w:szCs w:val="22"/>
                <w:b w:val="1"/>
                <w:bCs w:val="1"/>
                <w:color w:val="63C237"/>
                <w:w w:val="77"/>
              </w:rPr>
              <w:t>•</w:t>
            </w:r>
          </w:p>
        </w:tc>
        <w:tc>
          <w:tcPr>
            <w:tcW w:w="1340" w:type="dxa"/>
            <w:vAlign w:val="bottom"/>
          </w:tcPr>
          <w:p>
            <w:pPr>
              <w:jc w:val="center"/>
              <w:ind w:left="8"/>
              <w:spacing w:after="0" w:line="195" w:lineRule="exact"/>
              <w:rPr>
                <w:sz w:val="20"/>
                <w:szCs w:val="20"/>
                <w:color w:val="auto"/>
              </w:rPr>
            </w:pPr>
            <w:r>
              <w:rPr>
                <w:rFonts w:ascii="Arial" w:cs="Arial" w:eastAsia="Arial" w:hAnsi="Arial"/>
                <w:sz w:val="22"/>
                <w:szCs w:val="22"/>
                <w:b w:val="1"/>
                <w:bCs w:val="1"/>
                <w:color w:val="63C237"/>
              </w:rPr>
              <w:t>•</w:t>
            </w:r>
          </w:p>
        </w:tc>
        <w:tc>
          <w:tcPr>
            <w:tcW w:w="1220" w:type="dxa"/>
            <w:vAlign w:val="bottom"/>
          </w:tcPr>
          <w:p>
            <w:pPr>
              <w:jc w:val="center"/>
              <w:spacing w:after="0" w:line="195" w:lineRule="exact"/>
              <w:rPr>
                <w:sz w:val="20"/>
                <w:szCs w:val="20"/>
                <w:color w:val="auto"/>
              </w:rPr>
            </w:pPr>
            <w:r>
              <w:rPr>
                <w:rFonts w:ascii="Arial" w:cs="Arial" w:eastAsia="Arial" w:hAnsi="Arial"/>
                <w:sz w:val="22"/>
                <w:szCs w:val="22"/>
                <w:b w:val="1"/>
                <w:bCs w:val="1"/>
                <w:color w:val="63C237"/>
              </w:rPr>
              <w:t>•</w:t>
            </w:r>
          </w:p>
        </w:tc>
        <w:tc>
          <w:tcPr>
            <w:tcW w:w="1220" w:type="dxa"/>
            <w:vAlign w:val="bottom"/>
          </w:tcPr>
          <w:p>
            <w:pPr>
              <w:jc w:val="center"/>
              <w:spacing w:after="0" w:line="195" w:lineRule="exact"/>
              <w:rPr>
                <w:sz w:val="20"/>
                <w:szCs w:val="20"/>
                <w:color w:val="auto"/>
              </w:rPr>
            </w:pPr>
            <w:r>
              <w:rPr>
                <w:rFonts w:ascii="Arial" w:cs="Arial" w:eastAsia="Arial" w:hAnsi="Arial"/>
                <w:sz w:val="22"/>
                <w:szCs w:val="22"/>
                <w:b w:val="1"/>
                <w:bCs w:val="1"/>
                <w:color w:val="63C237"/>
              </w:rPr>
              <w:t>•</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216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640" w:type="dxa"/>
            <w:vAlign w:val="bottom"/>
            <w:tcBorders>
              <w:bottom w:val="single" w:sz="8" w:color="54585A"/>
            </w:tcBorders>
          </w:tcPr>
          <w:p>
            <w:pPr>
              <w:spacing w:after="0"/>
              <w:rPr>
                <w:sz w:val="10"/>
                <w:szCs w:val="10"/>
                <w:color w:val="auto"/>
              </w:rPr>
            </w:pPr>
          </w:p>
        </w:tc>
        <w:tc>
          <w:tcPr>
            <w:tcW w:w="2160" w:type="dxa"/>
            <w:vAlign w:val="bottom"/>
            <w:tcBorders>
              <w:bottom w:val="single" w:sz="8" w:color="54585A"/>
            </w:tcBorders>
          </w:tcPr>
          <w:p>
            <w:pPr>
              <w:spacing w:after="0"/>
              <w:rPr>
                <w:sz w:val="10"/>
                <w:szCs w:val="10"/>
                <w:color w:val="auto"/>
              </w:rPr>
            </w:pPr>
          </w:p>
        </w:tc>
        <w:tc>
          <w:tcPr>
            <w:tcW w:w="940" w:type="dxa"/>
            <w:vAlign w:val="bottom"/>
            <w:tcBorders>
              <w:bottom w:val="single" w:sz="8" w:color="54585A"/>
            </w:tcBorders>
          </w:tcPr>
          <w:p>
            <w:pPr>
              <w:spacing w:after="0"/>
              <w:rPr>
                <w:sz w:val="10"/>
                <w:szCs w:val="10"/>
                <w:color w:val="auto"/>
              </w:rPr>
            </w:pPr>
          </w:p>
        </w:tc>
        <w:tc>
          <w:tcPr>
            <w:tcW w:w="1440" w:type="dxa"/>
            <w:vAlign w:val="bottom"/>
            <w:tcBorders>
              <w:bottom w:val="single" w:sz="8" w:color="54585A"/>
            </w:tcBorders>
          </w:tcPr>
          <w:p>
            <w:pPr>
              <w:spacing w:after="0"/>
              <w:rPr>
                <w:sz w:val="10"/>
                <w:szCs w:val="10"/>
                <w:color w:val="auto"/>
              </w:rPr>
            </w:pPr>
          </w:p>
        </w:tc>
        <w:tc>
          <w:tcPr>
            <w:tcW w:w="1160" w:type="dxa"/>
            <w:vAlign w:val="bottom"/>
            <w:tcBorders>
              <w:bottom w:val="single" w:sz="8" w:color="54585A"/>
            </w:tcBorders>
          </w:tcPr>
          <w:p>
            <w:pPr>
              <w:spacing w:after="0"/>
              <w:rPr>
                <w:sz w:val="10"/>
                <w:szCs w:val="10"/>
                <w:color w:val="auto"/>
              </w:rPr>
            </w:pPr>
          </w:p>
        </w:tc>
        <w:tc>
          <w:tcPr>
            <w:tcW w:w="1120" w:type="dxa"/>
            <w:vAlign w:val="bottom"/>
            <w:tcBorders>
              <w:bottom w:val="single" w:sz="8" w:color="54585A"/>
            </w:tcBorders>
          </w:tcPr>
          <w:p>
            <w:pPr>
              <w:spacing w:after="0"/>
              <w:rPr>
                <w:sz w:val="10"/>
                <w:szCs w:val="10"/>
                <w:color w:val="auto"/>
              </w:rPr>
            </w:pPr>
          </w:p>
        </w:tc>
        <w:tc>
          <w:tcPr>
            <w:tcW w:w="1340" w:type="dxa"/>
            <w:vAlign w:val="bottom"/>
            <w:tcBorders>
              <w:bottom w:val="single" w:sz="8" w:color="54585A"/>
            </w:tcBorders>
          </w:tcPr>
          <w:p>
            <w:pPr>
              <w:spacing w:after="0"/>
              <w:rPr>
                <w:sz w:val="10"/>
                <w:szCs w:val="10"/>
                <w:color w:val="auto"/>
              </w:rPr>
            </w:pPr>
          </w:p>
        </w:tc>
        <w:tc>
          <w:tcPr>
            <w:tcW w:w="1220" w:type="dxa"/>
            <w:vAlign w:val="bottom"/>
            <w:tcBorders>
              <w:bottom w:val="single" w:sz="8" w:color="54585A"/>
            </w:tcBorders>
          </w:tcPr>
          <w:p>
            <w:pPr>
              <w:spacing w:after="0"/>
              <w:rPr>
                <w:sz w:val="10"/>
                <w:szCs w:val="10"/>
                <w:color w:val="auto"/>
              </w:rPr>
            </w:pPr>
          </w:p>
        </w:tc>
        <w:tc>
          <w:tcPr>
            <w:tcW w:w="1220" w:type="dxa"/>
            <w:vAlign w:val="bottom"/>
            <w:tcBorders>
              <w:bottom w:val="single" w:sz="8" w:color="54585A"/>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160" w:type="dxa"/>
            <w:vAlign w:val="bottom"/>
            <w:vMerge w:val="restart"/>
          </w:tcPr>
          <w:p>
            <w:pPr>
              <w:ind w:left="20"/>
              <w:spacing w:after="0"/>
              <w:rPr>
                <w:sz w:val="20"/>
                <w:szCs w:val="20"/>
                <w:color w:val="auto"/>
              </w:rPr>
            </w:pPr>
            <w:r>
              <w:rPr>
                <w:rFonts w:ascii="Arial" w:cs="Arial" w:eastAsia="Arial" w:hAnsi="Arial"/>
                <w:sz w:val="10"/>
                <w:szCs w:val="10"/>
                <w:b w:val="1"/>
                <w:bCs w:val="1"/>
                <w:color w:val="54585A"/>
              </w:rPr>
              <w:t>Strategic Planning / Mergers &amp; Acquisitions</w:t>
            </w:r>
          </w:p>
        </w:tc>
        <w:tc>
          <w:tcPr>
            <w:tcW w:w="940" w:type="dxa"/>
            <w:vAlign w:val="bottom"/>
          </w:tcPr>
          <w:p>
            <w:pPr>
              <w:jc w:val="center"/>
              <w:ind w:left="4"/>
              <w:spacing w:after="0" w:line="195" w:lineRule="exact"/>
              <w:rPr>
                <w:sz w:val="20"/>
                <w:szCs w:val="20"/>
                <w:color w:val="auto"/>
              </w:rPr>
            </w:pPr>
            <w:r>
              <w:rPr>
                <w:rFonts w:ascii="Arial" w:cs="Arial" w:eastAsia="Arial" w:hAnsi="Arial"/>
                <w:sz w:val="22"/>
                <w:szCs w:val="22"/>
                <w:b w:val="1"/>
                <w:bCs w:val="1"/>
                <w:color w:val="FFD900"/>
              </w:rPr>
              <w:t>•</w:t>
            </w:r>
          </w:p>
        </w:tc>
        <w:tc>
          <w:tcPr>
            <w:tcW w:w="1440" w:type="dxa"/>
            <w:vAlign w:val="bottom"/>
          </w:tcPr>
          <w:p>
            <w:pPr>
              <w:jc w:val="center"/>
              <w:ind w:left="68"/>
              <w:spacing w:after="0" w:line="195" w:lineRule="exact"/>
              <w:rPr>
                <w:sz w:val="20"/>
                <w:szCs w:val="20"/>
                <w:color w:val="auto"/>
              </w:rPr>
            </w:pPr>
            <w:r>
              <w:rPr>
                <w:rFonts w:ascii="Arial" w:cs="Arial" w:eastAsia="Arial" w:hAnsi="Arial"/>
                <w:sz w:val="22"/>
                <w:szCs w:val="22"/>
                <w:b w:val="1"/>
                <w:bCs w:val="1"/>
                <w:color w:val="FFD900"/>
              </w:rPr>
              <w:t>•</w:t>
            </w:r>
          </w:p>
        </w:tc>
        <w:tc>
          <w:tcPr>
            <w:tcW w:w="1160" w:type="dxa"/>
            <w:vAlign w:val="bottom"/>
          </w:tcPr>
          <w:p>
            <w:pPr>
              <w:jc w:val="center"/>
              <w:spacing w:after="0" w:line="195" w:lineRule="exact"/>
              <w:rPr>
                <w:sz w:val="20"/>
                <w:szCs w:val="20"/>
                <w:color w:val="auto"/>
              </w:rPr>
            </w:pPr>
            <w:r>
              <w:rPr>
                <w:rFonts w:ascii="Arial" w:cs="Arial" w:eastAsia="Arial" w:hAnsi="Arial"/>
                <w:sz w:val="22"/>
                <w:szCs w:val="22"/>
                <w:b w:val="1"/>
                <w:bCs w:val="1"/>
                <w:color w:val="FFD900"/>
              </w:rPr>
              <w:t>•</w:t>
            </w:r>
          </w:p>
        </w:tc>
        <w:tc>
          <w:tcPr>
            <w:tcW w:w="1120" w:type="dxa"/>
            <w:vAlign w:val="bottom"/>
          </w:tcPr>
          <w:p>
            <w:pPr>
              <w:jc w:val="center"/>
              <w:ind w:left="44"/>
              <w:spacing w:after="0" w:line="195" w:lineRule="exact"/>
              <w:rPr>
                <w:sz w:val="20"/>
                <w:szCs w:val="20"/>
                <w:color w:val="auto"/>
              </w:rPr>
            </w:pPr>
            <w:r>
              <w:rPr>
                <w:rFonts w:ascii="Arial" w:cs="Arial" w:eastAsia="Arial" w:hAnsi="Arial"/>
                <w:sz w:val="22"/>
                <w:szCs w:val="22"/>
                <w:b w:val="1"/>
                <w:bCs w:val="1"/>
                <w:color w:val="FFD900"/>
                <w:w w:val="77"/>
              </w:rPr>
              <w:t>•</w:t>
            </w:r>
          </w:p>
        </w:tc>
        <w:tc>
          <w:tcPr>
            <w:tcW w:w="1340" w:type="dxa"/>
            <w:vAlign w:val="bottom"/>
          </w:tcPr>
          <w:p>
            <w:pPr>
              <w:jc w:val="center"/>
              <w:ind w:left="8"/>
              <w:spacing w:after="0" w:line="195" w:lineRule="exact"/>
              <w:rPr>
                <w:sz w:val="20"/>
                <w:szCs w:val="20"/>
                <w:color w:val="auto"/>
              </w:rPr>
            </w:pPr>
            <w:r>
              <w:rPr>
                <w:rFonts w:ascii="Arial" w:cs="Arial" w:eastAsia="Arial" w:hAnsi="Arial"/>
                <w:sz w:val="22"/>
                <w:szCs w:val="22"/>
                <w:b w:val="1"/>
                <w:bCs w:val="1"/>
                <w:color w:val="FFD900"/>
              </w:rPr>
              <w:t>•</w:t>
            </w:r>
          </w:p>
        </w:tc>
        <w:tc>
          <w:tcPr>
            <w:tcW w:w="1220" w:type="dxa"/>
            <w:vAlign w:val="bottom"/>
          </w:tcPr>
          <w:p>
            <w:pPr>
              <w:jc w:val="center"/>
              <w:spacing w:after="0" w:line="195" w:lineRule="exact"/>
              <w:rPr>
                <w:sz w:val="20"/>
                <w:szCs w:val="20"/>
                <w:color w:val="auto"/>
              </w:rPr>
            </w:pPr>
            <w:r>
              <w:rPr>
                <w:rFonts w:ascii="Arial" w:cs="Arial" w:eastAsia="Arial" w:hAnsi="Arial"/>
                <w:sz w:val="22"/>
                <w:szCs w:val="22"/>
                <w:b w:val="1"/>
                <w:bCs w:val="1"/>
                <w:color w:val="FFD900"/>
              </w:rPr>
              <w:t>•</w:t>
            </w:r>
          </w:p>
        </w:tc>
        <w:tc>
          <w:tcPr>
            <w:tcW w:w="1220" w:type="dxa"/>
            <w:vAlign w:val="bottom"/>
          </w:tcPr>
          <w:p>
            <w:pPr>
              <w:jc w:val="center"/>
              <w:spacing w:after="0" w:line="195" w:lineRule="exact"/>
              <w:rPr>
                <w:sz w:val="20"/>
                <w:szCs w:val="20"/>
                <w:color w:val="auto"/>
              </w:rPr>
            </w:pPr>
            <w:r>
              <w:rPr>
                <w:rFonts w:ascii="Arial" w:cs="Arial" w:eastAsia="Arial" w:hAnsi="Arial"/>
                <w:sz w:val="22"/>
                <w:szCs w:val="22"/>
                <w:b w:val="1"/>
                <w:bCs w:val="1"/>
                <w:color w:val="FFD900"/>
              </w:rPr>
              <w:t>•</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216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800" w:type="dxa"/>
            <w:vAlign w:val="bottom"/>
            <w:tcBorders>
              <w:bottom w:val="single" w:sz="8" w:color="54585A"/>
            </w:tcBorders>
            <w:gridSpan w:val="2"/>
          </w:tcPr>
          <w:p>
            <w:pPr>
              <w:spacing w:after="0"/>
              <w:rPr>
                <w:sz w:val="10"/>
                <w:szCs w:val="10"/>
                <w:color w:val="auto"/>
              </w:rPr>
            </w:pPr>
          </w:p>
        </w:tc>
        <w:tc>
          <w:tcPr>
            <w:tcW w:w="940" w:type="dxa"/>
            <w:vAlign w:val="bottom"/>
            <w:tcBorders>
              <w:bottom w:val="single" w:sz="8" w:color="54585A"/>
            </w:tcBorders>
          </w:tcPr>
          <w:p>
            <w:pPr>
              <w:spacing w:after="0"/>
              <w:rPr>
                <w:sz w:val="10"/>
                <w:szCs w:val="10"/>
                <w:color w:val="auto"/>
              </w:rPr>
            </w:pPr>
          </w:p>
        </w:tc>
        <w:tc>
          <w:tcPr>
            <w:tcW w:w="1440" w:type="dxa"/>
            <w:vAlign w:val="bottom"/>
            <w:tcBorders>
              <w:bottom w:val="single" w:sz="8" w:color="54585A"/>
            </w:tcBorders>
          </w:tcPr>
          <w:p>
            <w:pPr>
              <w:spacing w:after="0"/>
              <w:rPr>
                <w:sz w:val="10"/>
                <w:szCs w:val="10"/>
                <w:color w:val="auto"/>
              </w:rPr>
            </w:pPr>
          </w:p>
        </w:tc>
        <w:tc>
          <w:tcPr>
            <w:tcW w:w="1160" w:type="dxa"/>
            <w:vAlign w:val="bottom"/>
            <w:tcBorders>
              <w:bottom w:val="single" w:sz="8" w:color="54585A"/>
            </w:tcBorders>
          </w:tcPr>
          <w:p>
            <w:pPr>
              <w:spacing w:after="0"/>
              <w:rPr>
                <w:sz w:val="10"/>
                <w:szCs w:val="10"/>
                <w:color w:val="auto"/>
              </w:rPr>
            </w:pPr>
          </w:p>
        </w:tc>
        <w:tc>
          <w:tcPr>
            <w:tcW w:w="1120" w:type="dxa"/>
            <w:vAlign w:val="bottom"/>
            <w:tcBorders>
              <w:bottom w:val="single" w:sz="8" w:color="54585A"/>
            </w:tcBorders>
          </w:tcPr>
          <w:p>
            <w:pPr>
              <w:spacing w:after="0"/>
              <w:rPr>
                <w:sz w:val="10"/>
                <w:szCs w:val="10"/>
                <w:color w:val="auto"/>
              </w:rPr>
            </w:pPr>
          </w:p>
        </w:tc>
        <w:tc>
          <w:tcPr>
            <w:tcW w:w="1340" w:type="dxa"/>
            <w:vAlign w:val="bottom"/>
            <w:tcBorders>
              <w:bottom w:val="single" w:sz="8" w:color="54585A"/>
            </w:tcBorders>
          </w:tcPr>
          <w:p>
            <w:pPr>
              <w:spacing w:after="0"/>
              <w:rPr>
                <w:sz w:val="10"/>
                <w:szCs w:val="10"/>
                <w:color w:val="auto"/>
              </w:rPr>
            </w:pPr>
          </w:p>
        </w:tc>
        <w:tc>
          <w:tcPr>
            <w:tcW w:w="1220" w:type="dxa"/>
            <w:vAlign w:val="bottom"/>
            <w:tcBorders>
              <w:bottom w:val="single" w:sz="8" w:color="54585A"/>
            </w:tcBorders>
          </w:tcPr>
          <w:p>
            <w:pPr>
              <w:spacing w:after="0"/>
              <w:rPr>
                <w:sz w:val="10"/>
                <w:szCs w:val="10"/>
                <w:color w:val="auto"/>
              </w:rPr>
            </w:pPr>
          </w:p>
        </w:tc>
        <w:tc>
          <w:tcPr>
            <w:tcW w:w="1220" w:type="dxa"/>
            <w:vAlign w:val="bottom"/>
            <w:tcBorders>
              <w:bottom w:val="single" w:sz="8" w:color="54585A"/>
            </w:tcBorders>
          </w:tcPr>
          <w:p>
            <w:pPr>
              <w:spacing w:after="0"/>
              <w:rPr>
                <w:sz w:val="10"/>
                <w:szCs w:val="10"/>
                <w:color w:val="auto"/>
              </w:rPr>
            </w:pPr>
          </w:p>
        </w:tc>
        <w:tc>
          <w:tcPr>
            <w:tcW w:w="0" w:type="dxa"/>
            <w:vAlign w:val="bottom"/>
          </w:tcPr>
          <w:p>
            <w:pPr>
              <w:spacing w:after="0"/>
              <w:rPr>
                <w:sz w:val="1"/>
                <w:szCs w:val="1"/>
                <w:color w:val="auto"/>
              </w:rPr>
            </w:pPr>
          </w:p>
        </w:tc>
      </w:tr>
      <w:tr>
        <w:trPr>
          <w:trHeight w:val="547"/>
        </w:trPr>
        <w:tc>
          <w:tcPr>
            <w:tcW w:w="2800" w:type="dxa"/>
            <w:vAlign w:val="bottom"/>
            <w:gridSpan w:val="2"/>
          </w:tcPr>
          <w:p>
            <w:pPr>
              <w:spacing w:after="0"/>
              <w:rPr>
                <w:sz w:val="20"/>
                <w:szCs w:val="20"/>
                <w:color w:val="auto"/>
              </w:rPr>
            </w:pPr>
            <w:r>
              <w:rPr>
                <w:rFonts w:ascii="Arial" w:cs="Arial" w:eastAsia="Arial" w:hAnsi="Arial"/>
                <w:sz w:val="12"/>
                <w:szCs w:val="12"/>
                <w:color w:val="EB6C10"/>
              </w:rPr>
              <w:t>Diversity</w:t>
            </w: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00" w:type="dxa"/>
            <w:vAlign w:val="bottom"/>
            <w:gridSpan w:val="2"/>
            <w:vMerge w:val="restart"/>
          </w:tcPr>
          <w:p>
            <w:pPr>
              <w:spacing w:after="0"/>
              <w:rPr>
                <w:sz w:val="20"/>
                <w:szCs w:val="20"/>
                <w:color w:val="auto"/>
              </w:rPr>
            </w:pPr>
            <w:r>
              <w:rPr>
                <w:rFonts w:ascii="Arial" w:cs="Arial" w:eastAsia="Arial" w:hAnsi="Arial"/>
                <w:sz w:val="11"/>
                <w:szCs w:val="11"/>
                <w:b w:val="1"/>
                <w:bCs w:val="1"/>
                <w:color w:val="54585A"/>
              </w:rPr>
              <w:t>Tenure</w:t>
            </w:r>
          </w:p>
        </w:tc>
        <w:tc>
          <w:tcPr>
            <w:tcW w:w="940" w:type="dxa"/>
            <w:vAlign w:val="bottom"/>
          </w:tcPr>
          <w:p>
            <w:pPr>
              <w:spacing w:after="0"/>
              <w:rPr>
                <w:sz w:val="24"/>
                <w:szCs w:val="24"/>
                <w:color w:val="auto"/>
              </w:rPr>
            </w:pPr>
          </w:p>
        </w:tc>
        <w:tc>
          <w:tcPr>
            <w:tcW w:w="1440" w:type="dxa"/>
            <w:vAlign w:val="bottom"/>
          </w:tcPr>
          <w:p>
            <w:pPr>
              <w:ind w:left="40"/>
              <w:spacing w:after="0"/>
              <w:rPr>
                <w:sz w:val="20"/>
                <w:szCs w:val="20"/>
                <w:color w:val="auto"/>
              </w:rPr>
            </w:pPr>
            <w:r>
              <w:rPr>
                <w:rFonts w:ascii="Arial" w:cs="Arial" w:eastAsia="Arial" w:hAnsi="Arial"/>
                <w:sz w:val="11"/>
                <w:szCs w:val="11"/>
                <w:b w:val="1"/>
                <w:bCs w:val="1"/>
                <w:color w:val="54585A"/>
              </w:rPr>
              <w:t>Independence</w:t>
            </w:r>
            <w:r>
              <w:rPr>
                <w:rFonts w:ascii="Arial" w:cs="Arial" w:eastAsia="Arial" w:hAnsi="Arial"/>
                <w:sz w:val="14"/>
                <w:szCs w:val="14"/>
                <w:b w:val="1"/>
                <w:bCs w:val="1"/>
                <w:color w:val="54585A"/>
                <w:vertAlign w:val="superscript"/>
              </w:rPr>
              <w:t>1</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vMerge w:val="restart"/>
          </w:tcPr>
          <w:p>
            <w:pPr>
              <w:ind w:left="80"/>
              <w:spacing w:after="0"/>
              <w:rPr>
                <w:sz w:val="20"/>
                <w:szCs w:val="20"/>
                <w:color w:val="auto"/>
              </w:rPr>
            </w:pPr>
            <w:r>
              <w:rPr>
                <w:rFonts w:ascii="Arial" w:cs="Arial" w:eastAsia="Arial" w:hAnsi="Arial"/>
                <w:sz w:val="11"/>
                <w:szCs w:val="11"/>
                <w:b w:val="1"/>
                <w:bCs w:val="1"/>
                <w:color w:val="54585A"/>
              </w:rPr>
              <w:t>Age</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8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-1728470</wp:posOffset>
            </wp:positionV>
            <wp:extent cx="182880" cy="182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-1499870</wp:posOffset>
            </wp:positionV>
            <wp:extent cx="182880" cy="182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-1271270</wp:posOffset>
            </wp:positionV>
            <wp:extent cx="182880" cy="182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-1042670</wp:posOffset>
            </wp:positionV>
            <wp:extent cx="182880" cy="182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-814070</wp:posOffset>
            </wp:positionV>
            <wp:extent cx="182880" cy="182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111125</wp:posOffset>
            </wp:positionV>
            <wp:extent cx="3943350" cy="11430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43350" cy="1143000"/>
                    </a:xfrm>
                    <a:prstGeom prst="rect">
                      <a:avLst/>
                    </a:prstGeom>
                    <a:noFill/>
                  </pic:spPr>
                </pic:pic>
              </a:graphicData>
            </a:graphic>
          </wp:anchor>
        </w:drawing>
      </w:r>
    </w:p>
    <w:p>
      <w:pPr>
        <w:sectPr>
          <w:pgSz w:w="11900" w:h="16838" w:orient="portrait"/>
          <w:cols w:equalWidth="0" w:num="1">
            <w:col w:w="11248"/>
          </w:cols>
          <w:pgMar w:left="292" w:top="1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328"/>
        <w:spacing w:after="0"/>
        <w:rPr>
          <w:sz w:val="20"/>
          <w:szCs w:val="20"/>
          <w:color w:val="auto"/>
        </w:rPr>
      </w:pPr>
      <w:r>
        <w:rPr>
          <w:rFonts w:ascii="Arial" w:cs="Arial" w:eastAsia="Arial" w:hAnsi="Arial"/>
          <w:sz w:val="17"/>
          <w:szCs w:val="17"/>
          <w:b w:val="1"/>
          <w:bCs w:val="1"/>
          <w:color w:val="EB6C10"/>
        </w:rPr>
        <w:t>•</w:t>
      </w:r>
    </w:p>
    <w:p>
      <w:pPr>
        <w:spacing w:after="0" w:line="102" w:lineRule="exact"/>
        <w:rPr>
          <w:sz w:val="20"/>
          <w:szCs w:val="20"/>
          <w:color w:val="auto"/>
        </w:rPr>
      </w:pPr>
    </w:p>
    <w:p>
      <w:pPr>
        <w:ind w:left="1328"/>
        <w:spacing w:after="0"/>
        <w:rPr>
          <w:sz w:val="20"/>
          <w:szCs w:val="20"/>
          <w:color w:val="auto"/>
        </w:rPr>
      </w:pPr>
      <w:r>
        <w:rPr>
          <w:rFonts w:ascii="Arial" w:cs="Arial" w:eastAsia="Arial" w:hAnsi="Arial"/>
          <w:sz w:val="17"/>
          <w:szCs w:val="17"/>
          <w:b w:val="1"/>
          <w:bCs w:val="1"/>
          <w:color w:val="54585A"/>
        </w:rPr>
        <w:t>•</w:t>
      </w:r>
    </w:p>
    <w:p>
      <w:pPr>
        <w:spacing w:after="0" w:line="102" w:lineRule="exact"/>
        <w:rPr>
          <w:sz w:val="20"/>
          <w:szCs w:val="20"/>
          <w:color w:val="auto"/>
        </w:rPr>
      </w:pPr>
    </w:p>
    <w:p>
      <w:pPr>
        <w:ind w:left="1328"/>
        <w:spacing w:after="0"/>
        <w:rPr>
          <w:sz w:val="20"/>
          <w:szCs w:val="20"/>
          <w:color w:val="auto"/>
        </w:rPr>
      </w:pPr>
      <w:r>
        <w:rPr>
          <w:rFonts w:ascii="Arial" w:cs="Arial" w:eastAsia="Arial" w:hAnsi="Arial"/>
          <w:sz w:val="17"/>
          <w:szCs w:val="17"/>
          <w:b w:val="1"/>
          <w:bCs w:val="1"/>
          <w:color w:val="1D8DB8"/>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0"/>
          <w:szCs w:val="10"/>
          <w:color w:val="54585A"/>
        </w:rPr>
        <w:t>0-9 years</w:t>
      </w:r>
    </w:p>
    <w:p>
      <w:pPr>
        <w:spacing w:after="0" w:line="182" w:lineRule="exact"/>
        <w:rPr>
          <w:sz w:val="20"/>
          <w:szCs w:val="20"/>
          <w:color w:val="auto"/>
        </w:rPr>
      </w:pPr>
    </w:p>
    <w:p>
      <w:pPr>
        <w:spacing w:after="0"/>
        <w:rPr>
          <w:sz w:val="20"/>
          <w:szCs w:val="20"/>
          <w:color w:val="auto"/>
        </w:rPr>
      </w:pPr>
      <w:r>
        <w:rPr>
          <w:rFonts w:ascii="Arial" w:cs="Arial" w:eastAsia="Arial" w:hAnsi="Arial"/>
          <w:sz w:val="8"/>
          <w:szCs w:val="8"/>
          <w:color w:val="54585A"/>
        </w:rPr>
        <w:t>10-19 years</w:t>
      </w:r>
    </w:p>
    <w:p>
      <w:pPr>
        <w:spacing w:after="0" w:line="205" w:lineRule="exact"/>
        <w:rPr>
          <w:sz w:val="20"/>
          <w:szCs w:val="20"/>
          <w:color w:val="auto"/>
        </w:rPr>
      </w:pPr>
    </w:p>
    <w:p>
      <w:pPr>
        <w:spacing w:after="0"/>
        <w:rPr>
          <w:sz w:val="20"/>
          <w:szCs w:val="20"/>
          <w:color w:val="auto"/>
        </w:rPr>
      </w:pPr>
      <w:r>
        <w:rPr>
          <w:rFonts w:ascii="Arial" w:cs="Arial" w:eastAsia="Arial" w:hAnsi="Arial"/>
          <w:sz w:val="10"/>
          <w:szCs w:val="10"/>
          <w:color w:val="54585A"/>
        </w:rPr>
        <w:t>20+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EB6C10"/>
        </w:rPr>
        <w:t>•</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54585A"/>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0"/>
          <w:szCs w:val="10"/>
          <w:color w:val="54585A"/>
        </w:rPr>
        <w:t>Independent</w:t>
      </w:r>
    </w:p>
    <w:p>
      <w:pPr>
        <w:spacing w:after="0" w:line="182" w:lineRule="exact"/>
        <w:rPr>
          <w:sz w:val="20"/>
          <w:szCs w:val="20"/>
          <w:color w:val="auto"/>
        </w:rPr>
      </w:pPr>
    </w:p>
    <w:p>
      <w:pPr>
        <w:spacing w:after="0"/>
        <w:rPr>
          <w:sz w:val="20"/>
          <w:szCs w:val="20"/>
          <w:color w:val="auto"/>
        </w:rPr>
      </w:pPr>
      <w:r>
        <w:rPr>
          <w:rFonts w:ascii="Arial" w:cs="Arial" w:eastAsia="Arial" w:hAnsi="Arial"/>
          <w:sz w:val="8"/>
          <w:szCs w:val="8"/>
          <w:color w:val="54585A"/>
        </w:rPr>
        <w:t>Not 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EB6C10"/>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54585A"/>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1D8DB8"/>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63C237"/>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8"/>
          <w:szCs w:val="8"/>
          <w:color w:val="54585A"/>
        </w:rPr>
        <w:t>40-49 years</w:t>
      </w:r>
    </w:p>
    <w:p>
      <w:pPr>
        <w:spacing w:after="0" w:line="205" w:lineRule="exact"/>
        <w:rPr>
          <w:sz w:val="20"/>
          <w:szCs w:val="20"/>
          <w:color w:val="auto"/>
        </w:rPr>
      </w:pPr>
    </w:p>
    <w:p>
      <w:pPr>
        <w:spacing w:after="0"/>
        <w:rPr>
          <w:sz w:val="20"/>
          <w:szCs w:val="20"/>
          <w:color w:val="auto"/>
        </w:rPr>
      </w:pPr>
      <w:r>
        <w:rPr>
          <w:rFonts w:ascii="Arial" w:cs="Arial" w:eastAsia="Arial" w:hAnsi="Arial"/>
          <w:sz w:val="8"/>
          <w:szCs w:val="8"/>
          <w:color w:val="54585A"/>
        </w:rPr>
        <w:t>50-59 years</w:t>
      </w:r>
    </w:p>
    <w:p>
      <w:pPr>
        <w:spacing w:after="0" w:line="205" w:lineRule="exact"/>
        <w:rPr>
          <w:sz w:val="20"/>
          <w:szCs w:val="20"/>
          <w:color w:val="auto"/>
        </w:rPr>
      </w:pPr>
    </w:p>
    <w:p>
      <w:pPr>
        <w:spacing w:after="0"/>
        <w:rPr>
          <w:sz w:val="20"/>
          <w:szCs w:val="20"/>
          <w:color w:val="auto"/>
        </w:rPr>
      </w:pPr>
      <w:r>
        <w:rPr>
          <w:rFonts w:ascii="Arial" w:cs="Arial" w:eastAsia="Arial" w:hAnsi="Arial"/>
          <w:sz w:val="8"/>
          <w:szCs w:val="8"/>
          <w:color w:val="54585A"/>
        </w:rPr>
        <w:t>60-69 years</w:t>
      </w:r>
    </w:p>
    <w:p>
      <w:pPr>
        <w:spacing w:after="0" w:line="205" w:lineRule="exact"/>
        <w:rPr>
          <w:sz w:val="20"/>
          <w:szCs w:val="20"/>
          <w:color w:val="auto"/>
        </w:rPr>
      </w:pPr>
    </w:p>
    <w:p>
      <w:pPr>
        <w:spacing w:after="0"/>
        <w:rPr>
          <w:sz w:val="20"/>
          <w:szCs w:val="20"/>
          <w:color w:val="auto"/>
        </w:rPr>
      </w:pPr>
      <w:r>
        <w:rPr>
          <w:rFonts w:ascii="Arial" w:cs="Arial" w:eastAsia="Arial" w:hAnsi="Arial"/>
          <w:sz w:val="10"/>
          <w:szCs w:val="10"/>
          <w:color w:val="54585A"/>
        </w:rPr>
        <w:t>70+ years</w:t>
      </w:r>
    </w:p>
    <w:p>
      <w:pPr>
        <w:spacing w:after="0" w:line="239" w:lineRule="exact"/>
        <w:rPr>
          <w:sz w:val="20"/>
          <w:szCs w:val="20"/>
          <w:color w:val="auto"/>
        </w:rPr>
      </w:pPr>
    </w:p>
    <w:p>
      <w:pPr>
        <w:sectPr>
          <w:pgSz w:w="11900" w:h="16838" w:orient="portrait"/>
          <w:cols w:equalWidth="0" w:num="6">
            <w:col w:w="1388" w:space="120"/>
            <w:col w:w="2600" w:space="720"/>
            <w:col w:w="60" w:space="120"/>
            <w:col w:w="3140" w:space="720"/>
            <w:col w:w="80" w:space="100"/>
            <w:col w:w="2200"/>
          </w:cols>
          <w:pgMar w:left="292" w:top="156" w:right="359" w:bottom="1440" w:gutter="0" w:footer="0" w:header="0"/>
          <w:type w:val="continuous"/>
        </w:sectPr>
      </w:pPr>
    </w:p>
    <w:p>
      <w:pPr>
        <w:spacing w:after="0" w:line="87" w:lineRule="exact"/>
        <w:rPr>
          <w:sz w:val="20"/>
          <w:szCs w:val="20"/>
          <w:color w:val="auto"/>
        </w:rPr>
      </w:pPr>
    </w:p>
    <w:p>
      <w:pPr>
        <w:ind w:left="208" w:right="200" w:hanging="208"/>
        <w:spacing w:after="0" w:line="243" w:lineRule="auto"/>
        <w:tabs>
          <w:tab w:leader="none" w:pos="207" w:val="left"/>
        </w:tabs>
        <w:numPr>
          <w:ilvl w:val="0"/>
          <w:numId w:val="12"/>
        </w:numPr>
        <w:rPr>
          <w:rFonts w:ascii="Arial" w:cs="Arial" w:eastAsia="Arial" w:hAnsi="Arial"/>
          <w:sz w:val="10"/>
          <w:szCs w:val="10"/>
          <w:color w:val="54585A"/>
        </w:rPr>
      </w:pPr>
      <w:r>
        <w:rPr>
          <w:rFonts w:ascii="Arial" w:cs="Arial" w:eastAsia="Arial" w:hAnsi="Arial"/>
          <w:sz w:val="10"/>
          <w:szCs w:val="10"/>
          <w:color w:val="54585A"/>
        </w:rPr>
        <w:t>The Board has determined that Messrs. Cowan, Hasler, Lovett, and Wolff are independent directors as defined in Rule 10A-3 under the Securities Exchange Act of 1934 and in the NYSE American rules. This determination was based on the absence of any material relationship known to the Board between Messrs. Cowan, Hasler, Lovett, Wolff and us (other than as a director and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318770</wp:posOffset>
            </wp:positionV>
            <wp:extent cx="17145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6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156" w:right="35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0"/>
          <w:szCs w:val="10"/>
          <w:color w:val="54585A"/>
        </w:rPr>
        <w:t xml:space="preserve">Board of Directors and Corporate Governance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Director Summary</w:t>
      </w:r>
    </w:p>
    <w:p>
      <w:pPr>
        <w:spacing w:after="0" w:line="76" w:lineRule="exact"/>
        <w:rPr>
          <w:sz w:val="20"/>
          <w:szCs w:val="20"/>
          <w:color w:val="auto"/>
        </w:rPr>
      </w:pPr>
    </w:p>
    <w:p>
      <w:pPr>
        <w:ind w:right="20"/>
        <w:spacing w:after="0" w:line="320" w:lineRule="auto"/>
        <w:rPr>
          <w:sz w:val="20"/>
          <w:szCs w:val="20"/>
          <w:color w:val="auto"/>
        </w:rPr>
      </w:pPr>
      <w:r>
        <w:rPr>
          <w:rFonts w:ascii="Arial" w:cs="Arial" w:eastAsia="Arial" w:hAnsi="Arial"/>
          <w:sz w:val="11"/>
          <w:szCs w:val="11"/>
          <w:color w:val="54585A"/>
        </w:rPr>
        <w:t>Our Bylaws provide for a seven-member Board of Directors, and the Board currently consists of, seven members. Our Board is divided into three classes, with staggered three-year terms. Each of Class A and B consists of two directors; and Class C consists of three directors. The terms of the directors of each class expire at the annual meetings of stockholders to be held in 2025 (Class A), 2024 (Class C) and 2023 (Class B). At each annual meeting of stockholders, one class of directors will be elected for a term of three years to succeed the directors whose terms are expiring. The table below displays a summary of each director's board class and committee membership. Each director's narrative biography is also disclosed below the table.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40" w:type="dxa"/>
            <w:vAlign w:val="bottom"/>
            <w:shd w:val="clear" w:color="auto" w:fill="EEEDED"/>
          </w:tcPr>
          <w:p>
            <w:pPr>
              <w:spacing w:after="0"/>
              <w:rPr>
                <w:sz w:val="10"/>
                <w:szCs w:val="10"/>
                <w:color w:val="auto"/>
              </w:rPr>
            </w:pPr>
          </w:p>
        </w:tc>
        <w:tc>
          <w:tcPr>
            <w:tcW w:w="1100" w:type="dxa"/>
            <w:vAlign w:val="bottom"/>
            <w:shd w:val="clear" w:color="auto" w:fill="EEEDED"/>
          </w:tcPr>
          <w:p>
            <w:pPr>
              <w:spacing w:after="0"/>
              <w:rPr>
                <w:sz w:val="10"/>
                <w:szCs w:val="10"/>
                <w:color w:val="auto"/>
              </w:rPr>
            </w:pPr>
          </w:p>
        </w:tc>
        <w:tc>
          <w:tcPr>
            <w:tcW w:w="1540" w:type="dxa"/>
            <w:vAlign w:val="bottom"/>
            <w:shd w:val="clear" w:color="auto" w:fill="EEEDED"/>
          </w:tcPr>
          <w:p>
            <w:pPr>
              <w:spacing w:after="0"/>
              <w:rPr>
                <w:sz w:val="10"/>
                <w:szCs w:val="10"/>
                <w:color w:val="auto"/>
              </w:rPr>
            </w:pPr>
          </w:p>
        </w:tc>
        <w:tc>
          <w:tcPr>
            <w:tcW w:w="900" w:type="dxa"/>
            <w:vAlign w:val="bottom"/>
            <w:shd w:val="clear" w:color="auto" w:fill="EEEDED"/>
          </w:tcPr>
          <w:p>
            <w:pPr>
              <w:spacing w:after="0"/>
              <w:rPr>
                <w:sz w:val="10"/>
                <w:szCs w:val="10"/>
                <w:color w:val="auto"/>
              </w:rPr>
            </w:pPr>
          </w:p>
        </w:tc>
        <w:tc>
          <w:tcPr>
            <w:tcW w:w="1800" w:type="dxa"/>
            <w:vAlign w:val="bottom"/>
            <w:shd w:val="clear" w:color="auto" w:fill="EEEDED"/>
          </w:tcPr>
          <w:p>
            <w:pPr>
              <w:jc w:val="center"/>
              <w:ind w:left="72"/>
              <w:spacing w:after="0"/>
              <w:rPr>
                <w:sz w:val="20"/>
                <w:szCs w:val="20"/>
                <w:color w:val="auto"/>
              </w:rPr>
            </w:pPr>
            <w:r>
              <w:rPr>
                <w:rFonts w:ascii="Arial" w:cs="Arial" w:eastAsia="Arial" w:hAnsi="Arial"/>
                <w:sz w:val="10"/>
                <w:szCs w:val="10"/>
                <w:b w:val="1"/>
                <w:bCs w:val="1"/>
                <w:color w:val="54585A"/>
                <w:w w:val="94"/>
              </w:rPr>
              <w:t>Nominating</w:t>
            </w:r>
          </w:p>
        </w:tc>
        <w:tc>
          <w:tcPr>
            <w:tcW w:w="1260" w:type="dxa"/>
            <w:vAlign w:val="bottom"/>
            <w:shd w:val="clear" w:color="auto" w:fill="EEEDED"/>
          </w:tcPr>
          <w:p>
            <w:pPr>
              <w:spacing w:after="0"/>
              <w:rPr>
                <w:sz w:val="10"/>
                <w:szCs w:val="10"/>
                <w:color w:val="auto"/>
              </w:rPr>
            </w:pPr>
          </w:p>
        </w:tc>
        <w:tc>
          <w:tcPr>
            <w:tcW w:w="1460" w:type="dxa"/>
            <w:vAlign w:val="bottom"/>
            <w:shd w:val="clear" w:color="auto" w:fill="EEEDED"/>
          </w:tcPr>
          <w:p>
            <w:pPr>
              <w:spacing w:after="0"/>
              <w:rPr>
                <w:sz w:val="10"/>
                <w:szCs w:val="10"/>
                <w:color w:val="auto"/>
              </w:rPr>
            </w:pPr>
          </w:p>
        </w:tc>
      </w:tr>
      <w:tr>
        <w:trPr>
          <w:trHeight w:val="127"/>
        </w:trPr>
        <w:tc>
          <w:tcPr>
            <w:tcW w:w="3240" w:type="dxa"/>
            <w:vAlign w:val="bottom"/>
            <w:shd w:val="clear" w:color="auto" w:fill="EEEDED"/>
          </w:tcPr>
          <w:p>
            <w:pPr>
              <w:ind w:left="2380"/>
              <w:spacing w:after="0"/>
              <w:rPr>
                <w:sz w:val="20"/>
                <w:szCs w:val="20"/>
                <w:color w:val="auto"/>
              </w:rPr>
            </w:pPr>
            <w:r>
              <w:rPr>
                <w:rFonts w:ascii="Arial" w:cs="Arial" w:eastAsia="Arial" w:hAnsi="Arial"/>
                <w:sz w:val="10"/>
                <w:szCs w:val="10"/>
                <w:b w:val="1"/>
                <w:bCs w:val="1"/>
                <w:color w:val="54585A"/>
              </w:rPr>
              <w:t>Board Class</w:t>
            </w:r>
          </w:p>
        </w:tc>
        <w:tc>
          <w:tcPr>
            <w:tcW w:w="1100" w:type="dxa"/>
            <w:vAlign w:val="bottom"/>
            <w:shd w:val="clear" w:color="auto" w:fill="EEEDED"/>
          </w:tcPr>
          <w:p>
            <w:pPr>
              <w:ind w:left="280"/>
              <w:spacing w:after="0"/>
              <w:rPr>
                <w:sz w:val="20"/>
                <w:szCs w:val="20"/>
                <w:color w:val="auto"/>
              </w:rPr>
            </w:pPr>
            <w:r>
              <w:rPr>
                <w:rFonts w:ascii="Arial" w:cs="Arial" w:eastAsia="Arial" w:hAnsi="Arial"/>
                <w:sz w:val="10"/>
                <w:szCs w:val="10"/>
                <w:b w:val="1"/>
                <w:bCs w:val="1"/>
                <w:color w:val="54585A"/>
              </w:rPr>
              <w:t>Director Since</w:t>
            </w:r>
          </w:p>
        </w:tc>
        <w:tc>
          <w:tcPr>
            <w:tcW w:w="1540" w:type="dxa"/>
            <w:vAlign w:val="bottom"/>
            <w:shd w:val="clear" w:color="auto" w:fill="EEEDED"/>
          </w:tcPr>
          <w:p>
            <w:pPr>
              <w:ind w:left="180"/>
              <w:spacing w:after="0"/>
              <w:rPr>
                <w:sz w:val="20"/>
                <w:szCs w:val="20"/>
                <w:color w:val="auto"/>
              </w:rPr>
            </w:pPr>
            <w:r>
              <w:rPr>
                <w:rFonts w:ascii="Arial" w:cs="Arial" w:eastAsia="Arial" w:hAnsi="Arial"/>
                <w:sz w:val="10"/>
                <w:szCs w:val="10"/>
                <w:b w:val="1"/>
                <w:bCs w:val="1"/>
                <w:color w:val="54585A"/>
              </w:rPr>
              <w:t>Board Term Expiration</w:t>
            </w:r>
          </w:p>
        </w:tc>
        <w:tc>
          <w:tcPr>
            <w:tcW w:w="900" w:type="dxa"/>
            <w:vAlign w:val="bottom"/>
            <w:shd w:val="clear" w:color="auto" w:fill="EEEDED"/>
          </w:tcPr>
          <w:p>
            <w:pPr>
              <w:ind w:left="320"/>
              <w:spacing w:after="0"/>
              <w:rPr>
                <w:sz w:val="20"/>
                <w:szCs w:val="20"/>
                <w:color w:val="auto"/>
              </w:rPr>
            </w:pPr>
            <w:r>
              <w:rPr>
                <w:rFonts w:ascii="Arial" w:cs="Arial" w:eastAsia="Arial" w:hAnsi="Arial"/>
                <w:sz w:val="10"/>
                <w:szCs w:val="10"/>
                <w:b w:val="1"/>
                <w:bCs w:val="1"/>
                <w:color w:val="54585A"/>
              </w:rPr>
              <w:t>Audit</w:t>
            </w:r>
          </w:p>
        </w:tc>
        <w:tc>
          <w:tcPr>
            <w:tcW w:w="1800" w:type="dxa"/>
            <w:vAlign w:val="bottom"/>
            <w:shd w:val="clear" w:color="auto" w:fill="EEEDED"/>
          </w:tcPr>
          <w:p>
            <w:pPr>
              <w:jc w:val="center"/>
              <w:ind w:left="72"/>
              <w:spacing w:after="0"/>
              <w:rPr>
                <w:sz w:val="20"/>
                <w:szCs w:val="20"/>
                <w:color w:val="auto"/>
              </w:rPr>
            </w:pPr>
            <w:r>
              <w:rPr>
                <w:rFonts w:ascii="Arial" w:cs="Arial" w:eastAsia="Arial" w:hAnsi="Arial"/>
                <w:sz w:val="10"/>
                <w:szCs w:val="10"/>
                <w:b w:val="1"/>
                <w:bCs w:val="1"/>
                <w:color w:val="54585A"/>
                <w:w w:val="96"/>
              </w:rPr>
              <w:t>and Corporate Governance</w:t>
            </w:r>
          </w:p>
        </w:tc>
        <w:tc>
          <w:tcPr>
            <w:tcW w:w="1260" w:type="dxa"/>
            <w:vAlign w:val="bottom"/>
            <w:shd w:val="clear" w:color="auto" w:fill="EEEDED"/>
          </w:tcPr>
          <w:p>
            <w:pPr>
              <w:ind w:left="240"/>
              <w:spacing w:after="0"/>
              <w:rPr>
                <w:sz w:val="20"/>
                <w:szCs w:val="20"/>
                <w:color w:val="auto"/>
              </w:rPr>
            </w:pPr>
            <w:r>
              <w:rPr>
                <w:rFonts w:ascii="Arial" w:cs="Arial" w:eastAsia="Arial" w:hAnsi="Arial"/>
                <w:sz w:val="10"/>
                <w:szCs w:val="10"/>
                <w:b w:val="1"/>
                <w:bCs w:val="1"/>
                <w:color w:val="54585A"/>
              </w:rPr>
              <w:t>Compensation</w:t>
            </w:r>
          </w:p>
        </w:tc>
        <w:tc>
          <w:tcPr>
            <w:tcW w:w="1460" w:type="dxa"/>
            <w:vAlign w:val="bottom"/>
            <w:shd w:val="clear" w:color="auto" w:fill="EEEDED"/>
          </w:tcPr>
          <w:p>
            <w:pPr>
              <w:ind w:left="360"/>
              <w:spacing w:after="0"/>
              <w:rPr>
                <w:sz w:val="20"/>
                <w:szCs w:val="20"/>
                <w:color w:val="auto"/>
              </w:rPr>
            </w:pPr>
            <w:r>
              <w:rPr>
                <w:rFonts w:ascii="Arial" w:cs="Arial" w:eastAsia="Arial" w:hAnsi="Arial"/>
                <w:sz w:val="10"/>
                <w:szCs w:val="10"/>
                <w:b w:val="1"/>
                <w:bCs w:val="1"/>
                <w:color w:val="54585A"/>
              </w:rPr>
              <w:t>Strategic Review</w:t>
            </w:r>
          </w:p>
        </w:tc>
      </w:tr>
      <w:tr>
        <w:trPr>
          <w:trHeight w:val="80"/>
        </w:trPr>
        <w:tc>
          <w:tcPr>
            <w:tcW w:w="3240" w:type="dxa"/>
            <w:vAlign w:val="bottom"/>
            <w:shd w:val="clear" w:color="auto" w:fill="EEEDED"/>
          </w:tcPr>
          <w:p>
            <w:pPr>
              <w:spacing w:after="0"/>
              <w:rPr>
                <w:sz w:val="6"/>
                <w:szCs w:val="6"/>
                <w:color w:val="auto"/>
              </w:rPr>
            </w:pPr>
          </w:p>
        </w:tc>
        <w:tc>
          <w:tcPr>
            <w:tcW w:w="1100" w:type="dxa"/>
            <w:vAlign w:val="bottom"/>
            <w:shd w:val="clear" w:color="auto" w:fill="EEEDED"/>
          </w:tcPr>
          <w:p>
            <w:pPr>
              <w:spacing w:after="0"/>
              <w:rPr>
                <w:sz w:val="6"/>
                <w:szCs w:val="6"/>
                <w:color w:val="auto"/>
              </w:rPr>
            </w:pPr>
          </w:p>
        </w:tc>
        <w:tc>
          <w:tcPr>
            <w:tcW w:w="1540" w:type="dxa"/>
            <w:vAlign w:val="bottom"/>
            <w:shd w:val="clear" w:color="auto" w:fill="EEEDED"/>
          </w:tcPr>
          <w:p>
            <w:pPr>
              <w:spacing w:after="0"/>
              <w:rPr>
                <w:sz w:val="6"/>
                <w:szCs w:val="6"/>
                <w:color w:val="auto"/>
              </w:rPr>
            </w:pPr>
          </w:p>
        </w:tc>
        <w:tc>
          <w:tcPr>
            <w:tcW w:w="900" w:type="dxa"/>
            <w:vAlign w:val="bottom"/>
            <w:shd w:val="clear" w:color="auto" w:fill="EEEDED"/>
          </w:tcPr>
          <w:p>
            <w:pPr>
              <w:spacing w:after="0"/>
              <w:rPr>
                <w:sz w:val="6"/>
                <w:szCs w:val="6"/>
                <w:color w:val="auto"/>
              </w:rPr>
            </w:pPr>
          </w:p>
        </w:tc>
        <w:tc>
          <w:tcPr>
            <w:tcW w:w="1800" w:type="dxa"/>
            <w:vAlign w:val="bottom"/>
            <w:shd w:val="clear" w:color="auto" w:fill="EEEDED"/>
          </w:tcPr>
          <w:p>
            <w:pPr>
              <w:spacing w:after="0"/>
              <w:rPr>
                <w:sz w:val="6"/>
                <w:szCs w:val="6"/>
                <w:color w:val="auto"/>
              </w:rPr>
            </w:pPr>
          </w:p>
        </w:tc>
        <w:tc>
          <w:tcPr>
            <w:tcW w:w="1260" w:type="dxa"/>
            <w:vAlign w:val="bottom"/>
            <w:shd w:val="clear" w:color="auto" w:fill="EEEDED"/>
          </w:tcPr>
          <w:p>
            <w:pPr>
              <w:spacing w:after="0"/>
              <w:rPr>
                <w:sz w:val="6"/>
                <w:szCs w:val="6"/>
                <w:color w:val="auto"/>
              </w:rPr>
            </w:pPr>
          </w:p>
        </w:tc>
        <w:tc>
          <w:tcPr>
            <w:tcW w:w="1460" w:type="dxa"/>
            <w:vAlign w:val="bottom"/>
            <w:shd w:val="clear" w:color="auto" w:fill="EEEDED"/>
          </w:tcPr>
          <w:p>
            <w:pPr>
              <w:spacing w:after="0"/>
              <w:rPr>
                <w:sz w:val="6"/>
                <w:szCs w:val="6"/>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20" w:type="dxa"/>
            <w:vAlign w:val="bottom"/>
            <w:vMerge w:val="restart"/>
          </w:tcPr>
          <w:p>
            <w:pPr>
              <w:spacing w:after="0"/>
              <w:rPr>
                <w:sz w:val="20"/>
                <w:szCs w:val="20"/>
                <w:color w:val="auto"/>
              </w:rPr>
            </w:pPr>
            <w:r>
              <w:rPr>
                <w:rFonts w:ascii="Arial" w:cs="Arial" w:eastAsia="Arial" w:hAnsi="Arial"/>
                <w:sz w:val="10"/>
                <w:szCs w:val="10"/>
                <w:b w:val="1"/>
                <w:bCs w:val="1"/>
                <w:color w:val="EB6C10"/>
              </w:rPr>
              <w:t>Keith O. Cowan</w:t>
            </w:r>
          </w:p>
        </w:tc>
        <w:tc>
          <w:tcPr>
            <w:tcW w:w="2160" w:type="dxa"/>
            <w:vAlign w:val="bottom"/>
            <w:vMerge w:val="restart"/>
          </w:tcPr>
          <w:p>
            <w:pPr>
              <w:ind w:left="1620"/>
              <w:spacing w:after="0"/>
              <w:rPr>
                <w:sz w:val="20"/>
                <w:szCs w:val="20"/>
                <w:color w:val="auto"/>
              </w:rPr>
            </w:pPr>
            <w:r>
              <w:rPr>
                <w:rFonts w:ascii="Arial" w:cs="Arial" w:eastAsia="Arial" w:hAnsi="Arial"/>
                <w:sz w:val="10"/>
                <w:szCs w:val="10"/>
                <w:color w:val="54585A"/>
              </w:rPr>
              <w:t>A</w:t>
            </w:r>
          </w:p>
        </w:tc>
        <w:tc>
          <w:tcPr>
            <w:tcW w:w="1300" w:type="dxa"/>
            <w:vAlign w:val="bottom"/>
            <w:vMerge w:val="restart"/>
          </w:tcPr>
          <w:p>
            <w:pPr>
              <w:jc w:val="right"/>
              <w:ind w:right="412"/>
              <w:spacing w:after="0"/>
              <w:rPr>
                <w:sz w:val="20"/>
                <w:szCs w:val="20"/>
                <w:color w:val="auto"/>
              </w:rPr>
            </w:pPr>
            <w:r>
              <w:rPr>
                <w:rFonts w:ascii="Arial" w:cs="Arial" w:eastAsia="Arial" w:hAnsi="Arial"/>
                <w:sz w:val="10"/>
                <w:szCs w:val="10"/>
                <w:color w:val="54585A"/>
              </w:rPr>
              <w:t>12/2018</w:t>
            </w:r>
          </w:p>
        </w:tc>
        <w:tc>
          <w:tcPr>
            <w:tcW w:w="1220" w:type="dxa"/>
            <w:vAlign w:val="bottom"/>
            <w:vMerge w:val="restart"/>
          </w:tcPr>
          <w:p>
            <w:pPr>
              <w:jc w:val="right"/>
              <w:ind w:right="512"/>
              <w:spacing w:after="0"/>
              <w:rPr>
                <w:sz w:val="20"/>
                <w:szCs w:val="20"/>
                <w:color w:val="auto"/>
              </w:rPr>
            </w:pPr>
            <w:r>
              <w:rPr>
                <w:rFonts w:ascii="Arial" w:cs="Arial" w:eastAsia="Arial" w:hAnsi="Arial"/>
                <w:sz w:val="10"/>
                <w:szCs w:val="10"/>
                <w:color w:val="54585A"/>
              </w:rPr>
              <w:t>2025</w:t>
            </w:r>
          </w:p>
        </w:tc>
        <w:tc>
          <w:tcPr>
            <w:tcW w:w="2740" w:type="dxa"/>
            <w:vAlign w:val="bottom"/>
          </w:tcPr>
          <w:p>
            <w:pPr>
              <w:ind w:left="2000"/>
              <w:spacing w:after="0" w:line="180" w:lineRule="exact"/>
              <w:rPr>
                <w:sz w:val="20"/>
                <w:szCs w:val="20"/>
                <w:color w:val="auto"/>
              </w:rPr>
            </w:pPr>
            <w:r>
              <w:rPr>
                <w:rFonts w:ascii="Arial" w:cs="Arial" w:eastAsia="Arial" w:hAnsi="Arial"/>
                <w:sz w:val="19"/>
                <w:szCs w:val="19"/>
                <w:b w:val="1"/>
                <w:bCs w:val="1"/>
                <w:color w:val="54585A"/>
              </w:rPr>
              <w:t>•</w:t>
            </w:r>
          </w:p>
        </w:tc>
        <w:tc>
          <w:tcPr>
            <w:tcW w:w="1420" w:type="dxa"/>
            <w:vAlign w:val="bottom"/>
          </w:tcPr>
          <w:p>
            <w:pPr>
              <w:spacing w:after="0"/>
              <w:rPr>
                <w:sz w:val="15"/>
                <w:szCs w:val="15"/>
                <w:color w:val="auto"/>
              </w:rPr>
            </w:pPr>
          </w:p>
        </w:tc>
        <w:tc>
          <w:tcPr>
            <w:tcW w:w="1440" w:type="dxa"/>
            <w:vAlign w:val="bottom"/>
          </w:tcPr>
          <w:p>
            <w:pPr>
              <w:ind w:left="680"/>
              <w:spacing w:after="0" w:line="180" w:lineRule="exact"/>
              <w:rPr>
                <w:sz w:val="20"/>
                <w:szCs w:val="20"/>
                <w:color w:val="auto"/>
              </w:rPr>
            </w:pPr>
            <w:r>
              <w:rPr>
                <w:rFonts w:ascii="Arial" w:cs="Arial" w:eastAsia="Arial" w:hAnsi="Arial"/>
                <w:sz w:val="19"/>
                <w:szCs w:val="19"/>
                <w:b w:val="1"/>
                <w:bCs w:val="1"/>
                <w:color w:val="54585A"/>
              </w:rPr>
              <w:t>•</w:t>
            </w:r>
          </w:p>
        </w:tc>
        <w:tc>
          <w:tcPr>
            <w:tcW w:w="0" w:type="dxa"/>
            <w:vAlign w:val="bottom"/>
          </w:tcPr>
          <w:p>
            <w:pPr>
              <w:spacing w:after="0"/>
              <w:rPr>
                <w:sz w:val="1"/>
                <w:szCs w:val="1"/>
                <w:color w:val="auto"/>
              </w:rPr>
            </w:pPr>
          </w:p>
        </w:tc>
      </w:tr>
      <w:tr>
        <w:trPr>
          <w:trHeight w:val="28"/>
        </w:trPr>
        <w:tc>
          <w:tcPr>
            <w:tcW w:w="1020" w:type="dxa"/>
            <w:vAlign w:val="bottom"/>
            <w:vMerge w:val="continue"/>
          </w:tcPr>
          <w:p>
            <w:pPr>
              <w:spacing w:after="0"/>
              <w:rPr>
                <w:sz w:val="2"/>
                <w:szCs w:val="2"/>
                <w:color w:val="auto"/>
              </w:rPr>
            </w:pPr>
          </w:p>
        </w:tc>
        <w:tc>
          <w:tcPr>
            <w:tcW w:w="2160" w:type="dxa"/>
            <w:vAlign w:val="bottom"/>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2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1020" w:type="dxa"/>
            <w:vAlign w:val="bottom"/>
            <w:tcBorders>
              <w:bottom w:val="single" w:sz="8" w:color="54585A"/>
            </w:tcBorders>
          </w:tcPr>
          <w:p>
            <w:pPr>
              <w:spacing w:after="0"/>
              <w:rPr>
                <w:sz w:val="7"/>
                <w:szCs w:val="7"/>
                <w:color w:val="auto"/>
              </w:rPr>
            </w:pPr>
          </w:p>
        </w:tc>
        <w:tc>
          <w:tcPr>
            <w:tcW w:w="2160" w:type="dxa"/>
            <w:vAlign w:val="bottom"/>
            <w:tcBorders>
              <w:bottom w:val="single" w:sz="8" w:color="54585A"/>
            </w:tcBorders>
          </w:tcPr>
          <w:p>
            <w:pPr>
              <w:spacing w:after="0"/>
              <w:rPr>
                <w:sz w:val="7"/>
                <w:szCs w:val="7"/>
                <w:color w:val="auto"/>
              </w:rPr>
            </w:pPr>
          </w:p>
        </w:tc>
        <w:tc>
          <w:tcPr>
            <w:tcW w:w="1300" w:type="dxa"/>
            <w:vAlign w:val="bottom"/>
            <w:tcBorders>
              <w:bottom w:val="single" w:sz="8" w:color="54585A"/>
            </w:tcBorders>
          </w:tcPr>
          <w:p>
            <w:pPr>
              <w:spacing w:after="0"/>
              <w:rPr>
                <w:sz w:val="7"/>
                <w:szCs w:val="7"/>
                <w:color w:val="auto"/>
              </w:rPr>
            </w:pPr>
          </w:p>
        </w:tc>
        <w:tc>
          <w:tcPr>
            <w:tcW w:w="1220" w:type="dxa"/>
            <w:vAlign w:val="bottom"/>
            <w:tcBorders>
              <w:bottom w:val="single" w:sz="8" w:color="54585A"/>
            </w:tcBorders>
          </w:tcPr>
          <w:p>
            <w:pPr>
              <w:spacing w:after="0"/>
              <w:rPr>
                <w:sz w:val="7"/>
                <w:szCs w:val="7"/>
                <w:color w:val="auto"/>
              </w:rPr>
            </w:pPr>
          </w:p>
        </w:tc>
        <w:tc>
          <w:tcPr>
            <w:tcW w:w="2740" w:type="dxa"/>
            <w:vAlign w:val="bottom"/>
            <w:tcBorders>
              <w:bottom w:val="single" w:sz="8" w:color="54585A"/>
            </w:tcBorders>
          </w:tcPr>
          <w:p>
            <w:pPr>
              <w:spacing w:after="0"/>
              <w:rPr>
                <w:sz w:val="7"/>
                <w:szCs w:val="7"/>
                <w:color w:val="auto"/>
              </w:rPr>
            </w:pPr>
          </w:p>
        </w:tc>
        <w:tc>
          <w:tcPr>
            <w:tcW w:w="1420" w:type="dxa"/>
            <w:vAlign w:val="bottom"/>
            <w:tcBorders>
              <w:bottom w:val="single" w:sz="8" w:color="54585A"/>
            </w:tcBorders>
          </w:tcPr>
          <w:p>
            <w:pPr>
              <w:spacing w:after="0"/>
              <w:rPr>
                <w:sz w:val="7"/>
                <w:szCs w:val="7"/>
                <w:color w:val="auto"/>
              </w:rPr>
            </w:pPr>
          </w:p>
        </w:tc>
        <w:tc>
          <w:tcPr>
            <w:tcW w:w="1440" w:type="dxa"/>
            <w:vAlign w:val="bottom"/>
            <w:tcBorders>
              <w:bottom w:val="single" w:sz="8" w:color="54585A"/>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Arial" w:cs="Arial" w:eastAsia="Arial" w:hAnsi="Arial"/>
                <w:sz w:val="10"/>
                <w:szCs w:val="10"/>
                <w:b w:val="1"/>
                <w:bCs w:val="1"/>
                <w:color w:val="EB6C10"/>
              </w:rPr>
              <w:t>Benjamin G. Wolff</w:t>
            </w:r>
          </w:p>
        </w:tc>
        <w:tc>
          <w:tcPr>
            <w:tcW w:w="2160" w:type="dxa"/>
            <w:vAlign w:val="bottom"/>
            <w:vMerge w:val="restart"/>
          </w:tcPr>
          <w:p>
            <w:pPr>
              <w:ind w:left="1620"/>
              <w:spacing w:after="0"/>
              <w:rPr>
                <w:sz w:val="20"/>
                <w:szCs w:val="20"/>
                <w:color w:val="auto"/>
              </w:rPr>
            </w:pPr>
            <w:r>
              <w:rPr>
                <w:rFonts w:ascii="Arial" w:cs="Arial" w:eastAsia="Arial" w:hAnsi="Arial"/>
                <w:sz w:val="10"/>
                <w:szCs w:val="10"/>
                <w:color w:val="54585A"/>
              </w:rPr>
              <w:t>A</w:t>
            </w:r>
          </w:p>
        </w:tc>
        <w:tc>
          <w:tcPr>
            <w:tcW w:w="1300" w:type="dxa"/>
            <w:vAlign w:val="bottom"/>
            <w:vMerge w:val="restart"/>
          </w:tcPr>
          <w:p>
            <w:pPr>
              <w:jc w:val="right"/>
              <w:ind w:right="412"/>
              <w:spacing w:after="0"/>
              <w:rPr>
                <w:sz w:val="20"/>
                <w:szCs w:val="20"/>
                <w:color w:val="auto"/>
              </w:rPr>
            </w:pPr>
            <w:r>
              <w:rPr>
                <w:rFonts w:ascii="Arial" w:cs="Arial" w:eastAsia="Arial" w:hAnsi="Arial"/>
                <w:sz w:val="10"/>
                <w:szCs w:val="10"/>
                <w:color w:val="54585A"/>
              </w:rPr>
              <w:t>12/2018</w:t>
            </w:r>
          </w:p>
        </w:tc>
        <w:tc>
          <w:tcPr>
            <w:tcW w:w="1220" w:type="dxa"/>
            <w:vAlign w:val="bottom"/>
            <w:vMerge w:val="restart"/>
          </w:tcPr>
          <w:p>
            <w:pPr>
              <w:jc w:val="right"/>
              <w:ind w:right="512"/>
              <w:spacing w:after="0"/>
              <w:rPr>
                <w:sz w:val="20"/>
                <w:szCs w:val="20"/>
                <w:color w:val="auto"/>
              </w:rPr>
            </w:pPr>
            <w:r>
              <w:rPr>
                <w:rFonts w:ascii="Arial" w:cs="Arial" w:eastAsia="Arial" w:hAnsi="Arial"/>
                <w:sz w:val="10"/>
                <w:szCs w:val="10"/>
                <w:color w:val="54585A"/>
              </w:rPr>
              <w:t>2025</w:t>
            </w:r>
          </w:p>
        </w:tc>
        <w:tc>
          <w:tcPr>
            <w:tcW w:w="2740" w:type="dxa"/>
            <w:vAlign w:val="bottom"/>
          </w:tcPr>
          <w:p>
            <w:pPr>
              <w:ind w:left="580"/>
              <w:spacing w:after="0" w:line="169" w:lineRule="exact"/>
              <w:rPr>
                <w:sz w:val="20"/>
                <w:szCs w:val="20"/>
                <w:color w:val="auto"/>
              </w:rPr>
            </w:pPr>
            <w:r>
              <w:rPr>
                <w:rFonts w:ascii="Arial" w:cs="Arial" w:eastAsia="Arial" w:hAnsi="Arial"/>
                <w:sz w:val="19"/>
                <w:szCs w:val="19"/>
                <w:b w:val="1"/>
                <w:bCs w:val="1"/>
                <w:color w:val="54585A"/>
              </w:rPr>
              <w:t>•</w:t>
            </w:r>
          </w:p>
        </w:tc>
        <w:tc>
          <w:tcPr>
            <w:tcW w:w="1420" w:type="dxa"/>
            <w:vAlign w:val="bottom"/>
          </w:tcPr>
          <w:p>
            <w:pPr>
              <w:ind w:left="680"/>
              <w:spacing w:after="0" w:line="169" w:lineRule="exact"/>
              <w:rPr>
                <w:sz w:val="20"/>
                <w:szCs w:val="20"/>
                <w:color w:val="auto"/>
              </w:rPr>
            </w:pPr>
            <w:r>
              <w:rPr>
                <w:rFonts w:ascii="Arial" w:cs="Arial" w:eastAsia="Arial" w:hAnsi="Arial"/>
                <w:sz w:val="19"/>
                <w:szCs w:val="19"/>
                <w:b w:val="1"/>
                <w:bCs w:val="1"/>
                <w:color w:val="54585A"/>
              </w:rPr>
              <w:t>•</w:t>
            </w:r>
          </w:p>
        </w:tc>
        <w:tc>
          <w:tcPr>
            <w:tcW w:w="1440" w:type="dxa"/>
            <w:vAlign w:val="bottom"/>
          </w:tcPr>
          <w:p>
            <w:pPr>
              <w:ind w:left="680"/>
              <w:spacing w:after="0" w:line="169" w:lineRule="exact"/>
              <w:rPr>
                <w:sz w:val="20"/>
                <w:szCs w:val="20"/>
                <w:color w:val="auto"/>
              </w:rPr>
            </w:pPr>
            <w:r>
              <w:rPr>
                <w:rFonts w:ascii="Arial" w:cs="Arial" w:eastAsia="Arial" w:hAnsi="Arial"/>
                <w:sz w:val="19"/>
                <w:szCs w:val="19"/>
                <w:b w:val="1"/>
                <w:bCs w:val="1"/>
                <w:color w:val="EB6C10"/>
              </w:rPr>
              <w:t>•</w:t>
            </w:r>
          </w:p>
        </w:tc>
        <w:tc>
          <w:tcPr>
            <w:tcW w:w="0" w:type="dxa"/>
            <w:vAlign w:val="bottom"/>
          </w:tcPr>
          <w:p>
            <w:pPr>
              <w:spacing w:after="0"/>
              <w:rPr>
                <w:sz w:val="1"/>
                <w:szCs w:val="1"/>
                <w:color w:val="auto"/>
              </w:rPr>
            </w:pPr>
          </w:p>
        </w:tc>
      </w:tr>
      <w:tr>
        <w:trPr>
          <w:trHeight w:val="28"/>
        </w:trPr>
        <w:tc>
          <w:tcPr>
            <w:tcW w:w="1020" w:type="dxa"/>
            <w:vAlign w:val="bottom"/>
            <w:vMerge w:val="continue"/>
          </w:tcPr>
          <w:p>
            <w:pPr>
              <w:spacing w:after="0"/>
              <w:rPr>
                <w:sz w:val="2"/>
                <w:szCs w:val="2"/>
                <w:color w:val="auto"/>
              </w:rPr>
            </w:pPr>
          </w:p>
        </w:tc>
        <w:tc>
          <w:tcPr>
            <w:tcW w:w="2160" w:type="dxa"/>
            <w:vAlign w:val="bottom"/>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2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1020" w:type="dxa"/>
            <w:vAlign w:val="bottom"/>
            <w:tcBorders>
              <w:bottom w:val="single" w:sz="8" w:color="54585A"/>
            </w:tcBorders>
          </w:tcPr>
          <w:p>
            <w:pPr>
              <w:spacing w:after="0"/>
              <w:rPr>
                <w:sz w:val="7"/>
                <w:szCs w:val="7"/>
                <w:color w:val="auto"/>
              </w:rPr>
            </w:pPr>
          </w:p>
        </w:tc>
        <w:tc>
          <w:tcPr>
            <w:tcW w:w="2160" w:type="dxa"/>
            <w:vAlign w:val="bottom"/>
            <w:tcBorders>
              <w:bottom w:val="single" w:sz="8" w:color="54585A"/>
            </w:tcBorders>
          </w:tcPr>
          <w:p>
            <w:pPr>
              <w:spacing w:after="0"/>
              <w:rPr>
                <w:sz w:val="7"/>
                <w:szCs w:val="7"/>
                <w:color w:val="auto"/>
              </w:rPr>
            </w:pPr>
          </w:p>
        </w:tc>
        <w:tc>
          <w:tcPr>
            <w:tcW w:w="1300" w:type="dxa"/>
            <w:vAlign w:val="bottom"/>
            <w:tcBorders>
              <w:bottom w:val="single" w:sz="8" w:color="54585A"/>
            </w:tcBorders>
          </w:tcPr>
          <w:p>
            <w:pPr>
              <w:spacing w:after="0"/>
              <w:rPr>
                <w:sz w:val="7"/>
                <w:szCs w:val="7"/>
                <w:color w:val="auto"/>
              </w:rPr>
            </w:pPr>
          </w:p>
        </w:tc>
        <w:tc>
          <w:tcPr>
            <w:tcW w:w="1220" w:type="dxa"/>
            <w:vAlign w:val="bottom"/>
            <w:tcBorders>
              <w:bottom w:val="single" w:sz="8" w:color="54585A"/>
            </w:tcBorders>
          </w:tcPr>
          <w:p>
            <w:pPr>
              <w:spacing w:after="0"/>
              <w:rPr>
                <w:sz w:val="7"/>
                <w:szCs w:val="7"/>
                <w:color w:val="auto"/>
              </w:rPr>
            </w:pPr>
          </w:p>
        </w:tc>
        <w:tc>
          <w:tcPr>
            <w:tcW w:w="2740" w:type="dxa"/>
            <w:vAlign w:val="bottom"/>
            <w:tcBorders>
              <w:bottom w:val="single" w:sz="8" w:color="54585A"/>
            </w:tcBorders>
          </w:tcPr>
          <w:p>
            <w:pPr>
              <w:spacing w:after="0"/>
              <w:rPr>
                <w:sz w:val="7"/>
                <w:szCs w:val="7"/>
                <w:color w:val="auto"/>
              </w:rPr>
            </w:pPr>
          </w:p>
        </w:tc>
        <w:tc>
          <w:tcPr>
            <w:tcW w:w="1420" w:type="dxa"/>
            <w:vAlign w:val="bottom"/>
            <w:tcBorders>
              <w:bottom w:val="single" w:sz="8" w:color="54585A"/>
            </w:tcBorders>
          </w:tcPr>
          <w:p>
            <w:pPr>
              <w:spacing w:after="0"/>
              <w:rPr>
                <w:sz w:val="7"/>
                <w:szCs w:val="7"/>
                <w:color w:val="auto"/>
              </w:rPr>
            </w:pPr>
          </w:p>
        </w:tc>
        <w:tc>
          <w:tcPr>
            <w:tcW w:w="1440" w:type="dxa"/>
            <w:vAlign w:val="bottom"/>
            <w:tcBorders>
              <w:bottom w:val="single" w:sz="8" w:color="54585A"/>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020" w:type="dxa"/>
            <w:vAlign w:val="bottom"/>
            <w:tcBorders>
              <w:bottom w:val="single" w:sz="8" w:color="54585A"/>
            </w:tcBorders>
          </w:tcPr>
          <w:p>
            <w:pPr>
              <w:spacing w:after="0"/>
              <w:rPr>
                <w:sz w:val="20"/>
                <w:szCs w:val="20"/>
                <w:color w:val="auto"/>
              </w:rPr>
            </w:pPr>
            <w:r>
              <w:rPr>
                <w:rFonts w:ascii="Arial" w:cs="Arial" w:eastAsia="Arial" w:hAnsi="Arial"/>
                <w:sz w:val="10"/>
                <w:szCs w:val="10"/>
                <w:b w:val="1"/>
                <w:bCs w:val="1"/>
                <w:color w:val="EB6C10"/>
              </w:rPr>
              <w:t>James F. Lynch</w:t>
            </w:r>
          </w:p>
        </w:tc>
        <w:tc>
          <w:tcPr>
            <w:tcW w:w="2160" w:type="dxa"/>
            <w:vAlign w:val="bottom"/>
            <w:tcBorders>
              <w:bottom w:val="single" w:sz="8" w:color="54585A"/>
            </w:tcBorders>
          </w:tcPr>
          <w:p>
            <w:pPr>
              <w:ind w:left="1620"/>
              <w:spacing w:after="0"/>
              <w:rPr>
                <w:sz w:val="20"/>
                <w:szCs w:val="20"/>
                <w:color w:val="auto"/>
              </w:rPr>
            </w:pPr>
            <w:r>
              <w:rPr>
                <w:rFonts w:ascii="Arial" w:cs="Arial" w:eastAsia="Arial" w:hAnsi="Arial"/>
                <w:sz w:val="10"/>
                <w:szCs w:val="10"/>
                <w:color w:val="54585A"/>
              </w:rPr>
              <w:t>B</w:t>
            </w:r>
          </w:p>
        </w:tc>
        <w:tc>
          <w:tcPr>
            <w:tcW w:w="1300" w:type="dxa"/>
            <w:vAlign w:val="bottom"/>
            <w:tcBorders>
              <w:bottom w:val="single" w:sz="8" w:color="54585A"/>
            </w:tcBorders>
          </w:tcPr>
          <w:p>
            <w:pPr>
              <w:jc w:val="right"/>
              <w:ind w:right="412"/>
              <w:spacing w:after="0"/>
              <w:rPr>
                <w:sz w:val="20"/>
                <w:szCs w:val="20"/>
                <w:color w:val="auto"/>
              </w:rPr>
            </w:pPr>
            <w:r>
              <w:rPr>
                <w:rFonts w:ascii="Arial" w:cs="Arial" w:eastAsia="Arial" w:hAnsi="Arial"/>
                <w:sz w:val="10"/>
                <w:szCs w:val="10"/>
                <w:color w:val="54585A"/>
              </w:rPr>
              <w:t>12/2003</w:t>
            </w:r>
          </w:p>
        </w:tc>
        <w:tc>
          <w:tcPr>
            <w:tcW w:w="1220" w:type="dxa"/>
            <w:vAlign w:val="bottom"/>
            <w:tcBorders>
              <w:bottom w:val="single" w:sz="8" w:color="54585A"/>
            </w:tcBorders>
          </w:tcPr>
          <w:p>
            <w:pPr>
              <w:jc w:val="right"/>
              <w:ind w:right="512"/>
              <w:spacing w:after="0"/>
              <w:rPr>
                <w:sz w:val="20"/>
                <w:szCs w:val="20"/>
                <w:color w:val="auto"/>
              </w:rPr>
            </w:pPr>
            <w:r>
              <w:rPr>
                <w:rFonts w:ascii="Arial" w:cs="Arial" w:eastAsia="Arial" w:hAnsi="Arial"/>
                <w:sz w:val="10"/>
                <w:szCs w:val="10"/>
                <w:color w:val="54585A"/>
              </w:rPr>
              <w:t>2023</w:t>
            </w:r>
          </w:p>
        </w:tc>
        <w:tc>
          <w:tcPr>
            <w:tcW w:w="2740" w:type="dxa"/>
            <w:vAlign w:val="bottom"/>
            <w:tcBorders>
              <w:bottom w:val="single" w:sz="8" w:color="54585A"/>
            </w:tcBorders>
          </w:tcPr>
          <w:p>
            <w:pPr>
              <w:spacing w:after="0"/>
              <w:rPr>
                <w:sz w:val="11"/>
                <w:szCs w:val="11"/>
                <w:color w:val="auto"/>
              </w:rPr>
            </w:pPr>
          </w:p>
        </w:tc>
        <w:tc>
          <w:tcPr>
            <w:tcW w:w="1420" w:type="dxa"/>
            <w:vAlign w:val="bottom"/>
            <w:tcBorders>
              <w:bottom w:val="single" w:sz="8" w:color="54585A"/>
            </w:tcBorders>
          </w:tcPr>
          <w:p>
            <w:pPr>
              <w:spacing w:after="0"/>
              <w:rPr>
                <w:sz w:val="11"/>
                <w:szCs w:val="11"/>
                <w:color w:val="auto"/>
              </w:rPr>
            </w:pPr>
          </w:p>
        </w:tc>
        <w:tc>
          <w:tcPr>
            <w:tcW w:w="1440" w:type="dxa"/>
            <w:vAlign w:val="bottom"/>
            <w:tcBorders>
              <w:bottom w:val="single" w:sz="8" w:color="54585A"/>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020" w:type="dxa"/>
            <w:vAlign w:val="bottom"/>
            <w:vMerge w:val="restart"/>
          </w:tcPr>
          <w:p>
            <w:pPr>
              <w:spacing w:after="0"/>
              <w:rPr>
                <w:sz w:val="20"/>
                <w:szCs w:val="20"/>
                <w:color w:val="auto"/>
              </w:rPr>
            </w:pPr>
            <w:r>
              <w:rPr>
                <w:rFonts w:ascii="Arial" w:cs="Arial" w:eastAsia="Arial" w:hAnsi="Arial"/>
                <w:sz w:val="10"/>
                <w:szCs w:val="10"/>
                <w:b w:val="1"/>
                <w:bCs w:val="1"/>
                <w:color w:val="EB6C10"/>
              </w:rPr>
              <w:t>Timothy E. Taylor</w:t>
            </w:r>
          </w:p>
        </w:tc>
        <w:tc>
          <w:tcPr>
            <w:tcW w:w="2160" w:type="dxa"/>
            <w:vAlign w:val="bottom"/>
            <w:vMerge w:val="restart"/>
          </w:tcPr>
          <w:p>
            <w:pPr>
              <w:ind w:left="1620"/>
              <w:spacing w:after="0"/>
              <w:rPr>
                <w:sz w:val="20"/>
                <w:szCs w:val="20"/>
                <w:color w:val="auto"/>
              </w:rPr>
            </w:pPr>
            <w:r>
              <w:rPr>
                <w:rFonts w:ascii="Arial" w:cs="Arial" w:eastAsia="Arial" w:hAnsi="Arial"/>
                <w:sz w:val="10"/>
                <w:szCs w:val="10"/>
                <w:color w:val="54585A"/>
              </w:rPr>
              <w:t>B</w:t>
            </w:r>
          </w:p>
        </w:tc>
        <w:tc>
          <w:tcPr>
            <w:tcW w:w="1300" w:type="dxa"/>
            <w:vAlign w:val="bottom"/>
            <w:vMerge w:val="restart"/>
          </w:tcPr>
          <w:p>
            <w:pPr>
              <w:jc w:val="right"/>
              <w:ind w:right="412"/>
              <w:spacing w:after="0"/>
              <w:rPr>
                <w:sz w:val="20"/>
                <w:szCs w:val="20"/>
                <w:color w:val="auto"/>
              </w:rPr>
            </w:pPr>
            <w:r>
              <w:rPr>
                <w:rFonts w:ascii="Arial" w:cs="Arial" w:eastAsia="Arial" w:hAnsi="Arial"/>
                <w:sz w:val="10"/>
                <w:szCs w:val="10"/>
                <w:color w:val="54585A"/>
              </w:rPr>
              <w:t>12/2018</w:t>
            </w:r>
          </w:p>
        </w:tc>
        <w:tc>
          <w:tcPr>
            <w:tcW w:w="1220" w:type="dxa"/>
            <w:vAlign w:val="bottom"/>
            <w:vMerge w:val="restart"/>
          </w:tcPr>
          <w:p>
            <w:pPr>
              <w:jc w:val="right"/>
              <w:ind w:right="512"/>
              <w:spacing w:after="0"/>
              <w:rPr>
                <w:sz w:val="20"/>
                <w:szCs w:val="20"/>
                <w:color w:val="auto"/>
              </w:rPr>
            </w:pPr>
            <w:r>
              <w:rPr>
                <w:rFonts w:ascii="Arial" w:cs="Arial" w:eastAsia="Arial" w:hAnsi="Arial"/>
                <w:sz w:val="10"/>
                <w:szCs w:val="10"/>
                <w:color w:val="54585A"/>
              </w:rPr>
              <w:t>2023</w:t>
            </w:r>
          </w:p>
        </w:tc>
        <w:tc>
          <w:tcPr>
            <w:tcW w:w="2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ind w:left="680"/>
              <w:spacing w:after="0" w:line="177" w:lineRule="exact"/>
              <w:rPr>
                <w:sz w:val="20"/>
                <w:szCs w:val="20"/>
                <w:color w:val="auto"/>
              </w:rPr>
            </w:pPr>
            <w:r>
              <w:rPr>
                <w:rFonts w:ascii="Arial" w:cs="Arial" w:eastAsia="Arial" w:hAnsi="Arial"/>
                <w:sz w:val="19"/>
                <w:szCs w:val="19"/>
                <w:b w:val="1"/>
                <w:bCs w:val="1"/>
                <w:color w:val="54585A"/>
              </w:rPr>
              <w:t>•</w:t>
            </w:r>
          </w:p>
        </w:tc>
        <w:tc>
          <w:tcPr>
            <w:tcW w:w="0" w:type="dxa"/>
            <w:vAlign w:val="bottom"/>
          </w:tcPr>
          <w:p>
            <w:pPr>
              <w:spacing w:after="0"/>
              <w:rPr>
                <w:sz w:val="1"/>
                <w:szCs w:val="1"/>
                <w:color w:val="auto"/>
              </w:rPr>
            </w:pPr>
          </w:p>
        </w:tc>
      </w:tr>
      <w:tr>
        <w:trPr>
          <w:trHeight w:val="28"/>
        </w:trPr>
        <w:tc>
          <w:tcPr>
            <w:tcW w:w="1020" w:type="dxa"/>
            <w:vAlign w:val="bottom"/>
            <w:vMerge w:val="continue"/>
          </w:tcPr>
          <w:p>
            <w:pPr>
              <w:spacing w:after="0"/>
              <w:rPr>
                <w:sz w:val="2"/>
                <w:szCs w:val="2"/>
                <w:color w:val="auto"/>
              </w:rPr>
            </w:pPr>
          </w:p>
        </w:tc>
        <w:tc>
          <w:tcPr>
            <w:tcW w:w="2160" w:type="dxa"/>
            <w:vAlign w:val="bottom"/>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2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1020" w:type="dxa"/>
            <w:vAlign w:val="bottom"/>
            <w:tcBorders>
              <w:bottom w:val="single" w:sz="8" w:color="54585A"/>
            </w:tcBorders>
          </w:tcPr>
          <w:p>
            <w:pPr>
              <w:spacing w:after="0"/>
              <w:rPr>
                <w:sz w:val="7"/>
                <w:szCs w:val="7"/>
                <w:color w:val="auto"/>
              </w:rPr>
            </w:pPr>
          </w:p>
        </w:tc>
        <w:tc>
          <w:tcPr>
            <w:tcW w:w="2160" w:type="dxa"/>
            <w:vAlign w:val="bottom"/>
            <w:tcBorders>
              <w:bottom w:val="single" w:sz="8" w:color="54585A"/>
            </w:tcBorders>
          </w:tcPr>
          <w:p>
            <w:pPr>
              <w:spacing w:after="0"/>
              <w:rPr>
                <w:sz w:val="7"/>
                <w:szCs w:val="7"/>
                <w:color w:val="auto"/>
              </w:rPr>
            </w:pPr>
          </w:p>
        </w:tc>
        <w:tc>
          <w:tcPr>
            <w:tcW w:w="1300" w:type="dxa"/>
            <w:vAlign w:val="bottom"/>
            <w:tcBorders>
              <w:bottom w:val="single" w:sz="8" w:color="54585A"/>
            </w:tcBorders>
          </w:tcPr>
          <w:p>
            <w:pPr>
              <w:spacing w:after="0"/>
              <w:rPr>
                <w:sz w:val="7"/>
                <w:szCs w:val="7"/>
                <w:color w:val="auto"/>
              </w:rPr>
            </w:pPr>
          </w:p>
        </w:tc>
        <w:tc>
          <w:tcPr>
            <w:tcW w:w="1220" w:type="dxa"/>
            <w:vAlign w:val="bottom"/>
            <w:tcBorders>
              <w:bottom w:val="single" w:sz="8" w:color="54585A"/>
            </w:tcBorders>
          </w:tcPr>
          <w:p>
            <w:pPr>
              <w:spacing w:after="0"/>
              <w:rPr>
                <w:sz w:val="7"/>
                <w:szCs w:val="7"/>
                <w:color w:val="auto"/>
              </w:rPr>
            </w:pPr>
          </w:p>
        </w:tc>
        <w:tc>
          <w:tcPr>
            <w:tcW w:w="2740" w:type="dxa"/>
            <w:vAlign w:val="bottom"/>
            <w:tcBorders>
              <w:bottom w:val="single" w:sz="8" w:color="54585A"/>
            </w:tcBorders>
          </w:tcPr>
          <w:p>
            <w:pPr>
              <w:spacing w:after="0"/>
              <w:rPr>
                <w:sz w:val="7"/>
                <w:szCs w:val="7"/>
                <w:color w:val="auto"/>
              </w:rPr>
            </w:pPr>
          </w:p>
        </w:tc>
        <w:tc>
          <w:tcPr>
            <w:tcW w:w="1420" w:type="dxa"/>
            <w:vAlign w:val="bottom"/>
            <w:tcBorders>
              <w:bottom w:val="single" w:sz="8" w:color="54585A"/>
            </w:tcBorders>
          </w:tcPr>
          <w:p>
            <w:pPr>
              <w:spacing w:after="0"/>
              <w:rPr>
                <w:sz w:val="7"/>
                <w:szCs w:val="7"/>
                <w:color w:val="auto"/>
              </w:rPr>
            </w:pPr>
          </w:p>
        </w:tc>
        <w:tc>
          <w:tcPr>
            <w:tcW w:w="1440" w:type="dxa"/>
            <w:vAlign w:val="bottom"/>
            <w:tcBorders>
              <w:bottom w:val="single" w:sz="8" w:color="54585A"/>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Arial" w:cs="Arial" w:eastAsia="Arial" w:hAnsi="Arial"/>
                <w:sz w:val="10"/>
                <w:szCs w:val="10"/>
                <w:b w:val="1"/>
                <w:bCs w:val="1"/>
                <w:color w:val="EB6C10"/>
              </w:rPr>
              <w:t>William A. Hasler</w:t>
            </w:r>
          </w:p>
        </w:tc>
        <w:tc>
          <w:tcPr>
            <w:tcW w:w="2160" w:type="dxa"/>
            <w:vAlign w:val="bottom"/>
            <w:vMerge w:val="restart"/>
          </w:tcPr>
          <w:p>
            <w:pPr>
              <w:ind w:left="1620"/>
              <w:spacing w:after="0"/>
              <w:rPr>
                <w:sz w:val="20"/>
                <w:szCs w:val="20"/>
                <w:color w:val="auto"/>
              </w:rPr>
            </w:pPr>
            <w:r>
              <w:rPr>
                <w:rFonts w:ascii="Arial" w:cs="Arial" w:eastAsia="Arial" w:hAnsi="Arial"/>
                <w:sz w:val="10"/>
                <w:szCs w:val="10"/>
                <w:color w:val="54585A"/>
              </w:rPr>
              <w:t>C</w:t>
            </w:r>
          </w:p>
        </w:tc>
        <w:tc>
          <w:tcPr>
            <w:tcW w:w="1300" w:type="dxa"/>
            <w:vAlign w:val="bottom"/>
            <w:vMerge w:val="restart"/>
          </w:tcPr>
          <w:p>
            <w:pPr>
              <w:jc w:val="right"/>
              <w:ind w:right="412"/>
              <w:spacing w:after="0"/>
              <w:rPr>
                <w:sz w:val="20"/>
                <w:szCs w:val="20"/>
                <w:color w:val="auto"/>
              </w:rPr>
            </w:pPr>
            <w:r>
              <w:rPr>
                <w:rFonts w:ascii="Arial" w:cs="Arial" w:eastAsia="Arial" w:hAnsi="Arial"/>
                <w:sz w:val="10"/>
                <w:szCs w:val="10"/>
                <w:color w:val="54585A"/>
              </w:rPr>
              <w:t>07/2009</w:t>
            </w:r>
          </w:p>
        </w:tc>
        <w:tc>
          <w:tcPr>
            <w:tcW w:w="1220" w:type="dxa"/>
            <w:vAlign w:val="bottom"/>
            <w:vMerge w:val="restart"/>
          </w:tcPr>
          <w:p>
            <w:pPr>
              <w:jc w:val="right"/>
              <w:ind w:right="512"/>
              <w:spacing w:after="0"/>
              <w:rPr>
                <w:sz w:val="20"/>
                <w:szCs w:val="20"/>
                <w:color w:val="auto"/>
              </w:rPr>
            </w:pPr>
            <w:r>
              <w:rPr>
                <w:rFonts w:ascii="Arial" w:cs="Arial" w:eastAsia="Arial" w:hAnsi="Arial"/>
                <w:sz w:val="10"/>
                <w:szCs w:val="10"/>
                <w:color w:val="54585A"/>
              </w:rPr>
              <w:t>2024</w:t>
            </w:r>
          </w:p>
        </w:tc>
        <w:tc>
          <w:tcPr>
            <w:tcW w:w="2740" w:type="dxa"/>
            <w:vAlign w:val="bottom"/>
          </w:tcPr>
          <w:p>
            <w:pPr>
              <w:ind w:left="580"/>
              <w:spacing w:after="0" w:line="169" w:lineRule="exact"/>
              <w:rPr>
                <w:sz w:val="20"/>
                <w:szCs w:val="20"/>
                <w:color w:val="auto"/>
              </w:rPr>
            </w:pPr>
            <w:r>
              <w:rPr>
                <w:rFonts w:ascii="Arial" w:cs="Arial" w:eastAsia="Arial" w:hAnsi="Arial"/>
                <w:sz w:val="19"/>
                <w:szCs w:val="19"/>
                <w:b w:val="1"/>
                <w:bCs w:val="1"/>
                <w:color w:val="EB6C10"/>
              </w:rPr>
              <w:t>•</w:t>
            </w:r>
          </w:p>
        </w:tc>
        <w:tc>
          <w:tcPr>
            <w:tcW w:w="1420" w:type="dxa"/>
            <w:vAlign w:val="bottom"/>
          </w:tcPr>
          <w:p>
            <w:pPr>
              <w:spacing w:after="0"/>
              <w:rPr>
                <w:sz w:val="14"/>
                <w:szCs w:val="14"/>
                <w:color w:val="auto"/>
              </w:rPr>
            </w:pPr>
          </w:p>
        </w:tc>
        <w:tc>
          <w:tcPr>
            <w:tcW w:w="1440" w:type="dxa"/>
            <w:vAlign w:val="bottom"/>
          </w:tcPr>
          <w:p>
            <w:pPr>
              <w:ind w:left="680"/>
              <w:spacing w:after="0" w:line="169" w:lineRule="exact"/>
              <w:rPr>
                <w:sz w:val="20"/>
                <w:szCs w:val="20"/>
                <w:color w:val="auto"/>
              </w:rPr>
            </w:pPr>
            <w:r>
              <w:rPr>
                <w:rFonts w:ascii="Arial" w:cs="Arial" w:eastAsia="Arial" w:hAnsi="Arial"/>
                <w:sz w:val="19"/>
                <w:szCs w:val="19"/>
                <w:b w:val="1"/>
                <w:bCs w:val="1"/>
                <w:color w:val="54585A"/>
              </w:rPr>
              <w:t>•</w:t>
            </w:r>
          </w:p>
        </w:tc>
        <w:tc>
          <w:tcPr>
            <w:tcW w:w="0" w:type="dxa"/>
            <w:vAlign w:val="bottom"/>
          </w:tcPr>
          <w:p>
            <w:pPr>
              <w:spacing w:after="0"/>
              <w:rPr>
                <w:sz w:val="1"/>
                <w:szCs w:val="1"/>
                <w:color w:val="auto"/>
              </w:rPr>
            </w:pPr>
          </w:p>
        </w:tc>
      </w:tr>
      <w:tr>
        <w:trPr>
          <w:trHeight w:val="28"/>
        </w:trPr>
        <w:tc>
          <w:tcPr>
            <w:tcW w:w="1020" w:type="dxa"/>
            <w:vAlign w:val="bottom"/>
            <w:vMerge w:val="continue"/>
          </w:tcPr>
          <w:p>
            <w:pPr>
              <w:spacing w:after="0"/>
              <w:rPr>
                <w:sz w:val="2"/>
                <w:szCs w:val="2"/>
                <w:color w:val="auto"/>
              </w:rPr>
            </w:pPr>
          </w:p>
        </w:tc>
        <w:tc>
          <w:tcPr>
            <w:tcW w:w="2160" w:type="dxa"/>
            <w:vAlign w:val="bottom"/>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2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1020" w:type="dxa"/>
            <w:vAlign w:val="bottom"/>
            <w:tcBorders>
              <w:bottom w:val="single" w:sz="8" w:color="54585A"/>
            </w:tcBorders>
          </w:tcPr>
          <w:p>
            <w:pPr>
              <w:spacing w:after="0"/>
              <w:rPr>
                <w:sz w:val="7"/>
                <w:szCs w:val="7"/>
                <w:color w:val="auto"/>
              </w:rPr>
            </w:pPr>
          </w:p>
        </w:tc>
        <w:tc>
          <w:tcPr>
            <w:tcW w:w="2160" w:type="dxa"/>
            <w:vAlign w:val="bottom"/>
            <w:tcBorders>
              <w:bottom w:val="single" w:sz="8" w:color="54585A"/>
            </w:tcBorders>
          </w:tcPr>
          <w:p>
            <w:pPr>
              <w:spacing w:after="0"/>
              <w:rPr>
                <w:sz w:val="7"/>
                <w:szCs w:val="7"/>
                <w:color w:val="auto"/>
              </w:rPr>
            </w:pPr>
          </w:p>
        </w:tc>
        <w:tc>
          <w:tcPr>
            <w:tcW w:w="1300" w:type="dxa"/>
            <w:vAlign w:val="bottom"/>
            <w:tcBorders>
              <w:bottom w:val="single" w:sz="8" w:color="54585A"/>
            </w:tcBorders>
          </w:tcPr>
          <w:p>
            <w:pPr>
              <w:spacing w:after="0"/>
              <w:rPr>
                <w:sz w:val="7"/>
                <w:szCs w:val="7"/>
                <w:color w:val="auto"/>
              </w:rPr>
            </w:pPr>
          </w:p>
        </w:tc>
        <w:tc>
          <w:tcPr>
            <w:tcW w:w="1220" w:type="dxa"/>
            <w:vAlign w:val="bottom"/>
            <w:tcBorders>
              <w:bottom w:val="single" w:sz="8" w:color="54585A"/>
            </w:tcBorders>
          </w:tcPr>
          <w:p>
            <w:pPr>
              <w:spacing w:after="0"/>
              <w:rPr>
                <w:sz w:val="7"/>
                <w:szCs w:val="7"/>
                <w:color w:val="auto"/>
              </w:rPr>
            </w:pPr>
          </w:p>
        </w:tc>
        <w:tc>
          <w:tcPr>
            <w:tcW w:w="2740" w:type="dxa"/>
            <w:vAlign w:val="bottom"/>
            <w:tcBorders>
              <w:bottom w:val="single" w:sz="8" w:color="54585A"/>
            </w:tcBorders>
          </w:tcPr>
          <w:p>
            <w:pPr>
              <w:spacing w:after="0"/>
              <w:rPr>
                <w:sz w:val="7"/>
                <w:szCs w:val="7"/>
                <w:color w:val="auto"/>
              </w:rPr>
            </w:pPr>
          </w:p>
        </w:tc>
        <w:tc>
          <w:tcPr>
            <w:tcW w:w="1420" w:type="dxa"/>
            <w:vAlign w:val="bottom"/>
            <w:tcBorders>
              <w:bottom w:val="single" w:sz="8" w:color="54585A"/>
            </w:tcBorders>
          </w:tcPr>
          <w:p>
            <w:pPr>
              <w:spacing w:after="0"/>
              <w:rPr>
                <w:sz w:val="7"/>
                <w:szCs w:val="7"/>
                <w:color w:val="auto"/>
              </w:rPr>
            </w:pPr>
          </w:p>
        </w:tc>
        <w:tc>
          <w:tcPr>
            <w:tcW w:w="1440" w:type="dxa"/>
            <w:vAlign w:val="bottom"/>
            <w:tcBorders>
              <w:bottom w:val="single" w:sz="8" w:color="54585A"/>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Arial" w:cs="Arial" w:eastAsia="Arial" w:hAnsi="Arial"/>
                <w:sz w:val="10"/>
                <w:szCs w:val="10"/>
                <w:b w:val="1"/>
                <w:bCs w:val="1"/>
                <w:color w:val="EB6C10"/>
              </w:rPr>
              <w:t>James Monroe III</w:t>
            </w:r>
          </w:p>
        </w:tc>
        <w:tc>
          <w:tcPr>
            <w:tcW w:w="2160" w:type="dxa"/>
            <w:vAlign w:val="bottom"/>
            <w:vMerge w:val="restart"/>
          </w:tcPr>
          <w:p>
            <w:pPr>
              <w:ind w:left="1620"/>
              <w:spacing w:after="0"/>
              <w:rPr>
                <w:sz w:val="20"/>
                <w:szCs w:val="20"/>
                <w:color w:val="auto"/>
              </w:rPr>
            </w:pPr>
            <w:r>
              <w:rPr>
                <w:rFonts w:ascii="Arial" w:cs="Arial" w:eastAsia="Arial" w:hAnsi="Arial"/>
                <w:sz w:val="10"/>
                <w:szCs w:val="10"/>
                <w:color w:val="54585A"/>
              </w:rPr>
              <w:t>C</w:t>
            </w:r>
          </w:p>
        </w:tc>
        <w:tc>
          <w:tcPr>
            <w:tcW w:w="1300" w:type="dxa"/>
            <w:vAlign w:val="bottom"/>
            <w:vMerge w:val="restart"/>
          </w:tcPr>
          <w:p>
            <w:pPr>
              <w:jc w:val="right"/>
              <w:ind w:right="412"/>
              <w:spacing w:after="0"/>
              <w:rPr>
                <w:sz w:val="20"/>
                <w:szCs w:val="20"/>
                <w:color w:val="auto"/>
              </w:rPr>
            </w:pPr>
            <w:r>
              <w:rPr>
                <w:rFonts w:ascii="Arial" w:cs="Arial" w:eastAsia="Arial" w:hAnsi="Arial"/>
                <w:sz w:val="10"/>
                <w:szCs w:val="10"/>
                <w:color w:val="54585A"/>
              </w:rPr>
              <w:t>12/2003</w:t>
            </w:r>
          </w:p>
        </w:tc>
        <w:tc>
          <w:tcPr>
            <w:tcW w:w="1220" w:type="dxa"/>
            <w:vAlign w:val="bottom"/>
            <w:vMerge w:val="restart"/>
          </w:tcPr>
          <w:p>
            <w:pPr>
              <w:jc w:val="right"/>
              <w:ind w:right="512"/>
              <w:spacing w:after="0"/>
              <w:rPr>
                <w:sz w:val="20"/>
                <w:szCs w:val="20"/>
                <w:color w:val="auto"/>
              </w:rPr>
            </w:pPr>
            <w:r>
              <w:rPr>
                <w:rFonts w:ascii="Arial" w:cs="Arial" w:eastAsia="Arial" w:hAnsi="Arial"/>
                <w:sz w:val="10"/>
                <w:szCs w:val="10"/>
                <w:color w:val="54585A"/>
              </w:rPr>
              <w:t>2024</w:t>
            </w:r>
          </w:p>
        </w:tc>
        <w:tc>
          <w:tcPr>
            <w:tcW w:w="2740" w:type="dxa"/>
            <w:vAlign w:val="bottom"/>
          </w:tcPr>
          <w:p>
            <w:pPr>
              <w:ind w:left="2000"/>
              <w:spacing w:after="0" w:line="169" w:lineRule="exact"/>
              <w:rPr>
                <w:sz w:val="20"/>
                <w:szCs w:val="20"/>
                <w:color w:val="auto"/>
              </w:rPr>
            </w:pPr>
            <w:r>
              <w:rPr>
                <w:rFonts w:ascii="Arial" w:cs="Arial" w:eastAsia="Arial" w:hAnsi="Arial"/>
                <w:sz w:val="19"/>
                <w:szCs w:val="19"/>
                <w:b w:val="1"/>
                <w:bCs w:val="1"/>
                <w:color w:val="EB6C10"/>
              </w:rPr>
              <w:t>•</w:t>
            </w:r>
          </w:p>
        </w:tc>
        <w:tc>
          <w:tcPr>
            <w:tcW w:w="1420" w:type="dxa"/>
            <w:vAlign w:val="bottom"/>
          </w:tcPr>
          <w:p>
            <w:pPr>
              <w:ind w:left="680"/>
              <w:spacing w:after="0" w:line="169" w:lineRule="exact"/>
              <w:rPr>
                <w:sz w:val="20"/>
                <w:szCs w:val="20"/>
                <w:color w:val="auto"/>
              </w:rPr>
            </w:pPr>
            <w:r>
              <w:rPr>
                <w:rFonts w:ascii="Arial" w:cs="Arial" w:eastAsia="Arial" w:hAnsi="Arial"/>
                <w:sz w:val="19"/>
                <w:szCs w:val="19"/>
                <w:b w:val="1"/>
                <w:bCs w:val="1"/>
                <w:color w:val="EB6C10"/>
              </w:rPr>
              <w:t>•</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020" w:type="dxa"/>
            <w:vAlign w:val="bottom"/>
            <w:vMerge w:val="continue"/>
          </w:tcPr>
          <w:p>
            <w:pPr>
              <w:spacing w:after="0"/>
              <w:rPr>
                <w:sz w:val="2"/>
                <w:szCs w:val="2"/>
                <w:color w:val="auto"/>
              </w:rPr>
            </w:pPr>
          </w:p>
        </w:tc>
        <w:tc>
          <w:tcPr>
            <w:tcW w:w="2160" w:type="dxa"/>
            <w:vAlign w:val="bottom"/>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2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1020" w:type="dxa"/>
            <w:vAlign w:val="bottom"/>
            <w:tcBorders>
              <w:bottom w:val="single" w:sz="8" w:color="54585A"/>
            </w:tcBorders>
          </w:tcPr>
          <w:p>
            <w:pPr>
              <w:spacing w:after="0"/>
              <w:rPr>
                <w:sz w:val="7"/>
                <w:szCs w:val="7"/>
                <w:color w:val="auto"/>
              </w:rPr>
            </w:pPr>
          </w:p>
        </w:tc>
        <w:tc>
          <w:tcPr>
            <w:tcW w:w="2160" w:type="dxa"/>
            <w:vAlign w:val="bottom"/>
            <w:tcBorders>
              <w:bottom w:val="single" w:sz="8" w:color="54585A"/>
            </w:tcBorders>
          </w:tcPr>
          <w:p>
            <w:pPr>
              <w:spacing w:after="0"/>
              <w:rPr>
                <w:sz w:val="7"/>
                <w:szCs w:val="7"/>
                <w:color w:val="auto"/>
              </w:rPr>
            </w:pPr>
          </w:p>
        </w:tc>
        <w:tc>
          <w:tcPr>
            <w:tcW w:w="1300" w:type="dxa"/>
            <w:vAlign w:val="bottom"/>
            <w:tcBorders>
              <w:bottom w:val="single" w:sz="8" w:color="54585A"/>
            </w:tcBorders>
          </w:tcPr>
          <w:p>
            <w:pPr>
              <w:spacing w:after="0"/>
              <w:rPr>
                <w:sz w:val="7"/>
                <w:szCs w:val="7"/>
                <w:color w:val="auto"/>
              </w:rPr>
            </w:pPr>
          </w:p>
        </w:tc>
        <w:tc>
          <w:tcPr>
            <w:tcW w:w="1220" w:type="dxa"/>
            <w:vAlign w:val="bottom"/>
            <w:tcBorders>
              <w:bottom w:val="single" w:sz="8" w:color="54585A"/>
            </w:tcBorders>
          </w:tcPr>
          <w:p>
            <w:pPr>
              <w:spacing w:after="0"/>
              <w:rPr>
                <w:sz w:val="7"/>
                <w:szCs w:val="7"/>
                <w:color w:val="auto"/>
              </w:rPr>
            </w:pPr>
          </w:p>
        </w:tc>
        <w:tc>
          <w:tcPr>
            <w:tcW w:w="2740" w:type="dxa"/>
            <w:vAlign w:val="bottom"/>
            <w:tcBorders>
              <w:bottom w:val="single" w:sz="8" w:color="54585A"/>
            </w:tcBorders>
          </w:tcPr>
          <w:p>
            <w:pPr>
              <w:spacing w:after="0"/>
              <w:rPr>
                <w:sz w:val="7"/>
                <w:szCs w:val="7"/>
                <w:color w:val="auto"/>
              </w:rPr>
            </w:pPr>
          </w:p>
        </w:tc>
        <w:tc>
          <w:tcPr>
            <w:tcW w:w="1420" w:type="dxa"/>
            <w:vAlign w:val="bottom"/>
            <w:tcBorders>
              <w:bottom w:val="single" w:sz="8" w:color="54585A"/>
            </w:tcBorders>
          </w:tcPr>
          <w:p>
            <w:pPr>
              <w:spacing w:after="0"/>
              <w:rPr>
                <w:sz w:val="7"/>
                <w:szCs w:val="7"/>
                <w:color w:val="auto"/>
              </w:rPr>
            </w:pPr>
          </w:p>
        </w:tc>
        <w:tc>
          <w:tcPr>
            <w:tcW w:w="1440" w:type="dxa"/>
            <w:vAlign w:val="bottom"/>
            <w:tcBorders>
              <w:bottom w:val="single" w:sz="8" w:color="54585A"/>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Arial" w:cs="Arial" w:eastAsia="Arial" w:hAnsi="Arial"/>
                <w:sz w:val="10"/>
                <w:szCs w:val="10"/>
                <w:b w:val="1"/>
                <w:bCs w:val="1"/>
                <w:color w:val="EB6C10"/>
              </w:rPr>
              <w:t>Michael J. Lovett</w:t>
            </w:r>
          </w:p>
        </w:tc>
        <w:tc>
          <w:tcPr>
            <w:tcW w:w="2160" w:type="dxa"/>
            <w:vAlign w:val="bottom"/>
            <w:vMerge w:val="restart"/>
          </w:tcPr>
          <w:p>
            <w:pPr>
              <w:ind w:left="1620"/>
              <w:spacing w:after="0"/>
              <w:rPr>
                <w:sz w:val="20"/>
                <w:szCs w:val="20"/>
                <w:color w:val="auto"/>
              </w:rPr>
            </w:pPr>
            <w:r>
              <w:rPr>
                <w:rFonts w:ascii="Arial" w:cs="Arial" w:eastAsia="Arial" w:hAnsi="Arial"/>
                <w:sz w:val="10"/>
                <w:szCs w:val="10"/>
                <w:color w:val="54585A"/>
              </w:rPr>
              <w:t>C</w:t>
            </w:r>
          </w:p>
        </w:tc>
        <w:tc>
          <w:tcPr>
            <w:tcW w:w="1300" w:type="dxa"/>
            <w:vAlign w:val="bottom"/>
            <w:vMerge w:val="restart"/>
          </w:tcPr>
          <w:p>
            <w:pPr>
              <w:jc w:val="right"/>
              <w:ind w:right="412"/>
              <w:spacing w:after="0"/>
              <w:rPr>
                <w:sz w:val="20"/>
                <w:szCs w:val="20"/>
                <w:color w:val="auto"/>
              </w:rPr>
            </w:pPr>
            <w:r>
              <w:rPr>
                <w:rFonts w:ascii="Arial" w:cs="Arial" w:eastAsia="Arial" w:hAnsi="Arial"/>
                <w:sz w:val="10"/>
                <w:szCs w:val="10"/>
                <w:color w:val="54585A"/>
              </w:rPr>
              <w:t>12/2018</w:t>
            </w:r>
          </w:p>
        </w:tc>
        <w:tc>
          <w:tcPr>
            <w:tcW w:w="1220" w:type="dxa"/>
            <w:vAlign w:val="bottom"/>
            <w:vMerge w:val="restart"/>
          </w:tcPr>
          <w:p>
            <w:pPr>
              <w:jc w:val="right"/>
              <w:ind w:right="512"/>
              <w:spacing w:after="0"/>
              <w:rPr>
                <w:sz w:val="20"/>
                <w:szCs w:val="20"/>
                <w:color w:val="auto"/>
              </w:rPr>
            </w:pPr>
            <w:r>
              <w:rPr>
                <w:rFonts w:ascii="Arial" w:cs="Arial" w:eastAsia="Arial" w:hAnsi="Arial"/>
                <w:sz w:val="10"/>
                <w:szCs w:val="10"/>
                <w:color w:val="54585A"/>
              </w:rPr>
              <w:t>2024</w:t>
            </w:r>
          </w:p>
        </w:tc>
        <w:tc>
          <w:tcPr>
            <w:tcW w:w="2740" w:type="dxa"/>
            <w:vAlign w:val="bottom"/>
          </w:tcPr>
          <w:p>
            <w:pPr>
              <w:ind w:left="580"/>
              <w:spacing w:after="0" w:line="169" w:lineRule="exact"/>
              <w:rPr>
                <w:sz w:val="20"/>
                <w:szCs w:val="20"/>
                <w:color w:val="auto"/>
              </w:rPr>
            </w:pPr>
            <w:r>
              <w:rPr>
                <w:rFonts w:ascii="Arial" w:cs="Arial" w:eastAsia="Arial" w:hAnsi="Arial"/>
                <w:sz w:val="19"/>
                <w:szCs w:val="19"/>
                <w:b w:val="1"/>
                <w:bCs w:val="1"/>
                <w:color w:val="54585A"/>
              </w:rPr>
              <w:t>•</w:t>
            </w:r>
          </w:p>
        </w:tc>
        <w:tc>
          <w:tcPr>
            <w:tcW w:w="1420" w:type="dxa"/>
            <w:vAlign w:val="bottom"/>
          </w:tcPr>
          <w:p>
            <w:pPr>
              <w:ind w:left="680"/>
              <w:spacing w:after="0" w:line="169" w:lineRule="exact"/>
              <w:rPr>
                <w:sz w:val="20"/>
                <w:szCs w:val="20"/>
                <w:color w:val="auto"/>
              </w:rPr>
            </w:pPr>
            <w:r>
              <w:rPr>
                <w:rFonts w:ascii="Arial" w:cs="Arial" w:eastAsia="Arial" w:hAnsi="Arial"/>
                <w:sz w:val="19"/>
                <w:szCs w:val="19"/>
                <w:b w:val="1"/>
                <w:bCs w:val="1"/>
                <w:color w:val="54585A"/>
              </w:rPr>
              <w:t>•</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020" w:type="dxa"/>
            <w:vAlign w:val="bottom"/>
            <w:vMerge w:val="continue"/>
          </w:tcPr>
          <w:p>
            <w:pPr>
              <w:spacing w:after="0"/>
              <w:rPr>
                <w:sz w:val="2"/>
                <w:szCs w:val="2"/>
                <w:color w:val="auto"/>
              </w:rPr>
            </w:pPr>
          </w:p>
        </w:tc>
        <w:tc>
          <w:tcPr>
            <w:tcW w:w="2160" w:type="dxa"/>
            <w:vAlign w:val="bottom"/>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2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1020" w:type="dxa"/>
            <w:vAlign w:val="bottom"/>
            <w:tcBorders>
              <w:bottom w:val="single" w:sz="8" w:color="54585A"/>
            </w:tcBorders>
          </w:tcPr>
          <w:p>
            <w:pPr>
              <w:spacing w:after="0"/>
              <w:rPr>
                <w:sz w:val="7"/>
                <w:szCs w:val="7"/>
                <w:color w:val="auto"/>
              </w:rPr>
            </w:pPr>
          </w:p>
        </w:tc>
        <w:tc>
          <w:tcPr>
            <w:tcW w:w="2160" w:type="dxa"/>
            <w:vAlign w:val="bottom"/>
            <w:tcBorders>
              <w:bottom w:val="single" w:sz="8" w:color="54585A"/>
            </w:tcBorders>
          </w:tcPr>
          <w:p>
            <w:pPr>
              <w:spacing w:after="0"/>
              <w:rPr>
                <w:sz w:val="7"/>
                <w:szCs w:val="7"/>
                <w:color w:val="auto"/>
              </w:rPr>
            </w:pPr>
          </w:p>
        </w:tc>
        <w:tc>
          <w:tcPr>
            <w:tcW w:w="1300" w:type="dxa"/>
            <w:vAlign w:val="bottom"/>
            <w:tcBorders>
              <w:bottom w:val="single" w:sz="8" w:color="54585A"/>
            </w:tcBorders>
          </w:tcPr>
          <w:p>
            <w:pPr>
              <w:spacing w:after="0"/>
              <w:rPr>
                <w:sz w:val="7"/>
                <w:szCs w:val="7"/>
                <w:color w:val="auto"/>
              </w:rPr>
            </w:pPr>
          </w:p>
        </w:tc>
        <w:tc>
          <w:tcPr>
            <w:tcW w:w="1220" w:type="dxa"/>
            <w:vAlign w:val="bottom"/>
            <w:tcBorders>
              <w:bottom w:val="single" w:sz="8" w:color="54585A"/>
            </w:tcBorders>
          </w:tcPr>
          <w:p>
            <w:pPr>
              <w:spacing w:after="0"/>
              <w:rPr>
                <w:sz w:val="7"/>
                <w:szCs w:val="7"/>
                <w:color w:val="auto"/>
              </w:rPr>
            </w:pPr>
          </w:p>
        </w:tc>
        <w:tc>
          <w:tcPr>
            <w:tcW w:w="2740" w:type="dxa"/>
            <w:vAlign w:val="bottom"/>
            <w:tcBorders>
              <w:bottom w:val="single" w:sz="8" w:color="54585A"/>
            </w:tcBorders>
          </w:tcPr>
          <w:p>
            <w:pPr>
              <w:spacing w:after="0"/>
              <w:rPr>
                <w:sz w:val="7"/>
                <w:szCs w:val="7"/>
                <w:color w:val="auto"/>
              </w:rPr>
            </w:pPr>
          </w:p>
        </w:tc>
        <w:tc>
          <w:tcPr>
            <w:tcW w:w="1420" w:type="dxa"/>
            <w:vAlign w:val="bottom"/>
            <w:tcBorders>
              <w:bottom w:val="single" w:sz="8" w:color="54585A"/>
            </w:tcBorders>
          </w:tcPr>
          <w:p>
            <w:pPr>
              <w:spacing w:after="0"/>
              <w:rPr>
                <w:sz w:val="7"/>
                <w:szCs w:val="7"/>
                <w:color w:val="auto"/>
              </w:rPr>
            </w:pPr>
          </w:p>
        </w:tc>
        <w:tc>
          <w:tcPr>
            <w:tcW w:w="1440" w:type="dxa"/>
            <w:vAlign w:val="bottom"/>
            <w:tcBorders>
              <w:bottom w:val="single" w:sz="8" w:color="54585A"/>
            </w:tcBorders>
          </w:tcPr>
          <w:p>
            <w:pPr>
              <w:spacing w:after="0"/>
              <w:rPr>
                <w:sz w:val="7"/>
                <w:szCs w:val="7"/>
                <w:color w:val="auto"/>
              </w:rPr>
            </w:pPr>
          </w:p>
        </w:tc>
        <w:tc>
          <w:tcPr>
            <w:tcW w:w="0" w:type="dxa"/>
            <w:vAlign w:val="bottom"/>
          </w:tcPr>
          <w:p>
            <w:pPr>
              <w:spacing w:after="0"/>
              <w:rPr>
                <w:sz w:val="1"/>
                <w:szCs w:val="1"/>
                <w:color w:val="auto"/>
              </w:rPr>
            </w:pPr>
          </w:p>
        </w:tc>
      </w:tr>
      <w:tr>
        <w:trPr>
          <w:trHeight w:val="386"/>
        </w:trPr>
        <w:tc>
          <w:tcPr>
            <w:tcW w:w="1020" w:type="dxa"/>
            <w:vAlign w:val="bottom"/>
          </w:tcPr>
          <w:p>
            <w:pPr>
              <w:ind w:left="80"/>
              <w:spacing w:after="0"/>
              <w:rPr>
                <w:sz w:val="20"/>
                <w:szCs w:val="20"/>
                <w:color w:val="auto"/>
              </w:rPr>
            </w:pPr>
            <w:r>
              <w:rPr>
                <w:rFonts w:ascii="Arial" w:cs="Arial" w:eastAsia="Arial" w:hAnsi="Arial"/>
                <w:sz w:val="22"/>
                <w:szCs w:val="22"/>
                <w:b w:val="1"/>
                <w:bCs w:val="1"/>
                <w:color w:val="EB6C10"/>
              </w:rPr>
              <w:t xml:space="preserve">• </w:t>
            </w:r>
            <w:r>
              <w:rPr>
                <w:rFonts w:ascii="Arial" w:cs="Arial" w:eastAsia="Arial" w:hAnsi="Arial"/>
                <w:sz w:val="9"/>
                <w:szCs w:val="9"/>
                <w:color w:val="54585A"/>
              </w:rPr>
              <w:t>Chair</w:t>
            </w:r>
          </w:p>
        </w:tc>
        <w:tc>
          <w:tcPr>
            <w:tcW w:w="2160" w:type="dxa"/>
            <w:vAlign w:val="bottom"/>
          </w:tcPr>
          <w:p>
            <w:pPr>
              <w:ind w:left="180"/>
              <w:spacing w:after="0"/>
              <w:rPr>
                <w:sz w:val="20"/>
                <w:szCs w:val="20"/>
                <w:color w:val="auto"/>
              </w:rPr>
            </w:pPr>
            <w:r>
              <w:rPr>
                <w:rFonts w:ascii="Arial" w:cs="Arial" w:eastAsia="Arial" w:hAnsi="Arial"/>
                <w:sz w:val="22"/>
                <w:szCs w:val="22"/>
                <w:b w:val="1"/>
                <w:bCs w:val="1"/>
                <w:color w:val="54585A"/>
              </w:rPr>
              <w:t xml:space="preserve">• </w:t>
            </w:r>
            <w:r>
              <w:rPr>
                <w:rFonts w:ascii="Arial" w:cs="Arial" w:eastAsia="Arial" w:hAnsi="Arial"/>
                <w:sz w:val="9"/>
                <w:szCs w:val="9"/>
                <w:color w:val="54585A"/>
              </w:rPr>
              <w:t>Member</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245110</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485140</wp:posOffset>
            </wp:positionV>
            <wp:extent cx="942975" cy="942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EB6C10"/>
        </w:rPr>
        <w:t>Keith O. Cowan</w:t>
      </w:r>
    </w:p>
    <w:p>
      <w:pPr>
        <w:spacing w:after="0" w:line="200"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 xml:space="preserve">Age / </w:t>
      </w:r>
      <w:r>
        <w:rPr>
          <w:rFonts w:ascii="Arial" w:cs="Arial" w:eastAsia="Arial" w:hAnsi="Arial"/>
          <w:sz w:val="11"/>
          <w:szCs w:val="11"/>
          <w:color w:val="54585A"/>
        </w:rPr>
        <w:t>66</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 xml:space="preserve">Director Since / </w:t>
      </w:r>
      <w:r>
        <w:rPr>
          <w:rFonts w:ascii="Arial" w:cs="Arial" w:eastAsia="Arial" w:hAnsi="Arial"/>
          <w:sz w:val="11"/>
          <w:szCs w:val="11"/>
          <w:color w:val="54585A"/>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623570</wp:posOffset>
            </wp:positionV>
            <wp:extent cx="17145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80"/>
        <w:spacing w:after="0" w:line="330" w:lineRule="auto"/>
        <w:rPr>
          <w:sz w:val="20"/>
          <w:szCs w:val="20"/>
          <w:color w:val="auto"/>
        </w:rPr>
      </w:pPr>
      <w:r>
        <w:rPr>
          <w:rFonts w:ascii="Arial" w:cs="Arial" w:eastAsia="Arial" w:hAnsi="Arial"/>
          <w:sz w:val="11"/>
          <w:szCs w:val="11"/>
          <w:b w:val="1"/>
          <w:bCs w:val="1"/>
          <w:color w:val="54585A"/>
        </w:rPr>
        <w:t xml:space="preserve">Mr. Cowan’s </w:t>
      </w:r>
      <w:r>
        <w:rPr>
          <w:rFonts w:ascii="Arial" w:cs="Arial" w:eastAsia="Arial" w:hAnsi="Arial"/>
          <w:sz w:val="11"/>
          <w:szCs w:val="11"/>
          <w:color w:val="54585A"/>
        </w:rPr>
        <w:t>extensive experience in the telecommunications industry and global business development provides important insight in the launch and expansion of our</w:t>
      </w:r>
      <w:r>
        <w:rPr>
          <w:rFonts w:ascii="Arial" w:cs="Arial" w:eastAsia="Arial" w:hAnsi="Arial"/>
          <w:sz w:val="11"/>
          <w:szCs w:val="11"/>
          <w:b w:val="1"/>
          <w:bCs w:val="1"/>
          <w:color w:val="54585A"/>
        </w:rPr>
        <w:t xml:space="preserve"> </w:t>
      </w:r>
      <w:r>
        <w:rPr>
          <w:rFonts w:ascii="Arial" w:cs="Arial" w:eastAsia="Arial" w:hAnsi="Arial"/>
          <w:sz w:val="11"/>
          <w:szCs w:val="11"/>
          <w:color w:val="54585A"/>
        </w:rPr>
        <w:t>products, services and networks. Mr. Cowan has served as a board member of over a dozen private companies, three public companies and numerous not-for-profit and civic organizations.</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b w:val="1"/>
          <w:bCs w:val="1"/>
          <w:color w:val="EB6C10"/>
        </w:rPr>
        <w:t>Mr. Cowan's current and prior experience includes /</w:t>
      </w:r>
    </w:p>
    <w:p>
      <w:pPr>
        <w:spacing w:after="0" w:line="129" w:lineRule="exact"/>
        <w:rPr>
          <w:sz w:val="20"/>
          <w:szCs w:val="20"/>
          <w:color w:val="auto"/>
        </w:rPr>
      </w:pPr>
    </w:p>
    <w:p>
      <w:pPr>
        <w:ind w:left="200" w:hanging="99"/>
        <w:spacing w:after="0"/>
        <w:tabs>
          <w:tab w:leader="none" w:pos="200" w:val="left"/>
        </w:tabs>
        <w:numPr>
          <w:ilvl w:val="0"/>
          <w:numId w:val="13"/>
        </w:numPr>
        <w:rPr>
          <w:rFonts w:ascii="Arial" w:cs="Arial" w:eastAsia="Arial" w:hAnsi="Arial"/>
          <w:sz w:val="11"/>
          <w:szCs w:val="11"/>
          <w:color w:val="54585A"/>
        </w:rPr>
      </w:pPr>
      <w:r>
        <w:rPr>
          <w:rFonts w:ascii="Arial" w:cs="Arial" w:eastAsia="Arial" w:hAnsi="Arial"/>
          <w:sz w:val="11"/>
          <w:szCs w:val="11"/>
          <w:color w:val="54585A"/>
        </w:rPr>
        <w:t>Chief Development Officer of Rivada Networks, Inc. - August 2020 to present</w:t>
      </w:r>
    </w:p>
    <w:p>
      <w:pPr>
        <w:spacing w:after="0" w:line="116" w:lineRule="exact"/>
        <w:rPr>
          <w:rFonts w:ascii="Arial" w:cs="Arial" w:eastAsia="Arial" w:hAnsi="Arial"/>
          <w:sz w:val="11"/>
          <w:szCs w:val="11"/>
          <w:color w:val="54585A"/>
        </w:rPr>
      </w:pPr>
    </w:p>
    <w:p>
      <w:pPr>
        <w:ind w:left="200" w:hanging="99"/>
        <w:spacing w:after="0"/>
        <w:tabs>
          <w:tab w:leader="none" w:pos="200" w:val="left"/>
        </w:tabs>
        <w:numPr>
          <w:ilvl w:val="0"/>
          <w:numId w:val="13"/>
        </w:numPr>
        <w:rPr>
          <w:rFonts w:ascii="Arial" w:cs="Arial" w:eastAsia="Arial" w:hAnsi="Arial"/>
          <w:sz w:val="11"/>
          <w:szCs w:val="11"/>
          <w:color w:val="54585A"/>
        </w:rPr>
      </w:pPr>
      <w:r>
        <w:rPr>
          <w:rFonts w:ascii="Arial" w:cs="Arial" w:eastAsia="Arial" w:hAnsi="Arial"/>
          <w:sz w:val="11"/>
          <w:szCs w:val="11"/>
          <w:color w:val="54585A"/>
        </w:rPr>
        <w:t>Chief Executive Officer of Cowan Consulting Corporation LLC - January 2013 to present</w:t>
      </w:r>
    </w:p>
    <w:p>
      <w:pPr>
        <w:spacing w:after="0" w:line="107" w:lineRule="exact"/>
        <w:rPr>
          <w:rFonts w:ascii="Arial" w:cs="Arial" w:eastAsia="Arial" w:hAnsi="Arial"/>
          <w:sz w:val="11"/>
          <w:szCs w:val="11"/>
          <w:color w:val="54585A"/>
        </w:rPr>
      </w:pPr>
    </w:p>
    <w:p>
      <w:pPr>
        <w:ind w:left="200" w:hanging="99"/>
        <w:spacing w:after="0"/>
        <w:tabs>
          <w:tab w:leader="none" w:pos="200" w:val="left"/>
        </w:tabs>
        <w:numPr>
          <w:ilvl w:val="0"/>
          <w:numId w:val="13"/>
        </w:numPr>
        <w:rPr>
          <w:rFonts w:ascii="Arial" w:cs="Arial" w:eastAsia="Arial" w:hAnsi="Arial"/>
          <w:sz w:val="11"/>
          <w:szCs w:val="11"/>
          <w:color w:val="54585A"/>
        </w:rPr>
      </w:pPr>
      <w:r>
        <w:rPr>
          <w:rFonts w:ascii="Arial" w:cs="Arial" w:eastAsia="Arial" w:hAnsi="Arial"/>
          <w:sz w:val="11"/>
          <w:szCs w:val="11"/>
          <w:color w:val="54585A"/>
        </w:rPr>
        <w:t>Chief Executive Officer of NVR3 LLC (dba Venadar) - September 2019 to present</w:t>
      </w:r>
    </w:p>
    <w:p>
      <w:pPr>
        <w:spacing w:after="0" w:line="116" w:lineRule="exact"/>
        <w:rPr>
          <w:rFonts w:ascii="Arial" w:cs="Arial" w:eastAsia="Arial" w:hAnsi="Arial"/>
          <w:sz w:val="11"/>
          <w:szCs w:val="11"/>
          <w:color w:val="54585A"/>
        </w:rPr>
      </w:pPr>
    </w:p>
    <w:p>
      <w:pPr>
        <w:ind w:left="200" w:hanging="99"/>
        <w:spacing w:after="0"/>
        <w:tabs>
          <w:tab w:leader="none" w:pos="200" w:val="left"/>
        </w:tabs>
        <w:numPr>
          <w:ilvl w:val="0"/>
          <w:numId w:val="13"/>
        </w:numPr>
        <w:rPr>
          <w:rFonts w:ascii="Arial" w:cs="Arial" w:eastAsia="Arial" w:hAnsi="Arial"/>
          <w:sz w:val="11"/>
          <w:szCs w:val="11"/>
          <w:color w:val="54585A"/>
        </w:rPr>
      </w:pPr>
      <w:r>
        <w:rPr>
          <w:rFonts w:ascii="Arial" w:cs="Arial" w:eastAsia="Arial" w:hAnsi="Arial"/>
          <w:sz w:val="11"/>
          <w:szCs w:val="11"/>
          <w:color w:val="54585A"/>
        </w:rPr>
        <w:t>President of Strategic Planning and Corporate Initiatives at Sprint Corporation - July 2007 to January 2013</w:t>
      </w:r>
    </w:p>
    <w:p>
      <w:pPr>
        <w:spacing w:after="0" w:line="107" w:lineRule="exact"/>
        <w:rPr>
          <w:rFonts w:ascii="Arial" w:cs="Arial" w:eastAsia="Arial" w:hAnsi="Arial"/>
          <w:sz w:val="11"/>
          <w:szCs w:val="11"/>
          <w:color w:val="54585A"/>
        </w:rPr>
      </w:pPr>
    </w:p>
    <w:p>
      <w:pPr>
        <w:ind w:left="200" w:hanging="99"/>
        <w:spacing w:after="0"/>
        <w:tabs>
          <w:tab w:leader="none" w:pos="200" w:val="left"/>
        </w:tabs>
        <w:numPr>
          <w:ilvl w:val="0"/>
          <w:numId w:val="13"/>
        </w:numPr>
        <w:rPr>
          <w:rFonts w:ascii="Arial" w:cs="Arial" w:eastAsia="Arial" w:hAnsi="Arial"/>
          <w:sz w:val="11"/>
          <w:szCs w:val="11"/>
          <w:color w:val="54585A"/>
        </w:rPr>
      </w:pPr>
      <w:r>
        <w:rPr>
          <w:rFonts w:ascii="Arial" w:cs="Arial" w:eastAsia="Arial" w:hAnsi="Arial"/>
          <w:sz w:val="11"/>
          <w:szCs w:val="11"/>
          <w:color w:val="54585A"/>
        </w:rPr>
        <w:t>Board Member - Aegex Technologies</w:t>
      </w:r>
    </w:p>
    <w:p>
      <w:pPr>
        <w:spacing w:after="0" w:line="584" w:lineRule="exact"/>
        <w:rPr>
          <w:sz w:val="20"/>
          <w:szCs w:val="20"/>
          <w:color w:val="auto"/>
        </w:rPr>
      </w:pPr>
    </w:p>
    <w:p>
      <w:pPr>
        <w:sectPr>
          <w:pgSz w:w="11900" w:h="16838" w:orient="portrait"/>
          <w:cols w:equalWidth="0" w:num="2">
            <w:col w:w="2360" w:space="720"/>
            <w:col w:w="8220"/>
          </w:cols>
          <w:pgMar w:left="300" w:top="125"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72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158115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type w:val="continuous"/>
        </w:sectPr>
      </w:pPr>
    </w:p>
    <w:bookmarkStart w:id="10" w:name="page11"/>
    <w:bookmarkEnd w:id="10"/>
    <w:p>
      <w:pPr>
        <w:ind w:left="68" w:hanging="68"/>
        <w:spacing w:after="0"/>
        <w:tabs>
          <w:tab w:leader="none" w:pos="68" w:val="left"/>
        </w:tabs>
        <w:numPr>
          <w:ilvl w:val="0"/>
          <w:numId w:val="14"/>
        </w:numPr>
        <w:rPr>
          <w:rFonts w:ascii="Arial" w:cs="Arial" w:eastAsia="Arial" w:hAnsi="Arial"/>
          <w:sz w:val="12"/>
          <w:szCs w:val="12"/>
          <w:b w:val="1"/>
          <w:bCs w:val="1"/>
          <w:color w:val="EB6C10"/>
        </w:rPr>
      </w:pPr>
      <w:r>
        <w:rPr>
          <w:rFonts w:ascii="Arial" w:cs="Arial" w:eastAsia="Arial" w:hAnsi="Arial"/>
          <w:sz w:val="10"/>
          <w:szCs w:val="10"/>
          <w:color w:val="54585A"/>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530860</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770890</wp:posOffset>
            </wp:positionV>
            <wp:extent cx="942975" cy="9429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88"/>
        <w:spacing w:after="0" w:line="353" w:lineRule="auto"/>
        <w:rPr>
          <w:sz w:val="20"/>
          <w:szCs w:val="20"/>
          <w:color w:val="auto"/>
        </w:rPr>
      </w:pPr>
      <w:r>
        <w:rPr>
          <w:rFonts w:ascii="Arial" w:cs="Arial" w:eastAsia="Arial" w:hAnsi="Arial"/>
          <w:sz w:val="11"/>
          <w:szCs w:val="11"/>
          <w:b w:val="1"/>
          <w:bCs w:val="1"/>
          <w:color w:val="54585A"/>
        </w:rPr>
        <w:t xml:space="preserve">Mr. Wolff </w:t>
      </w:r>
      <w:r>
        <w:rPr>
          <w:rFonts w:ascii="Arial" w:cs="Arial" w:eastAsia="Arial" w:hAnsi="Arial"/>
          <w:sz w:val="11"/>
          <w:szCs w:val="11"/>
          <w:color w:val="54585A"/>
        </w:rPr>
        <w:t>provides the Board with strong knowledge and insight into the telecommunications market in the United States and abroad and extensive experience in capital</w:t>
      </w:r>
      <w:r>
        <w:rPr>
          <w:rFonts w:ascii="Arial" w:cs="Arial" w:eastAsia="Arial" w:hAnsi="Arial"/>
          <w:sz w:val="11"/>
          <w:szCs w:val="11"/>
          <w:b w:val="1"/>
          <w:bCs w:val="1"/>
          <w:color w:val="54585A"/>
        </w:rPr>
        <w:t xml:space="preserve"> </w:t>
      </w:r>
      <w:r>
        <w:rPr>
          <w:rFonts w:ascii="Arial" w:cs="Arial" w:eastAsia="Arial" w:hAnsi="Arial"/>
          <w:sz w:val="11"/>
          <w:szCs w:val="11"/>
          <w:color w:val="54585A"/>
        </w:rPr>
        <w:t>markets transactions. Mr. Wolff has served as a member of the board of directors of various telecom and technology companies.</w:t>
      </w:r>
    </w:p>
    <w:p>
      <w:pPr>
        <w:spacing w:after="0" w:line="69" w:lineRule="exact"/>
        <w:rPr>
          <w:sz w:val="20"/>
          <w:szCs w:val="20"/>
          <w:color w:val="auto"/>
        </w:rPr>
      </w:pPr>
    </w:p>
    <w:p>
      <w:pPr>
        <w:ind w:left="3088"/>
        <w:spacing w:after="0"/>
        <w:rPr>
          <w:sz w:val="20"/>
          <w:szCs w:val="20"/>
          <w:color w:val="auto"/>
        </w:rPr>
      </w:pPr>
      <w:r>
        <w:rPr>
          <w:rFonts w:ascii="Arial" w:cs="Arial" w:eastAsia="Arial" w:hAnsi="Arial"/>
          <w:sz w:val="11"/>
          <w:szCs w:val="11"/>
          <w:b w:val="1"/>
          <w:bCs w:val="1"/>
          <w:color w:val="EB6C10"/>
        </w:rPr>
        <w:t>Mr. Wolff's current and prior experience includes /</w:t>
      </w:r>
    </w:p>
    <w:p>
      <w:pPr>
        <w:spacing w:after="0" w:line="129" w:lineRule="exact"/>
        <w:rPr>
          <w:sz w:val="20"/>
          <w:szCs w:val="20"/>
          <w:color w:val="auto"/>
        </w:rPr>
      </w:pPr>
    </w:p>
    <w:p>
      <w:pPr>
        <w:ind w:left="3288" w:hanging="99"/>
        <w:spacing w:after="0" w:line="313" w:lineRule="auto"/>
        <w:tabs>
          <w:tab w:leader="none" w:pos="3281" w:val="left"/>
        </w:tabs>
        <w:numPr>
          <w:ilvl w:val="0"/>
          <w:numId w:val="15"/>
        </w:numPr>
        <w:rPr>
          <w:rFonts w:ascii="Arial" w:cs="Arial" w:eastAsia="Arial" w:hAnsi="Arial"/>
          <w:sz w:val="11"/>
          <w:szCs w:val="11"/>
          <w:color w:val="54585A"/>
        </w:rPr>
      </w:pPr>
      <w:r>
        <w:rPr>
          <w:rFonts w:ascii="Arial" w:cs="Arial" w:eastAsia="Arial" w:hAnsi="Arial"/>
          <w:sz w:val="11"/>
          <w:szCs w:val="11"/>
          <w:color w:val="54585A"/>
        </w:rPr>
        <w:t>Co-Founder of and Board Member Sarcos Technology and Robotics Corporation - 2023 to present (formerly Chairman, President and CEO from 2015 through 2021 and Executive Chairman from 2021 through 2022)</w:t>
      </w:r>
    </w:p>
    <w:p>
      <w:pPr>
        <w:spacing w:after="0" w:line="75" w:lineRule="exact"/>
        <w:rPr>
          <w:rFonts w:ascii="Arial" w:cs="Arial" w:eastAsia="Arial" w:hAnsi="Arial"/>
          <w:sz w:val="11"/>
          <w:szCs w:val="11"/>
          <w:color w:val="54585A"/>
        </w:rPr>
      </w:pPr>
    </w:p>
    <w:p>
      <w:pPr>
        <w:ind w:left="3288" w:hanging="99"/>
        <w:spacing w:after="0"/>
        <w:tabs>
          <w:tab w:leader="none" w:pos="3288" w:val="left"/>
        </w:tabs>
        <w:numPr>
          <w:ilvl w:val="0"/>
          <w:numId w:val="15"/>
        </w:numPr>
        <w:rPr>
          <w:rFonts w:ascii="Arial" w:cs="Arial" w:eastAsia="Arial" w:hAnsi="Arial"/>
          <w:sz w:val="11"/>
          <w:szCs w:val="11"/>
          <w:color w:val="54585A"/>
        </w:rPr>
      </w:pPr>
      <w:r>
        <w:rPr>
          <w:rFonts w:ascii="Arial" w:cs="Arial" w:eastAsia="Arial" w:hAnsi="Arial"/>
          <w:sz w:val="11"/>
          <w:szCs w:val="11"/>
          <w:color w:val="54585A"/>
        </w:rPr>
        <w:t>President of Eagle River Investments - 2003 to 2014</w:t>
      </w:r>
    </w:p>
    <w:p>
      <w:pPr>
        <w:spacing w:after="0" w:line="116" w:lineRule="exact"/>
        <w:rPr>
          <w:rFonts w:ascii="Arial" w:cs="Arial" w:eastAsia="Arial" w:hAnsi="Arial"/>
          <w:sz w:val="11"/>
          <w:szCs w:val="11"/>
          <w:color w:val="54585A"/>
        </w:rPr>
      </w:pPr>
    </w:p>
    <w:p>
      <w:pPr>
        <w:ind w:left="3288" w:hanging="99"/>
        <w:spacing w:after="0"/>
        <w:tabs>
          <w:tab w:leader="none" w:pos="3288" w:val="left"/>
        </w:tabs>
        <w:numPr>
          <w:ilvl w:val="0"/>
          <w:numId w:val="15"/>
        </w:numPr>
        <w:rPr>
          <w:rFonts w:ascii="Arial" w:cs="Arial" w:eastAsia="Arial" w:hAnsi="Arial"/>
          <w:sz w:val="10"/>
          <w:szCs w:val="10"/>
          <w:color w:val="54585A"/>
        </w:rPr>
      </w:pPr>
      <w:r>
        <w:rPr>
          <w:rFonts w:ascii="Arial" w:cs="Arial" w:eastAsia="Arial" w:hAnsi="Arial"/>
          <w:sz w:val="10"/>
          <w:szCs w:val="10"/>
          <w:color w:val="54585A"/>
        </w:rPr>
        <w:t>Co-Founder of Clearwire Corporation (served in various capacities including President, CEO, Co-Chairman and member of the Board of Directors) - 2003 to 2011</w:t>
      </w:r>
    </w:p>
    <w:p>
      <w:pPr>
        <w:spacing w:after="0" w:line="102" w:lineRule="exact"/>
        <w:rPr>
          <w:rFonts w:ascii="Arial" w:cs="Arial" w:eastAsia="Arial" w:hAnsi="Arial"/>
          <w:sz w:val="10"/>
          <w:szCs w:val="10"/>
          <w:color w:val="54585A"/>
        </w:rPr>
      </w:pPr>
    </w:p>
    <w:p>
      <w:pPr>
        <w:ind w:left="3288" w:hanging="99"/>
        <w:spacing w:after="0"/>
        <w:tabs>
          <w:tab w:leader="none" w:pos="3288" w:val="left"/>
        </w:tabs>
        <w:numPr>
          <w:ilvl w:val="0"/>
          <w:numId w:val="15"/>
        </w:numPr>
        <w:rPr>
          <w:rFonts w:ascii="Arial" w:cs="Arial" w:eastAsia="Arial" w:hAnsi="Arial"/>
          <w:sz w:val="11"/>
          <w:szCs w:val="11"/>
          <w:color w:val="54585A"/>
        </w:rPr>
      </w:pPr>
      <w:r>
        <w:rPr>
          <w:rFonts w:ascii="Arial" w:cs="Arial" w:eastAsia="Arial" w:hAnsi="Arial"/>
          <w:sz w:val="11"/>
          <w:szCs w:val="11"/>
          <w:color w:val="54585A"/>
        </w:rPr>
        <w:t>Chief Executive Officer, President and Chairman of Pendrell Corporation (formerly known as ICO Global Communications) - 2009 to 2014</w:t>
      </w:r>
    </w:p>
    <w:p>
      <w:pPr>
        <w:ind w:left="8"/>
        <w:spacing w:after="0"/>
        <w:rPr>
          <w:sz w:val="20"/>
          <w:szCs w:val="20"/>
          <w:color w:val="auto"/>
        </w:rPr>
      </w:pPr>
      <w:r>
        <w:rPr>
          <w:rFonts w:ascii="Arial" w:cs="Arial" w:eastAsia="Arial" w:hAnsi="Arial"/>
          <w:sz w:val="17"/>
          <w:szCs w:val="17"/>
          <w:b w:val="1"/>
          <w:bCs w:val="1"/>
          <w:color w:val="EB6C10"/>
        </w:rPr>
        <w:t>Benjamin G. Wolff</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Age / 54</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 xml:space="preserve">Director Since / </w:t>
      </w:r>
      <w:r>
        <w:rPr>
          <w:rFonts w:ascii="Arial" w:cs="Arial" w:eastAsia="Arial" w:hAnsi="Arial"/>
          <w:sz w:val="11"/>
          <w:szCs w:val="11"/>
          <w:color w:val="54585A"/>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469265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709295</wp:posOffset>
            </wp:positionV>
            <wp:extent cx="942975" cy="9429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88"/>
        <w:spacing w:after="0"/>
        <w:rPr>
          <w:sz w:val="20"/>
          <w:szCs w:val="20"/>
          <w:color w:val="auto"/>
        </w:rPr>
      </w:pPr>
      <w:r>
        <w:rPr>
          <w:rFonts w:ascii="Arial" w:cs="Arial" w:eastAsia="Arial" w:hAnsi="Arial"/>
          <w:sz w:val="11"/>
          <w:szCs w:val="11"/>
          <w:b w:val="1"/>
          <w:bCs w:val="1"/>
          <w:color w:val="54585A"/>
        </w:rPr>
        <w:t xml:space="preserve">Mr. Lynch </w:t>
      </w:r>
      <w:r>
        <w:rPr>
          <w:rFonts w:ascii="Arial" w:cs="Arial" w:eastAsia="Arial" w:hAnsi="Arial"/>
          <w:sz w:val="11"/>
          <w:szCs w:val="11"/>
          <w:color w:val="54585A"/>
        </w:rPr>
        <w:t>brings extensive financial management experience, especially in the telecom industry, to the Board.</w:t>
      </w:r>
    </w:p>
    <w:p>
      <w:pPr>
        <w:spacing w:after="0" w:line="144" w:lineRule="exact"/>
        <w:rPr>
          <w:sz w:val="20"/>
          <w:szCs w:val="20"/>
          <w:color w:val="auto"/>
        </w:rPr>
      </w:pPr>
    </w:p>
    <w:p>
      <w:pPr>
        <w:ind w:left="3088"/>
        <w:spacing w:after="0"/>
        <w:rPr>
          <w:sz w:val="20"/>
          <w:szCs w:val="20"/>
          <w:color w:val="auto"/>
        </w:rPr>
      </w:pPr>
      <w:r>
        <w:rPr>
          <w:rFonts w:ascii="Arial" w:cs="Arial" w:eastAsia="Arial" w:hAnsi="Arial"/>
          <w:sz w:val="11"/>
          <w:szCs w:val="11"/>
          <w:b w:val="1"/>
          <w:bCs w:val="1"/>
          <w:color w:val="EB6C10"/>
        </w:rPr>
        <w:t>Mr. Lynch's current and prior experience includes /</w:t>
      </w:r>
    </w:p>
    <w:p>
      <w:pPr>
        <w:spacing w:after="0" w:line="129" w:lineRule="exact"/>
        <w:rPr>
          <w:sz w:val="20"/>
          <w:szCs w:val="20"/>
          <w:color w:val="auto"/>
        </w:rPr>
      </w:pPr>
    </w:p>
    <w:p>
      <w:pPr>
        <w:ind w:left="3288" w:hanging="99"/>
        <w:spacing w:after="0"/>
        <w:tabs>
          <w:tab w:leader="none" w:pos="3288" w:val="left"/>
        </w:tabs>
        <w:numPr>
          <w:ilvl w:val="0"/>
          <w:numId w:val="16"/>
        </w:numPr>
        <w:rPr>
          <w:rFonts w:ascii="Arial" w:cs="Arial" w:eastAsia="Arial" w:hAnsi="Arial"/>
          <w:sz w:val="11"/>
          <w:szCs w:val="11"/>
          <w:color w:val="54585A"/>
        </w:rPr>
      </w:pPr>
      <w:r>
        <w:rPr>
          <w:rFonts w:ascii="Arial" w:cs="Arial" w:eastAsia="Arial" w:hAnsi="Arial"/>
          <w:sz w:val="11"/>
          <w:szCs w:val="11"/>
          <w:color w:val="54585A"/>
        </w:rPr>
        <w:t>Managing Partner of Thermo Capital Partners, L.L.C. - October 2021 to present</w:t>
      </w:r>
    </w:p>
    <w:p>
      <w:pPr>
        <w:spacing w:after="0" w:line="107" w:lineRule="exact"/>
        <w:rPr>
          <w:rFonts w:ascii="Arial" w:cs="Arial" w:eastAsia="Arial" w:hAnsi="Arial"/>
          <w:sz w:val="11"/>
          <w:szCs w:val="11"/>
          <w:color w:val="54585A"/>
        </w:rPr>
      </w:pPr>
    </w:p>
    <w:p>
      <w:pPr>
        <w:ind w:left="3288" w:hanging="99"/>
        <w:spacing w:after="0"/>
        <w:tabs>
          <w:tab w:leader="none" w:pos="3288" w:val="left"/>
        </w:tabs>
        <w:numPr>
          <w:ilvl w:val="0"/>
          <w:numId w:val="16"/>
        </w:numPr>
        <w:rPr>
          <w:rFonts w:ascii="Arial" w:cs="Arial" w:eastAsia="Arial" w:hAnsi="Arial"/>
          <w:sz w:val="11"/>
          <w:szCs w:val="11"/>
          <w:color w:val="54585A"/>
        </w:rPr>
      </w:pPr>
      <w:r>
        <w:rPr>
          <w:rFonts w:ascii="Arial" w:cs="Arial" w:eastAsia="Arial" w:hAnsi="Arial"/>
          <w:sz w:val="11"/>
          <w:szCs w:val="11"/>
          <w:color w:val="54585A"/>
        </w:rPr>
        <w:t>Executive Chairman of FiberLight, LLC - 2017 to present (formerly CEO from 2015 through 2017)</w:t>
      </w:r>
    </w:p>
    <w:p>
      <w:pPr>
        <w:spacing w:after="0" w:line="116" w:lineRule="exact"/>
        <w:rPr>
          <w:rFonts w:ascii="Arial" w:cs="Arial" w:eastAsia="Arial" w:hAnsi="Arial"/>
          <w:sz w:val="11"/>
          <w:szCs w:val="11"/>
          <w:color w:val="54585A"/>
        </w:rPr>
      </w:pPr>
    </w:p>
    <w:p>
      <w:pPr>
        <w:ind w:left="3288" w:hanging="99"/>
        <w:spacing w:after="0"/>
        <w:tabs>
          <w:tab w:leader="none" w:pos="3288" w:val="left"/>
        </w:tabs>
        <w:numPr>
          <w:ilvl w:val="0"/>
          <w:numId w:val="16"/>
        </w:numPr>
        <w:rPr>
          <w:rFonts w:ascii="Arial" w:cs="Arial" w:eastAsia="Arial" w:hAnsi="Arial"/>
          <w:sz w:val="11"/>
          <w:szCs w:val="11"/>
          <w:color w:val="54585A"/>
        </w:rPr>
      </w:pPr>
      <w:r>
        <w:rPr>
          <w:rFonts w:ascii="Arial" w:cs="Arial" w:eastAsia="Arial" w:hAnsi="Arial"/>
          <w:sz w:val="11"/>
          <w:szCs w:val="11"/>
          <w:color w:val="54585A"/>
        </w:rPr>
        <w:t>Chairman of Xspedius Communications, LLC - January 2005 through October 2006 (formerly CEO from August 2005 through March 2006)</w:t>
      </w:r>
    </w:p>
    <w:p>
      <w:pPr>
        <w:spacing w:after="0" w:line="116" w:lineRule="exact"/>
        <w:rPr>
          <w:rFonts w:ascii="Arial" w:cs="Arial" w:eastAsia="Arial" w:hAnsi="Arial"/>
          <w:sz w:val="11"/>
          <w:szCs w:val="11"/>
          <w:color w:val="54585A"/>
        </w:rPr>
      </w:pPr>
    </w:p>
    <w:p>
      <w:pPr>
        <w:ind w:left="3288" w:hanging="99"/>
        <w:spacing w:after="0"/>
        <w:tabs>
          <w:tab w:leader="none" w:pos="3288" w:val="left"/>
        </w:tabs>
        <w:numPr>
          <w:ilvl w:val="0"/>
          <w:numId w:val="16"/>
        </w:numPr>
        <w:rPr>
          <w:rFonts w:ascii="Arial" w:cs="Arial" w:eastAsia="Arial" w:hAnsi="Arial"/>
          <w:sz w:val="11"/>
          <w:szCs w:val="11"/>
          <w:color w:val="54585A"/>
        </w:rPr>
      </w:pPr>
      <w:r>
        <w:rPr>
          <w:rFonts w:ascii="Arial" w:cs="Arial" w:eastAsia="Arial" w:hAnsi="Arial"/>
          <w:sz w:val="11"/>
          <w:szCs w:val="11"/>
          <w:color w:val="54585A"/>
        </w:rPr>
        <w:t>Managing Director at Bear Stearns &amp; Co. - prior to joining Thermo</w:t>
      </w:r>
    </w:p>
    <w:p>
      <w:pPr>
        <w:spacing w:after="0" w:line="107" w:lineRule="exact"/>
        <w:rPr>
          <w:rFonts w:ascii="Arial" w:cs="Arial" w:eastAsia="Arial" w:hAnsi="Arial"/>
          <w:sz w:val="11"/>
          <w:szCs w:val="11"/>
          <w:color w:val="54585A"/>
        </w:rPr>
      </w:pPr>
    </w:p>
    <w:p>
      <w:pPr>
        <w:ind w:left="3288" w:hanging="99"/>
        <w:spacing w:after="0"/>
        <w:tabs>
          <w:tab w:leader="none" w:pos="3288" w:val="left"/>
        </w:tabs>
        <w:numPr>
          <w:ilvl w:val="0"/>
          <w:numId w:val="16"/>
        </w:numPr>
        <w:rPr>
          <w:rFonts w:ascii="Arial" w:cs="Arial" w:eastAsia="Arial" w:hAnsi="Arial"/>
          <w:sz w:val="11"/>
          <w:szCs w:val="11"/>
          <w:color w:val="54585A"/>
        </w:rPr>
      </w:pPr>
      <w:r>
        <w:rPr>
          <w:rFonts w:ascii="Arial" w:cs="Arial" w:eastAsia="Arial" w:hAnsi="Arial"/>
          <w:sz w:val="11"/>
          <w:szCs w:val="11"/>
          <w:color w:val="54585A"/>
        </w:rPr>
        <w:t>Limited Partner of Globalstar Satellite, L.P.</w:t>
      </w:r>
    </w:p>
    <w:p>
      <w:pPr>
        <w:spacing w:after="0" w:line="56"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EB6C10"/>
        </w:rPr>
        <w:t>James F. Lynch</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Age / 65</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 xml:space="preserve">Director Since / </w:t>
      </w:r>
      <w:r>
        <w:rPr>
          <w:rFonts w:ascii="Arial" w:cs="Arial" w:eastAsia="Arial" w:hAnsi="Arial"/>
          <w:sz w:val="11"/>
          <w:szCs w:val="11"/>
          <w:color w:val="54585A"/>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623570</wp:posOffset>
            </wp:positionV>
            <wp:extent cx="17145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8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08"/>
          </w:cols>
          <w:pgMar w:left="292" w:top="156" w:right="499" w:bottom="1440" w:gutter="0" w:footer="0" w:header="0"/>
        </w:sectPr>
      </w:pPr>
    </w:p>
    <w:bookmarkStart w:id="11" w:name="page12"/>
    <w:bookmarkEnd w:id="11"/>
    <w:p>
      <w:pPr>
        <w:jc w:val="right"/>
        <w:spacing w:after="0"/>
        <w:rPr>
          <w:sz w:val="20"/>
          <w:szCs w:val="20"/>
          <w:color w:val="auto"/>
        </w:rPr>
      </w:pPr>
      <w:r>
        <w:rPr>
          <w:rFonts w:ascii="Arial" w:cs="Arial" w:eastAsia="Arial" w:hAnsi="Arial"/>
          <w:sz w:val="10"/>
          <w:szCs w:val="10"/>
          <w:color w:val="54585A"/>
        </w:rPr>
        <w:t xml:space="preserve">Board of Directors and Corporate Governance </w:t>
      </w:r>
      <w:r>
        <w:rPr>
          <w:rFonts w:ascii="Arial" w:cs="Arial" w:eastAsia="Arial" w:hAnsi="Arial"/>
          <w:sz w:val="11"/>
          <w:szCs w:val="11"/>
          <w:b w:val="1"/>
          <w:bCs w:val="1"/>
          <w:color w:val="EB6C1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488950</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728980</wp:posOffset>
            </wp:positionV>
            <wp:extent cx="942975" cy="9429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080"/>
        <w:spacing w:after="0"/>
        <w:rPr>
          <w:sz w:val="20"/>
          <w:szCs w:val="20"/>
          <w:color w:val="auto"/>
        </w:rPr>
      </w:pPr>
      <w:r>
        <w:rPr>
          <w:rFonts w:ascii="Arial" w:cs="Arial" w:eastAsia="Arial" w:hAnsi="Arial"/>
          <w:sz w:val="11"/>
          <w:szCs w:val="11"/>
          <w:b w:val="1"/>
          <w:bCs w:val="1"/>
          <w:color w:val="54585A"/>
        </w:rPr>
        <w:t xml:space="preserve">Mr. Taylor </w:t>
      </w:r>
      <w:r>
        <w:rPr>
          <w:rFonts w:ascii="Arial" w:cs="Arial" w:eastAsia="Arial" w:hAnsi="Arial"/>
          <w:sz w:val="11"/>
          <w:szCs w:val="11"/>
          <w:color w:val="54585A"/>
        </w:rPr>
        <w:t>brings insight into the daily operations of Globalstar and management experience to the Board.</w:t>
      </w:r>
    </w:p>
    <w:p>
      <w:pPr>
        <w:spacing w:after="0" w:line="153" w:lineRule="exact"/>
        <w:rPr>
          <w:sz w:val="20"/>
          <w:szCs w:val="20"/>
          <w:color w:val="auto"/>
        </w:rPr>
      </w:pPr>
    </w:p>
    <w:p>
      <w:pPr>
        <w:ind w:left="3080"/>
        <w:spacing w:after="0"/>
        <w:rPr>
          <w:sz w:val="20"/>
          <w:szCs w:val="20"/>
          <w:color w:val="auto"/>
        </w:rPr>
      </w:pPr>
      <w:r>
        <w:rPr>
          <w:rFonts w:ascii="Arial" w:cs="Arial" w:eastAsia="Arial" w:hAnsi="Arial"/>
          <w:sz w:val="11"/>
          <w:szCs w:val="11"/>
          <w:b w:val="1"/>
          <w:bCs w:val="1"/>
          <w:color w:val="EB6C10"/>
        </w:rPr>
        <w:t>Mr. Taylor's current and prior experience includes /</w:t>
      </w:r>
    </w:p>
    <w:p>
      <w:pPr>
        <w:spacing w:after="0" w:line="120" w:lineRule="exact"/>
        <w:rPr>
          <w:sz w:val="20"/>
          <w:szCs w:val="20"/>
          <w:color w:val="auto"/>
        </w:rPr>
      </w:pPr>
    </w:p>
    <w:p>
      <w:pPr>
        <w:ind w:left="3280" w:hanging="99"/>
        <w:spacing w:after="0"/>
        <w:tabs>
          <w:tab w:leader="none" w:pos="3280" w:val="left"/>
        </w:tabs>
        <w:numPr>
          <w:ilvl w:val="0"/>
          <w:numId w:val="17"/>
        </w:numPr>
        <w:rPr>
          <w:rFonts w:ascii="Arial" w:cs="Arial" w:eastAsia="Arial" w:hAnsi="Arial"/>
          <w:sz w:val="11"/>
          <w:szCs w:val="11"/>
          <w:color w:val="54585A"/>
        </w:rPr>
      </w:pPr>
      <w:r>
        <w:rPr>
          <w:rFonts w:ascii="Arial" w:cs="Arial" w:eastAsia="Arial" w:hAnsi="Arial"/>
          <w:sz w:val="11"/>
          <w:szCs w:val="11"/>
          <w:color w:val="54585A"/>
        </w:rPr>
        <w:t>Vice President, Finance, Business Operations and Strategy of Globalstar - 2010 to present</w:t>
      </w:r>
    </w:p>
    <w:p>
      <w:pPr>
        <w:spacing w:after="0" w:line="116" w:lineRule="exact"/>
        <w:rPr>
          <w:rFonts w:ascii="Arial" w:cs="Arial" w:eastAsia="Arial" w:hAnsi="Arial"/>
          <w:sz w:val="11"/>
          <w:szCs w:val="11"/>
          <w:color w:val="54585A"/>
        </w:rPr>
      </w:pPr>
    </w:p>
    <w:p>
      <w:pPr>
        <w:ind w:left="3280" w:hanging="99"/>
        <w:spacing w:after="0"/>
        <w:tabs>
          <w:tab w:leader="none" w:pos="3280" w:val="left"/>
        </w:tabs>
        <w:numPr>
          <w:ilvl w:val="0"/>
          <w:numId w:val="17"/>
        </w:numPr>
        <w:rPr>
          <w:rFonts w:ascii="Arial" w:cs="Arial" w:eastAsia="Arial" w:hAnsi="Arial"/>
          <w:sz w:val="11"/>
          <w:szCs w:val="11"/>
          <w:color w:val="54585A"/>
        </w:rPr>
      </w:pPr>
      <w:r>
        <w:rPr>
          <w:rFonts w:ascii="Arial" w:cs="Arial" w:eastAsia="Arial" w:hAnsi="Arial"/>
          <w:sz w:val="11"/>
          <w:szCs w:val="11"/>
          <w:color w:val="54585A"/>
        </w:rPr>
        <w:t>Partner of The Thermo Companies - 2010 to present</w:t>
      </w:r>
    </w:p>
    <w:p>
      <w:pPr>
        <w:spacing w:after="0" w:line="107" w:lineRule="exact"/>
        <w:rPr>
          <w:rFonts w:ascii="Arial" w:cs="Arial" w:eastAsia="Arial" w:hAnsi="Arial"/>
          <w:sz w:val="11"/>
          <w:szCs w:val="11"/>
          <w:color w:val="54585A"/>
        </w:rPr>
      </w:pPr>
    </w:p>
    <w:p>
      <w:pPr>
        <w:ind w:left="3280" w:hanging="99"/>
        <w:spacing w:after="0"/>
        <w:tabs>
          <w:tab w:leader="none" w:pos="3280" w:val="left"/>
        </w:tabs>
        <w:numPr>
          <w:ilvl w:val="0"/>
          <w:numId w:val="17"/>
        </w:numPr>
        <w:rPr>
          <w:rFonts w:ascii="Arial" w:cs="Arial" w:eastAsia="Arial" w:hAnsi="Arial"/>
          <w:sz w:val="11"/>
          <w:szCs w:val="11"/>
          <w:color w:val="54585A"/>
        </w:rPr>
      </w:pPr>
      <w:r>
        <w:rPr>
          <w:rFonts w:ascii="Arial" w:cs="Arial" w:eastAsia="Arial" w:hAnsi="Arial"/>
          <w:sz w:val="11"/>
          <w:szCs w:val="11"/>
          <w:color w:val="54585A"/>
        </w:rPr>
        <w:t>Associate in the Mergers &amp; Acquisitions Group at Brown Brothers Harriman - prior to joining Globalstar</w:t>
      </w:r>
    </w:p>
    <w:p>
      <w:pPr>
        <w:spacing w:after="0" w:line="116" w:lineRule="exact"/>
        <w:rPr>
          <w:rFonts w:ascii="Arial" w:cs="Arial" w:eastAsia="Arial" w:hAnsi="Arial"/>
          <w:sz w:val="11"/>
          <w:szCs w:val="11"/>
          <w:color w:val="54585A"/>
        </w:rPr>
      </w:pPr>
    </w:p>
    <w:p>
      <w:pPr>
        <w:ind w:left="3280" w:hanging="99"/>
        <w:spacing w:after="0"/>
        <w:tabs>
          <w:tab w:leader="none" w:pos="3280" w:val="left"/>
        </w:tabs>
        <w:numPr>
          <w:ilvl w:val="0"/>
          <w:numId w:val="17"/>
        </w:numPr>
        <w:rPr>
          <w:rFonts w:ascii="Arial" w:cs="Arial" w:eastAsia="Arial" w:hAnsi="Arial"/>
          <w:sz w:val="11"/>
          <w:szCs w:val="11"/>
          <w:color w:val="54585A"/>
        </w:rPr>
      </w:pPr>
      <w:r>
        <w:rPr>
          <w:rFonts w:ascii="Arial" w:cs="Arial" w:eastAsia="Arial" w:hAnsi="Arial"/>
          <w:sz w:val="11"/>
          <w:szCs w:val="11"/>
          <w:color w:val="54585A"/>
        </w:rPr>
        <w:t>Board Member of Birch Investment Partners, LLC, dba Timberland Cabinets - 2017 to present</w:t>
      </w:r>
    </w:p>
    <w:p>
      <w:pPr>
        <w:spacing w:after="0" w:line="116" w:lineRule="exact"/>
        <w:rPr>
          <w:rFonts w:ascii="Arial" w:cs="Arial" w:eastAsia="Arial" w:hAnsi="Arial"/>
          <w:sz w:val="11"/>
          <w:szCs w:val="11"/>
          <w:color w:val="54585A"/>
        </w:rPr>
      </w:pPr>
    </w:p>
    <w:p>
      <w:pPr>
        <w:ind w:left="3280" w:hanging="99"/>
        <w:spacing w:after="0"/>
        <w:tabs>
          <w:tab w:leader="none" w:pos="3280" w:val="left"/>
        </w:tabs>
        <w:numPr>
          <w:ilvl w:val="0"/>
          <w:numId w:val="17"/>
        </w:numPr>
        <w:rPr>
          <w:rFonts w:ascii="Arial" w:cs="Arial" w:eastAsia="Arial" w:hAnsi="Arial"/>
          <w:sz w:val="11"/>
          <w:szCs w:val="11"/>
          <w:color w:val="54585A"/>
        </w:rPr>
      </w:pPr>
      <w:r>
        <w:rPr>
          <w:rFonts w:ascii="Arial" w:cs="Arial" w:eastAsia="Arial" w:hAnsi="Arial"/>
          <w:sz w:val="11"/>
          <w:szCs w:val="11"/>
          <w:color w:val="54585A"/>
        </w:rPr>
        <w:t>Board Member of Thermo Communications Funding - 2014 to present</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EB6C10"/>
        </w:rPr>
        <w:t>Timothy E. Taylor</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Age / 40</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 xml:space="preserve">Director Since / </w:t>
      </w:r>
      <w:r>
        <w:rPr>
          <w:rFonts w:ascii="Arial" w:cs="Arial" w:eastAsia="Arial" w:hAnsi="Arial"/>
          <w:sz w:val="11"/>
          <w:szCs w:val="11"/>
          <w:color w:val="54585A"/>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469265</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709295</wp:posOffset>
            </wp:positionV>
            <wp:extent cx="942975" cy="9429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EB6C10"/>
        </w:rPr>
        <w:t>William A. Hasler</w:t>
      </w:r>
    </w:p>
    <w:p>
      <w:pPr>
        <w:spacing w:after="0" w:line="189"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 xml:space="preserve">Age / </w:t>
      </w:r>
      <w:r>
        <w:rPr>
          <w:rFonts w:ascii="Arial" w:cs="Arial" w:eastAsia="Arial" w:hAnsi="Arial"/>
          <w:sz w:val="11"/>
          <w:szCs w:val="11"/>
          <w:color w:val="54585A"/>
        </w:rPr>
        <w:t>81</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 xml:space="preserve">Director Since / </w:t>
      </w:r>
      <w:r>
        <w:rPr>
          <w:rFonts w:ascii="Arial" w:cs="Arial" w:eastAsia="Arial" w:hAnsi="Arial"/>
          <w:sz w:val="11"/>
          <w:szCs w:val="11"/>
          <w:color w:val="54585A"/>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623570</wp:posOffset>
            </wp:positionV>
            <wp:extent cx="17145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36" w:lineRule="auto"/>
        <w:rPr>
          <w:sz w:val="20"/>
          <w:szCs w:val="20"/>
          <w:color w:val="auto"/>
        </w:rPr>
      </w:pPr>
      <w:r>
        <w:rPr>
          <w:rFonts w:ascii="Arial" w:cs="Arial" w:eastAsia="Arial" w:hAnsi="Arial"/>
          <w:sz w:val="11"/>
          <w:szCs w:val="11"/>
          <w:b w:val="1"/>
          <w:bCs w:val="1"/>
          <w:color w:val="54585A"/>
        </w:rPr>
        <w:t xml:space="preserve">Mr. Hasler </w:t>
      </w:r>
      <w:r>
        <w:rPr>
          <w:rFonts w:ascii="Arial" w:cs="Arial" w:eastAsia="Arial" w:hAnsi="Arial"/>
          <w:sz w:val="11"/>
          <w:szCs w:val="11"/>
          <w:color w:val="54585A"/>
        </w:rPr>
        <w:t>has an extensive financial background and financial reporting expertise. Due to his financial leadership roles on other public company boards, he is well-suited</w:t>
      </w:r>
      <w:r>
        <w:rPr>
          <w:rFonts w:ascii="Arial" w:cs="Arial" w:eastAsia="Arial" w:hAnsi="Arial"/>
          <w:sz w:val="11"/>
          <w:szCs w:val="11"/>
          <w:b w:val="1"/>
          <w:bCs w:val="1"/>
          <w:color w:val="54585A"/>
        </w:rPr>
        <w:t xml:space="preserve"> </w:t>
      </w:r>
      <w:r>
        <w:rPr>
          <w:rFonts w:ascii="Arial" w:cs="Arial" w:eastAsia="Arial" w:hAnsi="Arial"/>
          <w:sz w:val="11"/>
          <w:szCs w:val="11"/>
          <w:color w:val="54585A"/>
        </w:rPr>
        <w:t>to be both one of our directors and Chair of our Audit Committee.</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b w:val="1"/>
          <w:bCs w:val="1"/>
          <w:color w:val="EB6C10"/>
        </w:rPr>
        <w:t>Mr. Hasler's current and prior experience includes /</w:t>
      </w:r>
    </w:p>
    <w:p>
      <w:pPr>
        <w:spacing w:after="0" w:line="120" w:lineRule="exact"/>
        <w:rPr>
          <w:sz w:val="20"/>
          <w:szCs w:val="20"/>
          <w:color w:val="auto"/>
        </w:rPr>
      </w:pPr>
    </w:p>
    <w:p>
      <w:pPr>
        <w:ind w:left="200" w:hanging="99"/>
        <w:spacing w:after="0"/>
        <w:tabs>
          <w:tab w:leader="none" w:pos="200" w:val="left"/>
        </w:tabs>
        <w:numPr>
          <w:ilvl w:val="0"/>
          <w:numId w:val="18"/>
        </w:numPr>
        <w:rPr>
          <w:rFonts w:ascii="Arial" w:cs="Arial" w:eastAsia="Arial" w:hAnsi="Arial"/>
          <w:sz w:val="11"/>
          <w:szCs w:val="11"/>
          <w:color w:val="54585A"/>
        </w:rPr>
      </w:pPr>
      <w:r>
        <w:rPr>
          <w:rFonts w:ascii="Arial" w:cs="Arial" w:eastAsia="Arial" w:hAnsi="Arial"/>
          <w:sz w:val="11"/>
          <w:szCs w:val="11"/>
          <w:color w:val="54585A"/>
        </w:rPr>
        <w:t>Co-Chief Executive Officer of Aphton Corp. - 1998 to 2004</w:t>
      </w:r>
    </w:p>
    <w:p>
      <w:pPr>
        <w:spacing w:after="0" w:line="116" w:lineRule="exact"/>
        <w:rPr>
          <w:rFonts w:ascii="Arial" w:cs="Arial" w:eastAsia="Arial" w:hAnsi="Arial"/>
          <w:sz w:val="11"/>
          <w:szCs w:val="11"/>
          <w:color w:val="54585A"/>
        </w:rPr>
      </w:pPr>
    </w:p>
    <w:p>
      <w:pPr>
        <w:ind w:left="200" w:hanging="99"/>
        <w:spacing w:after="0"/>
        <w:tabs>
          <w:tab w:leader="none" w:pos="200" w:val="left"/>
        </w:tabs>
        <w:numPr>
          <w:ilvl w:val="0"/>
          <w:numId w:val="18"/>
        </w:numPr>
        <w:rPr>
          <w:rFonts w:ascii="Arial" w:cs="Arial" w:eastAsia="Arial" w:hAnsi="Arial"/>
          <w:sz w:val="11"/>
          <w:szCs w:val="11"/>
          <w:color w:val="54585A"/>
        </w:rPr>
      </w:pPr>
      <w:r>
        <w:rPr>
          <w:rFonts w:ascii="Arial" w:cs="Arial" w:eastAsia="Arial" w:hAnsi="Arial"/>
          <w:sz w:val="11"/>
          <w:szCs w:val="11"/>
          <w:color w:val="54585A"/>
        </w:rPr>
        <w:t>Dean of the Haas School of Business, University of California, Berkeley - 1991 to 1998</w:t>
      </w:r>
    </w:p>
    <w:p>
      <w:pPr>
        <w:spacing w:after="0" w:line="116" w:lineRule="exact"/>
        <w:rPr>
          <w:rFonts w:ascii="Arial" w:cs="Arial" w:eastAsia="Arial" w:hAnsi="Arial"/>
          <w:sz w:val="11"/>
          <w:szCs w:val="11"/>
          <w:color w:val="54585A"/>
        </w:rPr>
      </w:pPr>
    </w:p>
    <w:p>
      <w:pPr>
        <w:ind w:left="200" w:hanging="99"/>
        <w:spacing w:after="0"/>
        <w:tabs>
          <w:tab w:leader="none" w:pos="200" w:val="left"/>
        </w:tabs>
        <w:numPr>
          <w:ilvl w:val="0"/>
          <w:numId w:val="18"/>
        </w:numPr>
        <w:rPr>
          <w:rFonts w:ascii="Arial" w:cs="Arial" w:eastAsia="Arial" w:hAnsi="Arial"/>
          <w:sz w:val="11"/>
          <w:szCs w:val="11"/>
          <w:color w:val="54585A"/>
        </w:rPr>
      </w:pPr>
      <w:r>
        <w:rPr>
          <w:rFonts w:ascii="Arial" w:cs="Arial" w:eastAsia="Arial" w:hAnsi="Arial"/>
          <w:sz w:val="11"/>
          <w:szCs w:val="11"/>
          <w:color w:val="54585A"/>
        </w:rPr>
        <w:t>Vice Chairman of KPMG Peat Marwick - 1984 to 1991</w:t>
      </w:r>
    </w:p>
    <w:p>
      <w:pPr>
        <w:spacing w:after="0" w:line="107" w:lineRule="exact"/>
        <w:rPr>
          <w:rFonts w:ascii="Arial" w:cs="Arial" w:eastAsia="Arial" w:hAnsi="Arial"/>
          <w:sz w:val="11"/>
          <w:szCs w:val="11"/>
          <w:color w:val="54585A"/>
        </w:rPr>
      </w:pPr>
    </w:p>
    <w:p>
      <w:pPr>
        <w:ind w:left="200" w:hanging="99"/>
        <w:spacing w:after="0"/>
        <w:tabs>
          <w:tab w:leader="none" w:pos="200" w:val="left"/>
        </w:tabs>
        <w:numPr>
          <w:ilvl w:val="0"/>
          <w:numId w:val="18"/>
        </w:numPr>
        <w:rPr>
          <w:rFonts w:ascii="Arial" w:cs="Arial" w:eastAsia="Arial" w:hAnsi="Arial"/>
          <w:sz w:val="11"/>
          <w:szCs w:val="11"/>
          <w:color w:val="54585A"/>
        </w:rPr>
      </w:pPr>
      <w:r>
        <w:rPr>
          <w:rFonts w:ascii="Arial" w:cs="Arial" w:eastAsia="Arial" w:hAnsi="Arial"/>
          <w:sz w:val="11"/>
          <w:szCs w:val="11"/>
          <w:color w:val="54585A"/>
        </w:rPr>
        <w:t>Certified Public Accountant</w:t>
      </w:r>
    </w:p>
    <w:p>
      <w:pPr>
        <w:spacing w:after="0" w:line="116" w:lineRule="exact"/>
        <w:rPr>
          <w:rFonts w:ascii="Arial" w:cs="Arial" w:eastAsia="Arial" w:hAnsi="Arial"/>
          <w:sz w:val="11"/>
          <w:szCs w:val="11"/>
          <w:color w:val="54585A"/>
        </w:rPr>
      </w:pPr>
    </w:p>
    <w:p>
      <w:pPr>
        <w:ind w:left="200" w:hanging="99"/>
        <w:spacing w:after="0"/>
        <w:tabs>
          <w:tab w:leader="none" w:pos="200" w:val="left"/>
        </w:tabs>
        <w:numPr>
          <w:ilvl w:val="0"/>
          <w:numId w:val="18"/>
        </w:numPr>
        <w:rPr>
          <w:rFonts w:ascii="Arial" w:cs="Arial" w:eastAsia="Arial" w:hAnsi="Arial"/>
          <w:sz w:val="11"/>
          <w:szCs w:val="11"/>
          <w:color w:val="54585A"/>
        </w:rPr>
      </w:pPr>
      <w:r>
        <w:rPr>
          <w:rFonts w:ascii="Arial" w:cs="Arial" w:eastAsia="Arial" w:hAnsi="Arial"/>
          <w:sz w:val="11"/>
          <w:szCs w:val="11"/>
          <w:color w:val="54585A"/>
        </w:rPr>
        <w:t>Former Director of Aviat Networks, DiTech Networks Corp., Mission West Properties, the Schwab Funds, Selectron Corp., Tousa Inc. and Rubicon Ltd.</w:t>
      </w:r>
    </w:p>
    <w:p>
      <w:pPr>
        <w:spacing w:after="0" w:line="745" w:lineRule="exact"/>
        <w:rPr>
          <w:sz w:val="20"/>
          <w:szCs w:val="20"/>
          <w:color w:val="auto"/>
        </w:rPr>
      </w:pPr>
    </w:p>
    <w:p>
      <w:pPr>
        <w:sectPr>
          <w:pgSz w:w="11900" w:h="16838" w:orient="portrait"/>
          <w:cols w:equalWidth="0" w:num="2">
            <w:col w:w="2360" w:space="720"/>
            <w:col w:w="8220"/>
          </w:cols>
          <w:pgMar w:left="300" w:top="126"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72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158115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type w:val="continuous"/>
        </w:sectPr>
      </w:pPr>
    </w:p>
    <w:bookmarkStart w:id="12" w:name="page13"/>
    <w:bookmarkEnd w:id="12"/>
    <w:p>
      <w:pPr>
        <w:ind w:left="68" w:hanging="68"/>
        <w:spacing w:after="0"/>
        <w:tabs>
          <w:tab w:leader="none" w:pos="68" w:val="left"/>
        </w:tabs>
        <w:numPr>
          <w:ilvl w:val="0"/>
          <w:numId w:val="19"/>
        </w:numPr>
        <w:rPr>
          <w:rFonts w:ascii="Arial" w:cs="Arial" w:eastAsia="Arial" w:hAnsi="Arial"/>
          <w:sz w:val="12"/>
          <w:szCs w:val="12"/>
          <w:b w:val="1"/>
          <w:bCs w:val="1"/>
          <w:color w:val="EB6C10"/>
        </w:rPr>
      </w:pPr>
      <w:r>
        <w:rPr>
          <w:rFonts w:ascii="Arial" w:cs="Arial" w:eastAsia="Arial" w:hAnsi="Arial"/>
          <w:sz w:val="10"/>
          <w:szCs w:val="10"/>
          <w:color w:val="54585A"/>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530860</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770890</wp:posOffset>
            </wp:positionV>
            <wp:extent cx="942975" cy="9429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88" w:right="20"/>
        <w:spacing w:after="0" w:line="323" w:lineRule="auto"/>
        <w:rPr>
          <w:sz w:val="20"/>
          <w:szCs w:val="20"/>
          <w:color w:val="auto"/>
        </w:rPr>
      </w:pPr>
      <w:r>
        <w:rPr>
          <w:rFonts w:ascii="Arial" w:cs="Arial" w:eastAsia="Arial" w:hAnsi="Arial"/>
          <w:sz w:val="11"/>
          <w:szCs w:val="11"/>
          <w:color w:val="54585A"/>
        </w:rPr>
        <w:t xml:space="preserve">Since 1984, </w:t>
      </w:r>
      <w:r>
        <w:rPr>
          <w:rFonts w:ascii="Arial" w:cs="Arial" w:eastAsia="Arial" w:hAnsi="Arial"/>
          <w:sz w:val="11"/>
          <w:szCs w:val="11"/>
          <w:b w:val="1"/>
          <w:bCs w:val="1"/>
          <w:color w:val="54585A"/>
        </w:rPr>
        <w:t>Mr. Monroe</w:t>
      </w:r>
      <w:r>
        <w:rPr>
          <w:rFonts w:ascii="Arial" w:cs="Arial" w:eastAsia="Arial" w:hAnsi="Arial"/>
          <w:sz w:val="11"/>
          <w:szCs w:val="11"/>
          <w:color w:val="54585A"/>
        </w:rPr>
        <w:t xml:space="preserve"> has been the majority owner of a diverse group of privately owned businesses that have operated in the fields of telecommunications, real estate, power generation, industrial equipment distribution, financial services and leasing services that are sometimes referred to collectively in this proxy statement as “Thermo.” Mr. Monroe controls, directly or indirectly, FL Investment Holdings, LLC, Globalstar Satellite, L.P., Thermo Funding Company LLC, Thermo Funding II LLC and the Monroe Irr. Educational Trust. In addition to being our primary financial sponsor, Mr. Monroe brings his long-term experience in investment, financing and the telecommunications industry to the Board.</w:t>
      </w:r>
    </w:p>
    <w:p>
      <w:pPr>
        <w:spacing w:after="0" w:line="94" w:lineRule="exact"/>
        <w:rPr>
          <w:sz w:val="20"/>
          <w:szCs w:val="20"/>
          <w:color w:val="auto"/>
        </w:rPr>
      </w:pPr>
    </w:p>
    <w:p>
      <w:pPr>
        <w:ind w:left="3088"/>
        <w:spacing w:after="0"/>
        <w:rPr>
          <w:sz w:val="20"/>
          <w:szCs w:val="20"/>
          <w:color w:val="auto"/>
        </w:rPr>
      </w:pPr>
      <w:r>
        <w:rPr>
          <w:rFonts w:ascii="Arial" w:cs="Arial" w:eastAsia="Arial" w:hAnsi="Arial"/>
          <w:sz w:val="11"/>
          <w:szCs w:val="11"/>
          <w:b w:val="1"/>
          <w:bCs w:val="1"/>
          <w:color w:val="EB6C10"/>
        </w:rPr>
        <w:t>Mr. Monroe's current and prior experience includes /</w:t>
      </w:r>
    </w:p>
    <w:p>
      <w:pPr>
        <w:spacing w:after="0" w:line="129" w:lineRule="exact"/>
        <w:rPr>
          <w:sz w:val="20"/>
          <w:szCs w:val="20"/>
          <w:color w:val="auto"/>
        </w:rPr>
      </w:pPr>
    </w:p>
    <w:p>
      <w:pPr>
        <w:ind w:left="3288" w:hanging="99"/>
        <w:spacing w:after="0"/>
        <w:tabs>
          <w:tab w:leader="none" w:pos="3288" w:val="left"/>
        </w:tabs>
        <w:numPr>
          <w:ilvl w:val="0"/>
          <w:numId w:val="20"/>
        </w:numPr>
        <w:rPr>
          <w:rFonts w:ascii="Arial" w:cs="Arial" w:eastAsia="Arial" w:hAnsi="Arial"/>
          <w:sz w:val="11"/>
          <w:szCs w:val="11"/>
          <w:color w:val="54585A"/>
        </w:rPr>
      </w:pPr>
      <w:r>
        <w:rPr>
          <w:rFonts w:ascii="Arial" w:cs="Arial" w:eastAsia="Arial" w:hAnsi="Arial"/>
          <w:sz w:val="11"/>
          <w:szCs w:val="11"/>
          <w:color w:val="54585A"/>
        </w:rPr>
        <w:t>Executive Chairman (formerly Chairman) of the Board of Globalstar - 2004 to present</w:t>
      </w:r>
    </w:p>
    <w:p>
      <w:pPr>
        <w:spacing w:after="0" w:line="107" w:lineRule="exact"/>
        <w:rPr>
          <w:rFonts w:ascii="Arial" w:cs="Arial" w:eastAsia="Arial" w:hAnsi="Arial"/>
          <w:sz w:val="11"/>
          <w:szCs w:val="11"/>
          <w:color w:val="54585A"/>
        </w:rPr>
      </w:pPr>
    </w:p>
    <w:p>
      <w:pPr>
        <w:ind w:left="3288" w:hanging="99"/>
        <w:spacing w:after="0"/>
        <w:tabs>
          <w:tab w:leader="none" w:pos="3288" w:val="left"/>
        </w:tabs>
        <w:numPr>
          <w:ilvl w:val="0"/>
          <w:numId w:val="20"/>
        </w:numPr>
        <w:rPr>
          <w:rFonts w:ascii="Arial" w:cs="Arial" w:eastAsia="Arial" w:hAnsi="Arial"/>
          <w:sz w:val="11"/>
          <w:szCs w:val="11"/>
          <w:color w:val="54585A"/>
        </w:rPr>
      </w:pPr>
      <w:r>
        <w:rPr>
          <w:rFonts w:ascii="Arial" w:cs="Arial" w:eastAsia="Arial" w:hAnsi="Arial"/>
          <w:sz w:val="11"/>
          <w:szCs w:val="11"/>
          <w:color w:val="54585A"/>
        </w:rPr>
        <w:t>CEO of Globalstar - 2005 through 2009 and from 2011 through 2018</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EB6C10"/>
        </w:rPr>
        <w:t>James</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EB6C10"/>
        </w:rPr>
        <w:t>Monroe III</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 xml:space="preserve">Age / </w:t>
      </w:r>
      <w:r>
        <w:rPr>
          <w:rFonts w:ascii="Arial" w:cs="Arial" w:eastAsia="Arial" w:hAnsi="Arial"/>
          <w:sz w:val="11"/>
          <w:szCs w:val="11"/>
          <w:color w:val="54585A"/>
        </w:rPr>
        <w:t>68</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 xml:space="preserve">Director Since / </w:t>
      </w:r>
      <w:r>
        <w:rPr>
          <w:rFonts w:ascii="Arial" w:cs="Arial" w:eastAsia="Arial" w:hAnsi="Arial"/>
          <w:sz w:val="11"/>
          <w:szCs w:val="11"/>
          <w:color w:val="54585A"/>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474980</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715010</wp:posOffset>
            </wp:positionV>
            <wp:extent cx="942975" cy="9429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ectPr>
          <w:pgSz w:w="11900" w:h="16838" w:orient="portrait"/>
          <w:cols w:equalWidth="0" w:num="1">
            <w:col w:w="11228"/>
          </w:cols>
          <w:pgMar w:left="292" w:top="15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EB6C10"/>
        </w:rPr>
        <w:t>Michael J.</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EB6C10"/>
        </w:rPr>
        <w:t>Lovett</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 xml:space="preserve">Age / </w:t>
      </w:r>
      <w:r>
        <w:rPr>
          <w:rFonts w:ascii="Arial" w:cs="Arial" w:eastAsia="Arial" w:hAnsi="Arial"/>
          <w:sz w:val="11"/>
          <w:szCs w:val="11"/>
          <w:color w:val="54585A"/>
        </w:rPr>
        <w:t>61</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54585A"/>
        </w:rPr>
        <w:t xml:space="preserve">Director Since / </w:t>
      </w:r>
      <w:r>
        <w:rPr>
          <w:rFonts w:ascii="Arial" w:cs="Arial" w:eastAsia="Arial" w:hAnsi="Arial"/>
          <w:sz w:val="10"/>
          <w:szCs w:val="10"/>
          <w:color w:val="54585A"/>
        </w:rPr>
        <w:t>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336" w:lineRule="auto"/>
        <w:rPr>
          <w:sz w:val="20"/>
          <w:szCs w:val="20"/>
          <w:color w:val="auto"/>
        </w:rPr>
      </w:pPr>
      <w:r>
        <w:rPr>
          <w:rFonts w:ascii="Arial" w:cs="Arial" w:eastAsia="Arial" w:hAnsi="Arial"/>
          <w:sz w:val="11"/>
          <w:szCs w:val="11"/>
          <w:b w:val="1"/>
          <w:bCs w:val="1"/>
          <w:color w:val="54585A"/>
        </w:rPr>
        <w:t xml:space="preserve">Mr. Lovett </w:t>
      </w:r>
      <w:r>
        <w:rPr>
          <w:rFonts w:ascii="Arial" w:cs="Arial" w:eastAsia="Arial" w:hAnsi="Arial"/>
          <w:sz w:val="11"/>
          <w:szCs w:val="11"/>
          <w:color w:val="54585A"/>
        </w:rPr>
        <w:t>brings extensive experience to the Board with a demonstrated track record in the telecommunications industry. Mr. Lovett has served as a member of the board</w:t>
      </w:r>
      <w:r>
        <w:rPr>
          <w:rFonts w:ascii="Arial" w:cs="Arial" w:eastAsia="Arial" w:hAnsi="Arial"/>
          <w:sz w:val="11"/>
          <w:szCs w:val="11"/>
          <w:b w:val="1"/>
          <w:bCs w:val="1"/>
          <w:color w:val="54585A"/>
        </w:rPr>
        <w:t xml:space="preserve"> </w:t>
      </w:r>
      <w:r>
        <w:rPr>
          <w:rFonts w:ascii="Arial" w:cs="Arial" w:eastAsia="Arial" w:hAnsi="Arial"/>
          <w:sz w:val="11"/>
          <w:szCs w:val="11"/>
          <w:color w:val="54585A"/>
        </w:rPr>
        <w:t>of directors of various public and private companies.</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b w:val="1"/>
          <w:bCs w:val="1"/>
          <w:color w:val="EB6C10"/>
        </w:rPr>
        <w:t>Mr. Lovett's current and prior experience includes /</w:t>
      </w:r>
    </w:p>
    <w:p>
      <w:pPr>
        <w:spacing w:after="0" w:line="120" w:lineRule="exact"/>
        <w:rPr>
          <w:sz w:val="20"/>
          <w:szCs w:val="20"/>
          <w:color w:val="auto"/>
        </w:rPr>
      </w:pPr>
    </w:p>
    <w:p>
      <w:pPr>
        <w:ind w:left="200" w:hanging="99"/>
        <w:spacing w:after="0"/>
        <w:tabs>
          <w:tab w:leader="none" w:pos="200" w:val="left"/>
        </w:tabs>
        <w:numPr>
          <w:ilvl w:val="0"/>
          <w:numId w:val="21"/>
        </w:numPr>
        <w:rPr>
          <w:rFonts w:ascii="Arial" w:cs="Arial" w:eastAsia="Arial" w:hAnsi="Arial"/>
          <w:sz w:val="11"/>
          <w:szCs w:val="11"/>
          <w:color w:val="54585A"/>
        </w:rPr>
      </w:pPr>
      <w:r>
        <w:rPr>
          <w:rFonts w:ascii="Arial" w:cs="Arial" w:eastAsia="Arial" w:hAnsi="Arial"/>
          <w:sz w:val="11"/>
          <w:szCs w:val="11"/>
          <w:color w:val="54585A"/>
        </w:rPr>
        <w:t>Managing Partner of Eagle River Partners LLC - 2012 to present</w:t>
      </w:r>
    </w:p>
    <w:p>
      <w:pPr>
        <w:spacing w:after="0" w:line="116" w:lineRule="exact"/>
        <w:rPr>
          <w:rFonts w:ascii="Arial" w:cs="Arial" w:eastAsia="Arial" w:hAnsi="Arial"/>
          <w:sz w:val="11"/>
          <w:szCs w:val="11"/>
          <w:color w:val="54585A"/>
        </w:rPr>
      </w:pPr>
    </w:p>
    <w:p>
      <w:pPr>
        <w:ind w:left="200" w:hanging="99"/>
        <w:spacing w:after="0"/>
        <w:tabs>
          <w:tab w:leader="none" w:pos="200" w:val="left"/>
        </w:tabs>
        <w:numPr>
          <w:ilvl w:val="0"/>
          <w:numId w:val="21"/>
        </w:numPr>
        <w:rPr>
          <w:rFonts w:ascii="Arial" w:cs="Arial" w:eastAsia="Arial" w:hAnsi="Arial"/>
          <w:sz w:val="11"/>
          <w:szCs w:val="11"/>
          <w:color w:val="54585A"/>
        </w:rPr>
      </w:pPr>
      <w:r>
        <w:rPr>
          <w:rFonts w:ascii="Arial" w:cs="Arial" w:eastAsia="Arial" w:hAnsi="Arial"/>
          <w:sz w:val="11"/>
          <w:szCs w:val="11"/>
          <w:color w:val="54585A"/>
        </w:rPr>
        <w:t>CEO and President of Charter Communications (served in various capacities, including COO and Senior Vice President of Operations) - 2003 through 2012</w:t>
      </w:r>
    </w:p>
    <w:p>
      <w:pPr>
        <w:spacing w:after="0" w:line="116" w:lineRule="exact"/>
        <w:rPr>
          <w:rFonts w:ascii="Arial" w:cs="Arial" w:eastAsia="Arial" w:hAnsi="Arial"/>
          <w:sz w:val="11"/>
          <w:szCs w:val="11"/>
          <w:color w:val="54585A"/>
        </w:rPr>
      </w:pPr>
    </w:p>
    <w:p>
      <w:pPr>
        <w:ind w:left="200" w:hanging="99"/>
        <w:spacing w:after="0"/>
        <w:tabs>
          <w:tab w:leader="none" w:pos="200" w:val="left"/>
        </w:tabs>
        <w:numPr>
          <w:ilvl w:val="0"/>
          <w:numId w:val="21"/>
        </w:numPr>
        <w:rPr>
          <w:rFonts w:ascii="Arial" w:cs="Arial" w:eastAsia="Arial" w:hAnsi="Arial"/>
          <w:sz w:val="11"/>
          <w:szCs w:val="11"/>
          <w:color w:val="54585A"/>
        </w:rPr>
      </w:pPr>
      <w:r>
        <w:rPr>
          <w:rFonts w:ascii="Arial" w:cs="Arial" w:eastAsia="Arial" w:hAnsi="Arial"/>
          <w:sz w:val="11"/>
          <w:szCs w:val="11"/>
          <w:color w:val="54585A"/>
        </w:rPr>
        <w:t>Advisory Board Member of Afiniti, Ltd. - 2016 to present</w:t>
      </w:r>
    </w:p>
    <w:p>
      <w:pPr>
        <w:spacing w:after="0" w:line="107" w:lineRule="exact"/>
        <w:rPr>
          <w:rFonts w:ascii="Arial" w:cs="Arial" w:eastAsia="Arial" w:hAnsi="Arial"/>
          <w:sz w:val="11"/>
          <w:szCs w:val="11"/>
          <w:color w:val="54585A"/>
        </w:rPr>
      </w:pPr>
    </w:p>
    <w:p>
      <w:pPr>
        <w:ind w:left="200" w:hanging="99"/>
        <w:spacing w:after="0"/>
        <w:tabs>
          <w:tab w:leader="none" w:pos="200" w:val="left"/>
        </w:tabs>
        <w:numPr>
          <w:ilvl w:val="0"/>
          <w:numId w:val="21"/>
        </w:numPr>
        <w:rPr>
          <w:rFonts w:ascii="Arial" w:cs="Arial" w:eastAsia="Arial" w:hAnsi="Arial"/>
          <w:sz w:val="11"/>
          <w:szCs w:val="11"/>
          <w:color w:val="54585A"/>
        </w:rPr>
      </w:pPr>
      <w:r>
        <w:rPr>
          <w:rFonts w:ascii="Arial" w:cs="Arial" w:eastAsia="Arial" w:hAnsi="Arial"/>
          <w:sz w:val="11"/>
          <w:szCs w:val="11"/>
          <w:color w:val="54585A"/>
        </w:rPr>
        <w:t>Board Member of Charter Communications - 2010 to 2012</w:t>
      </w:r>
    </w:p>
    <w:p>
      <w:pPr>
        <w:spacing w:after="0" w:line="116" w:lineRule="exact"/>
        <w:rPr>
          <w:rFonts w:ascii="Arial" w:cs="Arial" w:eastAsia="Arial" w:hAnsi="Arial"/>
          <w:sz w:val="11"/>
          <w:szCs w:val="11"/>
          <w:color w:val="54585A"/>
        </w:rPr>
      </w:pPr>
    </w:p>
    <w:p>
      <w:pPr>
        <w:ind w:left="200" w:hanging="99"/>
        <w:spacing w:after="0"/>
        <w:tabs>
          <w:tab w:leader="none" w:pos="200" w:val="left"/>
        </w:tabs>
        <w:numPr>
          <w:ilvl w:val="0"/>
          <w:numId w:val="21"/>
        </w:numPr>
        <w:rPr>
          <w:rFonts w:ascii="Arial" w:cs="Arial" w:eastAsia="Arial" w:hAnsi="Arial"/>
          <w:sz w:val="11"/>
          <w:szCs w:val="11"/>
          <w:color w:val="54585A"/>
        </w:rPr>
      </w:pPr>
      <w:r>
        <w:rPr>
          <w:rFonts w:ascii="Arial" w:cs="Arial" w:eastAsia="Arial" w:hAnsi="Arial"/>
          <w:sz w:val="11"/>
          <w:szCs w:val="11"/>
          <w:color w:val="54585A"/>
        </w:rPr>
        <w:t>Board Member of SATMAP Incorporated d/b/a Afiniti - 2012 to 2017</w:t>
      </w:r>
    </w:p>
    <w:p>
      <w:pPr>
        <w:spacing w:after="0" w:line="107" w:lineRule="exact"/>
        <w:rPr>
          <w:rFonts w:ascii="Arial" w:cs="Arial" w:eastAsia="Arial" w:hAnsi="Arial"/>
          <w:sz w:val="11"/>
          <w:szCs w:val="11"/>
          <w:color w:val="54585A"/>
        </w:rPr>
      </w:pPr>
    </w:p>
    <w:p>
      <w:pPr>
        <w:ind w:left="200" w:hanging="99"/>
        <w:spacing w:after="0"/>
        <w:tabs>
          <w:tab w:leader="none" w:pos="200" w:val="left"/>
        </w:tabs>
        <w:numPr>
          <w:ilvl w:val="0"/>
          <w:numId w:val="21"/>
        </w:numPr>
        <w:rPr>
          <w:rFonts w:ascii="Arial" w:cs="Arial" w:eastAsia="Arial" w:hAnsi="Arial"/>
          <w:sz w:val="11"/>
          <w:szCs w:val="11"/>
          <w:color w:val="54585A"/>
        </w:rPr>
      </w:pPr>
      <w:r>
        <w:rPr>
          <w:rFonts w:ascii="Arial" w:cs="Arial" w:eastAsia="Arial" w:hAnsi="Arial"/>
          <w:sz w:val="11"/>
          <w:szCs w:val="11"/>
          <w:color w:val="54585A"/>
        </w:rPr>
        <w:t>Board Member of St. Louis Public Broadcasting Nine Network Media - 2011 to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941705</wp:posOffset>
            </wp:positionV>
            <wp:extent cx="17145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707" w:lineRule="exact"/>
        <w:rPr>
          <w:sz w:val="20"/>
          <w:szCs w:val="20"/>
          <w:color w:val="auto"/>
        </w:rPr>
      </w:pPr>
    </w:p>
    <w:p>
      <w:pPr>
        <w:sectPr>
          <w:pgSz w:w="11900" w:h="16838" w:orient="portrait"/>
          <w:cols w:equalWidth="0" w:num="2">
            <w:col w:w="2368" w:space="720"/>
            <w:col w:w="8140"/>
          </w:cols>
          <w:pgMar w:left="292" w:top="15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
        <w:spacing w:after="0"/>
        <w:rPr>
          <w:sz w:val="20"/>
          <w:szCs w:val="20"/>
          <w:color w:val="auto"/>
        </w:rPr>
      </w:pPr>
      <w:r>
        <w:rPr>
          <w:rFonts w:ascii="Arial" w:cs="Arial" w:eastAsia="Arial" w:hAnsi="Arial"/>
          <w:sz w:val="9"/>
          <w:szCs w:val="9"/>
          <w:color w:val="54585A"/>
        </w:rPr>
        <w:t xml:space="preserve">10 </w:t>
      </w:r>
      <w:r>
        <w:rPr>
          <w:rFonts w:ascii="Arial" w:cs="Arial" w:eastAsia="Arial" w:hAnsi="Arial"/>
          <w:sz w:val="10"/>
          <w:szCs w:val="10"/>
          <w:b w:val="1"/>
          <w:bCs w:val="1"/>
          <w:color w:val="EB6C10"/>
        </w:rPr>
        <w:t>/</w:t>
      </w:r>
      <w:r>
        <w:rPr>
          <w:rFonts w:ascii="Arial" w:cs="Arial" w:eastAsia="Arial" w:hAnsi="Arial"/>
          <w:sz w:val="9"/>
          <w:szCs w:val="9"/>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8"/>
          </w:cols>
          <w:pgMar w:left="292" w:top="156" w:right="37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0"/>
          <w:szCs w:val="10"/>
          <w:color w:val="54585A"/>
        </w:rPr>
        <w:t xml:space="preserve">Board of Directors and Corporate Governance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Leadership Structure</w:t>
      </w:r>
    </w:p>
    <w:p>
      <w:pPr>
        <w:spacing w:after="0" w:line="76" w:lineRule="exact"/>
        <w:rPr>
          <w:sz w:val="20"/>
          <w:szCs w:val="20"/>
          <w:color w:val="auto"/>
        </w:rPr>
      </w:pPr>
    </w:p>
    <w:p>
      <w:pPr>
        <w:ind w:right="100"/>
        <w:spacing w:after="0" w:line="320" w:lineRule="auto"/>
        <w:rPr>
          <w:sz w:val="20"/>
          <w:szCs w:val="20"/>
          <w:color w:val="auto"/>
        </w:rPr>
      </w:pPr>
      <w:r>
        <w:rPr>
          <w:rFonts w:ascii="Arial" w:cs="Arial" w:eastAsia="Arial" w:hAnsi="Arial"/>
          <w:sz w:val="11"/>
          <w:szCs w:val="11"/>
          <w:color w:val="54585A"/>
        </w:rPr>
        <w:t>Since September 2018, Mr. Kagan (see Executive Officers on page 21 for more information) has served as our Chief Executive Officer and Mr. Monroe as the Executive Chairman of the Board. Generally, Mr. Kagan has responsibility for all activities related to the Company’s satellite business and Mr. Monroe is responsible for strategic financing efforts and liquidity matters. In addition, subject to the authority of the Strategic Review Committee as provided in our Third Amended and Restated Certificate of Incorporation and our Fourth Amended and Restated Bylaws, Mr. Monroe has primary responsibility for all strategic terrestrial spectrum-related activities on a global basis, including the Company’s ongoing efforts to standardize and monetize its terrestrial spectrum assets.</w:t>
      </w:r>
    </w:p>
    <w:p>
      <w:pPr>
        <w:spacing w:after="0" w:line="99" w:lineRule="exact"/>
        <w:rPr>
          <w:sz w:val="20"/>
          <w:szCs w:val="20"/>
          <w:color w:val="auto"/>
        </w:rPr>
      </w:pPr>
    </w:p>
    <w:p>
      <w:pPr>
        <w:ind w:right="80"/>
        <w:spacing w:after="0" w:line="320" w:lineRule="auto"/>
        <w:rPr>
          <w:sz w:val="20"/>
          <w:szCs w:val="20"/>
          <w:color w:val="auto"/>
        </w:rPr>
      </w:pPr>
      <w:r>
        <w:rPr>
          <w:rFonts w:ascii="Arial" w:cs="Arial" w:eastAsia="Arial" w:hAnsi="Arial"/>
          <w:sz w:val="11"/>
          <w:szCs w:val="11"/>
          <w:color w:val="54585A"/>
        </w:rPr>
        <w:t>Mr. Monroe dually served as our Chairman and Chief Executive Officer from our initial public offering in November 2006 through September 2018, with the exception of July 2009 through July 2011. During this two-year period, and again in September 2018, the Board, with input from Mr. Monroe, changed our leadership structure with the appointment of a Chief Executive Officer, resulting in split positions for the Chief Executive Officer and Chairman of the Board. We believe this leadership structure is well-suited and appropriate to the Company because both managing our existing business and pursuing opportunities to develop and monetize our terrestrial spectrum and find attractive financing require substantial attention from experienced senior executives, and the split leadership structure allows us to direct the necessary attention to each area.</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Meetings and Attendance in Meetings</w:t>
      </w:r>
    </w:p>
    <w:p>
      <w:pPr>
        <w:spacing w:after="0" w:line="76" w:lineRule="exact"/>
        <w:rPr>
          <w:sz w:val="20"/>
          <w:szCs w:val="20"/>
          <w:color w:val="auto"/>
        </w:rPr>
      </w:pPr>
    </w:p>
    <w:p>
      <w:pPr>
        <w:ind w:right="260"/>
        <w:spacing w:after="0" w:line="313" w:lineRule="auto"/>
        <w:rPr>
          <w:sz w:val="20"/>
          <w:szCs w:val="20"/>
          <w:color w:val="auto"/>
        </w:rPr>
      </w:pPr>
      <w:r>
        <w:rPr>
          <w:rFonts w:ascii="Arial" w:cs="Arial" w:eastAsia="Arial" w:hAnsi="Arial"/>
          <w:sz w:val="11"/>
          <w:szCs w:val="11"/>
          <w:color w:val="54585A"/>
        </w:rPr>
        <w:t>During 2022, the Board held eight meetings and took action by unanimous written consent one time. Each director serving on the Board in 2022 attended at least 75% of the meetings of the Board and of each committee on which he served in each case during the time he was a director. We do not have a policy regarding director attendance at the Annual Meeting. No members of the Board attended our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17145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99" w:lineRule="exact"/>
        <w:rPr>
          <w:sz w:val="20"/>
          <w:szCs w:val="20"/>
          <w:color w:val="auto"/>
        </w:rPr>
      </w:pPr>
    </w:p>
    <w:p>
      <w:pPr>
        <w:ind w:left="96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163830</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4" w:name="page15"/>
    <w:bookmarkEnd w:id="14"/>
    <w:p>
      <w:pPr>
        <w:ind w:left="68" w:hanging="68"/>
        <w:spacing w:after="0"/>
        <w:tabs>
          <w:tab w:leader="none" w:pos="68" w:val="left"/>
        </w:tabs>
        <w:numPr>
          <w:ilvl w:val="0"/>
          <w:numId w:val="22"/>
        </w:numPr>
        <w:rPr>
          <w:rFonts w:ascii="Arial" w:cs="Arial" w:eastAsia="Arial" w:hAnsi="Arial"/>
          <w:sz w:val="12"/>
          <w:szCs w:val="12"/>
          <w:b w:val="1"/>
          <w:bCs w:val="1"/>
          <w:color w:val="EB6C10"/>
        </w:rPr>
      </w:pPr>
      <w:r>
        <w:rPr>
          <w:rFonts w:ascii="Arial" w:cs="Arial" w:eastAsia="Arial" w:hAnsi="Arial"/>
          <w:sz w:val="10"/>
          <w:szCs w:val="10"/>
          <w:color w:val="54585A"/>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Board Committees</w:t>
      </w:r>
    </w:p>
    <w:p>
      <w:pPr>
        <w:spacing w:after="0" w:line="56" w:lineRule="exact"/>
        <w:rPr>
          <w:sz w:val="20"/>
          <w:szCs w:val="20"/>
          <w:color w:val="auto"/>
        </w:rPr>
      </w:pPr>
    </w:p>
    <w:p>
      <w:pPr>
        <w:ind w:left="8"/>
        <w:spacing w:after="0"/>
        <w:rPr>
          <w:sz w:val="20"/>
          <w:szCs w:val="20"/>
          <w:color w:val="auto"/>
        </w:rPr>
      </w:pPr>
      <w:r>
        <w:rPr>
          <w:rFonts w:ascii="Arial" w:cs="Arial" w:eastAsia="Arial" w:hAnsi="Arial"/>
          <w:sz w:val="12"/>
          <w:szCs w:val="12"/>
          <w:color w:val="EB6C10"/>
        </w:rPr>
        <w:t>Audit Committee</w:t>
      </w:r>
    </w:p>
    <w:p>
      <w:pPr>
        <w:spacing w:after="0" w:line="62" w:lineRule="exact"/>
        <w:rPr>
          <w:sz w:val="20"/>
          <w:szCs w:val="20"/>
          <w:color w:val="auto"/>
        </w:rPr>
      </w:pPr>
    </w:p>
    <w:p>
      <w:pPr>
        <w:ind w:left="8"/>
        <w:spacing w:after="0"/>
        <w:rPr>
          <w:sz w:val="20"/>
          <w:szCs w:val="20"/>
          <w:color w:val="auto"/>
        </w:rPr>
      </w:pPr>
      <w:r>
        <w:rPr>
          <w:rFonts w:ascii="Arial" w:cs="Arial" w:eastAsia="Arial" w:hAnsi="Arial"/>
          <w:sz w:val="10"/>
          <w:szCs w:val="10"/>
          <w:color w:val="54585A"/>
        </w:rPr>
        <w:t>The current members of the Audit Committee are Messrs. Hasler, Wolff and Lovett. Mr. Hasler serves as Chairman, and the Board has determined that Mr. Hasler is an audit committee financial expert as defined by SEC and NYSE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1788795" cy="2051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8795" cy="2051685"/>
                    </a:xfrm>
                    <a:prstGeom prst="rect">
                      <a:avLst/>
                    </a:prstGeom>
                    <a:noFill/>
                  </pic:spPr>
                </pic:pic>
              </a:graphicData>
            </a:graphic>
          </wp:anchor>
        </w:drawing>
      </w:r>
    </w:p>
    <w:p>
      <w:pPr>
        <w:sectPr>
          <w:pgSz w:w="11900" w:h="16838" w:orient="portrait"/>
          <w:cols w:equalWidth="0" w:num="1">
            <w:col w:w="11268"/>
          </w:cols>
          <w:pgMar w:left="292" w:top="156" w:right="339" w:bottom="1440" w:gutter="0" w:footer="0" w:header="0"/>
        </w:sectPr>
      </w:pPr>
    </w:p>
    <w:p>
      <w:pPr>
        <w:spacing w:after="0" w:line="315" w:lineRule="exact"/>
        <w:rPr>
          <w:sz w:val="20"/>
          <w:szCs w:val="20"/>
          <w:color w:val="auto"/>
        </w:rPr>
      </w:pPr>
    </w:p>
    <w:p>
      <w:pPr>
        <w:ind w:left="328"/>
        <w:spacing w:after="0"/>
        <w:rPr>
          <w:sz w:val="20"/>
          <w:szCs w:val="20"/>
          <w:color w:val="auto"/>
        </w:rPr>
      </w:pPr>
      <w:r>
        <w:rPr>
          <w:rFonts w:ascii="Arial" w:cs="Arial" w:eastAsia="Arial" w:hAnsi="Arial"/>
          <w:sz w:val="14"/>
          <w:szCs w:val="14"/>
          <w:b w:val="1"/>
          <w:bCs w:val="1"/>
          <w:color w:val="EB6C10"/>
        </w:rPr>
        <w:t>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8"/>
        <w:spacing w:after="0"/>
        <w:rPr>
          <w:sz w:val="20"/>
          <w:szCs w:val="20"/>
          <w:color w:val="auto"/>
        </w:rPr>
      </w:pPr>
      <w:r>
        <w:rPr>
          <w:rFonts w:ascii="Arial" w:cs="Arial" w:eastAsia="Arial" w:hAnsi="Arial"/>
          <w:sz w:val="12"/>
          <w:szCs w:val="12"/>
          <w:b w:val="1"/>
          <w:bCs w:val="1"/>
          <w:color w:val="EB6C10"/>
        </w:rPr>
        <w:t>Meetings in 2022</w:t>
      </w:r>
    </w:p>
    <w:p>
      <w:pPr>
        <w:spacing w:after="0" w:line="173" w:lineRule="exact"/>
        <w:rPr>
          <w:sz w:val="20"/>
          <w:szCs w:val="20"/>
          <w:color w:val="auto"/>
        </w:rPr>
      </w:pPr>
    </w:p>
    <w:p>
      <w:pPr>
        <w:ind w:left="408" w:hanging="72"/>
        <w:spacing w:after="0"/>
        <w:tabs>
          <w:tab w:leader="none" w:pos="408" w:val="left"/>
        </w:tabs>
        <w:numPr>
          <w:ilvl w:val="0"/>
          <w:numId w:val="23"/>
        </w:numPr>
        <w:rPr>
          <w:rFonts w:ascii="Arial" w:cs="Arial" w:eastAsia="Arial" w:hAnsi="Arial"/>
          <w:sz w:val="11"/>
          <w:szCs w:val="11"/>
          <w:b w:val="1"/>
          <w:bCs w:val="1"/>
          <w:color w:val="EB6C10"/>
        </w:rPr>
      </w:pPr>
      <w:r>
        <w:rPr>
          <w:rFonts w:ascii="Arial" w:cs="Arial" w:eastAsia="Arial" w:hAnsi="Arial"/>
          <w:sz w:val="11"/>
          <w:szCs w:val="11"/>
          <w:color w:val="54585A"/>
        </w:rPr>
        <w:t>Mr. Hasler (Chairman)</w:t>
      </w:r>
    </w:p>
    <w:p>
      <w:pPr>
        <w:spacing w:after="0" w:line="170" w:lineRule="exact"/>
        <w:rPr>
          <w:rFonts w:ascii="Arial" w:cs="Arial" w:eastAsia="Arial" w:hAnsi="Arial"/>
          <w:sz w:val="11"/>
          <w:szCs w:val="11"/>
          <w:b w:val="1"/>
          <w:bCs w:val="1"/>
          <w:color w:val="EB6C10"/>
        </w:rPr>
      </w:pPr>
    </w:p>
    <w:p>
      <w:pPr>
        <w:ind w:left="408" w:hanging="72"/>
        <w:spacing w:after="0"/>
        <w:tabs>
          <w:tab w:leader="none" w:pos="408" w:val="left"/>
        </w:tabs>
        <w:numPr>
          <w:ilvl w:val="0"/>
          <w:numId w:val="23"/>
        </w:numPr>
        <w:rPr>
          <w:rFonts w:ascii="Arial" w:cs="Arial" w:eastAsia="Arial" w:hAnsi="Arial"/>
          <w:sz w:val="12"/>
          <w:szCs w:val="12"/>
          <w:b w:val="1"/>
          <w:bCs w:val="1"/>
          <w:color w:val="EB6C10"/>
        </w:rPr>
      </w:pPr>
      <w:r>
        <w:rPr>
          <w:rFonts w:ascii="Arial" w:cs="Arial" w:eastAsia="Arial" w:hAnsi="Arial"/>
          <w:sz w:val="12"/>
          <w:szCs w:val="12"/>
          <w:color w:val="54585A"/>
        </w:rPr>
        <w:t>Mr. Wolff</w:t>
      </w:r>
    </w:p>
    <w:p>
      <w:pPr>
        <w:spacing w:after="0" w:line="150" w:lineRule="exact"/>
        <w:rPr>
          <w:rFonts w:ascii="Arial" w:cs="Arial" w:eastAsia="Arial" w:hAnsi="Arial"/>
          <w:sz w:val="12"/>
          <w:szCs w:val="12"/>
          <w:b w:val="1"/>
          <w:bCs w:val="1"/>
          <w:color w:val="EB6C10"/>
        </w:rPr>
      </w:pPr>
    </w:p>
    <w:p>
      <w:pPr>
        <w:ind w:left="408" w:hanging="72"/>
        <w:spacing w:after="0"/>
        <w:tabs>
          <w:tab w:leader="none" w:pos="408" w:val="left"/>
        </w:tabs>
        <w:numPr>
          <w:ilvl w:val="0"/>
          <w:numId w:val="23"/>
        </w:numPr>
        <w:rPr>
          <w:rFonts w:ascii="Arial" w:cs="Arial" w:eastAsia="Arial" w:hAnsi="Arial"/>
          <w:sz w:val="12"/>
          <w:szCs w:val="12"/>
          <w:b w:val="1"/>
          <w:bCs w:val="1"/>
          <w:color w:val="EB6C10"/>
        </w:rPr>
      </w:pPr>
      <w:r>
        <w:rPr>
          <w:rFonts w:ascii="Arial" w:cs="Arial" w:eastAsia="Arial" w:hAnsi="Arial"/>
          <w:sz w:val="12"/>
          <w:szCs w:val="12"/>
          <w:color w:val="54585A"/>
        </w:rPr>
        <w:t>Mr. Lovett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11"/>
          <w:szCs w:val="11"/>
          <w:color w:val="54585A"/>
        </w:rPr>
        <w:t>The principal functions of the Audit Committee, which are reflected in the committee's charter, include:</w:t>
      </w:r>
    </w:p>
    <w:p>
      <w:pPr>
        <w:spacing w:after="0" w:line="144" w:lineRule="exact"/>
        <w:rPr>
          <w:sz w:val="20"/>
          <w:szCs w:val="20"/>
          <w:color w:val="auto"/>
        </w:rPr>
      </w:pPr>
    </w:p>
    <w:p>
      <w:pPr>
        <w:ind w:left="200" w:hanging="101"/>
        <w:spacing w:after="0"/>
        <w:tabs>
          <w:tab w:leader="none" w:pos="200" w:val="left"/>
        </w:tabs>
        <w:numPr>
          <w:ilvl w:val="0"/>
          <w:numId w:val="24"/>
        </w:numPr>
        <w:rPr>
          <w:rFonts w:ascii="Arial" w:cs="Arial" w:eastAsia="Arial" w:hAnsi="Arial"/>
          <w:sz w:val="11"/>
          <w:szCs w:val="11"/>
          <w:color w:val="54585A"/>
        </w:rPr>
      </w:pPr>
      <w:r>
        <w:rPr>
          <w:rFonts w:ascii="Arial" w:cs="Arial" w:eastAsia="Arial" w:hAnsi="Arial"/>
          <w:sz w:val="11"/>
          <w:szCs w:val="11"/>
          <w:color w:val="54585A"/>
        </w:rPr>
        <w:t>appointing and replacing our independent registered public accounting firm;</w:t>
      </w:r>
    </w:p>
    <w:p>
      <w:pPr>
        <w:spacing w:after="0" w:line="116" w:lineRule="exact"/>
        <w:rPr>
          <w:rFonts w:ascii="Arial" w:cs="Arial" w:eastAsia="Arial" w:hAnsi="Arial"/>
          <w:sz w:val="11"/>
          <w:szCs w:val="11"/>
          <w:color w:val="54585A"/>
        </w:rPr>
      </w:pPr>
    </w:p>
    <w:p>
      <w:pPr>
        <w:ind w:left="200" w:hanging="101"/>
        <w:spacing w:after="0"/>
        <w:tabs>
          <w:tab w:leader="none" w:pos="200" w:val="left"/>
        </w:tabs>
        <w:numPr>
          <w:ilvl w:val="0"/>
          <w:numId w:val="24"/>
        </w:numPr>
        <w:rPr>
          <w:rFonts w:ascii="Arial" w:cs="Arial" w:eastAsia="Arial" w:hAnsi="Arial"/>
          <w:sz w:val="11"/>
          <w:szCs w:val="11"/>
          <w:color w:val="54585A"/>
        </w:rPr>
      </w:pPr>
      <w:r>
        <w:rPr>
          <w:rFonts w:ascii="Arial" w:cs="Arial" w:eastAsia="Arial" w:hAnsi="Arial"/>
          <w:sz w:val="11"/>
          <w:szCs w:val="11"/>
          <w:color w:val="54585A"/>
        </w:rPr>
        <w:t>approving all fees and all audit and non-audit services of the independent registered public accounting firm;</w:t>
      </w:r>
    </w:p>
    <w:p>
      <w:pPr>
        <w:spacing w:after="0" w:line="107" w:lineRule="exact"/>
        <w:rPr>
          <w:rFonts w:ascii="Arial" w:cs="Arial" w:eastAsia="Arial" w:hAnsi="Arial"/>
          <w:sz w:val="11"/>
          <w:szCs w:val="11"/>
          <w:color w:val="54585A"/>
        </w:rPr>
      </w:pPr>
    </w:p>
    <w:p>
      <w:pPr>
        <w:ind w:left="200" w:hanging="101"/>
        <w:spacing w:after="0"/>
        <w:tabs>
          <w:tab w:leader="none" w:pos="200" w:val="left"/>
        </w:tabs>
        <w:numPr>
          <w:ilvl w:val="0"/>
          <w:numId w:val="24"/>
        </w:numPr>
        <w:rPr>
          <w:rFonts w:ascii="Arial" w:cs="Arial" w:eastAsia="Arial" w:hAnsi="Arial"/>
          <w:sz w:val="11"/>
          <w:szCs w:val="11"/>
          <w:color w:val="54585A"/>
        </w:rPr>
      </w:pPr>
      <w:r>
        <w:rPr>
          <w:rFonts w:ascii="Arial" w:cs="Arial" w:eastAsia="Arial" w:hAnsi="Arial"/>
          <w:sz w:val="11"/>
          <w:szCs w:val="11"/>
          <w:color w:val="54585A"/>
        </w:rPr>
        <w:t>annually reviewing the independence of the independent registered public accounting firm;</w:t>
      </w:r>
    </w:p>
    <w:p>
      <w:pPr>
        <w:spacing w:after="0" w:line="116" w:lineRule="exact"/>
        <w:rPr>
          <w:rFonts w:ascii="Arial" w:cs="Arial" w:eastAsia="Arial" w:hAnsi="Arial"/>
          <w:sz w:val="11"/>
          <w:szCs w:val="11"/>
          <w:color w:val="54585A"/>
        </w:rPr>
      </w:pPr>
    </w:p>
    <w:p>
      <w:pPr>
        <w:ind w:left="200" w:hanging="101"/>
        <w:spacing w:after="0"/>
        <w:tabs>
          <w:tab w:leader="none" w:pos="200" w:val="left"/>
        </w:tabs>
        <w:numPr>
          <w:ilvl w:val="0"/>
          <w:numId w:val="24"/>
        </w:numPr>
        <w:rPr>
          <w:rFonts w:ascii="Arial" w:cs="Arial" w:eastAsia="Arial" w:hAnsi="Arial"/>
          <w:sz w:val="11"/>
          <w:szCs w:val="11"/>
          <w:color w:val="54585A"/>
        </w:rPr>
      </w:pPr>
      <w:r>
        <w:rPr>
          <w:rFonts w:ascii="Arial" w:cs="Arial" w:eastAsia="Arial" w:hAnsi="Arial"/>
          <w:sz w:val="11"/>
          <w:szCs w:val="11"/>
          <w:color w:val="54585A"/>
        </w:rPr>
        <w:t>assessing annual audit results;</w:t>
      </w:r>
    </w:p>
    <w:p>
      <w:pPr>
        <w:spacing w:after="0" w:line="116" w:lineRule="exact"/>
        <w:rPr>
          <w:rFonts w:ascii="Arial" w:cs="Arial" w:eastAsia="Arial" w:hAnsi="Arial"/>
          <w:sz w:val="11"/>
          <w:szCs w:val="11"/>
          <w:color w:val="54585A"/>
        </w:rPr>
      </w:pPr>
    </w:p>
    <w:p>
      <w:pPr>
        <w:ind w:left="200" w:hanging="101"/>
        <w:spacing w:after="0"/>
        <w:tabs>
          <w:tab w:leader="none" w:pos="200" w:val="left"/>
        </w:tabs>
        <w:numPr>
          <w:ilvl w:val="0"/>
          <w:numId w:val="24"/>
        </w:numPr>
        <w:rPr>
          <w:rFonts w:ascii="Arial" w:cs="Arial" w:eastAsia="Arial" w:hAnsi="Arial"/>
          <w:sz w:val="11"/>
          <w:szCs w:val="11"/>
          <w:color w:val="54585A"/>
        </w:rPr>
      </w:pPr>
      <w:r>
        <w:rPr>
          <w:rFonts w:ascii="Arial" w:cs="Arial" w:eastAsia="Arial" w:hAnsi="Arial"/>
          <w:sz w:val="11"/>
          <w:szCs w:val="11"/>
          <w:color w:val="54585A"/>
        </w:rPr>
        <w:t>periodically reassessing the effectiveness of the independent registered public accounting firm;</w:t>
      </w:r>
    </w:p>
    <w:p>
      <w:pPr>
        <w:spacing w:after="0" w:line="107" w:lineRule="exact"/>
        <w:rPr>
          <w:rFonts w:ascii="Arial" w:cs="Arial" w:eastAsia="Arial" w:hAnsi="Arial"/>
          <w:sz w:val="11"/>
          <w:szCs w:val="11"/>
          <w:color w:val="54585A"/>
        </w:rPr>
      </w:pPr>
    </w:p>
    <w:p>
      <w:pPr>
        <w:ind w:left="200" w:hanging="101"/>
        <w:spacing w:after="0"/>
        <w:tabs>
          <w:tab w:leader="none" w:pos="200" w:val="left"/>
        </w:tabs>
        <w:numPr>
          <w:ilvl w:val="0"/>
          <w:numId w:val="24"/>
        </w:numPr>
        <w:rPr>
          <w:rFonts w:ascii="Arial" w:cs="Arial" w:eastAsia="Arial" w:hAnsi="Arial"/>
          <w:sz w:val="11"/>
          <w:szCs w:val="11"/>
          <w:color w:val="54585A"/>
        </w:rPr>
      </w:pPr>
      <w:r>
        <w:rPr>
          <w:rFonts w:ascii="Arial" w:cs="Arial" w:eastAsia="Arial" w:hAnsi="Arial"/>
          <w:sz w:val="11"/>
          <w:szCs w:val="11"/>
          <w:color w:val="54585A"/>
        </w:rPr>
        <w:t>reviewing our financial and accounting policies and our annual and quarterly financial statements;</w:t>
      </w:r>
    </w:p>
    <w:p>
      <w:pPr>
        <w:spacing w:after="0" w:line="116" w:lineRule="exact"/>
        <w:rPr>
          <w:rFonts w:ascii="Arial" w:cs="Arial" w:eastAsia="Arial" w:hAnsi="Arial"/>
          <w:sz w:val="11"/>
          <w:szCs w:val="11"/>
          <w:color w:val="54585A"/>
        </w:rPr>
      </w:pPr>
    </w:p>
    <w:p>
      <w:pPr>
        <w:ind w:left="200" w:hanging="101"/>
        <w:spacing w:after="0"/>
        <w:tabs>
          <w:tab w:leader="none" w:pos="200" w:val="left"/>
        </w:tabs>
        <w:numPr>
          <w:ilvl w:val="0"/>
          <w:numId w:val="24"/>
        </w:numPr>
        <w:rPr>
          <w:rFonts w:ascii="Arial" w:cs="Arial" w:eastAsia="Arial" w:hAnsi="Arial"/>
          <w:sz w:val="10"/>
          <w:szCs w:val="10"/>
          <w:color w:val="54585A"/>
        </w:rPr>
      </w:pPr>
      <w:r>
        <w:rPr>
          <w:rFonts w:ascii="Arial" w:cs="Arial" w:eastAsia="Arial" w:hAnsi="Arial"/>
          <w:sz w:val="10"/>
          <w:szCs w:val="10"/>
          <w:color w:val="54585A"/>
        </w:rPr>
        <w:t>reviewing the adequacy and effectiveness of our internal accounting controls and monitoring progress for compliance with Section 404 of the Sarbanes-Oxley Act;</w:t>
      </w:r>
    </w:p>
    <w:p>
      <w:pPr>
        <w:spacing w:after="0" w:line="119" w:lineRule="exact"/>
        <w:rPr>
          <w:rFonts w:ascii="Arial" w:cs="Arial" w:eastAsia="Arial" w:hAnsi="Arial"/>
          <w:sz w:val="10"/>
          <w:szCs w:val="10"/>
          <w:color w:val="54585A"/>
        </w:rPr>
      </w:pPr>
    </w:p>
    <w:p>
      <w:pPr>
        <w:ind w:left="200" w:hanging="101"/>
        <w:spacing w:after="0"/>
        <w:tabs>
          <w:tab w:leader="none" w:pos="200" w:val="left"/>
        </w:tabs>
        <w:numPr>
          <w:ilvl w:val="0"/>
          <w:numId w:val="24"/>
        </w:numPr>
        <w:rPr>
          <w:rFonts w:ascii="Arial" w:cs="Arial" w:eastAsia="Arial" w:hAnsi="Arial"/>
          <w:sz w:val="11"/>
          <w:szCs w:val="11"/>
          <w:color w:val="54585A"/>
        </w:rPr>
      </w:pPr>
      <w:r>
        <w:rPr>
          <w:rFonts w:ascii="Arial" w:cs="Arial" w:eastAsia="Arial" w:hAnsi="Arial"/>
          <w:sz w:val="11"/>
          <w:szCs w:val="11"/>
          <w:color w:val="54585A"/>
        </w:rPr>
        <w:t>overseeing our programs for compliance with laws, regulations and company policies;</w:t>
      </w:r>
    </w:p>
    <w:p>
      <w:pPr>
        <w:spacing w:after="0" w:line="116" w:lineRule="exact"/>
        <w:rPr>
          <w:rFonts w:ascii="Arial" w:cs="Arial" w:eastAsia="Arial" w:hAnsi="Arial"/>
          <w:sz w:val="11"/>
          <w:szCs w:val="11"/>
          <w:color w:val="54585A"/>
        </w:rPr>
      </w:pPr>
    </w:p>
    <w:p>
      <w:pPr>
        <w:ind w:left="200" w:hanging="101"/>
        <w:spacing w:after="0"/>
        <w:tabs>
          <w:tab w:leader="none" w:pos="200" w:val="left"/>
        </w:tabs>
        <w:numPr>
          <w:ilvl w:val="0"/>
          <w:numId w:val="24"/>
        </w:numPr>
        <w:rPr>
          <w:rFonts w:ascii="Arial" w:cs="Arial" w:eastAsia="Arial" w:hAnsi="Arial"/>
          <w:sz w:val="11"/>
          <w:szCs w:val="11"/>
          <w:color w:val="54585A"/>
        </w:rPr>
      </w:pPr>
      <w:r>
        <w:rPr>
          <w:rFonts w:ascii="Arial" w:cs="Arial" w:eastAsia="Arial" w:hAnsi="Arial"/>
          <w:sz w:val="11"/>
          <w:szCs w:val="11"/>
          <w:color w:val="54585A"/>
        </w:rPr>
        <w:t>approving all related person transactions not otherwise delegated to the Strategic Review Committee;</w:t>
      </w:r>
    </w:p>
    <w:p>
      <w:pPr>
        <w:spacing w:after="0" w:line="116" w:lineRule="exact"/>
        <w:rPr>
          <w:rFonts w:ascii="Arial" w:cs="Arial" w:eastAsia="Arial" w:hAnsi="Arial"/>
          <w:sz w:val="11"/>
          <w:szCs w:val="11"/>
          <w:color w:val="54585A"/>
        </w:rPr>
      </w:pPr>
    </w:p>
    <w:p>
      <w:pPr>
        <w:ind w:left="200" w:hanging="101"/>
        <w:spacing w:after="0"/>
        <w:tabs>
          <w:tab w:leader="none" w:pos="200" w:val="left"/>
        </w:tabs>
        <w:numPr>
          <w:ilvl w:val="0"/>
          <w:numId w:val="24"/>
        </w:numPr>
        <w:rPr>
          <w:rFonts w:ascii="Arial" w:cs="Arial" w:eastAsia="Arial" w:hAnsi="Arial"/>
          <w:sz w:val="10"/>
          <w:szCs w:val="10"/>
          <w:color w:val="54585A"/>
        </w:rPr>
      </w:pPr>
      <w:r>
        <w:rPr>
          <w:rFonts w:ascii="Arial" w:cs="Arial" w:eastAsia="Arial" w:hAnsi="Arial"/>
          <w:sz w:val="10"/>
          <w:szCs w:val="10"/>
          <w:color w:val="54585A"/>
        </w:rPr>
        <w:t>considering any requests for waivers from our Code of Conduct for senior executive and financial officers (which waivers would be subject to Board approval); and</w:t>
      </w:r>
    </w:p>
    <w:p>
      <w:pPr>
        <w:spacing w:after="0" w:line="119" w:lineRule="exact"/>
        <w:rPr>
          <w:rFonts w:ascii="Arial" w:cs="Arial" w:eastAsia="Arial" w:hAnsi="Arial"/>
          <w:sz w:val="10"/>
          <w:szCs w:val="10"/>
          <w:color w:val="54585A"/>
        </w:rPr>
      </w:pPr>
    </w:p>
    <w:p>
      <w:pPr>
        <w:ind w:left="200" w:hanging="101"/>
        <w:spacing w:after="0"/>
        <w:tabs>
          <w:tab w:leader="none" w:pos="200" w:val="left"/>
        </w:tabs>
        <w:numPr>
          <w:ilvl w:val="0"/>
          <w:numId w:val="24"/>
        </w:numPr>
        <w:rPr>
          <w:rFonts w:ascii="Arial" w:cs="Arial" w:eastAsia="Arial" w:hAnsi="Arial"/>
          <w:sz w:val="11"/>
          <w:szCs w:val="11"/>
          <w:color w:val="54585A"/>
        </w:rPr>
      </w:pPr>
      <w:r>
        <w:rPr>
          <w:rFonts w:ascii="Arial" w:cs="Arial" w:eastAsia="Arial" w:hAnsi="Arial"/>
          <w:sz w:val="11"/>
          <w:szCs w:val="11"/>
          <w:color w:val="54585A"/>
        </w:rPr>
        <w:t>in connection with the foregoing, meeting with our independent registered public accounting firm and financial management.</w:t>
      </w:r>
    </w:p>
    <w:p>
      <w:pPr>
        <w:spacing w:after="0" w:line="200" w:lineRule="exact"/>
        <w:rPr>
          <w:sz w:val="20"/>
          <w:szCs w:val="20"/>
          <w:color w:val="auto"/>
        </w:rPr>
      </w:pPr>
    </w:p>
    <w:p>
      <w:pPr>
        <w:sectPr>
          <w:pgSz w:w="11900" w:h="16838" w:orient="portrait"/>
          <w:cols w:equalWidth="0" w:num="2">
            <w:col w:w="2388" w:space="720"/>
            <w:col w:w="8160"/>
          </w:cols>
          <w:pgMar w:left="292" w:top="156" w:right="33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8"/>
        <w:spacing w:after="0"/>
        <w:rPr>
          <w:sz w:val="20"/>
          <w:szCs w:val="20"/>
          <w:color w:val="auto"/>
        </w:rPr>
      </w:pPr>
      <w:r>
        <w:rPr>
          <w:rFonts w:ascii="Arial" w:cs="Arial" w:eastAsia="Arial" w:hAnsi="Arial"/>
          <w:sz w:val="11"/>
          <w:szCs w:val="11"/>
          <w:color w:val="54585A"/>
        </w:rPr>
        <w:t>During 2022, the Audit Committee held five meetings.</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1"/>
          <w:szCs w:val="11"/>
          <w:color w:val="54585A"/>
        </w:rPr>
        <w:t>The Audit Committee has furnished the following report for inclusion in this proxy statement.</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1"/>
          <w:szCs w:val="11"/>
          <w:i w:val="1"/>
          <w:iCs w:val="1"/>
          <w:u w:val="single" w:color="auto"/>
          <w:color w:val="54585A"/>
        </w:rPr>
        <w:t>Audit Committee Report for 2022</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1"/>
          <w:szCs w:val="11"/>
          <w:color w:val="54585A"/>
        </w:rPr>
        <w:t>In addition to other activities, the Audit Committee:</w:t>
      </w:r>
    </w:p>
    <w:p>
      <w:pPr>
        <w:spacing w:after="0" w:line="153" w:lineRule="exact"/>
        <w:rPr>
          <w:sz w:val="20"/>
          <w:szCs w:val="20"/>
          <w:color w:val="auto"/>
        </w:rPr>
      </w:pPr>
    </w:p>
    <w:p>
      <w:pPr>
        <w:ind w:left="308" w:hanging="92"/>
        <w:spacing w:after="0"/>
        <w:tabs>
          <w:tab w:leader="none" w:pos="308" w:val="left"/>
        </w:tabs>
        <w:numPr>
          <w:ilvl w:val="0"/>
          <w:numId w:val="25"/>
        </w:numPr>
        <w:rPr>
          <w:rFonts w:ascii="Arial" w:cs="Arial" w:eastAsia="Arial" w:hAnsi="Arial"/>
          <w:sz w:val="11"/>
          <w:szCs w:val="11"/>
          <w:color w:val="54585A"/>
        </w:rPr>
      </w:pPr>
      <w:r>
        <w:rPr>
          <w:rFonts w:ascii="Arial" w:cs="Arial" w:eastAsia="Arial" w:hAnsi="Arial"/>
          <w:sz w:val="11"/>
          <w:szCs w:val="11"/>
          <w:color w:val="54585A"/>
        </w:rPr>
        <w:t>reviewed and discussed with management the Company’s audited financial statements for 2022;</w:t>
      </w:r>
    </w:p>
    <w:p>
      <w:pPr>
        <w:spacing w:after="0" w:line="107" w:lineRule="exact"/>
        <w:rPr>
          <w:rFonts w:ascii="Arial" w:cs="Arial" w:eastAsia="Arial" w:hAnsi="Arial"/>
          <w:sz w:val="11"/>
          <w:szCs w:val="11"/>
          <w:color w:val="54585A"/>
        </w:rPr>
      </w:pPr>
    </w:p>
    <w:p>
      <w:pPr>
        <w:ind w:left="328" w:right="40" w:hanging="112"/>
        <w:spacing w:after="0" w:line="387" w:lineRule="auto"/>
        <w:tabs>
          <w:tab w:leader="none" w:pos="321" w:val="left"/>
        </w:tabs>
        <w:numPr>
          <w:ilvl w:val="0"/>
          <w:numId w:val="25"/>
        </w:numPr>
        <w:rPr>
          <w:rFonts w:ascii="Arial" w:cs="Arial" w:eastAsia="Arial" w:hAnsi="Arial"/>
          <w:sz w:val="10"/>
          <w:szCs w:val="10"/>
          <w:color w:val="54585A"/>
        </w:rPr>
      </w:pPr>
      <w:r>
        <w:rPr>
          <w:rFonts w:ascii="Arial" w:cs="Arial" w:eastAsia="Arial" w:hAnsi="Arial"/>
          <w:sz w:val="10"/>
          <w:szCs w:val="10"/>
          <w:color w:val="54585A"/>
        </w:rPr>
        <w:t>discussed with EY, the Company’s independent registered public accounting firm for 2022, the matters required to be discussed by the applicable requirements of the Public Company Accounting Oversight Board ("PCAOB") and the Commission, including significant accounting policies, management’s judgments and accounting estimates, and EY’s judgments about the quality of the Company’s accounting principles as applied in its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175260</wp:posOffset>
            </wp:positionV>
            <wp:extent cx="17145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31"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12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56" w:right="3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0"/>
          <w:szCs w:val="10"/>
          <w:color w:val="54585A"/>
        </w:rPr>
        <w:t xml:space="preserve">Board of Directors and Corporate Governance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0" w:right="40" w:hanging="112"/>
        <w:spacing w:after="0" w:line="330" w:lineRule="auto"/>
        <w:tabs>
          <w:tab w:leader="none" w:pos="313" w:val="left"/>
        </w:tabs>
        <w:numPr>
          <w:ilvl w:val="0"/>
          <w:numId w:val="26"/>
        </w:numPr>
        <w:rPr>
          <w:rFonts w:ascii="Arial" w:cs="Arial" w:eastAsia="Arial" w:hAnsi="Arial"/>
          <w:sz w:val="11"/>
          <w:szCs w:val="11"/>
          <w:color w:val="54585A"/>
        </w:rPr>
      </w:pPr>
      <w:r>
        <w:rPr>
          <w:rFonts w:ascii="Arial" w:cs="Arial" w:eastAsia="Arial" w:hAnsi="Arial"/>
          <w:sz w:val="11"/>
          <w:szCs w:val="11"/>
          <w:color w:val="54585A"/>
        </w:rPr>
        <w:t>received the written disclosures and the letter from EY required by the applicable requirements of the PCAOB and the Commission regarding the independent accountant’s communications with the Audit Committee concerning the accountant’s independence from the Company and its subsidiaries, and discussed with EY their independence.</w:t>
      </w:r>
    </w:p>
    <w:p>
      <w:pPr>
        <w:spacing w:after="0" w:line="57" w:lineRule="exact"/>
        <w:rPr>
          <w:sz w:val="20"/>
          <w:szCs w:val="20"/>
          <w:color w:val="auto"/>
        </w:rPr>
      </w:pPr>
    </w:p>
    <w:p>
      <w:pPr>
        <w:ind w:right="200"/>
        <w:spacing w:after="0" w:line="330" w:lineRule="auto"/>
        <w:rPr>
          <w:sz w:val="20"/>
          <w:szCs w:val="20"/>
          <w:color w:val="auto"/>
        </w:rPr>
      </w:pPr>
      <w:r>
        <w:rPr>
          <w:rFonts w:ascii="Arial" w:cs="Arial" w:eastAsia="Arial" w:hAnsi="Arial"/>
          <w:sz w:val="11"/>
          <w:szCs w:val="11"/>
          <w:color w:val="54585A"/>
        </w:rPr>
        <w:t>Based on the reviews and discussions referred to above, the Audit Committee recommended to the Board of Directors that the audited financial statements for the year ended December 31, 2022 be included in the Company’s Annual Report on Form 10-K for filing with the Securities and Exchange Commission.</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 xml:space="preserve">William A. Hasler, </w:t>
      </w:r>
      <w:r>
        <w:rPr>
          <w:rFonts w:ascii="Arial" w:cs="Arial" w:eastAsia="Arial" w:hAnsi="Arial"/>
          <w:sz w:val="11"/>
          <w:szCs w:val="11"/>
          <w:i w:val="1"/>
          <w:iCs w:val="1"/>
          <w:color w:val="54585A"/>
        </w:rPr>
        <w:t>Chair</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Michael J. Lovett</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Benjamin G. Wolff</w:t>
      </w:r>
    </w:p>
    <w:p>
      <w:pPr>
        <w:spacing w:after="0" w:line="67" w:lineRule="exact"/>
        <w:rPr>
          <w:sz w:val="20"/>
          <w:szCs w:val="20"/>
          <w:color w:val="auto"/>
        </w:rPr>
      </w:pPr>
    </w:p>
    <w:p>
      <w:pPr>
        <w:spacing w:after="0"/>
        <w:rPr>
          <w:sz w:val="20"/>
          <w:szCs w:val="20"/>
          <w:color w:val="auto"/>
        </w:rPr>
      </w:pPr>
      <w:r>
        <w:rPr>
          <w:rFonts w:ascii="Arial" w:cs="Arial" w:eastAsia="Arial" w:hAnsi="Arial"/>
          <w:sz w:val="10"/>
          <w:szCs w:val="10"/>
          <w:color w:val="54585A"/>
        </w:rPr>
        <w:t>May 1, 2023</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2"/>
          <w:szCs w:val="12"/>
          <w:color w:val="EB6C10"/>
        </w:rPr>
        <w:t>Compensation Committee</w:t>
      </w:r>
    </w:p>
    <w:p>
      <w:pPr>
        <w:spacing w:after="0" w:line="62" w:lineRule="exact"/>
        <w:rPr>
          <w:sz w:val="20"/>
          <w:szCs w:val="20"/>
          <w:color w:val="auto"/>
        </w:rPr>
      </w:pPr>
    </w:p>
    <w:p>
      <w:pPr>
        <w:spacing w:after="0"/>
        <w:rPr>
          <w:sz w:val="20"/>
          <w:szCs w:val="20"/>
          <w:color w:val="auto"/>
        </w:rPr>
      </w:pPr>
      <w:r>
        <w:rPr>
          <w:rFonts w:ascii="Arial" w:cs="Arial" w:eastAsia="Arial" w:hAnsi="Arial"/>
          <w:sz w:val="11"/>
          <w:szCs w:val="11"/>
          <w:color w:val="54585A"/>
        </w:rPr>
        <w:t>The current members of the Compensation Committee are Messrs. Monroe, Wolff, and Lovett. Mr. Monroe serves as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1788795" cy="17202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8795" cy="1720215"/>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p>
      <w:pPr>
        <w:spacing w:after="0" w:line="295"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EB6C10"/>
        </w:rPr>
        <w:t>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EB6C10"/>
        </w:rPr>
        <w:t>Meetings in 2022</w:t>
      </w:r>
    </w:p>
    <w:p>
      <w:pPr>
        <w:spacing w:after="0" w:line="173" w:lineRule="exact"/>
        <w:rPr>
          <w:sz w:val="20"/>
          <w:szCs w:val="20"/>
          <w:color w:val="auto"/>
        </w:rPr>
      </w:pPr>
    </w:p>
    <w:p>
      <w:pPr>
        <w:ind w:left="400" w:hanging="72"/>
        <w:spacing w:after="0"/>
        <w:tabs>
          <w:tab w:leader="none" w:pos="400" w:val="left"/>
        </w:tabs>
        <w:numPr>
          <w:ilvl w:val="0"/>
          <w:numId w:val="27"/>
        </w:numPr>
        <w:rPr>
          <w:rFonts w:ascii="Arial" w:cs="Arial" w:eastAsia="Arial" w:hAnsi="Arial"/>
          <w:sz w:val="12"/>
          <w:szCs w:val="12"/>
          <w:b w:val="1"/>
          <w:bCs w:val="1"/>
          <w:color w:val="EB6C10"/>
        </w:rPr>
      </w:pPr>
      <w:r>
        <w:rPr>
          <w:rFonts w:ascii="Arial" w:cs="Arial" w:eastAsia="Arial" w:hAnsi="Arial"/>
          <w:sz w:val="12"/>
          <w:szCs w:val="12"/>
          <w:color w:val="54585A"/>
        </w:rPr>
        <w:t>Mr. Monroe (Chairman)</w:t>
      </w:r>
    </w:p>
    <w:p>
      <w:pPr>
        <w:spacing w:after="0" w:line="159" w:lineRule="exact"/>
        <w:rPr>
          <w:rFonts w:ascii="Arial" w:cs="Arial" w:eastAsia="Arial" w:hAnsi="Arial"/>
          <w:sz w:val="12"/>
          <w:szCs w:val="12"/>
          <w:b w:val="1"/>
          <w:bCs w:val="1"/>
          <w:color w:val="EB6C10"/>
        </w:rPr>
      </w:pPr>
    </w:p>
    <w:p>
      <w:pPr>
        <w:ind w:left="400" w:hanging="72"/>
        <w:spacing w:after="0"/>
        <w:tabs>
          <w:tab w:leader="none" w:pos="400" w:val="left"/>
        </w:tabs>
        <w:numPr>
          <w:ilvl w:val="0"/>
          <w:numId w:val="27"/>
        </w:numPr>
        <w:rPr>
          <w:rFonts w:ascii="Arial" w:cs="Arial" w:eastAsia="Arial" w:hAnsi="Arial"/>
          <w:sz w:val="12"/>
          <w:szCs w:val="12"/>
          <w:b w:val="1"/>
          <w:bCs w:val="1"/>
          <w:color w:val="EB6C10"/>
        </w:rPr>
      </w:pPr>
      <w:r>
        <w:rPr>
          <w:rFonts w:ascii="Arial" w:cs="Arial" w:eastAsia="Arial" w:hAnsi="Arial"/>
          <w:sz w:val="12"/>
          <w:szCs w:val="12"/>
          <w:color w:val="54585A"/>
        </w:rPr>
        <w:t>Mr. Lovett</w:t>
      </w:r>
    </w:p>
    <w:p>
      <w:pPr>
        <w:spacing w:after="0" w:line="150" w:lineRule="exact"/>
        <w:rPr>
          <w:rFonts w:ascii="Arial" w:cs="Arial" w:eastAsia="Arial" w:hAnsi="Arial"/>
          <w:sz w:val="12"/>
          <w:szCs w:val="12"/>
          <w:b w:val="1"/>
          <w:bCs w:val="1"/>
          <w:color w:val="EB6C10"/>
        </w:rPr>
      </w:pPr>
    </w:p>
    <w:p>
      <w:pPr>
        <w:ind w:left="400" w:hanging="72"/>
        <w:spacing w:after="0"/>
        <w:tabs>
          <w:tab w:leader="none" w:pos="400" w:val="left"/>
        </w:tabs>
        <w:numPr>
          <w:ilvl w:val="0"/>
          <w:numId w:val="27"/>
        </w:numPr>
        <w:rPr>
          <w:rFonts w:ascii="Arial" w:cs="Arial" w:eastAsia="Arial" w:hAnsi="Arial"/>
          <w:sz w:val="12"/>
          <w:szCs w:val="12"/>
          <w:b w:val="1"/>
          <w:bCs w:val="1"/>
          <w:color w:val="EB6C10"/>
        </w:rPr>
      </w:pPr>
      <w:r>
        <w:rPr>
          <w:rFonts w:ascii="Arial" w:cs="Arial" w:eastAsia="Arial" w:hAnsi="Arial"/>
          <w:sz w:val="12"/>
          <w:szCs w:val="12"/>
          <w:color w:val="54585A"/>
        </w:rPr>
        <w:t>Mr. Wolff</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color w:val="54585A"/>
        </w:rPr>
        <w:t>The principal functions of the Compensation Committee include:</w:t>
      </w:r>
    </w:p>
    <w:p>
      <w:pPr>
        <w:spacing w:after="0" w:line="135" w:lineRule="exact"/>
        <w:rPr>
          <w:sz w:val="20"/>
          <w:szCs w:val="20"/>
          <w:color w:val="auto"/>
        </w:rPr>
      </w:pPr>
    </w:p>
    <w:p>
      <w:pPr>
        <w:ind w:left="200" w:hanging="101"/>
        <w:spacing w:after="0"/>
        <w:tabs>
          <w:tab w:leader="none" w:pos="200" w:val="left"/>
        </w:tabs>
        <w:numPr>
          <w:ilvl w:val="0"/>
          <w:numId w:val="28"/>
        </w:numPr>
        <w:rPr>
          <w:rFonts w:ascii="Arial" w:cs="Arial" w:eastAsia="Arial" w:hAnsi="Arial"/>
          <w:sz w:val="11"/>
          <w:szCs w:val="11"/>
          <w:color w:val="54585A"/>
        </w:rPr>
      </w:pPr>
      <w:r>
        <w:rPr>
          <w:rFonts w:ascii="Arial" w:cs="Arial" w:eastAsia="Arial" w:hAnsi="Arial"/>
          <w:sz w:val="11"/>
          <w:szCs w:val="11"/>
          <w:color w:val="54585A"/>
        </w:rPr>
        <w:t>reviewing and approving corporate goals and objectives relevant to the compensation of our executive officers in light of business strategies and objectives;</w:t>
      </w:r>
    </w:p>
    <w:p>
      <w:pPr>
        <w:spacing w:after="0" w:line="116" w:lineRule="exact"/>
        <w:rPr>
          <w:rFonts w:ascii="Arial" w:cs="Arial" w:eastAsia="Arial" w:hAnsi="Arial"/>
          <w:sz w:val="11"/>
          <w:szCs w:val="11"/>
          <w:color w:val="54585A"/>
        </w:rPr>
      </w:pPr>
    </w:p>
    <w:p>
      <w:pPr>
        <w:ind w:left="200" w:hanging="101"/>
        <w:spacing w:after="0"/>
        <w:tabs>
          <w:tab w:leader="none" w:pos="200" w:val="left"/>
        </w:tabs>
        <w:numPr>
          <w:ilvl w:val="0"/>
          <w:numId w:val="28"/>
        </w:numPr>
        <w:rPr>
          <w:rFonts w:ascii="Arial" w:cs="Arial" w:eastAsia="Arial" w:hAnsi="Arial"/>
          <w:sz w:val="11"/>
          <w:szCs w:val="11"/>
          <w:color w:val="54585A"/>
        </w:rPr>
      </w:pPr>
      <w:r>
        <w:rPr>
          <w:rFonts w:ascii="Arial" w:cs="Arial" w:eastAsia="Arial" w:hAnsi="Arial"/>
          <w:sz w:val="11"/>
          <w:szCs w:val="11"/>
          <w:color w:val="54585A"/>
        </w:rPr>
        <w:t>reviewing and recommending to the Board compensation for our chief executive officer and other executive officers; and</w:t>
      </w:r>
    </w:p>
    <w:p>
      <w:pPr>
        <w:spacing w:after="0" w:line="107" w:lineRule="exact"/>
        <w:rPr>
          <w:rFonts w:ascii="Arial" w:cs="Arial" w:eastAsia="Arial" w:hAnsi="Arial"/>
          <w:sz w:val="11"/>
          <w:szCs w:val="11"/>
          <w:color w:val="54585A"/>
        </w:rPr>
      </w:pPr>
    </w:p>
    <w:p>
      <w:pPr>
        <w:ind w:left="200" w:right="160" w:hanging="101"/>
        <w:spacing w:after="0" w:line="330" w:lineRule="auto"/>
        <w:tabs>
          <w:tab w:leader="none" w:pos="193" w:val="left"/>
        </w:tabs>
        <w:numPr>
          <w:ilvl w:val="0"/>
          <w:numId w:val="28"/>
        </w:numPr>
        <w:rPr>
          <w:rFonts w:ascii="Arial" w:cs="Arial" w:eastAsia="Arial" w:hAnsi="Arial"/>
          <w:sz w:val="11"/>
          <w:szCs w:val="11"/>
          <w:color w:val="54585A"/>
        </w:rPr>
      </w:pPr>
      <w:r>
        <w:rPr>
          <w:rFonts w:ascii="Arial" w:cs="Arial" w:eastAsia="Arial" w:hAnsi="Arial"/>
          <w:sz w:val="11"/>
          <w:szCs w:val="11"/>
          <w:color w:val="54585A"/>
        </w:rPr>
        <w:t>administering our incentive compensation plans, including the 2006 Equity Incentive Plan (the "Plan"), and, in this capacity, approving or recommending to the Board all grants or awards to our directors, executive officers and other eligible participants under these plans.</w:t>
      </w:r>
    </w:p>
    <w:p>
      <w:pPr>
        <w:spacing w:after="0" w:line="1374" w:lineRule="exact"/>
        <w:rPr>
          <w:sz w:val="20"/>
          <w:szCs w:val="20"/>
          <w:color w:val="auto"/>
        </w:rPr>
      </w:pPr>
    </w:p>
    <w:p>
      <w:pPr>
        <w:sectPr>
          <w:pgSz w:w="11900" w:h="16838" w:orient="portrait"/>
          <w:cols w:equalWidth="0" w:num="2">
            <w:col w:w="2380" w:space="720"/>
            <w:col w:w="8200"/>
          </w:cols>
          <w:pgMar w:left="300" w:top="126" w:right="29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ind w:right="80"/>
        <w:spacing w:after="0" w:line="319" w:lineRule="auto"/>
        <w:rPr>
          <w:sz w:val="20"/>
          <w:szCs w:val="20"/>
          <w:color w:val="auto"/>
        </w:rPr>
      </w:pPr>
      <w:r>
        <w:rPr>
          <w:rFonts w:ascii="Arial" w:cs="Arial" w:eastAsia="Arial" w:hAnsi="Arial"/>
          <w:sz w:val="11"/>
          <w:szCs w:val="11"/>
          <w:color w:val="54585A"/>
        </w:rPr>
        <w:t>As indicated above, the Compensation Committee is responsible for approving or recommending to the Board the compensation of each of our executive officers. The Compensation Committee may delegate tasks to a subcommittee for any purpose and with such power and authority as the Compensation Committee deems appropriate from time to time. Currently, it has delegated to Mr. Monroe the review of corporate goals, objectives and compensation related to executive officers other than himself. Only the Compensation Committee or the Board may grant awards under the Plan to executive officers and directors, or make decisions regarding Plan awards.</w:t>
      </w:r>
    </w:p>
    <w:p>
      <w:pPr>
        <w:spacing w:after="0" w:line="108" w:lineRule="exact"/>
        <w:rPr>
          <w:sz w:val="20"/>
          <w:szCs w:val="20"/>
          <w:color w:val="auto"/>
        </w:rPr>
      </w:pPr>
    </w:p>
    <w:p>
      <w:pPr>
        <w:ind w:right="20"/>
        <w:spacing w:after="0" w:line="313" w:lineRule="auto"/>
        <w:rPr>
          <w:sz w:val="20"/>
          <w:szCs w:val="20"/>
          <w:color w:val="auto"/>
        </w:rPr>
      </w:pPr>
      <w:r>
        <w:rPr>
          <w:rFonts w:ascii="Arial" w:cs="Arial" w:eastAsia="Arial" w:hAnsi="Arial"/>
          <w:sz w:val="11"/>
          <w:szCs w:val="11"/>
          <w:color w:val="54585A"/>
        </w:rPr>
        <w:t>Mr. Monroe makes decisions on all components of compensation for all employees of vice president level and above and reviews manager level employees and below for bonus and equity awards based upon input from executive officers in charge of each business unit. Mr. Monroe receives compensation from us for his services as a director as described under “Compensation of Directors,”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17145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99" w:lineRule="exact"/>
        <w:rPr>
          <w:sz w:val="20"/>
          <w:szCs w:val="20"/>
          <w:color w:val="auto"/>
        </w:rPr>
      </w:pPr>
    </w:p>
    <w:p>
      <w:pPr>
        <w:ind w:left="96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163830</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type w:val="continuous"/>
        </w:sectPr>
      </w:pPr>
    </w:p>
    <w:bookmarkStart w:id="16" w:name="page17"/>
    <w:bookmarkEnd w:id="16"/>
    <w:p>
      <w:pPr>
        <w:ind w:left="68" w:hanging="68"/>
        <w:spacing w:after="0"/>
        <w:tabs>
          <w:tab w:leader="none" w:pos="68" w:val="left"/>
        </w:tabs>
        <w:numPr>
          <w:ilvl w:val="0"/>
          <w:numId w:val="29"/>
        </w:numPr>
        <w:rPr>
          <w:rFonts w:ascii="Arial" w:cs="Arial" w:eastAsia="Arial" w:hAnsi="Arial"/>
          <w:sz w:val="12"/>
          <w:szCs w:val="12"/>
          <w:b w:val="1"/>
          <w:bCs w:val="1"/>
          <w:color w:val="EB6C10"/>
        </w:rPr>
      </w:pPr>
      <w:r>
        <w:rPr>
          <w:rFonts w:ascii="Arial" w:cs="Arial" w:eastAsia="Arial" w:hAnsi="Arial"/>
          <w:sz w:val="10"/>
          <w:szCs w:val="10"/>
          <w:color w:val="54585A"/>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
        <w:spacing w:after="0" w:line="330" w:lineRule="auto"/>
        <w:rPr>
          <w:sz w:val="20"/>
          <w:szCs w:val="20"/>
          <w:color w:val="auto"/>
        </w:rPr>
      </w:pPr>
      <w:r>
        <w:rPr>
          <w:rFonts w:ascii="Arial" w:cs="Arial" w:eastAsia="Arial" w:hAnsi="Arial"/>
          <w:sz w:val="11"/>
          <w:szCs w:val="11"/>
          <w:color w:val="54585A"/>
        </w:rPr>
        <w:t>The Compensation Committee meets as often as it determines necessary to discharge its responsibilities. The Committee may hold follow-up conference calls and act by written consent between its meetings. In 2022, the Compensation Committee held two meetings. Unless a later date is specified, the date of grant of any award made by unanimous written consent is the date on which the last consent is received by our Corporate Secretary.</w:t>
      </w:r>
    </w:p>
    <w:p>
      <w:pPr>
        <w:spacing w:after="0" w:line="93" w:lineRule="exact"/>
        <w:rPr>
          <w:sz w:val="20"/>
          <w:szCs w:val="20"/>
          <w:color w:val="auto"/>
        </w:rPr>
      </w:pPr>
    </w:p>
    <w:p>
      <w:pPr>
        <w:ind w:left="8"/>
        <w:spacing w:after="0"/>
        <w:rPr>
          <w:sz w:val="20"/>
          <w:szCs w:val="20"/>
          <w:color w:val="auto"/>
        </w:rPr>
      </w:pPr>
      <w:r>
        <w:rPr>
          <w:rFonts w:ascii="Arial" w:cs="Arial" w:eastAsia="Arial" w:hAnsi="Arial"/>
          <w:sz w:val="11"/>
          <w:szCs w:val="11"/>
          <w:color w:val="54585A"/>
        </w:rPr>
        <w:t>Under its charter, the Committee has the authority to retain and terminate a compensation consultant. At this time, it has not retained one.</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1"/>
          <w:szCs w:val="11"/>
          <w:color w:val="54585A"/>
        </w:rPr>
        <w:t>The Compensation Committee has furnished the following report for inclusion in this proxy statement.</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1"/>
          <w:szCs w:val="11"/>
          <w:i w:val="1"/>
          <w:iCs w:val="1"/>
          <w:u w:val="single" w:color="auto"/>
          <w:color w:val="54585A"/>
        </w:rPr>
        <w:t>Compensation Committee Report for 2022</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1"/>
          <w:szCs w:val="11"/>
          <w:color w:val="54585A"/>
        </w:rPr>
        <w:t>The undersigned comprise the members of the Compensation Committee of the Company’s Board of Directors.</w:t>
      </w:r>
    </w:p>
    <w:p>
      <w:pPr>
        <w:spacing w:after="0" w:line="153" w:lineRule="exact"/>
        <w:rPr>
          <w:sz w:val="20"/>
          <w:szCs w:val="20"/>
          <w:color w:val="auto"/>
        </w:rPr>
      </w:pPr>
    </w:p>
    <w:p>
      <w:pPr>
        <w:ind w:left="8" w:right="40"/>
        <w:spacing w:after="0" w:line="313" w:lineRule="auto"/>
        <w:rPr>
          <w:sz w:val="20"/>
          <w:szCs w:val="20"/>
          <w:color w:val="auto"/>
        </w:rPr>
      </w:pPr>
      <w:r>
        <w:rPr>
          <w:rFonts w:ascii="Arial" w:cs="Arial" w:eastAsia="Arial" w:hAnsi="Arial"/>
          <w:sz w:val="11"/>
          <w:szCs w:val="11"/>
          <w:color w:val="54585A"/>
        </w:rPr>
        <w:t>The Committee has reviewed and discussed the Compensation Discussion and Analysis presented below with the Company’s management. Based upon that review and those discussions, the Committee recommended to the Board of Directors that the Compensation Discussion and Analysis be included in this proxy statement.</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 xml:space="preserve">James Monroe III, </w:t>
      </w:r>
      <w:r>
        <w:rPr>
          <w:rFonts w:ascii="Arial" w:cs="Arial" w:eastAsia="Arial" w:hAnsi="Arial"/>
          <w:sz w:val="11"/>
          <w:szCs w:val="11"/>
          <w:i w:val="1"/>
          <w:iCs w:val="1"/>
          <w:color w:val="54585A"/>
        </w:rPr>
        <w:t>Chair</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Benjamin G. Wolff</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54585A"/>
        </w:rPr>
        <w:t>Michael J. Lovett</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0"/>
          <w:szCs w:val="10"/>
          <w:color w:val="54585A"/>
        </w:rPr>
        <w:t>May 1, 2023</w:t>
      </w:r>
    </w:p>
    <w:p>
      <w:pPr>
        <w:spacing w:after="0" w:line="200" w:lineRule="exact"/>
        <w:rPr>
          <w:sz w:val="20"/>
          <w:szCs w:val="20"/>
          <w:color w:val="auto"/>
        </w:rPr>
      </w:pPr>
    </w:p>
    <w:p>
      <w:pPr>
        <w:spacing w:after="0" w:line="230" w:lineRule="exact"/>
        <w:rPr>
          <w:sz w:val="20"/>
          <w:szCs w:val="20"/>
          <w:color w:val="auto"/>
        </w:rPr>
      </w:pPr>
    </w:p>
    <w:p>
      <w:pPr>
        <w:ind w:left="8"/>
        <w:spacing w:after="0"/>
        <w:rPr>
          <w:sz w:val="20"/>
          <w:szCs w:val="20"/>
          <w:color w:val="auto"/>
        </w:rPr>
      </w:pPr>
      <w:r>
        <w:rPr>
          <w:rFonts w:ascii="Arial" w:cs="Arial" w:eastAsia="Arial" w:hAnsi="Arial"/>
          <w:sz w:val="12"/>
          <w:szCs w:val="12"/>
          <w:color w:val="EB6C10"/>
        </w:rPr>
        <w:t>Nominating and Governance Committee</w:t>
      </w:r>
    </w:p>
    <w:p>
      <w:pPr>
        <w:spacing w:after="0" w:line="62" w:lineRule="exact"/>
        <w:rPr>
          <w:sz w:val="20"/>
          <w:szCs w:val="20"/>
          <w:color w:val="auto"/>
        </w:rPr>
      </w:pPr>
    </w:p>
    <w:p>
      <w:pPr>
        <w:ind w:left="8"/>
        <w:spacing w:after="0"/>
        <w:rPr>
          <w:sz w:val="20"/>
          <w:szCs w:val="20"/>
          <w:color w:val="auto"/>
        </w:rPr>
      </w:pPr>
      <w:r>
        <w:rPr>
          <w:rFonts w:ascii="Arial" w:cs="Arial" w:eastAsia="Arial" w:hAnsi="Arial"/>
          <w:sz w:val="11"/>
          <w:szCs w:val="11"/>
          <w:color w:val="54585A"/>
        </w:rPr>
        <w:t>The current members of the Nominating and Governance Committee are Messrs. Cowan and Monroe. Mr. Monroe serves as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1788795" cy="1554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88795" cy="1554480"/>
                    </a:xfrm>
                    <a:prstGeom prst="rect">
                      <a:avLst/>
                    </a:prstGeom>
                    <a:noFill/>
                  </pic:spPr>
                </pic:pic>
              </a:graphicData>
            </a:graphic>
          </wp:anchor>
        </w:drawing>
      </w:r>
    </w:p>
    <w:p>
      <w:pPr>
        <w:sectPr>
          <w:pgSz w:w="11900" w:h="16838" w:orient="portrait"/>
          <w:cols w:equalWidth="0" w:num="1">
            <w:col w:w="11228"/>
          </w:cols>
          <w:pgMar w:left="292" w:top="156" w:right="379" w:bottom="1440" w:gutter="0" w:footer="0" w:header="0"/>
        </w:sectPr>
      </w:pPr>
    </w:p>
    <w:p>
      <w:pPr>
        <w:spacing w:after="0" w:line="304" w:lineRule="exact"/>
        <w:rPr>
          <w:sz w:val="20"/>
          <w:szCs w:val="20"/>
          <w:color w:val="auto"/>
        </w:rPr>
      </w:pPr>
    </w:p>
    <w:p>
      <w:pPr>
        <w:ind w:left="328" w:right="280"/>
        <w:spacing w:after="0" w:line="292" w:lineRule="auto"/>
        <w:rPr>
          <w:sz w:val="20"/>
          <w:szCs w:val="20"/>
          <w:color w:val="auto"/>
        </w:rPr>
      </w:pPr>
      <w:r>
        <w:rPr>
          <w:rFonts w:ascii="Arial" w:cs="Arial" w:eastAsia="Arial" w:hAnsi="Arial"/>
          <w:sz w:val="14"/>
          <w:szCs w:val="14"/>
          <w:b w:val="1"/>
          <w:bCs w:val="1"/>
          <w:color w:val="EB6C10"/>
        </w:rPr>
        <w:t>Nominating and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
        <w:spacing w:after="0"/>
        <w:rPr>
          <w:sz w:val="20"/>
          <w:szCs w:val="20"/>
          <w:color w:val="auto"/>
        </w:rPr>
      </w:pPr>
      <w:r>
        <w:rPr>
          <w:rFonts w:ascii="Arial" w:cs="Arial" w:eastAsia="Arial" w:hAnsi="Arial"/>
          <w:sz w:val="12"/>
          <w:szCs w:val="12"/>
          <w:b w:val="1"/>
          <w:bCs w:val="1"/>
          <w:color w:val="EB6C10"/>
        </w:rPr>
        <w:t>Meeting in 2022</w:t>
      </w:r>
    </w:p>
    <w:p>
      <w:pPr>
        <w:spacing w:after="0" w:line="164" w:lineRule="exact"/>
        <w:rPr>
          <w:sz w:val="20"/>
          <w:szCs w:val="20"/>
          <w:color w:val="auto"/>
        </w:rPr>
      </w:pPr>
    </w:p>
    <w:p>
      <w:pPr>
        <w:ind w:left="408" w:hanging="72"/>
        <w:spacing w:after="0"/>
        <w:tabs>
          <w:tab w:leader="none" w:pos="408" w:val="left"/>
        </w:tabs>
        <w:numPr>
          <w:ilvl w:val="0"/>
          <w:numId w:val="30"/>
        </w:numPr>
        <w:rPr>
          <w:rFonts w:ascii="Arial" w:cs="Arial" w:eastAsia="Arial" w:hAnsi="Arial"/>
          <w:sz w:val="12"/>
          <w:szCs w:val="12"/>
          <w:b w:val="1"/>
          <w:bCs w:val="1"/>
          <w:color w:val="EB6C10"/>
        </w:rPr>
      </w:pPr>
      <w:r>
        <w:rPr>
          <w:rFonts w:ascii="Arial" w:cs="Arial" w:eastAsia="Arial" w:hAnsi="Arial"/>
          <w:sz w:val="12"/>
          <w:szCs w:val="12"/>
          <w:color w:val="54585A"/>
        </w:rPr>
        <w:t>Mr. Monroe (Chairman)</w:t>
      </w:r>
    </w:p>
    <w:p>
      <w:pPr>
        <w:spacing w:after="0" w:line="159" w:lineRule="exact"/>
        <w:rPr>
          <w:rFonts w:ascii="Arial" w:cs="Arial" w:eastAsia="Arial" w:hAnsi="Arial"/>
          <w:sz w:val="12"/>
          <w:szCs w:val="12"/>
          <w:b w:val="1"/>
          <w:bCs w:val="1"/>
          <w:color w:val="EB6C10"/>
        </w:rPr>
      </w:pPr>
    </w:p>
    <w:p>
      <w:pPr>
        <w:ind w:left="408" w:hanging="72"/>
        <w:spacing w:after="0"/>
        <w:tabs>
          <w:tab w:leader="none" w:pos="408" w:val="left"/>
        </w:tabs>
        <w:numPr>
          <w:ilvl w:val="0"/>
          <w:numId w:val="30"/>
        </w:numPr>
        <w:rPr>
          <w:rFonts w:ascii="Arial" w:cs="Arial" w:eastAsia="Arial" w:hAnsi="Arial"/>
          <w:sz w:val="12"/>
          <w:szCs w:val="12"/>
          <w:b w:val="1"/>
          <w:bCs w:val="1"/>
          <w:color w:val="EB6C10"/>
        </w:rPr>
      </w:pPr>
      <w:r>
        <w:rPr>
          <w:rFonts w:ascii="Arial" w:cs="Arial" w:eastAsia="Arial" w:hAnsi="Arial"/>
          <w:sz w:val="12"/>
          <w:szCs w:val="12"/>
          <w:color w:val="54585A"/>
        </w:rPr>
        <w:t>Mr. Cowan</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1"/>
          <w:szCs w:val="11"/>
          <w:color w:val="54585A"/>
        </w:rPr>
        <w:t>The principal functions of the Nominating and Governance Committee include:</w:t>
      </w:r>
    </w:p>
    <w:p>
      <w:pPr>
        <w:spacing w:after="0" w:line="144" w:lineRule="exact"/>
        <w:rPr>
          <w:sz w:val="20"/>
          <w:szCs w:val="20"/>
          <w:color w:val="auto"/>
        </w:rPr>
      </w:pPr>
    </w:p>
    <w:p>
      <w:pPr>
        <w:ind w:left="200" w:hanging="101"/>
        <w:spacing w:after="0"/>
        <w:tabs>
          <w:tab w:leader="none" w:pos="200" w:val="left"/>
        </w:tabs>
        <w:numPr>
          <w:ilvl w:val="0"/>
          <w:numId w:val="31"/>
        </w:numPr>
        <w:rPr>
          <w:rFonts w:ascii="Arial" w:cs="Arial" w:eastAsia="Arial" w:hAnsi="Arial"/>
          <w:sz w:val="11"/>
          <w:szCs w:val="11"/>
          <w:color w:val="54585A"/>
        </w:rPr>
      </w:pPr>
      <w:r>
        <w:rPr>
          <w:rFonts w:ascii="Arial" w:cs="Arial" w:eastAsia="Arial" w:hAnsi="Arial"/>
          <w:sz w:val="11"/>
          <w:szCs w:val="11"/>
          <w:color w:val="54585A"/>
        </w:rPr>
        <w:t>identifying and recommending to the Board qualified candidates to fill vacancies on the Board;</w:t>
      </w:r>
    </w:p>
    <w:p>
      <w:pPr>
        <w:spacing w:after="0" w:line="116" w:lineRule="exact"/>
        <w:rPr>
          <w:rFonts w:ascii="Arial" w:cs="Arial" w:eastAsia="Arial" w:hAnsi="Arial"/>
          <w:sz w:val="11"/>
          <w:szCs w:val="11"/>
          <w:color w:val="54585A"/>
        </w:rPr>
      </w:pPr>
    </w:p>
    <w:p>
      <w:pPr>
        <w:ind w:left="200" w:hanging="101"/>
        <w:spacing w:after="0"/>
        <w:tabs>
          <w:tab w:leader="none" w:pos="200" w:val="left"/>
        </w:tabs>
        <w:numPr>
          <w:ilvl w:val="0"/>
          <w:numId w:val="31"/>
        </w:numPr>
        <w:rPr>
          <w:rFonts w:ascii="Arial" w:cs="Arial" w:eastAsia="Arial" w:hAnsi="Arial"/>
          <w:sz w:val="11"/>
          <w:szCs w:val="11"/>
          <w:color w:val="54585A"/>
        </w:rPr>
      </w:pPr>
      <w:r>
        <w:rPr>
          <w:rFonts w:ascii="Arial" w:cs="Arial" w:eastAsia="Arial" w:hAnsi="Arial"/>
          <w:sz w:val="11"/>
          <w:szCs w:val="11"/>
          <w:color w:val="54585A"/>
        </w:rPr>
        <w:t>recommending to the Board candidates to be nominated for election as directors at annual meetings of stockholders;</w:t>
      </w:r>
    </w:p>
    <w:p>
      <w:pPr>
        <w:spacing w:after="0" w:line="116" w:lineRule="exact"/>
        <w:rPr>
          <w:rFonts w:ascii="Arial" w:cs="Arial" w:eastAsia="Arial" w:hAnsi="Arial"/>
          <w:sz w:val="11"/>
          <w:szCs w:val="11"/>
          <w:color w:val="54585A"/>
        </w:rPr>
      </w:pPr>
    </w:p>
    <w:p>
      <w:pPr>
        <w:ind w:left="200" w:hanging="101"/>
        <w:spacing w:after="0"/>
        <w:tabs>
          <w:tab w:leader="none" w:pos="200" w:val="left"/>
        </w:tabs>
        <w:numPr>
          <w:ilvl w:val="0"/>
          <w:numId w:val="31"/>
        </w:numPr>
        <w:rPr>
          <w:rFonts w:ascii="Arial" w:cs="Arial" w:eastAsia="Arial" w:hAnsi="Arial"/>
          <w:sz w:val="11"/>
          <w:szCs w:val="11"/>
          <w:color w:val="54585A"/>
        </w:rPr>
      </w:pPr>
      <w:r>
        <w:rPr>
          <w:rFonts w:ascii="Arial" w:cs="Arial" w:eastAsia="Arial" w:hAnsi="Arial"/>
          <w:sz w:val="11"/>
          <w:szCs w:val="11"/>
          <w:color w:val="54585A"/>
        </w:rPr>
        <w:t>considering stockholder suggestions for nominees for director;</w:t>
      </w:r>
    </w:p>
    <w:p>
      <w:pPr>
        <w:spacing w:after="0" w:line="107" w:lineRule="exact"/>
        <w:rPr>
          <w:rFonts w:ascii="Arial" w:cs="Arial" w:eastAsia="Arial" w:hAnsi="Arial"/>
          <w:sz w:val="11"/>
          <w:szCs w:val="11"/>
          <w:color w:val="54585A"/>
        </w:rPr>
      </w:pPr>
    </w:p>
    <w:p>
      <w:pPr>
        <w:ind w:left="200" w:hanging="101"/>
        <w:spacing w:after="0"/>
        <w:tabs>
          <w:tab w:leader="none" w:pos="200" w:val="left"/>
        </w:tabs>
        <w:numPr>
          <w:ilvl w:val="0"/>
          <w:numId w:val="31"/>
        </w:numPr>
        <w:rPr>
          <w:rFonts w:ascii="Arial" w:cs="Arial" w:eastAsia="Arial" w:hAnsi="Arial"/>
          <w:sz w:val="11"/>
          <w:szCs w:val="11"/>
          <w:color w:val="54585A"/>
        </w:rPr>
      </w:pPr>
      <w:r>
        <w:rPr>
          <w:rFonts w:ascii="Arial" w:cs="Arial" w:eastAsia="Arial" w:hAnsi="Arial"/>
          <w:sz w:val="11"/>
          <w:szCs w:val="11"/>
          <w:color w:val="54585A"/>
        </w:rPr>
        <w:t>making recommendations to the Board regarding corporate governance matters and practices;</w:t>
      </w:r>
    </w:p>
    <w:p>
      <w:pPr>
        <w:spacing w:after="0" w:line="116" w:lineRule="exact"/>
        <w:rPr>
          <w:rFonts w:ascii="Arial" w:cs="Arial" w:eastAsia="Arial" w:hAnsi="Arial"/>
          <w:sz w:val="11"/>
          <w:szCs w:val="11"/>
          <w:color w:val="54585A"/>
        </w:rPr>
      </w:pPr>
    </w:p>
    <w:p>
      <w:pPr>
        <w:ind w:left="200" w:hanging="101"/>
        <w:spacing w:after="0"/>
        <w:tabs>
          <w:tab w:leader="none" w:pos="200" w:val="left"/>
        </w:tabs>
        <w:numPr>
          <w:ilvl w:val="0"/>
          <w:numId w:val="31"/>
        </w:numPr>
        <w:rPr>
          <w:rFonts w:ascii="Arial" w:cs="Arial" w:eastAsia="Arial" w:hAnsi="Arial"/>
          <w:sz w:val="11"/>
          <w:szCs w:val="11"/>
          <w:color w:val="54585A"/>
        </w:rPr>
      </w:pPr>
      <w:r>
        <w:rPr>
          <w:rFonts w:ascii="Arial" w:cs="Arial" w:eastAsia="Arial" w:hAnsi="Arial"/>
          <w:sz w:val="11"/>
          <w:szCs w:val="11"/>
          <w:color w:val="54585A"/>
        </w:rPr>
        <w:t>reviewing and making recommendations to the Board regarding director compensation; and</w:t>
      </w:r>
    </w:p>
    <w:p>
      <w:pPr>
        <w:spacing w:after="0" w:line="107" w:lineRule="exact"/>
        <w:rPr>
          <w:rFonts w:ascii="Arial" w:cs="Arial" w:eastAsia="Arial" w:hAnsi="Arial"/>
          <w:sz w:val="11"/>
          <w:szCs w:val="11"/>
          <w:color w:val="54585A"/>
        </w:rPr>
      </w:pPr>
    </w:p>
    <w:p>
      <w:pPr>
        <w:ind w:left="200" w:hanging="101"/>
        <w:spacing w:after="0"/>
        <w:tabs>
          <w:tab w:leader="none" w:pos="200" w:val="left"/>
        </w:tabs>
        <w:numPr>
          <w:ilvl w:val="0"/>
          <w:numId w:val="31"/>
        </w:numPr>
        <w:rPr>
          <w:rFonts w:ascii="Arial" w:cs="Arial" w:eastAsia="Arial" w:hAnsi="Arial"/>
          <w:sz w:val="10"/>
          <w:szCs w:val="10"/>
          <w:color w:val="54585A"/>
        </w:rPr>
      </w:pPr>
      <w:r>
        <w:rPr>
          <w:rFonts w:ascii="Arial" w:cs="Arial" w:eastAsia="Arial" w:hAnsi="Arial"/>
          <w:sz w:val="10"/>
          <w:szCs w:val="10"/>
          <w:color w:val="54585A"/>
        </w:rPr>
        <w:t>reviewing public policy matters of importance to our stockholders, including oversight of our corporate responsibility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5027295</wp:posOffset>
            </wp:positionH>
            <wp:positionV relativeFrom="paragraph">
              <wp:posOffset>817880</wp:posOffset>
            </wp:positionV>
            <wp:extent cx="17145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725" w:lineRule="exact"/>
        <w:rPr>
          <w:sz w:val="20"/>
          <w:szCs w:val="20"/>
          <w:color w:val="auto"/>
        </w:rPr>
      </w:pPr>
    </w:p>
    <w:p>
      <w:pPr>
        <w:sectPr>
          <w:pgSz w:w="11900" w:h="16838" w:orient="portrait"/>
          <w:cols w:equalWidth="0" w:num="2">
            <w:col w:w="2388" w:space="720"/>
            <w:col w:w="8120"/>
          </w:cols>
          <w:pgMar w:left="292" w:top="15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
        <w:spacing w:after="0"/>
        <w:rPr>
          <w:sz w:val="20"/>
          <w:szCs w:val="20"/>
          <w:color w:val="auto"/>
        </w:rPr>
      </w:pPr>
      <w:r>
        <w:rPr>
          <w:rFonts w:ascii="Arial" w:cs="Arial" w:eastAsia="Arial" w:hAnsi="Arial"/>
          <w:sz w:val="9"/>
          <w:szCs w:val="9"/>
          <w:color w:val="54585A"/>
        </w:rPr>
        <w:t xml:space="preserve">14 </w:t>
      </w:r>
      <w:r>
        <w:rPr>
          <w:rFonts w:ascii="Arial" w:cs="Arial" w:eastAsia="Arial" w:hAnsi="Arial"/>
          <w:sz w:val="10"/>
          <w:szCs w:val="10"/>
          <w:b w:val="1"/>
          <w:bCs w:val="1"/>
          <w:color w:val="EB6C10"/>
        </w:rPr>
        <w:t>/</w:t>
      </w:r>
      <w:r>
        <w:rPr>
          <w:rFonts w:ascii="Arial" w:cs="Arial" w:eastAsia="Arial" w:hAnsi="Arial"/>
          <w:sz w:val="9"/>
          <w:szCs w:val="9"/>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8"/>
          </w:cols>
          <w:pgMar w:left="292" w:top="156" w:right="37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0"/>
          <w:szCs w:val="10"/>
          <w:color w:val="54585A"/>
        </w:rPr>
        <w:t xml:space="preserve">Board of Directors and Corporate Governance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0"/>
        <w:spacing w:after="0" w:line="320" w:lineRule="auto"/>
        <w:rPr>
          <w:sz w:val="20"/>
          <w:szCs w:val="20"/>
          <w:color w:val="auto"/>
        </w:rPr>
      </w:pPr>
      <w:r>
        <w:rPr>
          <w:rFonts w:ascii="Arial" w:cs="Arial" w:eastAsia="Arial" w:hAnsi="Arial"/>
          <w:sz w:val="11"/>
          <w:szCs w:val="11"/>
          <w:color w:val="54585A"/>
        </w:rPr>
        <w:t>The Nominating and Governance Committee met one time in 2022. We do not currently employ an executive search firm, or pay a fee to any other third party, to locate or evaluate qualified candidates for director positions. The Board and the Nominating and Governance Committee believe that the minimum qualifications (whether a candidate is recommended by a stockholder, management or the Board) for serving as a director are that a nominee demonstrate, by significant accomplishment in his or her field, an ability to make a meaningful contribution to the Board’s oversight of our business and have an impeccable record and reputation for honest and ethical conduct in his or her professional and personal activities. The Board has not adopted a policy with regard to board diversity.</w:t>
      </w:r>
    </w:p>
    <w:p>
      <w:pPr>
        <w:spacing w:after="0" w:line="99" w:lineRule="exact"/>
        <w:rPr>
          <w:sz w:val="20"/>
          <w:szCs w:val="20"/>
          <w:color w:val="auto"/>
        </w:rPr>
      </w:pPr>
    </w:p>
    <w:p>
      <w:pPr>
        <w:ind w:right="60"/>
        <w:spacing w:after="0" w:line="360" w:lineRule="auto"/>
        <w:rPr>
          <w:sz w:val="20"/>
          <w:szCs w:val="20"/>
          <w:color w:val="auto"/>
        </w:rPr>
      </w:pPr>
      <w:r>
        <w:rPr>
          <w:rFonts w:ascii="Arial" w:cs="Arial" w:eastAsia="Arial" w:hAnsi="Arial"/>
          <w:sz w:val="10"/>
          <w:szCs w:val="10"/>
          <w:color w:val="54585A"/>
        </w:rPr>
        <w:t>The Board has not established formal procedures for stockholders to submit director recommendations; however, such recommendations may be sent by US Postal Service mail to the Globalstar Nominating and Governance Committee, c/o Richard Roberts, Corporate Secretary, 1095 Nimitzview Drive, Suite 201A, Cincinnati, Ohio 45230, or by e-mail to corporate.secretary@globalstar.com, and should be sent by not later than December 31 of the year before the year in which the director candidate is recommended for election. If we were to receive such a recommendation of a candidate from a stockholder, the Nominating and Governance Committee would consider the recommendation in the same manner as all other candidates. In considering candidates submitted by stockholders, the Nominating and Governance Committee will take into consideration the needs of the Board and the qualifications of the candidate.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color w:val="EB6C10"/>
        </w:rPr>
        <w:t>Strategic Review Committee</w:t>
      </w:r>
    </w:p>
    <w:p>
      <w:pPr>
        <w:spacing w:after="0" w:line="62" w:lineRule="exact"/>
        <w:rPr>
          <w:sz w:val="20"/>
          <w:szCs w:val="20"/>
          <w:color w:val="auto"/>
        </w:rPr>
      </w:pPr>
    </w:p>
    <w:p>
      <w:pPr>
        <w:spacing w:after="0"/>
        <w:rPr>
          <w:sz w:val="20"/>
          <w:szCs w:val="20"/>
          <w:color w:val="auto"/>
        </w:rPr>
      </w:pPr>
      <w:r>
        <w:rPr>
          <w:rFonts w:ascii="Arial" w:cs="Arial" w:eastAsia="Arial" w:hAnsi="Arial"/>
          <w:sz w:val="11"/>
          <w:szCs w:val="11"/>
          <w:color w:val="54585A"/>
        </w:rPr>
        <w:t>The current members of the Strategic Review Committee are Messrs. Cowan, Wolff, Taylor and Hasler. Mr. Wolff serves as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1788795" cy="19773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8795" cy="1977390"/>
                    </a:xfrm>
                    <a:prstGeom prst="rect">
                      <a:avLst/>
                    </a:prstGeom>
                    <a:noFill/>
                  </pic:spPr>
                </pic:pic>
              </a:graphicData>
            </a:graphic>
          </wp:anchor>
        </w:drawing>
      </w:r>
    </w:p>
    <w:p>
      <w:pPr>
        <w:spacing w:after="0" w:line="275"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260" w:type="dxa"/>
            <w:vAlign w:val="bottom"/>
          </w:tcPr>
          <w:p>
            <w:pPr>
              <w:spacing w:after="0"/>
              <w:rPr>
                <w:sz w:val="20"/>
                <w:szCs w:val="20"/>
                <w:color w:val="auto"/>
              </w:rPr>
            </w:pPr>
            <w:r>
              <w:rPr>
                <w:rFonts w:ascii="Arial" w:cs="Arial" w:eastAsia="Arial" w:hAnsi="Arial"/>
                <w:sz w:val="14"/>
                <w:szCs w:val="14"/>
                <w:b w:val="1"/>
                <w:bCs w:val="1"/>
                <w:color w:val="EB6C10"/>
              </w:rPr>
              <w:t>Strategic Review Committee</w:t>
            </w:r>
          </w:p>
        </w:tc>
        <w:tc>
          <w:tcPr>
            <w:tcW w:w="8520" w:type="dxa"/>
            <w:vAlign w:val="bottom"/>
            <w:gridSpan w:val="2"/>
          </w:tcPr>
          <w:p>
            <w:pPr>
              <w:ind w:left="520"/>
              <w:spacing w:after="0"/>
              <w:rPr>
                <w:sz w:val="20"/>
                <w:szCs w:val="20"/>
                <w:color w:val="auto"/>
              </w:rPr>
            </w:pPr>
            <w:r>
              <w:rPr>
                <w:rFonts w:ascii="Arial" w:cs="Arial" w:eastAsia="Arial" w:hAnsi="Arial"/>
                <w:sz w:val="11"/>
                <w:szCs w:val="11"/>
                <w:color w:val="54585A"/>
              </w:rPr>
              <w:t>The principal functions of the Strategic Review Committee include:</w:t>
            </w:r>
          </w:p>
        </w:tc>
      </w:tr>
      <w:tr>
        <w:trPr>
          <w:trHeight w:val="251"/>
        </w:trPr>
        <w:tc>
          <w:tcPr>
            <w:tcW w:w="2260" w:type="dxa"/>
            <w:vAlign w:val="bottom"/>
          </w:tcPr>
          <w:p>
            <w:pPr>
              <w:spacing w:after="0"/>
              <w:rPr>
                <w:sz w:val="21"/>
                <w:szCs w:val="21"/>
                <w:color w:val="auto"/>
              </w:rPr>
            </w:pPr>
          </w:p>
        </w:tc>
        <w:tc>
          <w:tcPr>
            <w:tcW w:w="680" w:type="dxa"/>
            <w:vAlign w:val="bottom"/>
          </w:tcPr>
          <w:p>
            <w:pPr>
              <w:ind w:left="620"/>
              <w:spacing w:after="0"/>
              <w:rPr>
                <w:sz w:val="20"/>
                <w:szCs w:val="20"/>
                <w:color w:val="auto"/>
              </w:rPr>
            </w:pPr>
            <w:r>
              <w:rPr>
                <w:rFonts w:ascii="Arial" w:cs="Arial" w:eastAsia="Arial" w:hAnsi="Arial"/>
                <w:sz w:val="11"/>
                <w:szCs w:val="11"/>
                <w:color w:val="54585A"/>
              </w:rPr>
              <w:t>•</w:t>
            </w:r>
          </w:p>
        </w:tc>
        <w:tc>
          <w:tcPr>
            <w:tcW w:w="7840" w:type="dxa"/>
            <w:vAlign w:val="bottom"/>
          </w:tcPr>
          <w:p>
            <w:pPr>
              <w:ind w:left="40"/>
              <w:spacing w:after="0"/>
              <w:rPr>
                <w:sz w:val="20"/>
                <w:szCs w:val="20"/>
                <w:color w:val="auto"/>
              </w:rPr>
            </w:pPr>
            <w:r>
              <w:rPr>
                <w:rFonts w:ascii="Arial" w:cs="Arial" w:eastAsia="Arial" w:hAnsi="Arial"/>
                <w:sz w:val="11"/>
                <w:szCs w:val="11"/>
                <w:color w:val="54585A"/>
                <w:w w:val="99"/>
              </w:rPr>
              <w:t>The Strategic Review Committee ("SRC") is required to remain in existence for as long as Thermo and its affiliates own and its affiliates beneficially own forty-five</w:t>
            </w:r>
          </w:p>
        </w:tc>
      </w:tr>
      <w:tr>
        <w:trPr>
          <w:trHeight w:val="184"/>
        </w:trPr>
        <w:tc>
          <w:tcPr>
            <w:tcW w:w="2260" w:type="dxa"/>
            <w:vAlign w:val="bottom"/>
          </w:tcPr>
          <w:p>
            <w:pPr>
              <w:spacing w:after="0"/>
              <w:rPr>
                <w:sz w:val="20"/>
                <w:szCs w:val="20"/>
                <w:color w:val="auto"/>
              </w:rPr>
            </w:pPr>
            <w:r>
              <w:rPr>
                <w:rFonts w:ascii="Arial" w:cs="Arial" w:eastAsia="Arial" w:hAnsi="Arial"/>
                <w:sz w:val="12"/>
                <w:szCs w:val="12"/>
                <w:b w:val="1"/>
                <w:bCs w:val="1"/>
                <w:color w:val="EB6C10"/>
              </w:rPr>
              <w:t>No Meetings in 2022</w:t>
            </w:r>
          </w:p>
        </w:tc>
        <w:tc>
          <w:tcPr>
            <w:tcW w:w="680" w:type="dxa"/>
            <w:vAlign w:val="bottom"/>
          </w:tcPr>
          <w:p>
            <w:pPr>
              <w:spacing w:after="0"/>
              <w:rPr>
                <w:sz w:val="16"/>
                <w:szCs w:val="16"/>
                <w:color w:val="auto"/>
              </w:rPr>
            </w:pPr>
          </w:p>
        </w:tc>
        <w:tc>
          <w:tcPr>
            <w:tcW w:w="7840" w:type="dxa"/>
            <w:vAlign w:val="bottom"/>
          </w:tcPr>
          <w:p>
            <w:pPr>
              <w:ind w:left="40"/>
              <w:spacing w:after="0"/>
              <w:rPr>
                <w:sz w:val="20"/>
                <w:szCs w:val="20"/>
                <w:color w:val="auto"/>
              </w:rPr>
            </w:pPr>
            <w:r>
              <w:rPr>
                <w:rFonts w:ascii="Arial" w:cs="Arial" w:eastAsia="Arial" w:hAnsi="Arial"/>
                <w:sz w:val="11"/>
                <w:szCs w:val="11"/>
                <w:color w:val="54585A"/>
              </w:rPr>
              <w:t>percent (45%) or more of Globalstar’s outstanding common stock (the “Thermo Minimum Shares”).</w:t>
            </w:r>
          </w:p>
        </w:tc>
      </w:tr>
      <w:tr>
        <w:trPr>
          <w:trHeight w:val="270"/>
        </w:trPr>
        <w:tc>
          <w:tcPr>
            <w:tcW w:w="2260" w:type="dxa"/>
            <w:vAlign w:val="bottom"/>
          </w:tcPr>
          <w:p>
            <w:pPr>
              <w:spacing w:after="0"/>
              <w:rPr>
                <w:sz w:val="20"/>
                <w:szCs w:val="20"/>
                <w:color w:val="auto"/>
              </w:rPr>
            </w:pPr>
            <w:r>
              <w:rPr>
                <w:rFonts w:ascii="Arial" w:cs="Arial" w:eastAsia="Arial" w:hAnsi="Arial"/>
                <w:sz w:val="12"/>
                <w:szCs w:val="12"/>
                <w:b w:val="1"/>
                <w:bCs w:val="1"/>
                <w:color w:val="EB6C10"/>
              </w:rPr>
              <w:t xml:space="preserve">/ </w:t>
            </w:r>
            <w:r>
              <w:rPr>
                <w:rFonts w:ascii="Arial" w:cs="Arial" w:eastAsia="Arial" w:hAnsi="Arial"/>
                <w:sz w:val="12"/>
                <w:szCs w:val="12"/>
                <w:color w:val="54585A"/>
              </w:rPr>
              <w:t>Mr. Wolff (Chairman)</w:t>
            </w:r>
          </w:p>
        </w:tc>
        <w:tc>
          <w:tcPr>
            <w:tcW w:w="680" w:type="dxa"/>
            <w:vAlign w:val="bottom"/>
          </w:tcPr>
          <w:p>
            <w:pPr>
              <w:ind w:left="620"/>
              <w:spacing w:after="0"/>
              <w:rPr>
                <w:sz w:val="20"/>
                <w:szCs w:val="20"/>
                <w:color w:val="auto"/>
              </w:rPr>
            </w:pPr>
            <w:r>
              <w:rPr>
                <w:rFonts w:ascii="Arial" w:cs="Arial" w:eastAsia="Arial" w:hAnsi="Arial"/>
                <w:sz w:val="11"/>
                <w:szCs w:val="11"/>
                <w:color w:val="54585A"/>
              </w:rPr>
              <w:t>•</w:t>
            </w:r>
          </w:p>
        </w:tc>
        <w:tc>
          <w:tcPr>
            <w:tcW w:w="7840" w:type="dxa"/>
            <w:vAlign w:val="bottom"/>
          </w:tcPr>
          <w:p>
            <w:pPr>
              <w:ind w:left="40"/>
              <w:spacing w:after="0"/>
              <w:rPr>
                <w:sz w:val="20"/>
                <w:szCs w:val="20"/>
                <w:color w:val="auto"/>
              </w:rPr>
            </w:pPr>
            <w:r>
              <w:rPr>
                <w:rFonts w:ascii="Arial" w:cs="Arial" w:eastAsia="Arial" w:hAnsi="Arial"/>
                <w:sz w:val="11"/>
                <w:szCs w:val="11"/>
                <w:color w:val="54585A"/>
                <w:w w:val="97"/>
              </w:rPr>
              <w:t>Unless the SRC is prohibited under applicable law from having the power or authority to act on any of the following matters, the SRC has exclusive responsibility for</w:t>
            </w:r>
          </w:p>
        </w:tc>
      </w:tr>
      <w:tr>
        <w:trPr>
          <w:trHeight w:val="143"/>
        </w:trPr>
        <w:tc>
          <w:tcPr>
            <w:tcW w:w="2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40" w:type="dxa"/>
            <w:vAlign w:val="bottom"/>
          </w:tcPr>
          <w:p>
            <w:pPr>
              <w:ind w:left="40"/>
              <w:spacing w:after="0"/>
              <w:rPr>
                <w:sz w:val="20"/>
                <w:szCs w:val="20"/>
                <w:color w:val="auto"/>
              </w:rPr>
            </w:pPr>
            <w:r>
              <w:rPr>
                <w:rFonts w:ascii="Arial" w:cs="Arial" w:eastAsia="Arial" w:hAnsi="Arial"/>
                <w:sz w:val="11"/>
                <w:szCs w:val="11"/>
                <w:color w:val="54585A"/>
              </w:rPr>
              <w:t>oversight, review, and approval (to the extent permitted by law) or disapproval of the following:</w:t>
            </w:r>
          </w:p>
        </w:tc>
      </w:tr>
    </w:tbl>
    <w:p>
      <w:pPr>
        <w:ind w:left="320"/>
        <w:spacing w:after="0"/>
        <w:rPr>
          <w:sz w:val="20"/>
          <w:szCs w:val="20"/>
          <w:color w:val="auto"/>
        </w:rPr>
      </w:pPr>
      <w:r>
        <w:rPr>
          <w:rFonts w:ascii="Arial" w:cs="Arial" w:eastAsia="Arial" w:hAnsi="Arial"/>
          <w:sz w:val="12"/>
          <w:szCs w:val="12"/>
          <w:b w:val="1"/>
          <w:bCs w:val="1"/>
          <w:color w:val="EB6C10"/>
        </w:rPr>
        <w:t xml:space="preserve">/ </w:t>
      </w:r>
      <w:r>
        <w:rPr>
          <w:rFonts w:ascii="Arial" w:cs="Arial" w:eastAsia="Arial" w:hAnsi="Arial"/>
          <w:sz w:val="12"/>
          <w:szCs w:val="12"/>
          <w:color w:val="54585A"/>
        </w:rPr>
        <w:t>Mr. Cowan</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11"/>
          <w:szCs w:val="11"/>
          <w:color w:val="54585A"/>
        </w:rPr>
        <w:t>• any acquisition by Thermo of additional newly-issued securities of the Company (other than pursuant to a Permitted Financing (as defined below));</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EB6C10"/>
        </w:rPr>
        <w:t xml:space="preserve">/ </w:t>
      </w:r>
      <w:r>
        <w:rPr>
          <w:rFonts w:ascii="Arial" w:cs="Arial" w:eastAsia="Arial" w:hAnsi="Arial"/>
          <w:sz w:val="12"/>
          <w:szCs w:val="12"/>
          <w:color w:val="54585A"/>
        </w:rPr>
        <w:t>Mr. Taylor</w:t>
      </w:r>
    </w:p>
    <w:p>
      <w:pPr>
        <w:spacing w:after="0" w:line="11" w:lineRule="exact"/>
        <w:rPr>
          <w:sz w:val="20"/>
          <w:szCs w:val="20"/>
          <w:color w:val="auto"/>
        </w:rPr>
      </w:pPr>
    </w:p>
    <w:p>
      <w:pPr>
        <w:ind w:left="3420"/>
        <w:spacing w:after="0"/>
        <w:rPr>
          <w:sz w:val="20"/>
          <w:szCs w:val="20"/>
          <w:color w:val="auto"/>
        </w:rPr>
      </w:pPr>
      <w:r>
        <w:rPr>
          <w:rFonts w:ascii="Arial" w:cs="Arial" w:eastAsia="Arial" w:hAnsi="Arial"/>
          <w:sz w:val="11"/>
          <w:szCs w:val="11"/>
          <w:color w:val="54585A"/>
        </w:rPr>
        <w:t>• any extraordinary corporate transaction, such as a merger, reorganization, or liquidation, involving the Company or any of its subsidiaries;</w:t>
      </w:r>
    </w:p>
    <w:p>
      <w:pPr>
        <w:spacing w:after="0" w:line="15" w:lineRule="exact"/>
        <w:rPr>
          <w:sz w:val="20"/>
          <w:szCs w:val="20"/>
          <w:color w:val="auto"/>
        </w:rPr>
      </w:pPr>
    </w:p>
    <w:p>
      <w:pPr>
        <w:ind w:left="400" w:hanging="72"/>
        <w:spacing w:after="0"/>
        <w:tabs>
          <w:tab w:leader="none" w:pos="400" w:val="left"/>
        </w:tabs>
        <w:numPr>
          <w:ilvl w:val="0"/>
          <w:numId w:val="32"/>
        </w:numPr>
        <w:rPr>
          <w:rFonts w:ascii="Arial" w:cs="Arial" w:eastAsia="Arial" w:hAnsi="Arial"/>
          <w:sz w:val="12"/>
          <w:szCs w:val="12"/>
          <w:b w:val="1"/>
          <w:bCs w:val="1"/>
          <w:color w:val="EB6C10"/>
        </w:rPr>
      </w:pPr>
      <w:r>
        <w:rPr>
          <w:rFonts w:ascii="Arial" w:cs="Arial" w:eastAsia="Arial" w:hAnsi="Arial"/>
          <w:sz w:val="12"/>
          <w:szCs w:val="12"/>
          <w:color w:val="54585A"/>
        </w:rPr>
        <w:t>Mr. Hasler</w:t>
      </w:r>
    </w:p>
    <w:p>
      <w:pPr>
        <w:ind w:left="3520" w:right="40" w:hanging="105"/>
        <w:spacing w:after="0" w:line="313" w:lineRule="auto"/>
        <w:tabs>
          <w:tab w:leader="none" w:pos="3513" w:val="left"/>
        </w:tabs>
        <w:numPr>
          <w:ilvl w:val="0"/>
          <w:numId w:val="33"/>
        </w:numPr>
        <w:rPr>
          <w:rFonts w:ascii="Arial" w:cs="Arial" w:eastAsia="Arial" w:hAnsi="Arial"/>
          <w:sz w:val="11"/>
          <w:szCs w:val="11"/>
          <w:color w:val="54585A"/>
        </w:rPr>
      </w:pPr>
      <w:r>
        <w:rPr>
          <w:rFonts w:ascii="Arial" w:cs="Arial" w:eastAsia="Arial" w:hAnsi="Arial"/>
          <w:sz w:val="11"/>
          <w:szCs w:val="11"/>
          <w:color w:val="54585A"/>
        </w:rPr>
        <w:t>any sale or transfer of a material amount of assets of the Company or any sale or transfer of assets of any of the Company’s subsidiaries which are material to the Company;</w:t>
      </w:r>
    </w:p>
    <w:p>
      <w:pPr>
        <w:spacing w:after="0" w:line="111" w:lineRule="exact"/>
        <w:rPr>
          <w:rFonts w:ascii="Arial" w:cs="Arial" w:eastAsia="Arial" w:hAnsi="Arial"/>
          <w:sz w:val="11"/>
          <w:szCs w:val="11"/>
          <w:color w:val="54585A"/>
        </w:rPr>
      </w:pPr>
    </w:p>
    <w:p>
      <w:pPr>
        <w:ind w:left="3520" w:right="40" w:hanging="105"/>
        <w:spacing w:after="0" w:line="315" w:lineRule="auto"/>
        <w:tabs>
          <w:tab w:leader="none" w:pos="3513" w:val="left"/>
        </w:tabs>
        <w:numPr>
          <w:ilvl w:val="0"/>
          <w:numId w:val="33"/>
        </w:numPr>
        <w:rPr>
          <w:rFonts w:ascii="Arial" w:cs="Arial" w:eastAsia="Arial" w:hAnsi="Arial"/>
          <w:sz w:val="11"/>
          <w:szCs w:val="11"/>
          <w:color w:val="54585A"/>
        </w:rPr>
      </w:pPr>
      <w:r>
        <w:rPr>
          <w:rFonts w:ascii="Arial" w:cs="Arial" w:eastAsia="Arial" w:hAnsi="Arial"/>
          <w:sz w:val="11"/>
          <w:szCs w:val="11"/>
          <w:color w:val="54585A"/>
        </w:rPr>
        <w:t>any change in the Board, including any plans or proposals to change the number or term of directors, other than nominations for election or reelection to the Board (except nominations for election or reelection of Minority Directors (as defined on page 17 below) in connection with the end of a term of a Minority Director) and nominations and appointments of individuals to fill vacancies or newly created directorships (except nominations and appointments to fill vacancies of Minority Director seats);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383540</wp:posOffset>
            </wp:positionV>
            <wp:extent cx="17145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6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163830</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 w:name="page19"/>
    <w:bookmarkEnd w:id="18"/>
    <w:p>
      <w:pPr>
        <w:ind w:left="68" w:hanging="68"/>
        <w:spacing w:after="0"/>
        <w:tabs>
          <w:tab w:leader="none" w:pos="68" w:val="left"/>
        </w:tabs>
        <w:numPr>
          <w:ilvl w:val="0"/>
          <w:numId w:val="34"/>
        </w:numPr>
        <w:rPr>
          <w:rFonts w:ascii="Arial" w:cs="Arial" w:eastAsia="Arial" w:hAnsi="Arial"/>
          <w:sz w:val="12"/>
          <w:szCs w:val="12"/>
          <w:b w:val="1"/>
          <w:bCs w:val="1"/>
          <w:color w:val="EB6C10"/>
        </w:rPr>
      </w:pPr>
      <w:r>
        <w:rPr>
          <w:rFonts w:ascii="Arial" w:cs="Arial" w:eastAsia="Arial" w:hAnsi="Arial"/>
          <w:sz w:val="10"/>
          <w:szCs w:val="10"/>
          <w:color w:val="54585A"/>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530860</wp:posOffset>
            </wp:positionV>
            <wp:extent cx="1788795" cy="1537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88795" cy="153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528" w:right="340" w:hanging="105"/>
        <w:spacing w:after="0" w:line="330" w:lineRule="auto"/>
        <w:tabs>
          <w:tab w:leader="none" w:pos="3521" w:val="left"/>
        </w:tabs>
        <w:numPr>
          <w:ilvl w:val="1"/>
          <w:numId w:val="35"/>
        </w:numPr>
        <w:rPr>
          <w:rFonts w:ascii="Arial" w:cs="Arial" w:eastAsia="Arial" w:hAnsi="Arial"/>
          <w:sz w:val="11"/>
          <w:szCs w:val="11"/>
          <w:color w:val="54585A"/>
        </w:rPr>
      </w:pPr>
      <w:r>
        <w:rPr>
          <w:rFonts w:ascii="Arial" w:cs="Arial" w:eastAsia="Arial" w:hAnsi="Arial"/>
          <w:sz w:val="11"/>
          <w:szCs w:val="11"/>
          <w:color w:val="54585A"/>
        </w:rPr>
        <w:t>any material change in the present capitalization or dividend policy of the Company (other than pursuant to a Permitted Financing, a Debt Conversion, or an Option Conversion);</w:t>
      </w:r>
    </w:p>
    <w:p>
      <w:pPr>
        <w:spacing w:after="0" w:line="93" w:lineRule="exact"/>
        <w:rPr>
          <w:rFonts w:ascii="Arial" w:cs="Arial" w:eastAsia="Arial" w:hAnsi="Arial"/>
          <w:sz w:val="11"/>
          <w:szCs w:val="11"/>
          <w:color w:val="54585A"/>
        </w:rPr>
      </w:pPr>
    </w:p>
    <w:p>
      <w:pPr>
        <w:ind w:left="3528" w:right="240" w:hanging="105"/>
        <w:spacing w:after="0" w:line="330" w:lineRule="auto"/>
        <w:tabs>
          <w:tab w:leader="none" w:pos="3521" w:val="left"/>
        </w:tabs>
        <w:numPr>
          <w:ilvl w:val="1"/>
          <w:numId w:val="35"/>
        </w:numPr>
        <w:rPr>
          <w:rFonts w:ascii="Arial" w:cs="Arial" w:eastAsia="Arial" w:hAnsi="Arial"/>
          <w:sz w:val="11"/>
          <w:szCs w:val="11"/>
          <w:color w:val="54585A"/>
        </w:rPr>
      </w:pPr>
      <w:r>
        <w:rPr>
          <w:rFonts w:ascii="Arial" w:cs="Arial" w:eastAsia="Arial" w:hAnsi="Arial"/>
          <w:sz w:val="11"/>
          <w:szCs w:val="11"/>
          <w:color w:val="54585A"/>
        </w:rPr>
        <w:t>any other material changes in the Company’s lines of business or corporate structure (other than pursuant to a Permitted Financing, a Debt Conversion, or an Option Conversion); and</w:t>
      </w:r>
    </w:p>
    <w:p>
      <w:pPr>
        <w:spacing w:after="0" w:line="93" w:lineRule="exact"/>
        <w:rPr>
          <w:rFonts w:ascii="Arial" w:cs="Arial" w:eastAsia="Arial" w:hAnsi="Arial"/>
          <w:sz w:val="11"/>
          <w:szCs w:val="11"/>
          <w:color w:val="54585A"/>
        </w:rPr>
      </w:pPr>
    </w:p>
    <w:p>
      <w:pPr>
        <w:ind w:left="3528" w:right="440" w:hanging="105"/>
        <w:spacing w:after="0" w:line="387" w:lineRule="auto"/>
        <w:tabs>
          <w:tab w:leader="none" w:pos="3521" w:val="left"/>
        </w:tabs>
        <w:numPr>
          <w:ilvl w:val="1"/>
          <w:numId w:val="35"/>
        </w:numPr>
        <w:rPr>
          <w:rFonts w:ascii="Arial" w:cs="Arial" w:eastAsia="Arial" w:hAnsi="Arial"/>
          <w:sz w:val="10"/>
          <w:szCs w:val="10"/>
          <w:color w:val="54585A"/>
        </w:rPr>
      </w:pPr>
      <w:r>
        <w:rPr>
          <w:rFonts w:ascii="Arial" w:cs="Arial" w:eastAsia="Arial" w:hAnsi="Arial"/>
          <w:sz w:val="10"/>
          <w:szCs w:val="10"/>
          <w:color w:val="54585A"/>
        </w:rPr>
        <w:t>any transaction between the Company and one or more of the Thermo stockholders that has a value (as determined in good faith by the Strategic Review Committee) in excess of $250,000, except for any Permitted Financing, any Debt Conversion, any Option Conversion, and certain other matters.</w:t>
      </w:r>
    </w:p>
    <w:p>
      <w:pPr>
        <w:spacing w:after="0" w:line="79" w:lineRule="exact"/>
        <w:rPr>
          <w:rFonts w:ascii="Arial" w:cs="Arial" w:eastAsia="Arial" w:hAnsi="Arial"/>
          <w:sz w:val="10"/>
          <w:szCs w:val="10"/>
          <w:color w:val="54585A"/>
        </w:rPr>
      </w:pPr>
    </w:p>
    <w:p>
      <w:pPr>
        <w:ind w:left="3308" w:right="40" w:hanging="101"/>
        <w:spacing w:after="0" w:line="319" w:lineRule="auto"/>
        <w:tabs>
          <w:tab w:leader="none" w:pos="3301" w:val="left"/>
        </w:tabs>
        <w:numPr>
          <w:ilvl w:val="0"/>
          <w:numId w:val="35"/>
        </w:numPr>
        <w:rPr>
          <w:rFonts w:ascii="Arial" w:cs="Arial" w:eastAsia="Arial" w:hAnsi="Arial"/>
          <w:sz w:val="11"/>
          <w:szCs w:val="11"/>
          <w:color w:val="54585A"/>
        </w:rPr>
      </w:pPr>
      <w:r>
        <w:rPr>
          <w:rFonts w:ascii="Arial" w:cs="Arial" w:eastAsia="Arial" w:hAnsi="Arial"/>
          <w:sz w:val="11"/>
          <w:szCs w:val="11"/>
          <w:color w:val="54585A"/>
        </w:rPr>
        <w:t>For as long as Thermo and its affiliates own the Thermo Minimum Shares, to the extent that any of the foregoing matters, or any matter set forth in the charter of the Strategic Review Committee, requires approval of the full Board under applicable law, the Company does not have the power to take such action unless such action is approved by the Board only after it is recommended to the Board by the Strategic Review Committee.</w:t>
      </w:r>
    </w:p>
    <w:p>
      <w:pPr>
        <w:spacing w:after="0" w:line="98" w:lineRule="exact"/>
        <w:rPr>
          <w:rFonts w:ascii="Arial" w:cs="Arial" w:eastAsia="Arial" w:hAnsi="Arial"/>
          <w:sz w:val="11"/>
          <w:szCs w:val="11"/>
          <w:color w:val="54585A"/>
        </w:rPr>
      </w:pPr>
    </w:p>
    <w:p>
      <w:pPr>
        <w:ind w:left="3308" w:right="80" w:hanging="101"/>
        <w:spacing w:after="0" w:line="330" w:lineRule="auto"/>
        <w:tabs>
          <w:tab w:leader="none" w:pos="3301" w:val="left"/>
        </w:tabs>
        <w:numPr>
          <w:ilvl w:val="0"/>
          <w:numId w:val="35"/>
        </w:numPr>
        <w:rPr>
          <w:rFonts w:ascii="Arial" w:cs="Arial" w:eastAsia="Arial" w:hAnsi="Arial"/>
          <w:sz w:val="11"/>
          <w:szCs w:val="11"/>
          <w:color w:val="54585A"/>
        </w:rPr>
      </w:pPr>
      <w:r>
        <w:rPr>
          <w:rFonts w:ascii="Arial" w:cs="Arial" w:eastAsia="Arial" w:hAnsi="Arial"/>
          <w:sz w:val="11"/>
          <w:szCs w:val="11"/>
          <w:color w:val="54585A"/>
        </w:rPr>
        <w:t>Certain enumerated transactions are not subject to Strategic Review Committee review, including a financing that includes participation by one or more of the Thermo stockholders on terms equal (as determined in good faith by the Board) to other parties (a “Permitted Financing”).</w:t>
      </w:r>
    </w:p>
    <w:p>
      <w:pPr>
        <w:spacing w:after="0" w:line="363" w:lineRule="exact"/>
        <w:rPr>
          <w:sz w:val="20"/>
          <w:szCs w:val="20"/>
          <w:color w:val="auto"/>
        </w:rPr>
      </w:pPr>
    </w:p>
    <w:p>
      <w:pPr>
        <w:ind w:left="8"/>
        <w:spacing w:after="0" w:line="318" w:lineRule="auto"/>
        <w:rPr>
          <w:sz w:val="20"/>
          <w:szCs w:val="20"/>
          <w:color w:val="auto"/>
        </w:rPr>
      </w:pPr>
      <w:r>
        <w:rPr>
          <w:rFonts w:ascii="Arial" w:cs="Arial" w:eastAsia="Arial" w:hAnsi="Arial"/>
          <w:sz w:val="11"/>
          <w:szCs w:val="11"/>
          <w:color w:val="54585A"/>
        </w:rPr>
        <w:t>The Strategic Review Committee took action by unanimous written consent one time in 2022. The Strategic Review Committee requires the affirmative vote of a majority of its authorized number of members (regardless of vacancies thereon) in order to take action at a meeting. To the extent the Strategic Review Committee fails to obtain such vote on any particular matter of business before it, the Strategic Review Committee consults with the Board until such vote is obtained or the matter is otherwise resolved and abandoned. In the event the Strategic Review Committee cannot obtain such vote for any single nominee for Minority Director, then the Strategic Review Committee shall nominate two such nominees for each Minority Director seat subject to election. The members of the Strategic Review Committee who are Minority Directors shall each have three votes with respect to one nominee for Minority Director and the members of the Strategic Review Committee who are not Minority Directors shall each have three votes with respect to the other nominee for Minority Director. The Strategic Review Committee may nominate and include on the annual or special meeting proxy card two candidates for a Minority Director seat.</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Communicating with the Board of Directors or with Individual Directors</w:t>
      </w:r>
    </w:p>
    <w:p>
      <w:pPr>
        <w:spacing w:after="0" w:line="76" w:lineRule="exact"/>
        <w:rPr>
          <w:sz w:val="20"/>
          <w:szCs w:val="20"/>
          <w:color w:val="auto"/>
        </w:rPr>
      </w:pPr>
    </w:p>
    <w:p>
      <w:pPr>
        <w:ind w:left="8" w:right="100"/>
        <w:spacing w:after="0" w:line="330" w:lineRule="auto"/>
        <w:rPr>
          <w:sz w:val="20"/>
          <w:szCs w:val="20"/>
          <w:color w:val="auto"/>
        </w:rPr>
      </w:pPr>
      <w:r>
        <w:rPr>
          <w:rFonts w:ascii="Arial" w:cs="Arial" w:eastAsia="Arial" w:hAnsi="Arial"/>
          <w:sz w:val="11"/>
          <w:szCs w:val="11"/>
          <w:color w:val="54585A"/>
        </w:rPr>
        <w:t>The Board has adopted a process for our stockholders to send communications to the Board or any management or non-management director. Correspondence should be addressed to the Board or any individual director(s) or group or committee of directors either by name or title. All correspondence of this nature should be sent c/o Corporate Secretary to us by US Postal Service mail at 1095 Nimitzview Drive, Suite 201A, Cincinnati, Ohio 45230.</w:t>
      </w:r>
    </w:p>
    <w:p>
      <w:pPr>
        <w:spacing w:after="0" w:line="93" w:lineRule="exact"/>
        <w:rPr>
          <w:sz w:val="20"/>
          <w:szCs w:val="20"/>
          <w:color w:val="auto"/>
        </w:rPr>
      </w:pPr>
    </w:p>
    <w:p>
      <w:pPr>
        <w:ind w:left="8" w:right="20"/>
        <w:spacing w:after="0" w:line="330" w:lineRule="auto"/>
        <w:rPr>
          <w:sz w:val="20"/>
          <w:szCs w:val="20"/>
          <w:color w:val="auto"/>
        </w:rPr>
      </w:pPr>
      <w:r>
        <w:rPr>
          <w:rFonts w:ascii="Arial" w:cs="Arial" w:eastAsia="Arial" w:hAnsi="Arial"/>
          <w:sz w:val="11"/>
          <w:szCs w:val="11"/>
          <w:color w:val="54585A"/>
        </w:rPr>
        <w:t>All communications received as set forth in the preceding paragraph will be opened by the office of the Secretary for the sole purpose of determining whether the contents represent a message to the directors. Any contents that are not in the nature of promotion of a product or service, advertising, or patently offensive will be forwarded promptly to the addressee(s), but any communication also will be available to any director who requests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212725</wp:posOffset>
            </wp:positionV>
            <wp:extent cx="17145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90"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16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56" w:right="31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1788795" cy="49149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8795" cy="491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EB6C10"/>
        </w:rPr>
        <w:t>Proposal One</w:t>
      </w:r>
    </w:p>
    <w:p>
      <w:pPr>
        <w:spacing w:after="0" w:line="145" w:lineRule="exact"/>
        <w:rPr>
          <w:sz w:val="20"/>
          <w:szCs w:val="20"/>
          <w:color w:val="auto"/>
        </w:rPr>
      </w:pPr>
    </w:p>
    <w:p>
      <w:pPr>
        <w:ind w:left="120" w:hanging="112"/>
        <w:spacing w:after="0" w:line="326" w:lineRule="auto"/>
        <w:tabs>
          <w:tab w:leader="none" w:pos="78" w:val="left"/>
        </w:tabs>
        <w:numPr>
          <w:ilvl w:val="0"/>
          <w:numId w:val="36"/>
        </w:numPr>
        <w:rPr>
          <w:rFonts w:ascii="Arial" w:cs="Arial" w:eastAsia="Arial" w:hAnsi="Arial"/>
          <w:sz w:val="12"/>
          <w:szCs w:val="12"/>
          <w:b w:val="1"/>
          <w:bCs w:val="1"/>
          <w:color w:val="EB6C10"/>
        </w:rPr>
      </w:pPr>
      <w:r>
        <w:rPr>
          <w:rFonts w:ascii="Arial" w:cs="Arial" w:eastAsia="Arial" w:hAnsi="Arial"/>
          <w:sz w:val="12"/>
          <w:szCs w:val="12"/>
          <w:color w:val="FFFFFF"/>
        </w:rPr>
        <w:t xml:space="preserve">The Board recommends that stockholders vote </w:t>
      </w:r>
      <w:r>
        <w:rPr>
          <w:rFonts w:ascii="Arial" w:cs="Arial" w:eastAsia="Arial" w:hAnsi="Arial"/>
          <w:sz w:val="12"/>
          <w:szCs w:val="12"/>
          <w:b w:val="1"/>
          <w:bCs w:val="1"/>
          <w:color w:val="EB6C10"/>
        </w:rPr>
        <w:t>FOR</w:t>
      </w:r>
      <w:r>
        <w:rPr>
          <w:rFonts w:ascii="Arial" w:cs="Arial" w:eastAsia="Arial" w:hAnsi="Arial"/>
          <w:sz w:val="12"/>
          <w:szCs w:val="12"/>
          <w:color w:val="FFFFFF"/>
        </w:rPr>
        <w:t xml:space="preserve"> the election of the two Class B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3049270</wp:posOffset>
            </wp:positionV>
            <wp:extent cx="17145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0"/>
          <w:szCs w:val="10"/>
          <w:color w:val="54585A"/>
        </w:rPr>
        <w:t xml:space="preserve">Board of Directors and Corporate Governance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9"/>
          <w:szCs w:val="19"/>
          <w:color w:val="54585A"/>
        </w:rPr>
        <w:t>Election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1"/>
          <w:szCs w:val="11"/>
          <w:color w:val="54585A"/>
        </w:rPr>
        <w:t>Upon recommendation of the Nominating and Governance Committee, the Board has nominated</w:t>
      </w:r>
    </w:p>
    <w:p>
      <w:pPr>
        <w:spacing w:after="0" w:line="142" w:lineRule="exact"/>
        <w:rPr>
          <w:sz w:val="20"/>
          <w:szCs w:val="20"/>
          <w:color w:val="auto"/>
        </w:rPr>
      </w:pPr>
    </w:p>
    <w:p>
      <w:pPr>
        <w:ind w:left="380" w:hanging="65"/>
        <w:spacing w:after="0"/>
        <w:tabs>
          <w:tab w:leader="none" w:pos="380" w:val="left"/>
        </w:tabs>
        <w:numPr>
          <w:ilvl w:val="0"/>
          <w:numId w:val="37"/>
        </w:numPr>
        <w:rPr>
          <w:rFonts w:ascii="Arial" w:cs="Arial" w:eastAsia="Arial" w:hAnsi="Arial"/>
          <w:sz w:val="12"/>
          <w:szCs w:val="12"/>
          <w:b w:val="1"/>
          <w:bCs w:val="1"/>
          <w:color w:val="EB6C10"/>
        </w:rPr>
      </w:pPr>
      <w:r>
        <w:rPr>
          <w:rFonts w:ascii="Arial" w:cs="Arial" w:eastAsia="Arial" w:hAnsi="Arial"/>
          <w:sz w:val="12"/>
          <w:szCs w:val="12"/>
          <w:color w:val="54585A"/>
        </w:rPr>
        <w:t>James F. Lynch</w:t>
      </w:r>
    </w:p>
    <w:p>
      <w:pPr>
        <w:spacing w:after="0" w:line="51" w:lineRule="exact"/>
        <w:rPr>
          <w:rFonts w:ascii="Arial" w:cs="Arial" w:eastAsia="Arial" w:hAnsi="Arial"/>
          <w:sz w:val="12"/>
          <w:szCs w:val="12"/>
          <w:b w:val="1"/>
          <w:bCs w:val="1"/>
          <w:color w:val="EB6C10"/>
        </w:rPr>
      </w:pPr>
    </w:p>
    <w:p>
      <w:pPr>
        <w:ind w:left="380" w:hanging="65"/>
        <w:spacing w:after="0"/>
        <w:tabs>
          <w:tab w:leader="none" w:pos="380" w:val="left"/>
        </w:tabs>
        <w:numPr>
          <w:ilvl w:val="0"/>
          <w:numId w:val="37"/>
        </w:numPr>
        <w:rPr>
          <w:rFonts w:ascii="Arial" w:cs="Arial" w:eastAsia="Arial" w:hAnsi="Arial"/>
          <w:sz w:val="12"/>
          <w:szCs w:val="12"/>
          <w:b w:val="1"/>
          <w:bCs w:val="1"/>
          <w:color w:val="EB6C10"/>
        </w:rPr>
      </w:pPr>
      <w:r>
        <w:rPr>
          <w:rFonts w:ascii="Arial" w:cs="Arial" w:eastAsia="Arial" w:hAnsi="Arial"/>
          <w:sz w:val="12"/>
          <w:szCs w:val="12"/>
          <w:color w:val="54585A"/>
        </w:rPr>
        <w:t>Timothy E. Taylor</w:t>
      </w:r>
    </w:p>
    <w:p>
      <w:pPr>
        <w:spacing w:after="0" w:line="161" w:lineRule="exact"/>
        <w:rPr>
          <w:sz w:val="20"/>
          <w:szCs w:val="20"/>
          <w:color w:val="auto"/>
        </w:rPr>
      </w:pPr>
    </w:p>
    <w:p>
      <w:pPr>
        <w:ind w:right="100"/>
        <w:spacing w:after="0" w:line="352" w:lineRule="auto"/>
        <w:rPr>
          <w:sz w:val="20"/>
          <w:szCs w:val="20"/>
          <w:color w:val="auto"/>
        </w:rPr>
      </w:pPr>
      <w:r>
        <w:rPr>
          <w:rFonts w:ascii="Arial" w:cs="Arial" w:eastAsia="Arial" w:hAnsi="Arial"/>
          <w:sz w:val="10"/>
          <w:szCs w:val="10"/>
          <w:color w:val="54585A"/>
        </w:rPr>
        <w:t>for election as Class B Directors at the Annual Meeting. The nominations rest, in part, on each nominee’s diverse business experience, qualifications, skills and attributes described above. Each of these nominees has consented to being named in this proxy statement and has agreed to serve if elected. If you elect them, they will hold office until the annual meeting to be held in 2026 or until their successors have been elected and qualified. The Board is not aware of any reason why any nominee would be unable to serve as a director if elected. If prior to the Annual Meeting either nominee should become unable to serve as a director, the management proxies may vote for another nominee proposed by the Board, although proxies may not be voted for more than two nominees. If any director resigns, dies or is otherwise unable to serve out his term, or if the Board increases the number of directors, the Board may fill the vacancy for the balance of that director’s term; provided that, for any vacancies left by Minority Directors, candidates for director must be nominated by the Strategic Review Committee. Under our Bylaws, only the Board may fill vacancies on the Board.</w:t>
      </w:r>
    </w:p>
    <w:p>
      <w:pPr>
        <w:spacing w:after="0" w:line="97" w:lineRule="exact"/>
        <w:rPr>
          <w:sz w:val="20"/>
          <w:szCs w:val="20"/>
          <w:color w:val="auto"/>
        </w:rPr>
      </w:pPr>
    </w:p>
    <w:p>
      <w:pPr>
        <w:ind w:right="80"/>
        <w:spacing w:after="0" w:line="317" w:lineRule="auto"/>
        <w:rPr>
          <w:sz w:val="20"/>
          <w:szCs w:val="20"/>
          <w:color w:val="auto"/>
        </w:rPr>
      </w:pPr>
      <w:r>
        <w:rPr>
          <w:rFonts w:ascii="Arial" w:cs="Arial" w:eastAsia="Arial" w:hAnsi="Arial"/>
          <w:sz w:val="11"/>
          <w:szCs w:val="11"/>
          <w:color w:val="54585A"/>
        </w:rPr>
        <w:t>Our Certificate of Incorporation and Bylaws provide that so long as Thermo beneficially owns at least 45% of the Company’s outstanding Common Stock, two of the seven members of the Company’s Board of Directors (the “Minority Directors”) will be elected by the vote of a plurality of the holders of the Company’s Common Stock other than Thermo (the “Independent Stockholders”), and that candidates for election as Minority Directors are to be nominated by the Strategic Review Committee. Keith O. Cowan and Benjamin G. Wolff have been nominated for election as Class A Directors at the 2022 Annual Meeting and both directors qualify as Minority Directors under our Certificate of Incorporation.</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Vote Required to Elect Directors</w:t>
      </w:r>
    </w:p>
    <w:p>
      <w:pPr>
        <w:spacing w:after="0" w:line="76" w:lineRule="exact"/>
        <w:rPr>
          <w:sz w:val="20"/>
          <w:szCs w:val="20"/>
          <w:color w:val="auto"/>
        </w:rPr>
      </w:pPr>
    </w:p>
    <w:p>
      <w:pPr>
        <w:spacing w:after="0"/>
        <w:rPr>
          <w:sz w:val="20"/>
          <w:szCs w:val="20"/>
          <w:color w:val="auto"/>
        </w:rPr>
      </w:pPr>
      <w:r>
        <w:rPr>
          <w:rFonts w:ascii="Arial" w:cs="Arial" w:eastAsia="Arial" w:hAnsi="Arial"/>
          <w:sz w:val="11"/>
          <w:szCs w:val="11"/>
          <w:color w:val="54585A"/>
        </w:rPr>
        <w:t>The two nominees who receive the highest number of votes cast by stockholders eligible to vote (a plurality) will be elected as directors. There is no provision under our</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54585A"/>
        </w:rPr>
        <w:t>Certificate of Incorporation or Bylaws for cumulative voting in the election of directors. If you do not vote for a particular nominee, or if you indicate “against” to vote for a</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54585A"/>
        </w:rPr>
        <w:t>particular nominee, your vote will not count “for” the nominee. “Abstentions” and “broker non-votes” will not count as a vote cast with respect to that nominee’s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54585A"/>
        </w:rPr>
        <w:t>election. However, as described under “Quorum Requirement” above on page 3, in these cases your vote will be counted for purposes of determining the existence of a</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54585A"/>
        </w:rPr>
        <w:t>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5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163830</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2120" w:space="660"/>
            <w:col w:w="8200"/>
          </w:cols>
          <w:pgMar w:left="620" w:top="125" w:right="299" w:bottom="1440" w:gutter="0" w:footer="0" w:header="0"/>
        </w:sectPr>
      </w:pPr>
    </w:p>
    <w:bookmarkStart w:id="20" w:name="page21"/>
    <w:bookmarkEnd w:id="20"/>
    <w:p>
      <w:pPr>
        <w:ind w:left="68" w:hanging="68"/>
        <w:spacing w:after="0"/>
        <w:tabs>
          <w:tab w:leader="none" w:pos="68" w:val="left"/>
        </w:tabs>
        <w:numPr>
          <w:ilvl w:val="0"/>
          <w:numId w:val="38"/>
        </w:numPr>
        <w:rPr>
          <w:rFonts w:ascii="Arial" w:cs="Arial" w:eastAsia="Arial" w:hAnsi="Arial"/>
          <w:sz w:val="12"/>
          <w:szCs w:val="12"/>
          <w:b w:val="1"/>
          <w:bCs w:val="1"/>
          <w:color w:val="EB6C10"/>
        </w:rPr>
      </w:pPr>
      <w:r>
        <w:rPr>
          <w:rFonts w:ascii="Arial" w:cs="Arial" w:eastAsia="Arial" w:hAnsi="Arial"/>
          <w:sz w:val="10"/>
          <w:szCs w:val="10"/>
          <w:color w:val="54585A"/>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
        <w:spacing w:after="0"/>
        <w:rPr>
          <w:sz w:val="20"/>
          <w:szCs w:val="20"/>
          <w:color w:val="auto"/>
        </w:rPr>
      </w:pPr>
      <w:r>
        <w:rPr>
          <w:rFonts w:ascii="Arial" w:cs="Arial" w:eastAsia="Arial" w:hAnsi="Arial"/>
          <w:sz w:val="19"/>
          <w:szCs w:val="19"/>
          <w:color w:val="54585A"/>
        </w:rPr>
        <w:t>Compensation of Directors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1"/>
          <w:szCs w:val="11"/>
          <w:color w:val="54585A"/>
        </w:rPr>
        <w:t>The table below reflects compensation paid to our directors during 2022.</w:t>
      </w:r>
    </w:p>
    <w:p>
      <w:pPr>
        <w:spacing w:after="0" w:line="142"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3240" w:type="dxa"/>
            <w:vAlign w:val="bottom"/>
            <w:shd w:val="clear" w:color="auto" w:fill="EEEDED"/>
          </w:tcPr>
          <w:p>
            <w:pPr>
              <w:spacing w:after="0"/>
              <w:rPr>
                <w:sz w:val="10"/>
                <w:szCs w:val="10"/>
                <w:color w:val="auto"/>
              </w:rPr>
            </w:pPr>
          </w:p>
        </w:tc>
        <w:tc>
          <w:tcPr>
            <w:tcW w:w="2200" w:type="dxa"/>
            <w:vAlign w:val="bottom"/>
            <w:vMerge w:val="restart"/>
            <w:shd w:val="clear" w:color="auto" w:fill="EEEDED"/>
          </w:tcPr>
          <w:p>
            <w:pPr>
              <w:jc w:val="right"/>
              <w:ind w:right="592"/>
              <w:spacing w:after="0"/>
              <w:rPr>
                <w:sz w:val="20"/>
                <w:szCs w:val="20"/>
                <w:color w:val="auto"/>
              </w:rPr>
            </w:pPr>
            <w:r>
              <w:rPr>
                <w:rFonts w:ascii="Arial" w:cs="Arial" w:eastAsia="Arial" w:hAnsi="Arial"/>
                <w:sz w:val="10"/>
                <w:szCs w:val="10"/>
                <w:b w:val="1"/>
                <w:bCs w:val="1"/>
                <w:color w:val="54585A"/>
              </w:rPr>
              <w:t>Fees Earned</w:t>
            </w:r>
          </w:p>
        </w:tc>
        <w:tc>
          <w:tcPr>
            <w:tcW w:w="1600" w:type="dxa"/>
            <w:vAlign w:val="bottom"/>
            <w:shd w:val="clear" w:color="auto" w:fill="EEEDED"/>
          </w:tcPr>
          <w:p>
            <w:pPr>
              <w:jc w:val="right"/>
              <w:ind w:right="594"/>
              <w:spacing w:after="0"/>
              <w:rPr>
                <w:sz w:val="20"/>
                <w:szCs w:val="20"/>
                <w:color w:val="auto"/>
              </w:rPr>
            </w:pPr>
            <w:r>
              <w:rPr>
                <w:rFonts w:ascii="Arial" w:cs="Arial" w:eastAsia="Arial" w:hAnsi="Arial"/>
                <w:sz w:val="10"/>
                <w:szCs w:val="10"/>
                <w:b w:val="1"/>
                <w:bCs w:val="1"/>
                <w:color w:val="54585A"/>
              </w:rPr>
              <w:t>Stock</w:t>
            </w:r>
          </w:p>
        </w:tc>
        <w:tc>
          <w:tcPr>
            <w:tcW w:w="1460" w:type="dxa"/>
            <w:vAlign w:val="bottom"/>
            <w:shd w:val="clear" w:color="auto" w:fill="EEEDED"/>
          </w:tcPr>
          <w:p>
            <w:pPr>
              <w:ind w:left="660"/>
              <w:spacing w:after="0"/>
              <w:rPr>
                <w:sz w:val="20"/>
                <w:szCs w:val="20"/>
                <w:color w:val="auto"/>
              </w:rPr>
            </w:pPr>
            <w:r>
              <w:rPr>
                <w:rFonts w:ascii="Arial" w:cs="Arial" w:eastAsia="Arial" w:hAnsi="Arial"/>
                <w:sz w:val="10"/>
                <w:szCs w:val="10"/>
                <w:b w:val="1"/>
                <w:bCs w:val="1"/>
                <w:color w:val="54585A"/>
              </w:rPr>
              <w:t>Option</w:t>
            </w:r>
          </w:p>
        </w:tc>
        <w:tc>
          <w:tcPr>
            <w:tcW w:w="1760" w:type="dxa"/>
            <w:vAlign w:val="bottom"/>
            <w:shd w:val="clear" w:color="auto" w:fill="EEEDED"/>
          </w:tcPr>
          <w:p>
            <w:pPr>
              <w:jc w:val="right"/>
              <w:ind w:right="592"/>
              <w:spacing w:after="0"/>
              <w:rPr>
                <w:sz w:val="20"/>
                <w:szCs w:val="20"/>
                <w:color w:val="auto"/>
              </w:rPr>
            </w:pPr>
            <w:r>
              <w:rPr>
                <w:rFonts w:ascii="Arial" w:cs="Arial" w:eastAsia="Arial" w:hAnsi="Arial"/>
                <w:sz w:val="10"/>
                <w:szCs w:val="10"/>
                <w:b w:val="1"/>
                <w:bCs w:val="1"/>
                <w:color w:val="54585A"/>
              </w:rPr>
              <w:t>All Other</w:t>
            </w:r>
          </w:p>
        </w:tc>
        <w:tc>
          <w:tcPr>
            <w:tcW w:w="1020" w:type="dxa"/>
            <w:vAlign w:val="bottom"/>
            <w:vMerge w:val="restart"/>
            <w:shd w:val="clear" w:color="auto" w:fill="EEEDED"/>
          </w:tcPr>
          <w:p>
            <w:pPr>
              <w:jc w:val="right"/>
              <w:spacing w:after="0"/>
              <w:rPr>
                <w:sz w:val="20"/>
                <w:szCs w:val="20"/>
                <w:color w:val="auto"/>
              </w:rPr>
            </w:pPr>
            <w:r>
              <w:rPr>
                <w:rFonts w:ascii="Arial" w:cs="Arial" w:eastAsia="Arial" w:hAnsi="Arial"/>
                <w:sz w:val="10"/>
                <w:szCs w:val="10"/>
                <w:b w:val="1"/>
                <w:bCs w:val="1"/>
                <w:color w:val="54585A"/>
              </w:rPr>
              <w:t>Total</w:t>
            </w:r>
          </w:p>
        </w:tc>
        <w:tc>
          <w:tcPr>
            <w:tcW w:w="0" w:type="dxa"/>
            <w:vAlign w:val="bottom"/>
          </w:tcPr>
          <w:p>
            <w:pPr>
              <w:spacing w:after="0"/>
              <w:rPr>
                <w:sz w:val="1"/>
                <w:szCs w:val="1"/>
                <w:color w:val="auto"/>
              </w:rPr>
            </w:pPr>
          </w:p>
        </w:tc>
      </w:tr>
      <w:tr>
        <w:trPr>
          <w:trHeight w:val="108"/>
        </w:trPr>
        <w:tc>
          <w:tcPr>
            <w:tcW w:w="3240" w:type="dxa"/>
            <w:vAlign w:val="bottom"/>
            <w:shd w:val="clear" w:color="auto" w:fill="EEEDED"/>
          </w:tcPr>
          <w:p>
            <w:pPr>
              <w:spacing w:after="0"/>
              <w:rPr>
                <w:sz w:val="9"/>
                <w:szCs w:val="9"/>
                <w:color w:val="auto"/>
              </w:rPr>
            </w:pPr>
          </w:p>
        </w:tc>
        <w:tc>
          <w:tcPr>
            <w:tcW w:w="2200" w:type="dxa"/>
            <w:vAlign w:val="bottom"/>
            <w:vMerge w:val="continue"/>
            <w:shd w:val="clear" w:color="auto" w:fill="EEEDED"/>
          </w:tcPr>
          <w:p>
            <w:pPr>
              <w:spacing w:after="0"/>
              <w:rPr>
                <w:sz w:val="9"/>
                <w:szCs w:val="9"/>
                <w:color w:val="auto"/>
              </w:rPr>
            </w:pPr>
          </w:p>
        </w:tc>
        <w:tc>
          <w:tcPr>
            <w:tcW w:w="1600" w:type="dxa"/>
            <w:vAlign w:val="bottom"/>
            <w:shd w:val="clear" w:color="auto" w:fill="EEEDED"/>
          </w:tcPr>
          <w:p>
            <w:pPr>
              <w:jc w:val="right"/>
              <w:ind w:right="594"/>
              <w:spacing w:after="0" w:line="108" w:lineRule="exact"/>
              <w:rPr>
                <w:sz w:val="20"/>
                <w:szCs w:val="20"/>
                <w:color w:val="auto"/>
              </w:rPr>
            </w:pPr>
            <w:r>
              <w:rPr>
                <w:rFonts w:ascii="Arial" w:cs="Arial" w:eastAsia="Arial" w:hAnsi="Arial"/>
                <w:sz w:val="10"/>
                <w:szCs w:val="10"/>
                <w:b w:val="1"/>
                <w:bCs w:val="1"/>
                <w:color w:val="54585A"/>
              </w:rPr>
              <w:t>Awards</w:t>
            </w:r>
          </w:p>
        </w:tc>
        <w:tc>
          <w:tcPr>
            <w:tcW w:w="1460" w:type="dxa"/>
            <w:vAlign w:val="bottom"/>
            <w:shd w:val="clear" w:color="auto" w:fill="EEEDED"/>
          </w:tcPr>
          <w:p>
            <w:pPr>
              <w:ind w:left="620"/>
              <w:spacing w:after="0" w:line="108" w:lineRule="exact"/>
              <w:rPr>
                <w:sz w:val="20"/>
                <w:szCs w:val="20"/>
                <w:color w:val="auto"/>
              </w:rPr>
            </w:pPr>
            <w:r>
              <w:rPr>
                <w:rFonts w:ascii="Arial" w:cs="Arial" w:eastAsia="Arial" w:hAnsi="Arial"/>
                <w:sz w:val="10"/>
                <w:szCs w:val="10"/>
                <w:b w:val="1"/>
                <w:bCs w:val="1"/>
                <w:color w:val="54585A"/>
              </w:rPr>
              <w:t>Awards</w:t>
            </w:r>
          </w:p>
        </w:tc>
        <w:tc>
          <w:tcPr>
            <w:tcW w:w="1760" w:type="dxa"/>
            <w:vAlign w:val="bottom"/>
            <w:shd w:val="clear" w:color="auto" w:fill="EEEDED"/>
          </w:tcPr>
          <w:p>
            <w:pPr>
              <w:jc w:val="right"/>
              <w:ind w:right="592"/>
              <w:spacing w:after="0" w:line="108" w:lineRule="exact"/>
              <w:rPr>
                <w:sz w:val="20"/>
                <w:szCs w:val="20"/>
                <w:color w:val="auto"/>
              </w:rPr>
            </w:pPr>
            <w:r>
              <w:rPr>
                <w:rFonts w:ascii="Arial" w:cs="Arial" w:eastAsia="Arial" w:hAnsi="Arial"/>
                <w:sz w:val="10"/>
                <w:szCs w:val="10"/>
                <w:b w:val="1"/>
                <w:bCs w:val="1"/>
                <w:color w:val="54585A"/>
              </w:rPr>
              <w:t>Compensation</w:t>
            </w:r>
          </w:p>
        </w:tc>
        <w:tc>
          <w:tcPr>
            <w:tcW w:w="1020" w:type="dxa"/>
            <w:vAlign w:val="bottom"/>
            <w:vMerge w:val="continue"/>
            <w:shd w:val="clear" w:color="auto" w:fill="EEEDED"/>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shd w:val="clear" w:color="auto" w:fill="EEEDED"/>
          </w:tcPr>
          <w:p>
            <w:pPr>
              <w:ind w:left="60"/>
              <w:spacing w:after="0"/>
              <w:rPr>
                <w:sz w:val="20"/>
                <w:szCs w:val="20"/>
                <w:color w:val="auto"/>
              </w:rPr>
            </w:pPr>
            <w:r>
              <w:rPr>
                <w:rFonts w:ascii="Arial" w:cs="Arial" w:eastAsia="Arial" w:hAnsi="Arial"/>
                <w:sz w:val="10"/>
                <w:szCs w:val="10"/>
                <w:b w:val="1"/>
                <w:bCs w:val="1"/>
                <w:color w:val="54585A"/>
              </w:rPr>
              <w:t>Name</w:t>
            </w:r>
          </w:p>
        </w:tc>
        <w:tc>
          <w:tcPr>
            <w:tcW w:w="2200" w:type="dxa"/>
            <w:vAlign w:val="bottom"/>
            <w:shd w:val="clear" w:color="auto" w:fill="EEEDED"/>
          </w:tcPr>
          <w:p>
            <w:pPr>
              <w:jc w:val="right"/>
              <w:ind w:right="552"/>
              <w:spacing w:after="0"/>
              <w:rPr>
                <w:sz w:val="20"/>
                <w:szCs w:val="20"/>
                <w:color w:val="auto"/>
              </w:rPr>
            </w:pPr>
            <w:r>
              <w:rPr>
                <w:rFonts w:ascii="Arial" w:cs="Arial" w:eastAsia="Arial" w:hAnsi="Arial"/>
                <w:sz w:val="10"/>
                <w:szCs w:val="10"/>
                <w:b w:val="1"/>
                <w:bCs w:val="1"/>
                <w:color w:val="54585A"/>
              </w:rPr>
              <w:t>or Paid in Cash</w:t>
            </w:r>
          </w:p>
        </w:tc>
        <w:tc>
          <w:tcPr>
            <w:tcW w:w="1600" w:type="dxa"/>
            <w:vAlign w:val="bottom"/>
            <w:shd w:val="clear" w:color="auto" w:fill="EEEDED"/>
          </w:tcPr>
          <w:p>
            <w:pPr>
              <w:jc w:val="right"/>
              <w:ind w:right="554"/>
              <w:spacing w:after="0" w:line="144" w:lineRule="exact"/>
              <w:rPr>
                <w:sz w:val="20"/>
                <w:szCs w:val="20"/>
                <w:color w:val="auto"/>
              </w:rPr>
            </w:pPr>
            <w:r>
              <w:rPr>
                <w:rFonts w:ascii="Arial" w:cs="Arial" w:eastAsia="Arial" w:hAnsi="Arial"/>
                <w:sz w:val="16"/>
                <w:szCs w:val="16"/>
                <w:b w:val="1"/>
                <w:bCs w:val="1"/>
                <w:color w:val="54585A"/>
                <w:vertAlign w:val="subscript"/>
              </w:rPr>
              <w:t>($)</w:t>
            </w:r>
            <w:r>
              <w:rPr>
                <w:rFonts w:ascii="Arial" w:cs="Arial" w:eastAsia="Arial" w:hAnsi="Arial"/>
                <w:sz w:val="6"/>
                <w:szCs w:val="6"/>
                <w:b w:val="1"/>
                <w:bCs w:val="1"/>
                <w:color w:val="54585A"/>
              </w:rPr>
              <w:t>(1)</w:t>
            </w:r>
          </w:p>
        </w:tc>
        <w:tc>
          <w:tcPr>
            <w:tcW w:w="1460" w:type="dxa"/>
            <w:vAlign w:val="bottom"/>
            <w:shd w:val="clear" w:color="auto" w:fill="EEEDED"/>
          </w:tcPr>
          <w:p>
            <w:pPr>
              <w:ind w:left="800"/>
              <w:spacing w:after="0" w:line="144" w:lineRule="exact"/>
              <w:rPr>
                <w:sz w:val="20"/>
                <w:szCs w:val="20"/>
                <w:color w:val="auto"/>
              </w:rPr>
            </w:pPr>
            <w:r>
              <w:rPr>
                <w:rFonts w:ascii="Arial" w:cs="Arial" w:eastAsia="Arial" w:hAnsi="Arial"/>
                <w:sz w:val="16"/>
                <w:szCs w:val="16"/>
                <w:b w:val="1"/>
                <w:bCs w:val="1"/>
                <w:color w:val="54585A"/>
                <w:vertAlign w:val="subscript"/>
              </w:rPr>
              <w:t>($)</w:t>
            </w:r>
            <w:r>
              <w:rPr>
                <w:rFonts w:ascii="Arial" w:cs="Arial" w:eastAsia="Arial" w:hAnsi="Arial"/>
                <w:sz w:val="6"/>
                <w:szCs w:val="6"/>
                <w:b w:val="1"/>
                <w:bCs w:val="1"/>
                <w:color w:val="54585A"/>
              </w:rPr>
              <w:t>(1)</w:t>
            </w:r>
          </w:p>
        </w:tc>
        <w:tc>
          <w:tcPr>
            <w:tcW w:w="1760" w:type="dxa"/>
            <w:vAlign w:val="bottom"/>
            <w:shd w:val="clear" w:color="auto" w:fill="EEEDED"/>
          </w:tcPr>
          <w:p>
            <w:pPr>
              <w:ind w:left="1020"/>
              <w:spacing w:after="0"/>
              <w:rPr>
                <w:sz w:val="20"/>
                <w:szCs w:val="20"/>
                <w:color w:val="auto"/>
              </w:rPr>
            </w:pPr>
            <w:r>
              <w:rPr>
                <w:rFonts w:ascii="Arial" w:cs="Arial" w:eastAsia="Arial" w:hAnsi="Arial"/>
                <w:sz w:val="10"/>
                <w:szCs w:val="10"/>
                <w:b w:val="1"/>
                <w:bCs w:val="1"/>
                <w:color w:val="54585A"/>
              </w:rPr>
              <w:t>($)</w:t>
            </w:r>
          </w:p>
        </w:tc>
        <w:tc>
          <w:tcPr>
            <w:tcW w:w="1020" w:type="dxa"/>
            <w:vAlign w:val="bottom"/>
            <w:shd w:val="clear" w:color="auto" w:fill="EEEDED"/>
          </w:tcPr>
          <w:p>
            <w:pPr>
              <w:jc w:val="right"/>
              <w:spacing w:after="0"/>
              <w:rPr>
                <w:sz w:val="20"/>
                <w:szCs w:val="20"/>
                <w:color w:val="auto"/>
              </w:rPr>
            </w:pPr>
            <w:r>
              <w:rPr>
                <w:rFonts w:ascii="Arial" w:cs="Arial" w:eastAsia="Arial" w:hAnsi="Arial"/>
                <w:sz w:val="10"/>
                <w:szCs w:val="10"/>
                <w:b w:val="1"/>
                <w:bCs w:val="1"/>
                <w:color w:val="54585A"/>
              </w:rPr>
              <w:t>($)</w:t>
            </w:r>
          </w:p>
        </w:tc>
        <w:tc>
          <w:tcPr>
            <w:tcW w:w="0" w:type="dxa"/>
            <w:vAlign w:val="bottom"/>
          </w:tcPr>
          <w:p>
            <w:pPr>
              <w:spacing w:after="0"/>
              <w:rPr>
                <w:sz w:val="1"/>
                <w:szCs w:val="1"/>
                <w:color w:val="auto"/>
              </w:rPr>
            </w:pPr>
          </w:p>
        </w:tc>
      </w:tr>
      <w:tr>
        <w:trPr>
          <w:trHeight w:val="63"/>
        </w:trPr>
        <w:tc>
          <w:tcPr>
            <w:tcW w:w="3240" w:type="dxa"/>
            <w:vAlign w:val="bottom"/>
            <w:shd w:val="clear" w:color="auto" w:fill="EEEDED"/>
          </w:tcPr>
          <w:p>
            <w:pPr>
              <w:spacing w:after="0"/>
              <w:rPr>
                <w:sz w:val="5"/>
                <w:szCs w:val="5"/>
                <w:color w:val="auto"/>
              </w:rPr>
            </w:pPr>
          </w:p>
        </w:tc>
        <w:tc>
          <w:tcPr>
            <w:tcW w:w="2200" w:type="dxa"/>
            <w:vAlign w:val="bottom"/>
            <w:shd w:val="clear" w:color="auto" w:fill="EEEDED"/>
          </w:tcPr>
          <w:p>
            <w:pPr>
              <w:spacing w:after="0"/>
              <w:rPr>
                <w:sz w:val="5"/>
                <w:szCs w:val="5"/>
                <w:color w:val="auto"/>
              </w:rPr>
            </w:pPr>
          </w:p>
        </w:tc>
        <w:tc>
          <w:tcPr>
            <w:tcW w:w="1600" w:type="dxa"/>
            <w:vAlign w:val="bottom"/>
            <w:shd w:val="clear" w:color="auto" w:fill="EEEDED"/>
          </w:tcPr>
          <w:p>
            <w:pPr>
              <w:spacing w:after="0"/>
              <w:rPr>
                <w:sz w:val="5"/>
                <w:szCs w:val="5"/>
                <w:color w:val="auto"/>
              </w:rPr>
            </w:pPr>
          </w:p>
        </w:tc>
        <w:tc>
          <w:tcPr>
            <w:tcW w:w="1460" w:type="dxa"/>
            <w:vAlign w:val="bottom"/>
            <w:shd w:val="clear" w:color="auto" w:fill="EEEDED"/>
          </w:tcPr>
          <w:p>
            <w:pPr>
              <w:spacing w:after="0"/>
              <w:rPr>
                <w:sz w:val="5"/>
                <w:szCs w:val="5"/>
                <w:color w:val="auto"/>
              </w:rPr>
            </w:pPr>
          </w:p>
        </w:tc>
        <w:tc>
          <w:tcPr>
            <w:tcW w:w="1760" w:type="dxa"/>
            <w:vAlign w:val="bottom"/>
            <w:shd w:val="clear" w:color="auto" w:fill="EEEDED"/>
          </w:tcPr>
          <w:p>
            <w:pPr>
              <w:spacing w:after="0"/>
              <w:rPr>
                <w:sz w:val="5"/>
                <w:szCs w:val="5"/>
                <w:color w:val="auto"/>
              </w:rPr>
            </w:pPr>
          </w:p>
        </w:tc>
        <w:tc>
          <w:tcPr>
            <w:tcW w:w="1020" w:type="dxa"/>
            <w:vAlign w:val="bottom"/>
            <w:shd w:val="clear" w:color="auto" w:fill="EEEDED"/>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324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James Monroe III</w:t>
            </w:r>
            <w:r>
              <w:rPr>
                <w:rFonts w:ascii="Arial" w:cs="Arial" w:eastAsia="Arial" w:hAnsi="Arial"/>
                <w:sz w:val="12"/>
                <w:szCs w:val="12"/>
                <w:b w:val="1"/>
                <w:bCs w:val="1"/>
                <w:color w:val="EB6C10"/>
                <w:vertAlign w:val="superscript"/>
              </w:rPr>
              <w:t>(2)</w:t>
            </w:r>
          </w:p>
        </w:tc>
        <w:tc>
          <w:tcPr>
            <w:tcW w:w="2200" w:type="dxa"/>
            <w:vAlign w:val="bottom"/>
            <w:tcBorders>
              <w:bottom w:val="single" w:sz="8" w:color="54585A"/>
            </w:tcBorders>
          </w:tcPr>
          <w:p>
            <w:pPr>
              <w:jc w:val="right"/>
              <w:ind w:right="592"/>
              <w:spacing w:after="0"/>
              <w:rPr>
                <w:sz w:val="20"/>
                <w:szCs w:val="20"/>
                <w:color w:val="auto"/>
              </w:rPr>
            </w:pPr>
            <w:r>
              <w:rPr>
                <w:rFonts w:ascii="Arial" w:cs="Arial" w:eastAsia="Arial" w:hAnsi="Arial"/>
                <w:sz w:val="10"/>
                <w:szCs w:val="10"/>
                <w:color w:val="54585A"/>
              </w:rPr>
              <w:t>50,000</w:t>
            </w:r>
          </w:p>
        </w:tc>
        <w:tc>
          <w:tcPr>
            <w:tcW w:w="1600" w:type="dxa"/>
            <w:vAlign w:val="bottom"/>
            <w:tcBorders>
              <w:bottom w:val="single" w:sz="8" w:color="54585A"/>
            </w:tcBorders>
          </w:tcPr>
          <w:p>
            <w:pPr>
              <w:jc w:val="right"/>
              <w:ind w:right="594"/>
              <w:spacing w:after="0"/>
              <w:rPr>
                <w:sz w:val="20"/>
                <w:szCs w:val="20"/>
                <w:color w:val="auto"/>
              </w:rPr>
            </w:pPr>
            <w:r>
              <w:rPr>
                <w:rFonts w:ascii="Arial" w:cs="Arial" w:eastAsia="Arial" w:hAnsi="Arial"/>
                <w:sz w:val="10"/>
                <w:szCs w:val="10"/>
                <w:color w:val="54585A"/>
              </w:rPr>
              <w:t>50,000</w:t>
            </w:r>
          </w:p>
        </w:tc>
        <w:tc>
          <w:tcPr>
            <w:tcW w:w="1460" w:type="dxa"/>
            <w:vAlign w:val="bottom"/>
            <w:tcBorders>
              <w:bottom w:val="single" w:sz="8" w:color="54585A"/>
            </w:tcBorders>
          </w:tcPr>
          <w:p>
            <w:pPr>
              <w:ind w:left="660"/>
              <w:spacing w:after="0"/>
              <w:rPr>
                <w:sz w:val="20"/>
                <w:szCs w:val="20"/>
                <w:color w:val="auto"/>
              </w:rPr>
            </w:pPr>
            <w:r>
              <w:rPr>
                <w:rFonts w:ascii="Arial" w:cs="Arial" w:eastAsia="Arial" w:hAnsi="Arial"/>
                <w:sz w:val="10"/>
                <w:szCs w:val="10"/>
                <w:color w:val="54585A"/>
              </w:rPr>
              <w:t>86,000</w:t>
            </w:r>
          </w:p>
        </w:tc>
        <w:tc>
          <w:tcPr>
            <w:tcW w:w="1760" w:type="dxa"/>
            <w:vAlign w:val="bottom"/>
            <w:tcBorders>
              <w:bottom w:val="single" w:sz="8" w:color="54585A"/>
            </w:tcBorders>
          </w:tcPr>
          <w:p>
            <w:pPr>
              <w:ind w:left="1020"/>
              <w:spacing w:after="0"/>
              <w:rPr>
                <w:sz w:val="20"/>
                <w:szCs w:val="20"/>
                <w:color w:val="auto"/>
              </w:rPr>
            </w:pPr>
            <w:r>
              <w:rPr>
                <w:rFonts w:ascii="Arial" w:cs="Arial" w:eastAsia="Arial" w:hAnsi="Arial"/>
                <w:sz w:val="10"/>
                <w:szCs w:val="10"/>
                <w:color w:val="54585A"/>
              </w:rPr>
              <w:t>—</w:t>
            </w:r>
          </w:p>
        </w:tc>
        <w:tc>
          <w:tcPr>
            <w:tcW w:w="102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186,000</w:t>
            </w:r>
          </w:p>
        </w:tc>
        <w:tc>
          <w:tcPr>
            <w:tcW w:w="0" w:type="dxa"/>
            <w:vAlign w:val="bottom"/>
          </w:tcPr>
          <w:p>
            <w:pPr>
              <w:spacing w:after="0"/>
              <w:rPr>
                <w:sz w:val="1"/>
                <w:szCs w:val="1"/>
                <w:color w:val="auto"/>
              </w:rPr>
            </w:pPr>
          </w:p>
        </w:tc>
      </w:tr>
      <w:tr>
        <w:trPr>
          <w:trHeight w:val="142"/>
        </w:trPr>
        <w:tc>
          <w:tcPr>
            <w:tcW w:w="324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James F. Lynch</w:t>
            </w:r>
            <w:r>
              <w:rPr>
                <w:rFonts w:ascii="Arial" w:cs="Arial" w:eastAsia="Arial" w:hAnsi="Arial"/>
                <w:sz w:val="12"/>
                <w:szCs w:val="12"/>
                <w:b w:val="1"/>
                <w:bCs w:val="1"/>
                <w:color w:val="EB6C10"/>
                <w:vertAlign w:val="superscript"/>
              </w:rPr>
              <w:t>(2)</w:t>
            </w:r>
          </w:p>
        </w:tc>
        <w:tc>
          <w:tcPr>
            <w:tcW w:w="2200" w:type="dxa"/>
            <w:vAlign w:val="bottom"/>
            <w:tcBorders>
              <w:bottom w:val="single" w:sz="8" w:color="54585A"/>
            </w:tcBorders>
          </w:tcPr>
          <w:p>
            <w:pPr>
              <w:jc w:val="right"/>
              <w:ind w:right="592"/>
              <w:spacing w:after="0"/>
              <w:rPr>
                <w:sz w:val="20"/>
                <w:szCs w:val="20"/>
                <w:color w:val="auto"/>
              </w:rPr>
            </w:pPr>
            <w:r>
              <w:rPr>
                <w:rFonts w:ascii="Arial" w:cs="Arial" w:eastAsia="Arial" w:hAnsi="Arial"/>
                <w:sz w:val="10"/>
                <w:szCs w:val="10"/>
                <w:color w:val="54585A"/>
              </w:rPr>
              <w:t>50,000</w:t>
            </w:r>
          </w:p>
        </w:tc>
        <w:tc>
          <w:tcPr>
            <w:tcW w:w="1600" w:type="dxa"/>
            <w:vAlign w:val="bottom"/>
            <w:tcBorders>
              <w:bottom w:val="single" w:sz="8" w:color="54585A"/>
            </w:tcBorders>
          </w:tcPr>
          <w:p>
            <w:pPr>
              <w:jc w:val="right"/>
              <w:ind w:right="594"/>
              <w:spacing w:after="0"/>
              <w:rPr>
                <w:sz w:val="20"/>
                <w:szCs w:val="20"/>
                <w:color w:val="auto"/>
              </w:rPr>
            </w:pPr>
            <w:r>
              <w:rPr>
                <w:rFonts w:ascii="Arial" w:cs="Arial" w:eastAsia="Arial" w:hAnsi="Arial"/>
                <w:sz w:val="10"/>
                <w:szCs w:val="10"/>
                <w:color w:val="54585A"/>
              </w:rPr>
              <w:t>50,000</w:t>
            </w:r>
          </w:p>
        </w:tc>
        <w:tc>
          <w:tcPr>
            <w:tcW w:w="1460" w:type="dxa"/>
            <w:vAlign w:val="bottom"/>
            <w:tcBorders>
              <w:bottom w:val="single" w:sz="8" w:color="54585A"/>
            </w:tcBorders>
          </w:tcPr>
          <w:p>
            <w:pPr>
              <w:ind w:left="660"/>
              <w:spacing w:after="0"/>
              <w:rPr>
                <w:sz w:val="20"/>
                <w:szCs w:val="20"/>
                <w:color w:val="auto"/>
              </w:rPr>
            </w:pPr>
            <w:r>
              <w:rPr>
                <w:rFonts w:ascii="Arial" w:cs="Arial" w:eastAsia="Arial" w:hAnsi="Arial"/>
                <w:sz w:val="10"/>
                <w:szCs w:val="10"/>
                <w:color w:val="54585A"/>
              </w:rPr>
              <w:t>86,000</w:t>
            </w:r>
          </w:p>
        </w:tc>
        <w:tc>
          <w:tcPr>
            <w:tcW w:w="1760" w:type="dxa"/>
            <w:vAlign w:val="bottom"/>
            <w:tcBorders>
              <w:bottom w:val="single" w:sz="8" w:color="54585A"/>
            </w:tcBorders>
          </w:tcPr>
          <w:p>
            <w:pPr>
              <w:ind w:left="1020"/>
              <w:spacing w:after="0"/>
              <w:rPr>
                <w:sz w:val="20"/>
                <w:szCs w:val="20"/>
                <w:color w:val="auto"/>
              </w:rPr>
            </w:pPr>
            <w:r>
              <w:rPr>
                <w:rFonts w:ascii="Arial" w:cs="Arial" w:eastAsia="Arial" w:hAnsi="Arial"/>
                <w:sz w:val="10"/>
                <w:szCs w:val="10"/>
                <w:color w:val="54585A"/>
              </w:rPr>
              <w:t>—</w:t>
            </w:r>
          </w:p>
        </w:tc>
        <w:tc>
          <w:tcPr>
            <w:tcW w:w="102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186,000</w:t>
            </w:r>
          </w:p>
        </w:tc>
        <w:tc>
          <w:tcPr>
            <w:tcW w:w="0" w:type="dxa"/>
            <w:vAlign w:val="bottom"/>
          </w:tcPr>
          <w:p>
            <w:pPr>
              <w:spacing w:after="0"/>
              <w:rPr>
                <w:sz w:val="1"/>
                <w:szCs w:val="1"/>
                <w:color w:val="auto"/>
              </w:rPr>
            </w:pPr>
          </w:p>
        </w:tc>
      </w:tr>
      <w:tr>
        <w:trPr>
          <w:trHeight w:val="142"/>
        </w:trPr>
        <w:tc>
          <w:tcPr>
            <w:tcW w:w="324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William A. Hasler</w:t>
            </w:r>
            <w:r>
              <w:rPr>
                <w:rFonts w:ascii="Arial" w:cs="Arial" w:eastAsia="Arial" w:hAnsi="Arial"/>
                <w:sz w:val="12"/>
                <w:szCs w:val="12"/>
                <w:b w:val="1"/>
                <w:bCs w:val="1"/>
                <w:color w:val="EB6C10"/>
                <w:vertAlign w:val="superscript"/>
              </w:rPr>
              <w:t>(2)(3)</w:t>
            </w:r>
          </w:p>
        </w:tc>
        <w:tc>
          <w:tcPr>
            <w:tcW w:w="2200" w:type="dxa"/>
            <w:vAlign w:val="bottom"/>
            <w:tcBorders>
              <w:bottom w:val="single" w:sz="8" w:color="54585A"/>
            </w:tcBorders>
          </w:tcPr>
          <w:p>
            <w:pPr>
              <w:jc w:val="right"/>
              <w:ind w:right="592"/>
              <w:spacing w:after="0"/>
              <w:rPr>
                <w:sz w:val="20"/>
                <w:szCs w:val="20"/>
                <w:color w:val="auto"/>
              </w:rPr>
            </w:pPr>
            <w:r>
              <w:rPr>
                <w:rFonts w:ascii="Arial" w:cs="Arial" w:eastAsia="Arial" w:hAnsi="Arial"/>
                <w:sz w:val="10"/>
                <w:szCs w:val="10"/>
                <w:color w:val="54585A"/>
              </w:rPr>
              <w:t>50,000</w:t>
            </w:r>
          </w:p>
        </w:tc>
        <w:tc>
          <w:tcPr>
            <w:tcW w:w="1600" w:type="dxa"/>
            <w:vAlign w:val="bottom"/>
            <w:tcBorders>
              <w:bottom w:val="single" w:sz="8" w:color="54585A"/>
            </w:tcBorders>
          </w:tcPr>
          <w:p>
            <w:pPr>
              <w:jc w:val="right"/>
              <w:ind w:right="594"/>
              <w:spacing w:after="0"/>
              <w:rPr>
                <w:sz w:val="20"/>
                <w:szCs w:val="20"/>
                <w:color w:val="auto"/>
              </w:rPr>
            </w:pPr>
            <w:r>
              <w:rPr>
                <w:rFonts w:ascii="Arial" w:cs="Arial" w:eastAsia="Arial" w:hAnsi="Arial"/>
                <w:sz w:val="10"/>
                <w:szCs w:val="10"/>
                <w:color w:val="54585A"/>
              </w:rPr>
              <w:t>103,000</w:t>
            </w:r>
          </w:p>
        </w:tc>
        <w:tc>
          <w:tcPr>
            <w:tcW w:w="1460" w:type="dxa"/>
            <w:vAlign w:val="bottom"/>
            <w:tcBorders>
              <w:bottom w:val="single" w:sz="8" w:color="54585A"/>
            </w:tcBorders>
          </w:tcPr>
          <w:p>
            <w:pPr>
              <w:ind w:left="660"/>
              <w:spacing w:after="0"/>
              <w:rPr>
                <w:sz w:val="20"/>
                <w:szCs w:val="20"/>
                <w:color w:val="auto"/>
              </w:rPr>
            </w:pPr>
            <w:r>
              <w:rPr>
                <w:rFonts w:ascii="Arial" w:cs="Arial" w:eastAsia="Arial" w:hAnsi="Arial"/>
                <w:sz w:val="10"/>
                <w:szCs w:val="10"/>
                <w:color w:val="54585A"/>
              </w:rPr>
              <w:t>86,000</w:t>
            </w:r>
          </w:p>
        </w:tc>
        <w:tc>
          <w:tcPr>
            <w:tcW w:w="1760" w:type="dxa"/>
            <w:vAlign w:val="bottom"/>
            <w:tcBorders>
              <w:bottom w:val="single" w:sz="8" w:color="54585A"/>
            </w:tcBorders>
          </w:tcPr>
          <w:p>
            <w:pPr>
              <w:ind w:left="1020"/>
              <w:spacing w:after="0"/>
              <w:rPr>
                <w:sz w:val="20"/>
                <w:szCs w:val="20"/>
                <w:color w:val="auto"/>
              </w:rPr>
            </w:pPr>
            <w:r>
              <w:rPr>
                <w:rFonts w:ascii="Arial" w:cs="Arial" w:eastAsia="Arial" w:hAnsi="Arial"/>
                <w:sz w:val="10"/>
                <w:szCs w:val="10"/>
                <w:color w:val="54585A"/>
              </w:rPr>
              <w:t>—</w:t>
            </w:r>
          </w:p>
        </w:tc>
        <w:tc>
          <w:tcPr>
            <w:tcW w:w="102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239,000</w:t>
            </w:r>
          </w:p>
        </w:tc>
        <w:tc>
          <w:tcPr>
            <w:tcW w:w="0" w:type="dxa"/>
            <w:vAlign w:val="bottom"/>
          </w:tcPr>
          <w:p>
            <w:pPr>
              <w:spacing w:after="0"/>
              <w:rPr>
                <w:sz w:val="1"/>
                <w:szCs w:val="1"/>
                <w:color w:val="auto"/>
              </w:rPr>
            </w:pPr>
          </w:p>
        </w:tc>
      </w:tr>
      <w:tr>
        <w:trPr>
          <w:trHeight w:val="142"/>
        </w:trPr>
        <w:tc>
          <w:tcPr>
            <w:tcW w:w="324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Keith O. Cowan</w:t>
            </w:r>
            <w:r>
              <w:rPr>
                <w:rFonts w:ascii="Arial" w:cs="Arial" w:eastAsia="Arial" w:hAnsi="Arial"/>
                <w:sz w:val="12"/>
                <w:szCs w:val="12"/>
                <w:b w:val="1"/>
                <w:bCs w:val="1"/>
                <w:color w:val="EB6C10"/>
                <w:vertAlign w:val="superscript"/>
              </w:rPr>
              <w:t>(2)(3)</w:t>
            </w:r>
          </w:p>
        </w:tc>
        <w:tc>
          <w:tcPr>
            <w:tcW w:w="2200" w:type="dxa"/>
            <w:vAlign w:val="bottom"/>
            <w:tcBorders>
              <w:bottom w:val="single" w:sz="8" w:color="54585A"/>
            </w:tcBorders>
          </w:tcPr>
          <w:p>
            <w:pPr>
              <w:jc w:val="right"/>
              <w:ind w:right="592"/>
              <w:spacing w:after="0"/>
              <w:rPr>
                <w:sz w:val="20"/>
                <w:szCs w:val="20"/>
                <w:color w:val="auto"/>
              </w:rPr>
            </w:pPr>
            <w:r>
              <w:rPr>
                <w:rFonts w:ascii="Arial" w:cs="Arial" w:eastAsia="Arial" w:hAnsi="Arial"/>
                <w:sz w:val="10"/>
                <w:szCs w:val="10"/>
                <w:color w:val="54585A"/>
              </w:rPr>
              <w:t>50,000</w:t>
            </w:r>
          </w:p>
        </w:tc>
        <w:tc>
          <w:tcPr>
            <w:tcW w:w="1600" w:type="dxa"/>
            <w:vAlign w:val="bottom"/>
            <w:tcBorders>
              <w:bottom w:val="single" w:sz="8" w:color="54585A"/>
            </w:tcBorders>
          </w:tcPr>
          <w:p>
            <w:pPr>
              <w:jc w:val="right"/>
              <w:ind w:right="594"/>
              <w:spacing w:after="0"/>
              <w:rPr>
                <w:sz w:val="20"/>
                <w:szCs w:val="20"/>
                <w:color w:val="auto"/>
              </w:rPr>
            </w:pPr>
            <w:r>
              <w:rPr>
                <w:rFonts w:ascii="Arial" w:cs="Arial" w:eastAsia="Arial" w:hAnsi="Arial"/>
                <w:sz w:val="10"/>
                <w:szCs w:val="10"/>
                <w:color w:val="54585A"/>
              </w:rPr>
              <w:t>103,000</w:t>
            </w:r>
          </w:p>
        </w:tc>
        <w:tc>
          <w:tcPr>
            <w:tcW w:w="1460" w:type="dxa"/>
            <w:vAlign w:val="bottom"/>
            <w:tcBorders>
              <w:bottom w:val="single" w:sz="8" w:color="54585A"/>
            </w:tcBorders>
          </w:tcPr>
          <w:p>
            <w:pPr>
              <w:ind w:left="660"/>
              <w:spacing w:after="0"/>
              <w:rPr>
                <w:sz w:val="20"/>
                <w:szCs w:val="20"/>
                <w:color w:val="auto"/>
              </w:rPr>
            </w:pPr>
            <w:r>
              <w:rPr>
                <w:rFonts w:ascii="Arial" w:cs="Arial" w:eastAsia="Arial" w:hAnsi="Arial"/>
                <w:sz w:val="10"/>
                <w:szCs w:val="10"/>
                <w:color w:val="54585A"/>
              </w:rPr>
              <w:t>86,000</w:t>
            </w:r>
          </w:p>
        </w:tc>
        <w:tc>
          <w:tcPr>
            <w:tcW w:w="1760" w:type="dxa"/>
            <w:vAlign w:val="bottom"/>
            <w:tcBorders>
              <w:bottom w:val="single" w:sz="8" w:color="54585A"/>
            </w:tcBorders>
          </w:tcPr>
          <w:p>
            <w:pPr>
              <w:ind w:left="1020"/>
              <w:spacing w:after="0"/>
              <w:rPr>
                <w:sz w:val="20"/>
                <w:szCs w:val="20"/>
                <w:color w:val="auto"/>
              </w:rPr>
            </w:pPr>
            <w:r>
              <w:rPr>
                <w:rFonts w:ascii="Arial" w:cs="Arial" w:eastAsia="Arial" w:hAnsi="Arial"/>
                <w:sz w:val="10"/>
                <w:szCs w:val="10"/>
                <w:color w:val="54585A"/>
              </w:rPr>
              <w:t>—</w:t>
            </w:r>
          </w:p>
        </w:tc>
        <w:tc>
          <w:tcPr>
            <w:tcW w:w="102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239,000</w:t>
            </w:r>
          </w:p>
        </w:tc>
        <w:tc>
          <w:tcPr>
            <w:tcW w:w="0" w:type="dxa"/>
            <w:vAlign w:val="bottom"/>
          </w:tcPr>
          <w:p>
            <w:pPr>
              <w:spacing w:after="0"/>
              <w:rPr>
                <w:sz w:val="1"/>
                <w:szCs w:val="1"/>
                <w:color w:val="auto"/>
              </w:rPr>
            </w:pPr>
          </w:p>
        </w:tc>
      </w:tr>
      <w:tr>
        <w:trPr>
          <w:trHeight w:val="142"/>
        </w:trPr>
        <w:tc>
          <w:tcPr>
            <w:tcW w:w="324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Benjamin G. Wolff</w:t>
            </w:r>
            <w:r>
              <w:rPr>
                <w:rFonts w:ascii="Arial" w:cs="Arial" w:eastAsia="Arial" w:hAnsi="Arial"/>
                <w:sz w:val="12"/>
                <w:szCs w:val="12"/>
                <w:b w:val="1"/>
                <w:bCs w:val="1"/>
                <w:color w:val="EB6C10"/>
                <w:vertAlign w:val="superscript"/>
              </w:rPr>
              <w:t>(2)(3)</w:t>
            </w:r>
          </w:p>
        </w:tc>
        <w:tc>
          <w:tcPr>
            <w:tcW w:w="2200" w:type="dxa"/>
            <w:vAlign w:val="bottom"/>
            <w:tcBorders>
              <w:bottom w:val="single" w:sz="8" w:color="54585A"/>
            </w:tcBorders>
          </w:tcPr>
          <w:p>
            <w:pPr>
              <w:jc w:val="right"/>
              <w:ind w:right="592"/>
              <w:spacing w:after="0"/>
              <w:rPr>
                <w:sz w:val="20"/>
                <w:szCs w:val="20"/>
                <w:color w:val="auto"/>
              </w:rPr>
            </w:pPr>
            <w:r>
              <w:rPr>
                <w:rFonts w:ascii="Arial" w:cs="Arial" w:eastAsia="Arial" w:hAnsi="Arial"/>
                <w:sz w:val="10"/>
                <w:szCs w:val="10"/>
                <w:color w:val="54585A"/>
              </w:rPr>
              <w:t>50,000</w:t>
            </w:r>
          </w:p>
        </w:tc>
        <w:tc>
          <w:tcPr>
            <w:tcW w:w="1600" w:type="dxa"/>
            <w:vAlign w:val="bottom"/>
            <w:tcBorders>
              <w:bottom w:val="single" w:sz="8" w:color="54585A"/>
            </w:tcBorders>
          </w:tcPr>
          <w:p>
            <w:pPr>
              <w:jc w:val="right"/>
              <w:ind w:right="594"/>
              <w:spacing w:after="0"/>
              <w:rPr>
                <w:sz w:val="20"/>
                <w:szCs w:val="20"/>
                <w:color w:val="auto"/>
              </w:rPr>
            </w:pPr>
            <w:r>
              <w:rPr>
                <w:rFonts w:ascii="Arial" w:cs="Arial" w:eastAsia="Arial" w:hAnsi="Arial"/>
                <w:sz w:val="10"/>
                <w:szCs w:val="10"/>
                <w:color w:val="54585A"/>
              </w:rPr>
              <w:t>103,000</w:t>
            </w:r>
          </w:p>
        </w:tc>
        <w:tc>
          <w:tcPr>
            <w:tcW w:w="1460" w:type="dxa"/>
            <w:vAlign w:val="bottom"/>
            <w:tcBorders>
              <w:bottom w:val="single" w:sz="8" w:color="54585A"/>
            </w:tcBorders>
          </w:tcPr>
          <w:p>
            <w:pPr>
              <w:ind w:left="660"/>
              <w:spacing w:after="0"/>
              <w:rPr>
                <w:sz w:val="20"/>
                <w:szCs w:val="20"/>
                <w:color w:val="auto"/>
              </w:rPr>
            </w:pPr>
            <w:r>
              <w:rPr>
                <w:rFonts w:ascii="Arial" w:cs="Arial" w:eastAsia="Arial" w:hAnsi="Arial"/>
                <w:sz w:val="10"/>
                <w:szCs w:val="10"/>
                <w:color w:val="54585A"/>
              </w:rPr>
              <w:t>86,000</w:t>
            </w:r>
          </w:p>
        </w:tc>
        <w:tc>
          <w:tcPr>
            <w:tcW w:w="1760" w:type="dxa"/>
            <w:vAlign w:val="bottom"/>
            <w:tcBorders>
              <w:bottom w:val="single" w:sz="8" w:color="54585A"/>
            </w:tcBorders>
          </w:tcPr>
          <w:p>
            <w:pPr>
              <w:ind w:left="1020"/>
              <w:spacing w:after="0"/>
              <w:rPr>
                <w:sz w:val="20"/>
                <w:szCs w:val="20"/>
                <w:color w:val="auto"/>
              </w:rPr>
            </w:pPr>
            <w:r>
              <w:rPr>
                <w:rFonts w:ascii="Arial" w:cs="Arial" w:eastAsia="Arial" w:hAnsi="Arial"/>
                <w:sz w:val="10"/>
                <w:szCs w:val="10"/>
                <w:color w:val="54585A"/>
              </w:rPr>
              <w:t>—</w:t>
            </w:r>
          </w:p>
        </w:tc>
        <w:tc>
          <w:tcPr>
            <w:tcW w:w="102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239,000</w:t>
            </w:r>
          </w:p>
        </w:tc>
        <w:tc>
          <w:tcPr>
            <w:tcW w:w="0" w:type="dxa"/>
            <w:vAlign w:val="bottom"/>
          </w:tcPr>
          <w:p>
            <w:pPr>
              <w:spacing w:after="0"/>
              <w:rPr>
                <w:sz w:val="1"/>
                <w:szCs w:val="1"/>
                <w:color w:val="auto"/>
              </w:rPr>
            </w:pPr>
          </w:p>
        </w:tc>
      </w:tr>
      <w:tr>
        <w:trPr>
          <w:trHeight w:val="142"/>
        </w:trPr>
        <w:tc>
          <w:tcPr>
            <w:tcW w:w="324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Michael J. Lovett</w:t>
            </w:r>
            <w:r>
              <w:rPr>
                <w:rFonts w:ascii="Arial" w:cs="Arial" w:eastAsia="Arial" w:hAnsi="Arial"/>
                <w:sz w:val="12"/>
                <w:szCs w:val="12"/>
                <w:b w:val="1"/>
                <w:bCs w:val="1"/>
                <w:color w:val="EB6C10"/>
                <w:vertAlign w:val="superscript"/>
              </w:rPr>
              <w:t>(2)</w:t>
            </w:r>
          </w:p>
        </w:tc>
        <w:tc>
          <w:tcPr>
            <w:tcW w:w="2200" w:type="dxa"/>
            <w:vAlign w:val="bottom"/>
            <w:tcBorders>
              <w:bottom w:val="single" w:sz="8" w:color="54585A"/>
            </w:tcBorders>
          </w:tcPr>
          <w:p>
            <w:pPr>
              <w:jc w:val="right"/>
              <w:ind w:right="592"/>
              <w:spacing w:after="0"/>
              <w:rPr>
                <w:sz w:val="20"/>
                <w:szCs w:val="20"/>
                <w:color w:val="auto"/>
              </w:rPr>
            </w:pPr>
            <w:r>
              <w:rPr>
                <w:rFonts w:ascii="Arial" w:cs="Arial" w:eastAsia="Arial" w:hAnsi="Arial"/>
                <w:sz w:val="10"/>
                <w:szCs w:val="10"/>
                <w:color w:val="54585A"/>
              </w:rPr>
              <w:t>50,000</w:t>
            </w:r>
          </w:p>
        </w:tc>
        <w:tc>
          <w:tcPr>
            <w:tcW w:w="1600" w:type="dxa"/>
            <w:vAlign w:val="bottom"/>
            <w:tcBorders>
              <w:bottom w:val="single" w:sz="8" w:color="54585A"/>
            </w:tcBorders>
          </w:tcPr>
          <w:p>
            <w:pPr>
              <w:jc w:val="right"/>
              <w:ind w:right="594"/>
              <w:spacing w:after="0"/>
              <w:rPr>
                <w:sz w:val="20"/>
                <w:szCs w:val="20"/>
                <w:color w:val="auto"/>
              </w:rPr>
            </w:pPr>
            <w:r>
              <w:rPr>
                <w:rFonts w:ascii="Arial" w:cs="Arial" w:eastAsia="Arial" w:hAnsi="Arial"/>
                <w:sz w:val="10"/>
                <w:szCs w:val="10"/>
                <w:color w:val="54585A"/>
              </w:rPr>
              <w:t>50,000</w:t>
            </w:r>
          </w:p>
        </w:tc>
        <w:tc>
          <w:tcPr>
            <w:tcW w:w="1460" w:type="dxa"/>
            <w:vAlign w:val="bottom"/>
            <w:tcBorders>
              <w:bottom w:val="single" w:sz="8" w:color="54585A"/>
            </w:tcBorders>
          </w:tcPr>
          <w:p>
            <w:pPr>
              <w:ind w:left="660"/>
              <w:spacing w:after="0"/>
              <w:rPr>
                <w:sz w:val="20"/>
                <w:szCs w:val="20"/>
                <w:color w:val="auto"/>
              </w:rPr>
            </w:pPr>
            <w:r>
              <w:rPr>
                <w:rFonts w:ascii="Arial" w:cs="Arial" w:eastAsia="Arial" w:hAnsi="Arial"/>
                <w:sz w:val="10"/>
                <w:szCs w:val="10"/>
                <w:color w:val="54585A"/>
              </w:rPr>
              <w:t>86,000</w:t>
            </w:r>
          </w:p>
        </w:tc>
        <w:tc>
          <w:tcPr>
            <w:tcW w:w="1760" w:type="dxa"/>
            <w:vAlign w:val="bottom"/>
            <w:tcBorders>
              <w:bottom w:val="single" w:sz="8" w:color="54585A"/>
            </w:tcBorders>
          </w:tcPr>
          <w:p>
            <w:pPr>
              <w:ind w:left="1020"/>
              <w:spacing w:after="0"/>
              <w:rPr>
                <w:sz w:val="20"/>
                <w:szCs w:val="20"/>
                <w:color w:val="auto"/>
              </w:rPr>
            </w:pPr>
            <w:r>
              <w:rPr>
                <w:rFonts w:ascii="Arial" w:cs="Arial" w:eastAsia="Arial" w:hAnsi="Arial"/>
                <w:sz w:val="10"/>
                <w:szCs w:val="10"/>
                <w:color w:val="54585A"/>
              </w:rPr>
              <w:t>—</w:t>
            </w:r>
          </w:p>
        </w:tc>
        <w:tc>
          <w:tcPr>
            <w:tcW w:w="102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186,000</w:t>
            </w:r>
          </w:p>
        </w:tc>
        <w:tc>
          <w:tcPr>
            <w:tcW w:w="0" w:type="dxa"/>
            <w:vAlign w:val="bottom"/>
          </w:tcPr>
          <w:p>
            <w:pPr>
              <w:spacing w:after="0"/>
              <w:rPr>
                <w:sz w:val="1"/>
                <w:szCs w:val="1"/>
                <w:color w:val="auto"/>
              </w:rPr>
            </w:pPr>
          </w:p>
        </w:tc>
      </w:tr>
      <w:tr>
        <w:trPr>
          <w:trHeight w:val="142"/>
        </w:trPr>
        <w:tc>
          <w:tcPr>
            <w:tcW w:w="324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Timothy E. Taylor</w:t>
            </w:r>
            <w:r>
              <w:rPr>
                <w:rFonts w:ascii="Arial" w:cs="Arial" w:eastAsia="Arial" w:hAnsi="Arial"/>
                <w:sz w:val="12"/>
                <w:szCs w:val="12"/>
                <w:b w:val="1"/>
                <w:bCs w:val="1"/>
                <w:color w:val="EB6C10"/>
                <w:vertAlign w:val="superscript"/>
              </w:rPr>
              <w:t>(2)(3)(4)</w:t>
            </w:r>
          </w:p>
        </w:tc>
        <w:tc>
          <w:tcPr>
            <w:tcW w:w="2200" w:type="dxa"/>
            <w:vAlign w:val="bottom"/>
            <w:tcBorders>
              <w:bottom w:val="single" w:sz="8" w:color="54585A"/>
            </w:tcBorders>
          </w:tcPr>
          <w:p>
            <w:pPr>
              <w:jc w:val="right"/>
              <w:ind w:right="592"/>
              <w:spacing w:after="0"/>
              <w:rPr>
                <w:sz w:val="20"/>
                <w:szCs w:val="20"/>
                <w:color w:val="auto"/>
              </w:rPr>
            </w:pPr>
            <w:r>
              <w:rPr>
                <w:rFonts w:ascii="Arial" w:cs="Arial" w:eastAsia="Arial" w:hAnsi="Arial"/>
                <w:sz w:val="10"/>
                <w:szCs w:val="10"/>
                <w:color w:val="54585A"/>
              </w:rPr>
              <w:t>50,000</w:t>
            </w:r>
          </w:p>
        </w:tc>
        <w:tc>
          <w:tcPr>
            <w:tcW w:w="1600" w:type="dxa"/>
            <w:vAlign w:val="bottom"/>
            <w:tcBorders>
              <w:bottom w:val="single" w:sz="8" w:color="54585A"/>
            </w:tcBorders>
          </w:tcPr>
          <w:p>
            <w:pPr>
              <w:jc w:val="right"/>
              <w:ind w:right="594"/>
              <w:spacing w:after="0"/>
              <w:rPr>
                <w:sz w:val="20"/>
                <w:szCs w:val="20"/>
                <w:color w:val="auto"/>
              </w:rPr>
            </w:pPr>
            <w:r>
              <w:rPr>
                <w:rFonts w:ascii="Arial" w:cs="Arial" w:eastAsia="Arial" w:hAnsi="Arial"/>
                <w:sz w:val="10"/>
                <w:szCs w:val="10"/>
                <w:color w:val="54585A"/>
              </w:rPr>
              <w:t>103,000</w:t>
            </w:r>
          </w:p>
        </w:tc>
        <w:tc>
          <w:tcPr>
            <w:tcW w:w="1460" w:type="dxa"/>
            <w:vAlign w:val="bottom"/>
            <w:tcBorders>
              <w:bottom w:val="single" w:sz="8" w:color="54585A"/>
            </w:tcBorders>
          </w:tcPr>
          <w:p>
            <w:pPr>
              <w:ind w:left="660"/>
              <w:spacing w:after="0"/>
              <w:rPr>
                <w:sz w:val="20"/>
                <w:szCs w:val="20"/>
                <w:color w:val="auto"/>
              </w:rPr>
            </w:pPr>
            <w:r>
              <w:rPr>
                <w:rFonts w:ascii="Arial" w:cs="Arial" w:eastAsia="Arial" w:hAnsi="Arial"/>
                <w:sz w:val="10"/>
                <w:szCs w:val="10"/>
                <w:color w:val="54585A"/>
              </w:rPr>
              <w:t>86,000</w:t>
            </w:r>
          </w:p>
        </w:tc>
        <w:tc>
          <w:tcPr>
            <w:tcW w:w="1760" w:type="dxa"/>
            <w:vAlign w:val="bottom"/>
            <w:tcBorders>
              <w:bottom w:val="single" w:sz="8" w:color="54585A"/>
            </w:tcBorders>
          </w:tcPr>
          <w:p>
            <w:pPr>
              <w:ind w:left="1020"/>
              <w:spacing w:after="0"/>
              <w:rPr>
                <w:sz w:val="20"/>
                <w:szCs w:val="20"/>
                <w:color w:val="auto"/>
              </w:rPr>
            </w:pPr>
            <w:r>
              <w:rPr>
                <w:rFonts w:ascii="Arial" w:cs="Arial" w:eastAsia="Arial" w:hAnsi="Arial"/>
                <w:sz w:val="10"/>
                <w:szCs w:val="10"/>
                <w:color w:val="54585A"/>
              </w:rPr>
              <w:t>—</w:t>
            </w:r>
          </w:p>
        </w:tc>
        <w:tc>
          <w:tcPr>
            <w:tcW w:w="102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239,000</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08" w:right="420" w:hanging="208"/>
        <w:spacing w:after="0" w:line="364" w:lineRule="auto"/>
        <w:tabs>
          <w:tab w:leader="none" w:pos="207" w:val="left"/>
        </w:tabs>
        <w:numPr>
          <w:ilvl w:val="0"/>
          <w:numId w:val="39"/>
        </w:numPr>
        <w:rPr>
          <w:rFonts w:ascii="Arial" w:cs="Arial" w:eastAsia="Arial" w:hAnsi="Arial"/>
          <w:sz w:val="8"/>
          <w:szCs w:val="8"/>
          <w:color w:val="54585A"/>
        </w:rPr>
      </w:pPr>
      <w:r>
        <w:rPr>
          <w:rFonts w:ascii="Arial" w:cs="Arial" w:eastAsia="Arial" w:hAnsi="Arial"/>
          <w:sz w:val="8"/>
          <w:szCs w:val="8"/>
          <w:color w:val="54585A"/>
        </w:rPr>
        <w:t>Represents the aggregate grant date fair value computed consistent with FASB ASC Topic 718. For further discussion of our accounting policies for stock-based compensation and assumptions used in calculating the grant date fair value of stock-based compensation awards, see Note 15 to the Consolidated Financial Statements in our 2022 Annual Report on Form 10-K. The actual amount of compensation realized, if any, for option awards may differ from the amounts presented in the table.</w:t>
      </w:r>
    </w:p>
    <w:p>
      <w:pPr>
        <w:spacing w:after="0" w:line="17" w:lineRule="exact"/>
        <w:rPr>
          <w:rFonts w:ascii="Arial" w:cs="Arial" w:eastAsia="Arial" w:hAnsi="Arial"/>
          <w:sz w:val="8"/>
          <w:szCs w:val="8"/>
          <w:color w:val="54585A"/>
        </w:rPr>
      </w:pPr>
    </w:p>
    <w:p>
      <w:pPr>
        <w:ind w:left="208" w:right="80" w:hanging="208"/>
        <w:spacing w:after="0" w:line="243" w:lineRule="auto"/>
        <w:tabs>
          <w:tab w:leader="none" w:pos="207" w:val="left"/>
        </w:tabs>
        <w:numPr>
          <w:ilvl w:val="0"/>
          <w:numId w:val="39"/>
        </w:numPr>
        <w:rPr>
          <w:rFonts w:ascii="Arial" w:cs="Arial" w:eastAsia="Arial" w:hAnsi="Arial"/>
          <w:sz w:val="10"/>
          <w:szCs w:val="10"/>
          <w:color w:val="54585A"/>
        </w:rPr>
      </w:pPr>
      <w:r>
        <w:rPr>
          <w:rFonts w:ascii="Arial" w:cs="Arial" w:eastAsia="Arial" w:hAnsi="Arial"/>
          <w:sz w:val="10"/>
          <w:szCs w:val="10"/>
          <w:color w:val="54585A"/>
        </w:rPr>
        <w:t>On January 4, 2022, we granted options to purchase 100,000 shares of common stock with a grant date fair value of $0.86 per share and 43,104 restricted stock awards with a grant date fair value of $1.16 per share. The options to purchase shares of common stock vest in one-third increments over a three-year period and the restricted stock awards vest over a one-year period.</w:t>
      </w:r>
    </w:p>
    <w:p>
      <w:pPr>
        <w:spacing w:after="0" w:line="72" w:lineRule="exact"/>
        <w:rPr>
          <w:rFonts w:ascii="Arial" w:cs="Arial" w:eastAsia="Arial" w:hAnsi="Arial"/>
          <w:sz w:val="10"/>
          <w:szCs w:val="10"/>
          <w:color w:val="54585A"/>
        </w:rPr>
      </w:pPr>
    </w:p>
    <w:p>
      <w:pPr>
        <w:ind w:left="208" w:hanging="208"/>
        <w:spacing w:after="0"/>
        <w:tabs>
          <w:tab w:leader="none" w:pos="208" w:val="left"/>
        </w:tabs>
        <w:numPr>
          <w:ilvl w:val="0"/>
          <w:numId w:val="39"/>
        </w:numPr>
        <w:rPr>
          <w:rFonts w:ascii="Arial" w:cs="Arial" w:eastAsia="Arial" w:hAnsi="Arial"/>
          <w:sz w:val="10"/>
          <w:szCs w:val="10"/>
          <w:color w:val="54585A"/>
        </w:rPr>
      </w:pPr>
      <w:r>
        <w:rPr>
          <w:rFonts w:ascii="Arial" w:cs="Arial" w:eastAsia="Arial" w:hAnsi="Arial"/>
          <w:sz w:val="10"/>
          <w:szCs w:val="10"/>
          <w:color w:val="54585A"/>
        </w:rPr>
        <w:t>On May 10, 2022, we granted 50,000 restricted stock awards that had a grant date fair value of $1.06 per share and vest over a one-year period.</w:t>
      </w:r>
    </w:p>
    <w:p>
      <w:pPr>
        <w:spacing w:after="0" w:line="74" w:lineRule="exact"/>
        <w:rPr>
          <w:rFonts w:ascii="Arial" w:cs="Arial" w:eastAsia="Arial" w:hAnsi="Arial"/>
          <w:sz w:val="10"/>
          <w:szCs w:val="10"/>
          <w:color w:val="54585A"/>
        </w:rPr>
      </w:pPr>
    </w:p>
    <w:p>
      <w:pPr>
        <w:ind w:left="208" w:hanging="208"/>
        <w:spacing w:after="0"/>
        <w:tabs>
          <w:tab w:leader="none" w:pos="208" w:val="left"/>
        </w:tabs>
        <w:numPr>
          <w:ilvl w:val="0"/>
          <w:numId w:val="39"/>
        </w:numPr>
        <w:rPr>
          <w:rFonts w:ascii="Arial" w:cs="Arial" w:eastAsia="Arial" w:hAnsi="Arial"/>
          <w:sz w:val="10"/>
          <w:szCs w:val="10"/>
          <w:color w:val="54585A"/>
        </w:rPr>
      </w:pPr>
      <w:r>
        <w:rPr>
          <w:rFonts w:ascii="Arial" w:cs="Arial" w:eastAsia="Arial" w:hAnsi="Arial"/>
          <w:sz w:val="10"/>
          <w:szCs w:val="10"/>
          <w:color w:val="54585A"/>
        </w:rPr>
        <w:t>Mr. Taylor also received compensation during 2022 for his service as a Vice President of the Company. This compensation is not reflected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307975</wp:posOffset>
            </wp:positionV>
            <wp:extent cx="17145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18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56" w:right="31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36"/>
          <w:szCs w:val="36"/>
          <w:color w:val="EB6C10"/>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241300</wp:posOffset>
            </wp:positionV>
            <wp:extent cx="1788795" cy="44291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88795" cy="442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1D8DB8"/>
        </w:rPr>
        <w:t>Proposal Two</w:t>
      </w:r>
    </w:p>
    <w:p>
      <w:pPr>
        <w:spacing w:after="0" w:line="145" w:lineRule="exact"/>
        <w:rPr>
          <w:sz w:val="20"/>
          <w:szCs w:val="20"/>
          <w:color w:val="auto"/>
        </w:rPr>
      </w:pPr>
    </w:p>
    <w:p>
      <w:pPr>
        <w:ind w:left="440" w:right="20" w:hanging="112"/>
        <w:spacing w:after="0" w:line="324" w:lineRule="auto"/>
        <w:tabs>
          <w:tab w:leader="none" w:pos="398" w:val="left"/>
        </w:tabs>
        <w:numPr>
          <w:ilvl w:val="0"/>
          <w:numId w:val="40"/>
        </w:numPr>
        <w:rPr>
          <w:rFonts w:ascii="Arial" w:cs="Arial" w:eastAsia="Arial" w:hAnsi="Arial"/>
          <w:sz w:val="12"/>
          <w:szCs w:val="12"/>
          <w:b w:val="1"/>
          <w:bCs w:val="1"/>
          <w:color w:val="1D8DB8"/>
        </w:rPr>
      </w:pPr>
      <w:r>
        <w:rPr>
          <w:rFonts w:ascii="Arial" w:cs="Arial" w:eastAsia="Arial" w:hAnsi="Arial"/>
          <w:sz w:val="12"/>
          <w:szCs w:val="12"/>
          <w:color w:val="FFFFFF"/>
        </w:rPr>
        <w:t xml:space="preserve">The Board recommends that stockholders vote </w:t>
      </w:r>
      <w:r>
        <w:rPr>
          <w:rFonts w:ascii="Arial" w:cs="Arial" w:eastAsia="Arial" w:hAnsi="Arial"/>
          <w:sz w:val="12"/>
          <w:szCs w:val="12"/>
          <w:b w:val="1"/>
          <w:bCs w:val="1"/>
          <w:color w:val="1D8DB8"/>
        </w:rPr>
        <w:t>FOR</w:t>
      </w:r>
      <w:r>
        <w:rPr>
          <w:rFonts w:ascii="Arial" w:cs="Arial" w:eastAsia="Arial" w:hAnsi="Arial"/>
          <w:sz w:val="12"/>
          <w:szCs w:val="12"/>
          <w:color w:val="FFFFFF"/>
        </w:rPr>
        <w:t xml:space="preserve"> ratification of the appointment of EY as our independent registered public accounting firm for the year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2719705</wp:posOffset>
            </wp:positionV>
            <wp:extent cx="17145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0"/>
          <w:szCs w:val="10"/>
          <w:color w:val="54585A"/>
        </w:rPr>
        <w:t xml:space="preserve">Audit Matters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color w:val="54585A"/>
        </w:rPr>
        <w:t>Ratification of Independent Registered Public Accounting Firm</w:t>
      </w:r>
    </w:p>
    <w:p>
      <w:pPr>
        <w:spacing w:after="0" w:line="137" w:lineRule="exact"/>
        <w:rPr>
          <w:sz w:val="20"/>
          <w:szCs w:val="20"/>
          <w:color w:val="auto"/>
        </w:rPr>
      </w:pPr>
    </w:p>
    <w:p>
      <w:pPr>
        <w:ind w:right="60"/>
        <w:spacing w:after="0" w:line="313" w:lineRule="auto"/>
        <w:rPr>
          <w:sz w:val="20"/>
          <w:szCs w:val="20"/>
          <w:color w:val="auto"/>
        </w:rPr>
      </w:pPr>
      <w:r>
        <w:rPr>
          <w:rFonts w:ascii="Arial" w:cs="Arial" w:eastAsia="Arial" w:hAnsi="Arial"/>
          <w:sz w:val="11"/>
          <w:szCs w:val="11"/>
          <w:color w:val="54585A"/>
        </w:rPr>
        <w:t>The Board desires to obtain from the stockholders an indication of their approval or disapproval of the appointment by the Audit Committee of Ernst &amp; Young LLP ("EY") as our independent registered public accounting firm for 2023.</w:t>
      </w:r>
    </w:p>
    <w:p>
      <w:pPr>
        <w:spacing w:after="0" w:line="111" w:lineRule="exact"/>
        <w:rPr>
          <w:sz w:val="20"/>
          <w:szCs w:val="20"/>
          <w:color w:val="auto"/>
        </w:rPr>
      </w:pPr>
    </w:p>
    <w:p>
      <w:pPr>
        <w:ind w:right="40"/>
        <w:spacing w:after="0" w:line="319" w:lineRule="auto"/>
        <w:rPr>
          <w:sz w:val="20"/>
          <w:szCs w:val="20"/>
          <w:color w:val="auto"/>
        </w:rPr>
      </w:pPr>
      <w:r>
        <w:rPr>
          <w:rFonts w:ascii="Arial" w:cs="Arial" w:eastAsia="Arial" w:hAnsi="Arial"/>
          <w:sz w:val="11"/>
          <w:szCs w:val="11"/>
          <w:color w:val="54585A"/>
        </w:rPr>
        <w:t>EY has served as our independent registered public accounting firm beginning with the audit of the year ended December 31, 2020. We have been informed that neither EY nor any of its partners has any direct financial interest or any material indirect financial interest in Globalstar and during the past three years has not had any connection therewith in the capacity of promoter, underwriter, director, officer or employee.</w:t>
      </w:r>
    </w:p>
    <w:p>
      <w:pPr>
        <w:spacing w:after="0" w:line="108" w:lineRule="exact"/>
        <w:rPr>
          <w:sz w:val="20"/>
          <w:szCs w:val="20"/>
          <w:color w:val="auto"/>
        </w:rPr>
      </w:pPr>
    </w:p>
    <w:p>
      <w:pPr>
        <w:ind w:right="80"/>
        <w:spacing w:after="0" w:line="313" w:lineRule="auto"/>
        <w:rPr>
          <w:sz w:val="20"/>
          <w:szCs w:val="20"/>
          <w:color w:val="auto"/>
        </w:rPr>
      </w:pPr>
      <w:r>
        <w:rPr>
          <w:rFonts w:ascii="Arial" w:cs="Arial" w:eastAsia="Arial" w:hAnsi="Arial"/>
          <w:sz w:val="11"/>
          <w:szCs w:val="11"/>
          <w:color w:val="54585A"/>
        </w:rPr>
        <w:t>One or more representatives of EY will be present, either in person or by telephone, at the Annual Meeting, will have an opportunity to make a statement if they desire and will be available to respond to appropriate questions.</w:t>
      </w:r>
    </w:p>
    <w:p>
      <w:pPr>
        <w:spacing w:after="0" w:line="111" w:lineRule="exact"/>
        <w:rPr>
          <w:sz w:val="20"/>
          <w:szCs w:val="20"/>
          <w:color w:val="auto"/>
        </w:rPr>
      </w:pPr>
    </w:p>
    <w:p>
      <w:pPr>
        <w:jc w:val="both"/>
        <w:ind w:right="320"/>
        <w:spacing w:after="0" w:line="319" w:lineRule="auto"/>
        <w:rPr>
          <w:sz w:val="20"/>
          <w:szCs w:val="20"/>
          <w:color w:val="auto"/>
        </w:rPr>
      </w:pPr>
      <w:r>
        <w:rPr>
          <w:rFonts w:ascii="Arial" w:cs="Arial" w:eastAsia="Arial" w:hAnsi="Arial"/>
          <w:sz w:val="11"/>
          <w:szCs w:val="11"/>
          <w:color w:val="54585A"/>
        </w:rPr>
        <w:t>If the resolution is defeated, the adverse vote will be considered a direction to the Audit Committee to select another independent registered public accounting firm for 2024. The appointment for the year 2023 will be permitted to stand unless the Audit Committee becomes aware of other reasons for changing independent registered public accounting firms other than at the end of a fiscal year.</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Vote Required to Ratify the Appointment of EY</w:t>
      </w:r>
    </w:p>
    <w:p>
      <w:pPr>
        <w:spacing w:after="0" w:line="76" w:lineRule="exact"/>
        <w:rPr>
          <w:sz w:val="20"/>
          <w:szCs w:val="20"/>
          <w:color w:val="auto"/>
        </w:rPr>
      </w:pPr>
    </w:p>
    <w:p>
      <w:pPr>
        <w:ind w:right="180"/>
        <w:spacing w:after="0" w:line="330" w:lineRule="auto"/>
        <w:rPr>
          <w:sz w:val="20"/>
          <w:szCs w:val="20"/>
          <w:color w:val="auto"/>
        </w:rPr>
      </w:pPr>
      <w:r>
        <w:rPr>
          <w:rFonts w:ascii="Arial" w:cs="Arial" w:eastAsia="Arial" w:hAnsi="Arial"/>
          <w:sz w:val="11"/>
          <w:szCs w:val="11"/>
          <w:color w:val="54585A"/>
        </w:rPr>
        <w:t>The affirmative vote of the holders of a majority of the shares of common stock represented, in person or by proxy, and entitled to vote at the meeting is required to ratify the appointment of 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5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163830</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2380" w:space="720"/>
            <w:col w:w="8200"/>
          </w:cols>
          <w:pgMar w:left="300" w:top="125" w:right="299" w:bottom="1440" w:gutter="0" w:footer="0" w:header="0"/>
        </w:sectPr>
      </w:pPr>
    </w:p>
    <w:bookmarkStart w:id="22" w:name="page23"/>
    <w:bookmarkEnd w:id="22"/>
    <w:p>
      <w:pPr>
        <w:ind w:left="68" w:hanging="68"/>
        <w:spacing w:after="0"/>
        <w:tabs>
          <w:tab w:leader="none" w:pos="68" w:val="left"/>
        </w:tabs>
        <w:numPr>
          <w:ilvl w:val="0"/>
          <w:numId w:val="41"/>
        </w:numPr>
        <w:rPr>
          <w:rFonts w:ascii="Arial" w:cs="Arial" w:eastAsia="Arial" w:hAnsi="Arial"/>
          <w:sz w:val="12"/>
          <w:szCs w:val="12"/>
          <w:b w:val="1"/>
          <w:bCs w:val="1"/>
          <w:color w:val="EB6C10"/>
        </w:rPr>
      </w:pPr>
      <w:r>
        <w:rPr>
          <w:rFonts w:ascii="Arial" w:cs="Arial" w:eastAsia="Arial" w:hAnsi="Arial"/>
          <w:sz w:val="10"/>
          <w:szCs w:val="10"/>
          <w:color w:val="54585A"/>
        </w:rPr>
        <w:t>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Independent Registered Public Accounting Firm Fees</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1"/>
          <w:szCs w:val="11"/>
          <w:color w:val="54585A"/>
        </w:rPr>
        <w:t>The table below presents fees for professional audit and other services rendered by EY for the fiscal years ended December 31, 2022 and 2021.</w:t>
      </w:r>
    </w:p>
    <w:p>
      <w:pPr>
        <w:spacing w:after="0" w:line="151"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6980" w:type="dxa"/>
            <w:vAlign w:val="bottom"/>
            <w:tcBorders>
              <w:bottom w:val="single" w:sz="8" w:color="EEEDED"/>
            </w:tcBorders>
            <w:shd w:val="clear" w:color="auto" w:fill="EEEDED"/>
          </w:tcPr>
          <w:p>
            <w:pPr>
              <w:spacing w:after="0"/>
              <w:rPr>
                <w:sz w:val="13"/>
                <w:szCs w:val="13"/>
                <w:color w:val="auto"/>
              </w:rPr>
            </w:pPr>
          </w:p>
        </w:tc>
        <w:tc>
          <w:tcPr>
            <w:tcW w:w="1380" w:type="dxa"/>
            <w:vAlign w:val="bottom"/>
            <w:tcBorders>
              <w:bottom w:val="single" w:sz="8" w:color="54585A"/>
            </w:tcBorders>
            <w:shd w:val="clear" w:color="auto" w:fill="EEEDED"/>
          </w:tcPr>
          <w:p>
            <w:pPr>
              <w:spacing w:after="0"/>
              <w:rPr>
                <w:sz w:val="13"/>
                <w:szCs w:val="13"/>
                <w:color w:val="auto"/>
              </w:rPr>
            </w:pPr>
          </w:p>
        </w:tc>
        <w:tc>
          <w:tcPr>
            <w:tcW w:w="1560" w:type="dxa"/>
            <w:vAlign w:val="bottom"/>
            <w:tcBorders>
              <w:bottom w:val="single" w:sz="8" w:color="54585A"/>
            </w:tcBorders>
            <w:gridSpan w:val="2"/>
            <w:shd w:val="clear" w:color="auto" w:fill="EEEDED"/>
          </w:tcPr>
          <w:p>
            <w:pPr>
              <w:jc w:val="right"/>
              <w:ind w:right="152"/>
              <w:spacing w:after="0"/>
              <w:rPr>
                <w:sz w:val="20"/>
                <w:szCs w:val="20"/>
                <w:color w:val="auto"/>
              </w:rPr>
            </w:pPr>
            <w:r>
              <w:rPr>
                <w:rFonts w:ascii="Arial" w:cs="Arial" w:eastAsia="Arial" w:hAnsi="Arial"/>
                <w:sz w:val="10"/>
                <w:szCs w:val="10"/>
                <w:b w:val="1"/>
                <w:bCs w:val="1"/>
                <w:color w:val="54585A"/>
              </w:rPr>
              <w:t>Year Ended December 31,</w:t>
            </w:r>
          </w:p>
        </w:tc>
        <w:tc>
          <w:tcPr>
            <w:tcW w:w="1380" w:type="dxa"/>
            <w:vAlign w:val="bottom"/>
            <w:tcBorders>
              <w:bottom w:val="single" w:sz="8" w:color="54585A"/>
            </w:tcBorders>
            <w:shd w:val="clear" w:color="auto" w:fill="EEEDED"/>
          </w:tcPr>
          <w:p>
            <w:pPr>
              <w:spacing w:after="0"/>
              <w:rPr>
                <w:sz w:val="13"/>
                <w:szCs w:val="13"/>
                <w:color w:val="auto"/>
              </w:rPr>
            </w:pPr>
          </w:p>
        </w:tc>
      </w:tr>
      <w:tr>
        <w:trPr>
          <w:trHeight w:val="128"/>
        </w:trPr>
        <w:tc>
          <w:tcPr>
            <w:tcW w:w="6980" w:type="dxa"/>
            <w:vAlign w:val="bottom"/>
            <w:shd w:val="clear" w:color="auto" w:fill="EEEDED"/>
          </w:tcPr>
          <w:p>
            <w:pPr>
              <w:spacing w:after="0"/>
              <w:rPr>
                <w:sz w:val="11"/>
                <w:szCs w:val="11"/>
                <w:color w:val="auto"/>
              </w:rPr>
            </w:pPr>
          </w:p>
        </w:tc>
        <w:tc>
          <w:tcPr>
            <w:tcW w:w="1380" w:type="dxa"/>
            <w:vAlign w:val="bottom"/>
            <w:shd w:val="clear" w:color="auto" w:fill="EEEDED"/>
          </w:tcPr>
          <w:p>
            <w:pPr>
              <w:jc w:val="right"/>
              <w:ind w:right="152"/>
              <w:spacing w:after="0"/>
              <w:rPr>
                <w:sz w:val="20"/>
                <w:szCs w:val="20"/>
                <w:color w:val="auto"/>
              </w:rPr>
            </w:pPr>
            <w:r>
              <w:rPr>
                <w:rFonts w:ascii="Arial" w:cs="Arial" w:eastAsia="Arial" w:hAnsi="Arial"/>
                <w:sz w:val="10"/>
                <w:szCs w:val="10"/>
                <w:b w:val="1"/>
                <w:bCs w:val="1"/>
                <w:color w:val="54585A"/>
              </w:rPr>
              <w:t>2022</w:t>
            </w:r>
          </w:p>
        </w:tc>
        <w:tc>
          <w:tcPr>
            <w:tcW w:w="800" w:type="dxa"/>
            <w:vAlign w:val="bottom"/>
            <w:tcBorders>
              <w:right w:val="single" w:sz="8" w:color="54585A"/>
            </w:tcBorders>
            <w:shd w:val="clear" w:color="auto" w:fill="EEEDED"/>
          </w:tcPr>
          <w:p>
            <w:pPr>
              <w:spacing w:after="0"/>
              <w:rPr>
                <w:sz w:val="11"/>
                <w:szCs w:val="11"/>
                <w:color w:val="auto"/>
              </w:rPr>
            </w:pPr>
          </w:p>
        </w:tc>
        <w:tc>
          <w:tcPr>
            <w:tcW w:w="760" w:type="dxa"/>
            <w:vAlign w:val="bottom"/>
            <w:shd w:val="clear" w:color="auto" w:fill="EEEDED"/>
          </w:tcPr>
          <w:p>
            <w:pPr>
              <w:spacing w:after="0"/>
              <w:rPr>
                <w:sz w:val="11"/>
                <w:szCs w:val="11"/>
                <w:color w:val="auto"/>
              </w:rPr>
            </w:pPr>
          </w:p>
        </w:tc>
        <w:tc>
          <w:tcPr>
            <w:tcW w:w="1380" w:type="dxa"/>
            <w:vAlign w:val="bottom"/>
            <w:shd w:val="clear" w:color="auto" w:fill="EEEDED"/>
          </w:tcPr>
          <w:p>
            <w:pPr>
              <w:jc w:val="right"/>
              <w:ind w:right="932"/>
              <w:spacing w:after="0"/>
              <w:rPr>
                <w:sz w:val="20"/>
                <w:szCs w:val="20"/>
                <w:color w:val="auto"/>
              </w:rPr>
            </w:pPr>
            <w:r>
              <w:rPr>
                <w:rFonts w:ascii="Arial" w:cs="Arial" w:eastAsia="Arial" w:hAnsi="Arial"/>
                <w:sz w:val="10"/>
                <w:szCs w:val="10"/>
                <w:b w:val="1"/>
                <w:bCs w:val="1"/>
                <w:color w:val="54585A"/>
              </w:rPr>
              <w:t>2021</w:t>
            </w:r>
          </w:p>
        </w:tc>
      </w:tr>
      <w:tr>
        <w:trPr>
          <w:trHeight w:val="80"/>
        </w:trPr>
        <w:tc>
          <w:tcPr>
            <w:tcW w:w="6980" w:type="dxa"/>
            <w:vAlign w:val="bottom"/>
            <w:shd w:val="clear" w:color="auto" w:fill="EEEDED"/>
          </w:tcPr>
          <w:p>
            <w:pPr>
              <w:spacing w:after="0"/>
              <w:rPr>
                <w:sz w:val="6"/>
                <w:szCs w:val="6"/>
                <w:color w:val="auto"/>
              </w:rPr>
            </w:pPr>
          </w:p>
        </w:tc>
        <w:tc>
          <w:tcPr>
            <w:tcW w:w="1380" w:type="dxa"/>
            <w:vAlign w:val="bottom"/>
            <w:shd w:val="clear" w:color="auto" w:fill="EEEDED"/>
          </w:tcPr>
          <w:p>
            <w:pPr>
              <w:spacing w:after="0"/>
              <w:rPr>
                <w:sz w:val="6"/>
                <w:szCs w:val="6"/>
                <w:color w:val="auto"/>
              </w:rPr>
            </w:pPr>
          </w:p>
        </w:tc>
        <w:tc>
          <w:tcPr>
            <w:tcW w:w="800" w:type="dxa"/>
            <w:vAlign w:val="bottom"/>
            <w:tcBorders>
              <w:right w:val="single" w:sz="8" w:color="54585A"/>
            </w:tcBorders>
            <w:shd w:val="clear" w:color="auto" w:fill="EEEDED"/>
          </w:tcPr>
          <w:p>
            <w:pPr>
              <w:spacing w:after="0"/>
              <w:rPr>
                <w:sz w:val="6"/>
                <w:szCs w:val="6"/>
                <w:color w:val="auto"/>
              </w:rPr>
            </w:pPr>
          </w:p>
        </w:tc>
        <w:tc>
          <w:tcPr>
            <w:tcW w:w="760" w:type="dxa"/>
            <w:vAlign w:val="bottom"/>
            <w:shd w:val="clear" w:color="auto" w:fill="EEEDED"/>
          </w:tcPr>
          <w:p>
            <w:pPr>
              <w:spacing w:after="0"/>
              <w:rPr>
                <w:sz w:val="6"/>
                <w:szCs w:val="6"/>
                <w:color w:val="auto"/>
              </w:rPr>
            </w:pPr>
          </w:p>
        </w:tc>
        <w:tc>
          <w:tcPr>
            <w:tcW w:w="1380" w:type="dxa"/>
            <w:vAlign w:val="bottom"/>
            <w:shd w:val="clear" w:color="auto" w:fill="EEEDED"/>
          </w:tcPr>
          <w:p>
            <w:pPr>
              <w:spacing w:after="0"/>
              <w:rPr>
                <w:sz w:val="6"/>
                <w:szCs w:val="6"/>
                <w:color w:val="auto"/>
              </w:rPr>
            </w:pPr>
          </w:p>
        </w:tc>
      </w:tr>
      <w:tr>
        <w:trPr>
          <w:trHeight w:val="153"/>
        </w:trPr>
        <w:tc>
          <w:tcPr>
            <w:tcW w:w="698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Audit Fees</w:t>
            </w:r>
            <w:r>
              <w:rPr>
                <w:rFonts w:ascii="Arial" w:cs="Arial" w:eastAsia="Arial" w:hAnsi="Arial"/>
                <w:sz w:val="12"/>
                <w:szCs w:val="12"/>
                <w:b w:val="1"/>
                <w:bCs w:val="1"/>
                <w:color w:val="EB6C10"/>
                <w:vertAlign w:val="superscript"/>
              </w:rPr>
              <w:t>(1)</w:t>
            </w:r>
          </w:p>
        </w:tc>
        <w:tc>
          <w:tcPr>
            <w:tcW w:w="1380" w:type="dxa"/>
            <w:vAlign w:val="bottom"/>
            <w:tcBorders>
              <w:bottom w:val="single" w:sz="8" w:color="54585A"/>
            </w:tcBorders>
          </w:tcPr>
          <w:p>
            <w:pPr>
              <w:jc w:val="right"/>
              <w:ind w:right="1272"/>
              <w:spacing w:after="0"/>
              <w:rPr>
                <w:sz w:val="20"/>
                <w:szCs w:val="20"/>
                <w:color w:val="auto"/>
              </w:rPr>
            </w:pPr>
            <w:r>
              <w:rPr>
                <w:rFonts w:ascii="Arial" w:cs="Arial" w:eastAsia="Arial" w:hAnsi="Arial"/>
                <w:sz w:val="10"/>
                <w:szCs w:val="10"/>
                <w:color w:val="54585A"/>
                <w:w w:val="71"/>
              </w:rPr>
              <w:t>$</w:t>
            </w:r>
          </w:p>
        </w:tc>
        <w:tc>
          <w:tcPr>
            <w:tcW w:w="800" w:type="dxa"/>
            <w:vAlign w:val="bottom"/>
            <w:tcBorders>
              <w:bottom w:val="single" w:sz="8" w:color="54585A"/>
              <w:right w:val="single" w:sz="8" w:color="54585A"/>
            </w:tcBorders>
          </w:tcPr>
          <w:p>
            <w:pPr>
              <w:jc w:val="right"/>
              <w:ind w:right="12"/>
              <w:spacing w:after="0"/>
              <w:rPr>
                <w:sz w:val="20"/>
                <w:szCs w:val="20"/>
                <w:color w:val="auto"/>
              </w:rPr>
            </w:pPr>
            <w:r>
              <w:rPr>
                <w:rFonts w:ascii="Arial" w:cs="Arial" w:eastAsia="Arial" w:hAnsi="Arial"/>
                <w:sz w:val="10"/>
                <w:szCs w:val="10"/>
                <w:color w:val="54585A"/>
              </w:rPr>
              <w:t>1,017,665</w:t>
            </w:r>
          </w:p>
        </w:tc>
        <w:tc>
          <w:tcPr>
            <w:tcW w:w="760" w:type="dxa"/>
            <w:vAlign w:val="bottom"/>
            <w:tcBorders>
              <w:bottom w:val="single" w:sz="8" w:color="54585A"/>
            </w:tcBorders>
          </w:tcPr>
          <w:p>
            <w:pPr>
              <w:jc w:val="right"/>
              <w:ind w:right="652"/>
              <w:spacing w:after="0"/>
              <w:rPr>
                <w:sz w:val="20"/>
                <w:szCs w:val="20"/>
                <w:color w:val="auto"/>
              </w:rPr>
            </w:pPr>
            <w:r>
              <w:rPr>
                <w:rFonts w:ascii="Arial" w:cs="Arial" w:eastAsia="Arial" w:hAnsi="Arial"/>
                <w:sz w:val="10"/>
                <w:szCs w:val="10"/>
                <w:color w:val="54585A"/>
                <w:w w:val="71"/>
              </w:rPr>
              <w:t>$</w:t>
            </w:r>
          </w:p>
        </w:tc>
        <w:tc>
          <w:tcPr>
            <w:tcW w:w="13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982,295</w:t>
            </w:r>
          </w:p>
        </w:tc>
      </w:tr>
      <w:tr>
        <w:trPr>
          <w:trHeight w:val="142"/>
        </w:trPr>
        <w:tc>
          <w:tcPr>
            <w:tcW w:w="698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Audit-Related Fees</w:t>
            </w:r>
            <w:r>
              <w:rPr>
                <w:rFonts w:ascii="Arial" w:cs="Arial" w:eastAsia="Arial" w:hAnsi="Arial"/>
                <w:sz w:val="12"/>
                <w:szCs w:val="12"/>
                <w:b w:val="1"/>
                <w:bCs w:val="1"/>
                <w:color w:val="EB6C10"/>
                <w:vertAlign w:val="superscript"/>
              </w:rPr>
              <w:t>(2)</w:t>
            </w:r>
          </w:p>
        </w:tc>
        <w:tc>
          <w:tcPr>
            <w:tcW w:w="1380" w:type="dxa"/>
            <w:vAlign w:val="bottom"/>
            <w:tcBorders>
              <w:bottom w:val="single" w:sz="8" w:color="54585A"/>
            </w:tcBorders>
          </w:tcPr>
          <w:p>
            <w:pPr>
              <w:spacing w:after="0"/>
              <w:rPr>
                <w:sz w:val="12"/>
                <w:szCs w:val="12"/>
                <w:color w:val="auto"/>
              </w:rPr>
            </w:pPr>
          </w:p>
        </w:tc>
        <w:tc>
          <w:tcPr>
            <w:tcW w:w="800" w:type="dxa"/>
            <w:vAlign w:val="bottom"/>
            <w:tcBorders>
              <w:bottom w:val="single" w:sz="8" w:color="54585A"/>
              <w:right w:val="single" w:sz="8" w:color="54585A"/>
            </w:tcBorders>
          </w:tcPr>
          <w:p>
            <w:pPr>
              <w:jc w:val="right"/>
              <w:ind w:right="12"/>
              <w:spacing w:after="0"/>
              <w:rPr>
                <w:sz w:val="20"/>
                <w:szCs w:val="20"/>
                <w:color w:val="auto"/>
              </w:rPr>
            </w:pPr>
            <w:r>
              <w:rPr>
                <w:rFonts w:ascii="Arial" w:cs="Arial" w:eastAsia="Arial" w:hAnsi="Arial"/>
                <w:sz w:val="10"/>
                <w:szCs w:val="10"/>
                <w:color w:val="54585A"/>
              </w:rPr>
              <w:t>20,000</w:t>
            </w:r>
          </w:p>
        </w:tc>
        <w:tc>
          <w:tcPr>
            <w:tcW w:w="760" w:type="dxa"/>
            <w:vAlign w:val="bottom"/>
            <w:tcBorders>
              <w:bottom w:val="single" w:sz="8" w:color="54585A"/>
            </w:tcBorders>
          </w:tcPr>
          <w:p>
            <w:pPr>
              <w:spacing w:after="0"/>
              <w:rPr>
                <w:sz w:val="12"/>
                <w:szCs w:val="12"/>
                <w:color w:val="auto"/>
              </w:rPr>
            </w:pPr>
          </w:p>
        </w:tc>
        <w:tc>
          <w:tcPr>
            <w:tcW w:w="13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20,000</w:t>
            </w:r>
          </w:p>
        </w:tc>
      </w:tr>
      <w:tr>
        <w:trPr>
          <w:trHeight w:val="142"/>
        </w:trPr>
        <w:tc>
          <w:tcPr>
            <w:tcW w:w="698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Tax Fees</w:t>
            </w:r>
            <w:r>
              <w:rPr>
                <w:rFonts w:ascii="Arial" w:cs="Arial" w:eastAsia="Arial" w:hAnsi="Arial"/>
                <w:sz w:val="12"/>
                <w:szCs w:val="12"/>
                <w:b w:val="1"/>
                <w:bCs w:val="1"/>
                <w:color w:val="EB6C10"/>
                <w:vertAlign w:val="superscript"/>
              </w:rPr>
              <w:t>(3)</w:t>
            </w:r>
          </w:p>
        </w:tc>
        <w:tc>
          <w:tcPr>
            <w:tcW w:w="1380" w:type="dxa"/>
            <w:vAlign w:val="bottom"/>
            <w:tcBorders>
              <w:bottom w:val="single" w:sz="8" w:color="54585A"/>
            </w:tcBorders>
          </w:tcPr>
          <w:p>
            <w:pPr>
              <w:spacing w:after="0"/>
              <w:rPr>
                <w:sz w:val="12"/>
                <w:szCs w:val="12"/>
                <w:color w:val="auto"/>
              </w:rPr>
            </w:pPr>
          </w:p>
        </w:tc>
        <w:tc>
          <w:tcPr>
            <w:tcW w:w="800" w:type="dxa"/>
            <w:vAlign w:val="bottom"/>
            <w:tcBorders>
              <w:bottom w:val="single" w:sz="8" w:color="54585A"/>
              <w:right w:val="single" w:sz="8" w:color="54585A"/>
            </w:tcBorders>
          </w:tcPr>
          <w:p>
            <w:pPr>
              <w:jc w:val="right"/>
              <w:ind w:right="12"/>
              <w:spacing w:after="0"/>
              <w:rPr>
                <w:sz w:val="20"/>
                <w:szCs w:val="20"/>
                <w:color w:val="auto"/>
              </w:rPr>
            </w:pPr>
            <w:r>
              <w:rPr>
                <w:rFonts w:ascii="Arial" w:cs="Arial" w:eastAsia="Arial" w:hAnsi="Arial"/>
                <w:sz w:val="10"/>
                <w:szCs w:val="10"/>
                <w:color w:val="54585A"/>
              </w:rPr>
              <w:t>537,191</w:t>
            </w:r>
          </w:p>
        </w:tc>
        <w:tc>
          <w:tcPr>
            <w:tcW w:w="760" w:type="dxa"/>
            <w:vAlign w:val="bottom"/>
            <w:tcBorders>
              <w:bottom w:val="single" w:sz="8" w:color="54585A"/>
            </w:tcBorders>
          </w:tcPr>
          <w:p>
            <w:pPr>
              <w:spacing w:after="0"/>
              <w:rPr>
                <w:sz w:val="12"/>
                <w:szCs w:val="12"/>
                <w:color w:val="auto"/>
              </w:rPr>
            </w:pPr>
          </w:p>
        </w:tc>
        <w:tc>
          <w:tcPr>
            <w:tcW w:w="13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802,656</w:t>
            </w:r>
          </w:p>
        </w:tc>
      </w:tr>
      <w:tr>
        <w:trPr>
          <w:trHeight w:val="133"/>
        </w:trPr>
        <w:tc>
          <w:tcPr>
            <w:tcW w:w="698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Total</w:t>
            </w:r>
          </w:p>
        </w:tc>
        <w:tc>
          <w:tcPr>
            <w:tcW w:w="1380" w:type="dxa"/>
            <w:vAlign w:val="bottom"/>
            <w:tcBorders>
              <w:bottom w:val="single" w:sz="8" w:color="54585A"/>
            </w:tcBorders>
          </w:tcPr>
          <w:p>
            <w:pPr>
              <w:jc w:val="right"/>
              <w:ind w:right="1272"/>
              <w:spacing w:after="0"/>
              <w:rPr>
                <w:sz w:val="20"/>
                <w:szCs w:val="20"/>
                <w:color w:val="auto"/>
              </w:rPr>
            </w:pPr>
            <w:r>
              <w:rPr>
                <w:rFonts w:ascii="Arial" w:cs="Arial" w:eastAsia="Arial" w:hAnsi="Arial"/>
                <w:sz w:val="10"/>
                <w:szCs w:val="10"/>
                <w:color w:val="54585A"/>
                <w:w w:val="71"/>
              </w:rPr>
              <w:t>$</w:t>
            </w:r>
          </w:p>
        </w:tc>
        <w:tc>
          <w:tcPr>
            <w:tcW w:w="800" w:type="dxa"/>
            <w:vAlign w:val="bottom"/>
            <w:tcBorders>
              <w:bottom w:val="single" w:sz="8" w:color="54585A"/>
              <w:right w:val="single" w:sz="8" w:color="54585A"/>
            </w:tcBorders>
          </w:tcPr>
          <w:p>
            <w:pPr>
              <w:jc w:val="right"/>
              <w:ind w:right="12"/>
              <w:spacing w:after="0"/>
              <w:rPr>
                <w:sz w:val="20"/>
                <w:szCs w:val="20"/>
                <w:color w:val="auto"/>
              </w:rPr>
            </w:pPr>
            <w:r>
              <w:rPr>
                <w:rFonts w:ascii="Arial" w:cs="Arial" w:eastAsia="Arial" w:hAnsi="Arial"/>
                <w:sz w:val="10"/>
                <w:szCs w:val="10"/>
                <w:color w:val="54585A"/>
              </w:rPr>
              <w:t>1,574,856</w:t>
            </w:r>
          </w:p>
        </w:tc>
        <w:tc>
          <w:tcPr>
            <w:tcW w:w="760" w:type="dxa"/>
            <w:vAlign w:val="bottom"/>
            <w:tcBorders>
              <w:bottom w:val="single" w:sz="8" w:color="54585A"/>
            </w:tcBorders>
          </w:tcPr>
          <w:p>
            <w:pPr>
              <w:jc w:val="right"/>
              <w:ind w:right="652"/>
              <w:spacing w:after="0"/>
              <w:rPr>
                <w:sz w:val="20"/>
                <w:szCs w:val="20"/>
                <w:color w:val="auto"/>
              </w:rPr>
            </w:pPr>
            <w:r>
              <w:rPr>
                <w:rFonts w:ascii="Arial" w:cs="Arial" w:eastAsia="Arial" w:hAnsi="Arial"/>
                <w:sz w:val="10"/>
                <w:szCs w:val="10"/>
                <w:color w:val="54585A"/>
                <w:w w:val="71"/>
              </w:rPr>
              <w:t>$</w:t>
            </w:r>
          </w:p>
        </w:tc>
        <w:tc>
          <w:tcPr>
            <w:tcW w:w="13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1,804,951</w:t>
            </w:r>
          </w:p>
        </w:tc>
      </w:tr>
    </w:tbl>
    <w:p>
      <w:pPr>
        <w:spacing w:after="0" w:line="129" w:lineRule="exact"/>
        <w:rPr>
          <w:sz w:val="20"/>
          <w:szCs w:val="20"/>
          <w:color w:val="auto"/>
        </w:rPr>
      </w:pPr>
    </w:p>
    <w:p>
      <w:pPr>
        <w:ind w:left="208" w:right="220" w:hanging="208"/>
        <w:spacing w:after="0" w:line="243" w:lineRule="auto"/>
        <w:tabs>
          <w:tab w:leader="none" w:pos="207" w:val="left"/>
        </w:tabs>
        <w:numPr>
          <w:ilvl w:val="0"/>
          <w:numId w:val="42"/>
        </w:numPr>
        <w:rPr>
          <w:rFonts w:ascii="Arial" w:cs="Arial" w:eastAsia="Arial" w:hAnsi="Arial"/>
          <w:sz w:val="10"/>
          <w:szCs w:val="10"/>
          <w:color w:val="54585A"/>
        </w:rPr>
      </w:pPr>
      <w:r>
        <w:rPr>
          <w:rFonts w:ascii="Arial" w:cs="Arial" w:eastAsia="Arial" w:hAnsi="Arial"/>
          <w:sz w:val="10"/>
          <w:szCs w:val="10"/>
          <w:color w:val="54585A"/>
        </w:rPr>
        <w:t>Fees for audit services billed related to the audits of our annual financial statements as well as other filings under the Securities Act of 1933, as amended, and the Securities Exchange Act of 1934, as amended, and services that are normally provided by the independent registered public accountants in connection with statutory and regulatory filings or engagements.</w:t>
      </w:r>
    </w:p>
    <w:p>
      <w:pPr>
        <w:spacing w:after="0" w:line="72" w:lineRule="exact"/>
        <w:rPr>
          <w:rFonts w:ascii="Arial" w:cs="Arial" w:eastAsia="Arial" w:hAnsi="Arial"/>
          <w:sz w:val="10"/>
          <w:szCs w:val="10"/>
          <w:color w:val="54585A"/>
        </w:rPr>
      </w:pPr>
    </w:p>
    <w:p>
      <w:pPr>
        <w:ind w:left="208" w:hanging="208"/>
        <w:spacing w:after="0"/>
        <w:tabs>
          <w:tab w:leader="none" w:pos="208" w:val="left"/>
        </w:tabs>
        <w:numPr>
          <w:ilvl w:val="0"/>
          <w:numId w:val="42"/>
        </w:numPr>
        <w:rPr>
          <w:rFonts w:ascii="Arial" w:cs="Arial" w:eastAsia="Arial" w:hAnsi="Arial"/>
          <w:sz w:val="10"/>
          <w:szCs w:val="10"/>
          <w:color w:val="54585A"/>
        </w:rPr>
      </w:pPr>
      <w:r>
        <w:rPr>
          <w:rFonts w:ascii="Arial" w:cs="Arial" w:eastAsia="Arial" w:hAnsi="Arial"/>
          <w:sz w:val="10"/>
          <w:szCs w:val="10"/>
          <w:color w:val="54585A"/>
        </w:rPr>
        <w:t>Fees for audit-related services primarily include agreed-upon procedures required to comply with the terms of our facility agreement.</w:t>
      </w:r>
    </w:p>
    <w:p>
      <w:pPr>
        <w:spacing w:after="0" w:line="74" w:lineRule="exact"/>
        <w:rPr>
          <w:rFonts w:ascii="Arial" w:cs="Arial" w:eastAsia="Arial" w:hAnsi="Arial"/>
          <w:sz w:val="10"/>
          <w:szCs w:val="10"/>
          <w:color w:val="54585A"/>
        </w:rPr>
      </w:pPr>
    </w:p>
    <w:p>
      <w:pPr>
        <w:ind w:left="208" w:right="100" w:hanging="208"/>
        <w:spacing w:after="0" w:line="232" w:lineRule="auto"/>
        <w:tabs>
          <w:tab w:leader="none" w:pos="207" w:val="left"/>
        </w:tabs>
        <w:numPr>
          <w:ilvl w:val="0"/>
          <w:numId w:val="42"/>
        </w:numPr>
        <w:rPr>
          <w:rFonts w:ascii="Arial" w:cs="Arial" w:eastAsia="Arial" w:hAnsi="Arial"/>
          <w:sz w:val="10"/>
          <w:szCs w:val="10"/>
          <w:color w:val="54585A"/>
        </w:rPr>
      </w:pPr>
      <w:r>
        <w:rPr>
          <w:rFonts w:ascii="Arial" w:cs="Arial" w:eastAsia="Arial" w:hAnsi="Arial"/>
          <w:sz w:val="10"/>
          <w:szCs w:val="10"/>
          <w:color w:val="54585A"/>
        </w:rPr>
        <w:t>Fees for tax compliance, tax advice and tax planning services. During both 2022 and 2021, these fees also included consulting services related to international logistics and indirect taxes (including value-added-tax and goods and services tax) levied by various countries around the world.</w:t>
      </w:r>
    </w:p>
    <w:p>
      <w:pPr>
        <w:spacing w:after="0" w:line="27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Policy on Pre-Approval Process of Audit and Permissible Non-Audit Services</w:t>
      </w:r>
    </w:p>
    <w:p>
      <w:pPr>
        <w:spacing w:after="0" w:line="76" w:lineRule="exact"/>
        <w:rPr>
          <w:sz w:val="20"/>
          <w:szCs w:val="20"/>
          <w:color w:val="auto"/>
        </w:rPr>
      </w:pPr>
    </w:p>
    <w:p>
      <w:pPr>
        <w:ind w:left="8" w:right="100"/>
        <w:spacing w:after="0" w:line="320" w:lineRule="auto"/>
        <w:rPr>
          <w:sz w:val="20"/>
          <w:szCs w:val="20"/>
          <w:color w:val="auto"/>
        </w:rPr>
      </w:pPr>
      <w:r>
        <w:rPr>
          <w:rFonts w:ascii="Arial" w:cs="Arial" w:eastAsia="Arial" w:hAnsi="Arial"/>
          <w:sz w:val="11"/>
          <w:szCs w:val="11"/>
          <w:color w:val="54585A"/>
        </w:rPr>
        <w:t>The Audit Committee pre-approves all audit and permissible non-audit services to be provided by the independent registered public accountants. Non-audit services may include audit-related services, tax services and other services not prohibited by SEC rules on auditor independence. Pre-approval is detailed as to the particular service or category of services and generally is subject to a specific budget. The independent auditors report periodically to the Audit Committee regarding the extent of services they provided in accordance with the Committee’s pre-approvals and the fees for services performed to date. In 2022, the Audit Committee’s pre-approval requirement was not waived for any fees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216535</wp:posOffset>
            </wp:positionV>
            <wp:extent cx="17145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97"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20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6" w:right="299" w:bottom="1440" w:gutter="0" w:footer="0" w:header="0"/>
        </w:sectPr>
      </w:pPr>
    </w:p>
    <w:bookmarkStart w:id="23" w:name="page24"/>
    <w:bookmarkEnd w:id="23"/>
    <w:p>
      <w:pPr>
        <w:jc w:val="right"/>
        <w:spacing w:after="0"/>
        <w:rPr>
          <w:sz w:val="20"/>
          <w:szCs w:val="20"/>
          <w:color w:val="auto"/>
        </w:rPr>
      </w:pPr>
      <w:r>
        <w:rPr>
          <w:rFonts w:ascii="Arial" w:cs="Arial" w:eastAsia="Arial" w:hAnsi="Arial"/>
          <w:sz w:val="10"/>
          <w:szCs w:val="10"/>
          <w:color w:val="54585A"/>
        </w:rPr>
        <w:t xml:space="preserve">Executive Officers and Compensation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36"/>
          <w:szCs w:val="36"/>
          <w:color w:val="EB6C10"/>
        </w:rPr>
        <w:t>Executive Officers and Compensation</w:t>
      </w:r>
    </w:p>
    <w:p>
      <w:pPr>
        <w:spacing w:after="0" w:line="359" w:lineRule="exact"/>
        <w:rPr>
          <w:sz w:val="20"/>
          <w:szCs w:val="20"/>
          <w:color w:val="auto"/>
        </w:rPr>
      </w:pPr>
    </w:p>
    <w:p>
      <w:pPr>
        <w:spacing w:after="0"/>
        <w:rPr>
          <w:sz w:val="20"/>
          <w:szCs w:val="20"/>
          <w:color w:val="auto"/>
        </w:rPr>
      </w:pPr>
      <w:r>
        <w:rPr>
          <w:rFonts w:ascii="Arial" w:cs="Arial" w:eastAsia="Arial" w:hAnsi="Arial"/>
          <w:sz w:val="19"/>
          <w:szCs w:val="19"/>
          <w:color w:val="54585A"/>
        </w:rPr>
        <w:t>Executive Officers</w:t>
      </w:r>
    </w:p>
    <w:p>
      <w:pPr>
        <w:spacing w:after="0" w:line="146" w:lineRule="exact"/>
        <w:rPr>
          <w:sz w:val="20"/>
          <w:szCs w:val="20"/>
          <w:color w:val="auto"/>
        </w:rPr>
      </w:pPr>
    </w:p>
    <w:p>
      <w:pPr>
        <w:ind w:right="120"/>
        <w:spacing w:after="0" w:line="313" w:lineRule="auto"/>
        <w:rPr>
          <w:sz w:val="20"/>
          <w:szCs w:val="20"/>
          <w:color w:val="auto"/>
        </w:rPr>
      </w:pPr>
      <w:r>
        <w:rPr>
          <w:rFonts w:ascii="Arial" w:cs="Arial" w:eastAsia="Arial" w:hAnsi="Arial"/>
          <w:sz w:val="11"/>
          <w:szCs w:val="11"/>
          <w:color w:val="54585A"/>
        </w:rPr>
        <w:t>The current executive officers of the Company are James Monroe III, Executive Chairman; David B. Kagan, Chief Executive Officer; Rebecca S. Clary, Vice President and Chief Financial Officer; and L. Barbee Ponder IV, Vice President of Regulatory Affairs and General Counsel. Information about Mr. Monroe is given above under “Board of Directors and Corporate Governance.”</w:t>
      </w:r>
    </w:p>
    <w:p>
      <w:pPr>
        <w:spacing w:after="0" w:line="99" w:lineRule="exact"/>
        <w:rPr>
          <w:sz w:val="20"/>
          <w:szCs w:val="20"/>
          <w:color w:val="auto"/>
        </w:rPr>
      </w:pPr>
    </w:p>
    <w:p>
      <w:pPr>
        <w:jc w:val="both"/>
        <w:ind w:right="240"/>
        <w:spacing w:after="0" w:line="328" w:lineRule="auto"/>
        <w:rPr>
          <w:sz w:val="20"/>
          <w:szCs w:val="20"/>
          <w:color w:val="auto"/>
        </w:rPr>
      </w:pPr>
      <w:r>
        <w:rPr>
          <w:rFonts w:ascii="Arial" w:cs="Arial" w:eastAsia="Arial" w:hAnsi="Arial"/>
          <w:sz w:val="11"/>
          <w:szCs w:val="11"/>
          <w:b w:val="1"/>
          <w:bCs w:val="1"/>
          <w:color w:val="54585A"/>
        </w:rPr>
        <w:t xml:space="preserve">David B. Kagan, </w:t>
      </w:r>
      <w:r>
        <w:rPr>
          <w:rFonts w:ascii="Arial" w:cs="Arial" w:eastAsia="Arial" w:hAnsi="Arial"/>
          <w:sz w:val="11"/>
          <w:szCs w:val="11"/>
          <w:color w:val="54585A"/>
        </w:rPr>
        <w:t>age 61, has been our Chief Executive Officer since September 2018. He served as our President and Chief Operating Officer from January 2016 through March 2017 and reassumed the positions in December 2017</w:t>
      </w:r>
      <w:r>
        <w:rPr>
          <w:rFonts w:ascii="Arial" w:cs="Arial" w:eastAsia="Arial" w:hAnsi="Arial"/>
          <w:sz w:val="11"/>
          <w:szCs w:val="11"/>
          <w:b w:val="1"/>
          <w:bCs w:val="1"/>
          <w:color w:val="54585A"/>
        </w:rPr>
        <w:t xml:space="preserve"> </w:t>
      </w:r>
      <w:r>
        <w:rPr>
          <w:rFonts w:ascii="Arial" w:cs="Arial" w:eastAsia="Arial" w:hAnsi="Arial"/>
          <w:sz w:val="11"/>
          <w:szCs w:val="11"/>
          <w:color w:val="54585A"/>
        </w:rPr>
        <w:t>through September 2018. Mr. Kagan previously served as Chief Operating Officer of SpeedCast International Limited from March 2017 through November 2017, President of ITC Global LLC, a global satellite services company, from August 2014 through its sale to Panasonic in September 2015, and President and Chief Executive Officer of Globe Wireless LLC from June 2011 through its sale to Inmarsat in August 2014. He also served as Senior Vice President - Business Development of Spacenet, Inc. from March 2010 to June 2011.</w:t>
      </w:r>
    </w:p>
    <w:p>
      <w:pPr>
        <w:spacing w:after="0" w:line="83" w:lineRule="exact"/>
        <w:rPr>
          <w:sz w:val="20"/>
          <w:szCs w:val="20"/>
          <w:color w:val="auto"/>
        </w:rPr>
      </w:pPr>
    </w:p>
    <w:p>
      <w:pPr>
        <w:ind w:right="340"/>
        <w:spacing w:after="0" w:line="353" w:lineRule="auto"/>
        <w:rPr>
          <w:sz w:val="20"/>
          <w:szCs w:val="20"/>
          <w:color w:val="auto"/>
        </w:rPr>
      </w:pPr>
      <w:r>
        <w:rPr>
          <w:rFonts w:ascii="Arial" w:cs="Arial" w:eastAsia="Arial" w:hAnsi="Arial"/>
          <w:sz w:val="11"/>
          <w:szCs w:val="11"/>
          <w:b w:val="1"/>
          <w:bCs w:val="1"/>
          <w:color w:val="54585A"/>
        </w:rPr>
        <w:t xml:space="preserve">Rebecca S. Clary, </w:t>
      </w:r>
      <w:r>
        <w:rPr>
          <w:rFonts w:ascii="Arial" w:cs="Arial" w:eastAsia="Arial" w:hAnsi="Arial"/>
          <w:sz w:val="11"/>
          <w:szCs w:val="11"/>
          <w:color w:val="54585A"/>
        </w:rPr>
        <w:t>age 44, has been our Vice President and Chief Financial Officer since August 2014. She served as our Chief Accounting Officer from January 2013 to August 2014 and as Corporate Controller from June 2011 to</w:t>
      </w:r>
      <w:r>
        <w:rPr>
          <w:rFonts w:ascii="Arial" w:cs="Arial" w:eastAsia="Arial" w:hAnsi="Arial"/>
          <w:sz w:val="11"/>
          <w:szCs w:val="11"/>
          <w:b w:val="1"/>
          <w:bCs w:val="1"/>
          <w:color w:val="54585A"/>
        </w:rPr>
        <w:t xml:space="preserve"> </w:t>
      </w:r>
      <w:r>
        <w:rPr>
          <w:rFonts w:ascii="Arial" w:cs="Arial" w:eastAsia="Arial" w:hAnsi="Arial"/>
          <w:sz w:val="11"/>
          <w:szCs w:val="11"/>
          <w:color w:val="54585A"/>
        </w:rPr>
        <w:t>January 2013. Prior to joining Globalstar, she was with PricewaterhouseCoopers LLP in its U.S. Audit and Assurance Services Practice. Ms. Clary is a Certified Public Accountant.</w:t>
      </w:r>
    </w:p>
    <w:p>
      <w:pPr>
        <w:spacing w:after="0" w:line="69" w:lineRule="exact"/>
        <w:rPr>
          <w:sz w:val="20"/>
          <w:szCs w:val="20"/>
          <w:color w:val="auto"/>
        </w:rPr>
      </w:pPr>
    </w:p>
    <w:p>
      <w:pPr>
        <w:ind w:right="60"/>
        <w:spacing w:after="0" w:line="338" w:lineRule="auto"/>
        <w:rPr>
          <w:sz w:val="20"/>
          <w:szCs w:val="20"/>
          <w:color w:val="auto"/>
        </w:rPr>
      </w:pPr>
      <w:r>
        <w:rPr>
          <w:rFonts w:ascii="Arial" w:cs="Arial" w:eastAsia="Arial" w:hAnsi="Arial"/>
          <w:sz w:val="11"/>
          <w:szCs w:val="11"/>
          <w:b w:val="1"/>
          <w:bCs w:val="1"/>
          <w:color w:val="54585A"/>
        </w:rPr>
        <w:t xml:space="preserve">L. Barbee Ponder IV, </w:t>
      </w:r>
      <w:r>
        <w:rPr>
          <w:rFonts w:ascii="Arial" w:cs="Arial" w:eastAsia="Arial" w:hAnsi="Arial"/>
          <w:sz w:val="11"/>
          <w:szCs w:val="11"/>
          <w:color w:val="54585A"/>
        </w:rPr>
        <w:t>age 56, has been our General Counsel and Vice President of Regulatory Affairs since July 2010. He owned and operated a private company with timber, sand and gravel, and oil and gas interests from 2005 to July</w:t>
      </w:r>
      <w:r>
        <w:rPr>
          <w:rFonts w:ascii="Arial" w:cs="Arial" w:eastAsia="Arial" w:hAnsi="Arial"/>
          <w:sz w:val="11"/>
          <w:szCs w:val="11"/>
          <w:b w:val="1"/>
          <w:bCs w:val="1"/>
          <w:color w:val="54585A"/>
        </w:rPr>
        <w:t xml:space="preserve"> </w:t>
      </w:r>
      <w:r>
        <w:rPr>
          <w:rFonts w:ascii="Arial" w:cs="Arial" w:eastAsia="Arial" w:hAnsi="Arial"/>
          <w:sz w:val="11"/>
          <w:szCs w:val="11"/>
          <w:color w:val="54585A"/>
        </w:rPr>
        <w:t>2010. Mr. Ponder served in various regulatory counsel positions for BellSouth Corporation from 1996 to 2005. Prior to joining BellSouth, Mr. Ponder practiced with the Jones Walker law firm in New Orleans, where he specialized in commercial litigation including class action defense.</w:t>
      </w:r>
    </w:p>
    <w:p>
      <w:pPr>
        <w:spacing w:after="0" w:line="90" w:lineRule="exact"/>
        <w:rPr>
          <w:sz w:val="20"/>
          <w:szCs w:val="20"/>
          <w:color w:val="auto"/>
        </w:rPr>
      </w:pPr>
    </w:p>
    <w:p>
      <w:pPr>
        <w:ind w:right="40"/>
        <w:spacing w:after="0" w:line="330" w:lineRule="auto"/>
        <w:rPr>
          <w:sz w:val="20"/>
          <w:szCs w:val="20"/>
          <w:color w:val="auto"/>
        </w:rPr>
      </w:pPr>
      <w:r>
        <w:rPr>
          <w:rFonts w:ascii="Arial" w:cs="Arial" w:eastAsia="Arial" w:hAnsi="Arial"/>
          <w:sz w:val="11"/>
          <w:szCs w:val="11"/>
          <w:color w:val="54585A"/>
        </w:rPr>
        <w:t>The Company does not believe any of its other personnel are “executive officers” as the term is defined in the applicable rules of the Commission. Accordingly, the Company’s discussion of its named executive officers is limited to Messrs Monroe, Kagan and Ponder and Ms. Clary.</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54585A"/>
        </w:rPr>
        <w:t>Compensation Discussion and Analysis</w:t>
      </w:r>
    </w:p>
    <w:p>
      <w:pPr>
        <w:spacing w:after="0" w:line="146" w:lineRule="exact"/>
        <w:rPr>
          <w:sz w:val="20"/>
          <w:szCs w:val="20"/>
          <w:color w:val="auto"/>
        </w:rPr>
      </w:pPr>
    </w:p>
    <w:p>
      <w:pPr>
        <w:spacing w:after="0"/>
        <w:rPr>
          <w:sz w:val="20"/>
          <w:szCs w:val="20"/>
          <w:color w:val="auto"/>
        </w:rPr>
      </w:pPr>
      <w:r>
        <w:rPr>
          <w:rFonts w:ascii="Arial" w:cs="Arial" w:eastAsia="Arial" w:hAnsi="Arial"/>
          <w:sz w:val="11"/>
          <w:szCs w:val="11"/>
          <w:color w:val="54585A"/>
        </w:rPr>
        <w:t xml:space="preserve">The following Compensation Discussion and Analysis (CD&amp;A) should be read in conjunction with the compensation tables beginning on page </w:t>
      </w:r>
      <w:r>
        <w:rPr>
          <w:rFonts w:ascii="Arial" w:cs="Arial" w:eastAsia="Arial" w:hAnsi="Arial"/>
          <w:sz w:val="11"/>
          <w:szCs w:val="11"/>
          <w:u w:val="single" w:color="auto"/>
          <w:color w:val="0000FF"/>
        </w:rPr>
        <w:t>26</w:t>
      </w:r>
      <w:r>
        <w:rPr>
          <w:rFonts w:ascii="Arial" w:cs="Arial" w:eastAsia="Arial" w:hAnsi="Arial"/>
          <w:sz w:val="11"/>
          <w:szCs w:val="11"/>
          <w:color w:val="54585A"/>
        </w:rPr>
        <w:t>. Our named executive officers for 2022 were:</w:t>
      </w:r>
    </w:p>
    <w:p>
      <w:pPr>
        <w:spacing w:after="0" w:line="153" w:lineRule="exact"/>
        <w:rPr>
          <w:sz w:val="20"/>
          <w:szCs w:val="20"/>
          <w:color w:val="auto"/>
        </w:rPr>
      </w:pPr>
    </w:p>
    <w:p>
      <w:pPr>
        <w:ind w:left="300" w:hanging="92"/>
        <w:spacing w:after="0"/>
        <w:tabs>
          <w:tab w:leader="none" w:pos="300" w:val="left"/>
        </w:tabs>
        <w:numPr>
          <w:ilvl w:val="0"/>
          <w:numId w:val="43"/>
        </w:numPr>
        <w:rPr>
          <w:rFonts w:ascii="Arial" w:cs="Arial" w:eastAsia="Arial" w:hAnsi="Arial"/>
          <w:sz w:val="11"/>
          <w:szCs w:val="11"/>
          <w:color w:val="54585A"/>
        </w:rPr>
      </w:pPr>
      <w:r>
        <w:rPr>
          <w:rFonts w:ascii="Arial" w:cs="Arial" w:eastAsia="Arial" w:hAnsi="Arial"/>
          <w:sz w:val="11"/>
          <w:szCs w:val="11"/>
          <w:color w:val="54585A"/>
        </w:rPr>
        <w:t>James Monroe III, Executive Chairman</w:t>
      </w:r>
    </w:p>
    <w:p>
      <w:pPr>
        <w:spacing w:after="0" w:line="107" w:lineRule="exact"/>
        <w:rPr>
          <w:rFonts w:ascii="Arial" w:cs="Arial" w:eastAsia="Arial" w:hAnsi="Arial"/>
          <w:sz w:val="11"/>
          <w:szCs w:val="11"/>
          <w:color w:val="54585A"/>
        </w:rPr>
      </w:pPr>
    </w:p>
    <w:p>
      <w:pPr>
        <w:ind w:left="300" w:hanging="92"/>
        <w:spacing w:after="0"/>
        <w:tabs>
          <w:tab w:leader="none" w:pos="300" w:val="left"/>
        </w:tabs>
        <w:numPr>
          <w:ilvl w:val="0"/>
          <w:numId w:val="43"/>
        </w:numPr>
        <w:rPr>
          <w:rFonts w:ascii="Arial" w:cs="Arial" w:eastAsia="Arial" w:hAnsi="Arial"/>
          <w:sz w:val="11"/>
          <w:szCs w:val="11"/>
          <w:color w:val="54585A"/>
        </w:rPr>
      </w:pPr>
      <w:r>
        <w:rPr>
          <w:rFonts w:ascii="Arial" w:cs="Arial" w:eastAsia="Arial" w:hAnsi="Arial"/>
          <w:sz w:val="11"/>
          <w:szCs w:val="11"/>
          <w:color w:val="54585A"/>
        </w:rPr>
        <w:t>David B. Kagan, Chief Executive Officer</w:t>
      </w:r>
    </w:p>
    <w:p>
      <w:pPr>
        <w:spacing w:after="0" w:line="116" w:lineRule="exact"/>
        <w:rPr>
          <w:rFonts w:ascii="Arial" w:cs="Arial" w:eastAsia="Arial" w:hAnsi="Arial"/>
          <w:sz w:val="11"/>
          <w:szCs w:val="11"/>
          <w:color w:val="54585A"/>
        </w:rPr>
      </w:pPr>
    </w:p>
    <w:p>
      <w:pPr>
        <w:ind w:left="300" w:hanging="92"/>
        <w:spacing w:after="0"/>
        <w:tabs>
          <w:tab w:leader="none" w:pos="300" w:val="left"/>
        </w:tabs>
        <w:numPr>
          <w:ilvl w:val="0"/>
          <w:numId w:val="43"/>
        </w:numPr>
        <w:rPr>
          <w:rFonts w:ascii="Arial" w:cs="Arial" w:eastAsia="Arial" w:hAnsi="Arial"/>
          <w:sz w:val="11"/>
          <w:szCs w:val="11"/>
          <w:color w:val="54585A"/>
        </w:rPr>
      </w:pPr>
      <w:r>
        <w:rPr>
          <w:rFonts w:ascii="Arial" w:cs="Arial" w:eastAsia="Arial" w:hAnsi="Arial"/>
          <w:sz w:val="11"/>
          <w:szCs w:val="11"/>
          <w:color w:val="54585A"/>
        </w:rPr>
        <w:t>Rebecca S. Clary, Vice President and Chief Financial Officer</w:t>
      </w:r>
    </w:p>
    <w:p>
      <w:pPr>
        <w:spacing w:after="0" w:line="107" w:lineRule="exact"/>
        <w:rPr>
          <w:rFonts w:ascii="Arial" w:cs="Arial" w:eastAsia="Arial" w:hAnsi="Arial"/>
          <w:sz w:val="11"/>
          <w:szCs w:val="11"/>
          <w:color w:val="54585A"/>
        </w:rPr>
      </w:pPr>
    </w:p>
    <w:p>
      <w:pPr>
        <w:ind w:left="300" w:hanging="92"/>
        <w:spacing w:after="0"/>
        <w:tabs>
          <w:tab w:leader="none" w:pos="300" w:val="left"/>
        </w:tabs>
        <w:numPr>
          <w:ilvl w:val="0"/>
          <w:numId w:val="43"/>
        </w:numPr>
        <w:rPr>
          <w:rFonts w:ascii="Arial" w:cs="Arial" w:eastAsia="Arial" w:hAnsi="Arial"/>
          <w:sz w:val="11"/>
          <w:szCs w:val="11"/>
          <w:color w:val="54585A"/>
        </w:rPr>
      </w:pPr>
      <w:r>
        <w:rPr>
          <w:rFonts w:ascii="Arial" w:cs="Arial" w:eastAsia="Arial" w:hAnsi="Arial"/>
          <w:sz w:val="11"/>
          <w:szCs w:val="11"/>
          <w:color w:val="54585A"/>
        </w:rPr>
        <w:t>L. Barbee Ponder IV, General Counsel and Vice President Regulatory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221615</wp:posOffset>
            </wp:positionV>
            <wp:extent cx="17145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96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163830</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4" w:name="page25"/>
    <w:bookmarkEnd w:id="24"/>
    <w:p>
      <w:pPr>
        <w:ind w:left="68" w:hanging="68"/>
        <w:spacing w:after="0"/>
        <w:tabs>
          <w:tab w:leader="none" w:pos="68" w:val="left"/>
        </w:tabs>
        <w:numPr>
          <w:ilvl w:val="0"/>
          <w:numId w:val="44"/>
        </w:numPr>
        <w:rPr>
          <w:rFonts w:ascii="Arial" w:cs="Arial" w:eastAsia="Arial" w:hAnsi="Arial"/>
          <w:sz w:val="12"/>
          <w:szCs w:val="12"/>
          <w:b w:val="1"/>
          <w:bCs w:val="1"/>
          <w:color w:val="EB6C10"/>
        </w:rPr>
      </w:pPr>
      <w:r>
        <w:rPr>
          <w:rFonts w:ascii="Arial" w:cs="Arial" w:eastAsia="Arial" w:hAnsi="Arial"/>
          <w:sz w:val="10"/>
          <w:szCs w:val="10"/>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Overview</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1"/>
          <w:szCs w:val="11"/>
          <w:color w:val="54585A"/>
        </w:rPr>
        <w:t>Our compensation program for executive officers is intended to:</w:t>
      </w:r>
    </w:p>
    <w:p>
      <w:pPr>
        <w:spacing w:after="0" w:line="153" w:lineRule="exact"/>
        <w:rPr>
          <w:sz w:val="20"/>
          <w:szCs w:val="20"/>
          <w:color w:val="auto"/>
        </w:rPr>
      </w:pPr>
    </w:p>
    <w:p>
      <w:pPr>
        <w:ind w:left="308" w:hanging="92"/>
        <w:spacing w:after="0"/>
        <w:tabs>
          <w:tab w:leader="none" w:pos="308" w:val="left"/>
        </w:tabs>
        <w:numPr>
          <w:ilvl w:val="0"/>
          <w:numId w:val="45"/>
        </w:numPr>
        <w:rPr>
          <w:rFonts w:ascii="Arial" w:cs="Arial" w:eastAsia="Arial" w:hAnsi="Arial"/>
          <w:sz w:val="11"/>
          <w:szCs w:val="11"/>
          <w:color w:val="54585A"/>
        </w:rPr>
      </w:pPr>
      <w:r>
        <w:rPr>
          <w:rFonts w:ascii="Arial" w:cs="Arial" w:eastAsia="Arial" w:hAnsi="Arial"/>
          <w:sz w:val="11"/>
          <w:szCs w:val="11"/>
          <w:color w:val="54585A"/>
        </w:rPr>
        <w:t>provide each officer with a conservative base salary; and</w:t>
      </w:r>
    </w:p>
    <w:p>
      <w:pPr>
        <w:spacing w:after="0" w:line="107" w:lineRule="exact"/>
        <w:rPr>
          <w:rFonts w:ascii="Arial" w:cs="Arial" w:eastAsia="Arial" w:hAnsi="Arial"/>
          <w:sz w:val="11"/>
          <w:szCs w:val="11"/>
          <w:color w:val="54585A"/>
        </w:rPr>
      </w:pPr>
    </w:p>
    <w:p>
      <w:pPr>
        <w:ind w:left="308" w:hanging="92"/>
        <w:spacing w:after="0"/>
        <w:tabs>
          <w:tab w:leader="none" w:pos="308" w:val="left"/>
        </w:tabs>
        <w:numPr>
          <w:ilvl w:val="0"/>
          <w:numId w:val="45"/>
        </w:numPr>
        <w:rPr>
          <w:rFonts w:ascii="Arial" w:cs="Arial" w:eastAsia="Arial" w:hAnsi="Arial"/>
          <w:sz w:val="11"/>
          <w:szCs w:val="11"/>
          <w:color w:val="54585A"/>
        </w:rPr>
      </w:pPr>
      <w:r>
        <w:rPr>
          <w:rFonts w:ascii="Arial" w:cs="Arial" w:eastAsia="Arial" w:hAnsi="Arial"/>
          <w:sz w:val="11"/>
          <w:szCs w:val="11"/>
          <w:color w:val="54585A"/>
        </w:rPr>
        <w:t>create an incentive for retention and achievement of our long-term business goals using a sizable, multi-year stock or option bonus program.</w:t>
      </w:r>
    </w:p>
    <w:p>
      <w:pPr>
        <w:spacing w:after="0" w:line="117" w:lineRule="exact"/>
        <w:rPr>
          <w:sz w:val="20"/>
          <w:szCs w:val="20"/>
          <w:color w:val="auto"/>
        </w:rPr>
      </w:pPr>
    </w:p>
    <w:p>
      <w:pPr>
        <w:jc w:val="both"/>
        <w:ind w:left="8" w:right="240"/>
        <w:spacing w:after="0" w:line="319" w:lineRule="auto"/>
        <w:rPr>
          <w:sz w:val="20"/>
          <w:szCs w:val="20"/>
          <w:color w:val="auto"/>
        </w:rPr>
      </w:pPr>
      <w:r>
        <w:rPr>
          <w:rFonts w:ascii="Arial" w:cs="Arial" w:eastAsia="Arial" w:hAnsi="Arial"/>
          <w:sz w:val="11"/>
          <w:szCs w:val="11"/>
          <w:color w:val="54585A"/>
        </w:rPr>
        <w:t>The Compensation Committee is responsible for evaluating the performance of, and reviewing and approving all compensation paid to, our executive officers, including those executive officers named on the Summary Compensation Table (the “named executive officers”). To preserve the exemption from short swing liability under Section 16(b) of the Securities Exchange Act of 1934, the Board approves equity awards to all executive officers (including the named executive officers) and directors.</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Results of Say-on-Pay Vote</w:t>
      </w:r>
    </w:p>
    <w:p>
      <w:pPr>
        <w:spacing w:after="0" w:line="76" w:lineRule="exact"/>
        <w:rPr>
          <w:sz w:val="20"/>
          <w:szCs w:val="20"/>
          <w:color w:val="auto"/>
        </w:rPr>
      </w:pPr>
    </w:p>
    <w:p>
      <w:pPr>
        <w:ind w:left="8" w:right="60"/>
        <w:spacing w:after="0" w:line="319" w:lineRule="auto"/>
        <w:rPr>
          <w:sz w:val="20"/>
          <w:szCs w:val="20"/>
          <w:color w:val="auto"/>
        </w:rPr>
      </w:pPr>
      <w:r>
        <w:rPr>
          <w:rFonts w:ascii="Arial" w:cs="Arial" w:eastAsia="Arial" w:hAnsi="Arial"/>
          <w:sz w:val="11"/>
          <w:szCs w:val="11"/>
          <w:color w:val="54585A"/>
        </w:rPr>
        <w:t>Every six years we are required to provide our stockholders with the opportunity to provide a non-binding advisory vote on the frequency with which stockholders will be provided an advisory vote on executive compensation. At our 2017 Annual Meeting, 92% of the stockholders voted to approve the frequency with which stockholders will be provided an advisory vote on executive compensation. Refer to Proposal 4, which provides the stockholders an advisory vote on executive compensation at the 2023 Annual Meeting.</w:t>
      </w:r>
    </w:p>
    <w:p>
      <w:pPr>
        <w:spacing w:after="0" w:line="99" w:lineRule="exact"/>
        <w:rPr>
          <w:sz w:val="20"/>
          <w:szCs w:val="20"/>
          <w:color w:val="auto"/>
        </w:rPr>
      </w:pPr>
    </w:p>
    <w:p>
      <w:pPr>
        <w:ind w:left="8"/>
        <w:spacing w:after="0" w:line="330" w:lineRule="auto"/>
        <w:rPr>
          <w:sz w:val="20"/>
          <w:szCs w:val="20"/>
          <w:color w:val="auto"/>
        </w:rPr>
      </w:pPr>
      <w:r>
        <w:rPr>
          <w:rFonts w:ascii="Arial" w:cs="Arial" w:eastAsia="Arial" w:hAnsi="Arial"/>
          <w:sz w:val="11"/>
          <w:szCs w:val="11"/>
          <w:color w:val="54585A"/>
        </w:rPr>
        <w:t>The frequency with which stockholders approve the compensation of our named executive officers is three years. At our 2020 Annual Meeting, 89% of the stockholders who voted on the “say-on-pay” proposal approved the compensation of our named executive officers. Refer to Proposal 3, which provides the stockholders an advisory vote on say-on-pay at the 2023 Annual Meeting.</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Compensation Philosophy</w:t>
      </w:r>
    </w:p>
    <w:p>
      <w:pPr>
        <w:spacing w:after="0" w:line="76" w:lineRule="exact"/>
        <w:rPr>
          <w:sz w:val="20"/>
          <w:szCs w:val="20"/>
          <w:color w:val="auto"/>
        </w:rPr>
      </w:pPr>
    </w:p>
    <w:p>
      <w:pPr>
        <w:ind w:left="8" w:right="40"/>
        <w:spacing w:after="0" w:line="315" w:lineRule="auto"/>
        <w:rPr>
          <w:sz w:val="20"/>
          <w:szCs w:val="20"/>
          <w:color w:val="auto"/>
        </w:rPr>
      </w:pPr>
      <w:r>
        <w:rPr>
          <w:rFonts w:ascii="Arial" w:cs="Arial" w:eastAsia="Arial" w:hAnsi="Arial"/>
          <w:sz w:val="11"/>
          <w:szCs w:val="11"/>
          <w:color w:val="54585A"/>
        </w:rPr>
        <w:t>Our goal is to create performance-based compensation that motivates management to increase stockholder value. Our current Executive Chairman receives compensation described under “Compensation of Directors,” above for his services as a director. We compensate our other senior executive officers with a conservative base salary and incentivize them to remain with us through stock-based compensation and discretionary bonuses (which may be paid in cash or stock). The Compensation Committee has not independently reviewed peer group or other market data in setting base salaries or incentive compensation for senior executives. Because our compensation programs are limited, we do not have policies regarding the allocation of compensation between short and long-term or cash and non-cash.</w:t>
      </w:r>
    </w:p>
    <w:p>
      <w:pPr>
        <w:spacing w:after="0" w:line="110" w:lineRule="exact"/>
        <w:rPr>
          <w:sz w:val="20"/>
          <w:szCs w:val="20"/>
          <w:color w:val="auto"/>
        </w:rPr>
      </w:pPr>
    </w:p>
    <w:p>
      <w:pPr>
        <w:ind w:left="8" w:right="40"/>
        <w:spacing w:after="0" w:line="330" w:lineRule="auto"/>
        <w:rPr>
          <w:sz w:val="20"/>
          <w:szCs w:val="20"/>
          <w:color w:val="auto"/>
        </w:rPr>
      </w:pPr>
      <w:r>
        <w:rPr>
          <w:rFonts w:ascii="Arial" w:cs="Arial" w:eastAsia="Arial" w:hAnsi="Arial"/>
          <w:sz w:val="11"/>
          <w:szCs w:val="11"/>
          <w:color w:val="54585A"/>
        </w:rPr>
        <w:t>We do not believe that our compensation policies or practices are reasonably likely to have a material effect on us, due in part to the structure of our compensation programs and risk mitigation provided by Board and, where appropriate, Strategic Review Committee oversight of significant business decisions.</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Elements of Compensation</w:t>
      </w:r>
    </w:p>
    <w:p>
      <w:pPr>
        <w:spacing w:after="0" w:line="76" w:lineRule="exact"/>
        <w:rPr>
          <w:sz w:val="20"/>
          <w:szCs w:val="20"/>
          <w:color w:val="auto"/>
        </w:rPr>
      </w:pPr>
    </w:p>
    <w:p>
      <w:pPr>
        <w:ind w:left="8" w:right="40"/>
        <w:spacing w:after="0" w:line="330" w:lineRule="auto"/>
        <w:rPr>
          <w:sz w:val="20"/>
          <w:szCs w:val="20"/>
          <w:color w:val="auto"/>
        </w:rPr>
      </w:pPr>
      <w:r>
        <w:rPr>
          <w:rFonts w:ascii="Arial" w:cs="Arial" w:eastAsia="Arial" w:hAnsi="Arial"/>
          <w:sz w:val="11"/>
          <w:szCs w:val="11"/>
          <w:color w:val="54585A"/>
        </w:rPr>
        <w:t>The principal elements of our compensation for the named executive officers are base salary, discretionary bonus, and the opportunity to receive equity-based compensation pursuant to the Amended and Restated 2006 Equity Incentive Plan through time or incentive based awards under our annual bonus plan.</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54585A"/>
        </w:rPr>
        <w:t xml:space="preserve">Base Salaries. </w:t>
      </w:r>
      <w:r>
        <w:rPr>
          <w:rFonts w:ascii="Arial" w:cs="Arial" w:eastAsia="Arial" w:hAnsi="Arial"/>
          <w:sz w:val="11"/>
          <w:szCs w:val="11"/>
          <w:color w:val="54585A"/>
        </w:rPr>
        <w:t>We have established base salaries according to each named executive officer’s position, responsibilities and performance. All executive officers are at-will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252095</wp:posOffset>
            </wp:positionV>
            <wp:extent cx="17145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22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56"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0"/>
          <w:szCs w:val="10"/>
          <w:color w:val="54585A"/>
        </w:rPr>
        <w:t xml:space="preserve">Executive Officers and Compensation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40"/>
        <w:spacing w:after="0" w:line="323" w:lineRule="auto"/>
        <w:rPr>
          <w:sz w:val="20"/>
          <w:szCs w:val="20"/>
          <w:color w:val="auto"/>
        </w:rPr>
      </w:pPr>
      <w:r>
        <w:rPr>
          <w:rFonts w:ascii="Arial" w:cs="Arial" w:eastAsia="Arial" w:hAnsi="Arial"/>
          <w:sz w:val="11"/>
          <w:szCs w:val="11"/>
          <w:b w:val="1"/>
          <w:bCs w:val="1"/>
          <w:i w:val="1"/>
          <w:iCs w:val="1"/>
          <w:color w:val="54585A"/>
        </w:rPr>
        <w:t xml:space="preserve">Stock Grants. </w:t>
      </w:r>
      <w:r>
        <w:rPr>
          <w:rFonts w:ascii="Arial" w:cs="Arial" w:eastAsia="Arial" w:hAnsi="Arial"/>
          <w:sz w:val="11"/>
          <w:szCs w:val="11"/>
          <w:color w:val="54585A"/>
        </w:rPr>
        <w:t>In November 2022, the Committee granted restricted stock awards of 220,000 shares to Mr. Kagan, 170,000 shares to Ms. Clary, and 220,000 shares to Mr. Ponder, which vest two-thirds on grant date and the remaining</w:t>
      </w:r>
      <w:r>
        <w:rPr>
          <w:rFonts w:ascii="Arial" w:cs="Arial" w:eastAsia="Arial" w:hAnsi="Arial"/>
          <w:sz w:val="11"/>
          <w:szCs w:val="11"/>
          <w:b w:val="1"/>
          <w:bCs w:val="1"/>
          <w:i w:val="1"/>
          <w:iCs w:val="1"/>
          <w:color w:val="54585A"/>
        </w:rPr>
        <w:t xml:space="preserve"> </w:t>
      </w:r>
      <w:r>
        <w:rPr>
          <w:rFonts w:ascii="Arial" w:cs="Arial" w:eastAsia="Arial" w:hAnsi="Arial"/>
          <w:sz w:val="11"/>
          <w:szCs w:val="11"/>
          <w:color w:val="54585A"/>
        </w:rPr>
        <w:t>one-third in November 2023 in connection with performance related to our Partnership Agreements (as previously disclosed in our Exchange Act reports and other filings). Additionally, in November 2022, the Committee granted restricted stock awards of 500,000 shares to Ms. Clary and 300,000 shares to Mr. Ponder, which vest in November 2025, in connection with performance related to our Partnership Agreements. In December 2022, the Committee granted restricted stock awards of 120,000 shares to each of Mr. Kagan, Ms. Clary and Mr. Ponder which vest one-third in December 2022 and the remaining two-thirds vest over a two-year period from the grant date and are designed to recognize performance and to encourage retention. See the 2022 Grants of Plan-Based Awards table for additional information.</w:t>
      </w:r>
    </w:p>
    <w:p>
      <w:pPr>
        <w:spacing w:after="0" w:line="94" w:lineRule="exact"/>
        <w:rPr>
          <w:sz w:val="20"/>
          <w:szCs w:val="20"/>
          <w:color w:val="auto"/>
        </w:rPr>
      </w:pPr>
    </w:p>
    <w:p>
      <w:pPr>
        <w:ind w:right="100"/>
        <w:spacing w:after="0" w:line="323" w:lineRule="auto"/>
        <w:rPr>
          <w:sz w:val="20"/>
          <w:szCs w:val="20"/>
          <w:color w:val="auto"/>
        </w:rPr>
      </w:pPr>
      <w:r>
        <w:rPr>
          <w:rFonts w:ascii="Arial" w:cs="Arial" w:eastAsia="Arial" w:hAnsi="Arial"/>
          <w:sz w:val="11"/>
          <w:szCs w:val="11"/>
          <w:b w:val="1"/>
          <w:bCs w:val="1"/>
          <w:i w:val="1"/>
          <w:iCs w:val="1"/>
          <w:color w:val="54585A"/>
        </w:rPr>
        <w:t xml:space="preserve">Bonus Plan. </w:t>
      </w:r>
      <w:r>
        <w:rPr>
          <w:rFonts w:ascii="Arial" w:cs="Arial" w:eastAsia="Arial" w:hAnsi="Arial"/>
          <w:sz w:val="11"/>
          <w:szCs w:val="11"/>
          <w:color w:val="54585A"/>
        </w:rPr>
        <w:t>The Company has an annual bonus plan designed to reward designated key employees' (including the named executive officers) efforts to meet and exceed the Company's financial performance goals for the designated</w:t>
      </w:r>
      <w:r>
        <w:rPr>
          <w:rFonts w:ascii="Arial" w:cs="Arial" w:eastAsia="Arial" w:hAnsi="Arial"/>
          <w:sz w:val="11"/>
          <w:szCs w:val="11"/>
          <w:b w:val="1"/>
          <w:bCs w:val="1"/>
          <w:i w:val="1"/>
          <w:iCs w:val="1"/>
          <w:color w:val="54585A"/>
        </w:rPr>
        <w:t xml:space="preserve"> </w:t>
      </w:r>
      <w:r>
        <w:rPr>
          <w:rFonts w:ascii="Arial" w:cs="Arial" w:eastAsia="Arial" w:hAnsi="Arial"/>
          <w:sz w:val="11"/>
          <w:szCs w:val="11"/>
          <w:color w:val="54585A"/>
        </w:rPr>
        <w:t>calendar year. The bonus pool available for distribution is determined based on the Company's Adjusted EBITDA performance during that year. The bonus may be paid in cash or the Company's common stock, as determined by the Compensation Committee. For the 2022 plan year, the aggregate amount that could have been distributed under the pool was $1.5 million if the Company's Adjusted EBITDA for the plan year had been $59.1 million. For each 1% of Adjusted EBITDA above or below this plan year target Adjusted EBITDA, adjustments are made to either increase or decrease the distribution. The Company's Adjusted EBITDA for purposes of the 2022 bonus plan was $57.4 million, which resulted in a total bonus distribution of approximately $1.2 million. Each participant's award was determined at the discretion of the Compensation Committee. In March 2023, Mr. Kagan, Ms. Clary, and Mr. Ponder received shares worth $120,000, $80,000, and $64,000, respectively. A similar plan is in place for 2023.</w:t>
      </w:r>
    </w:p>
    <w:p>
      <w:pPr>
        <w:spacing w:after="0" w:line="107" w:lineRule="exact"/>
        <w:rPr>
          <w:sz w:val="20"/>
          <w:szCs w:val="20"/>
          <w:color w:val="auto"/>
        </w:rPr>
      </w:pPr>
    </w:p>
    <w:p>
      <w:pPr>
        <w:spacing w:after="0" w:line="313" w:lineRule="auto"/>
        <w:rPr>
          <w:sz w:val="20"/>
          <w:szCs w:val="20"/>
          <w:color w:val="auto"/>
        </w:rPr>
      </w:pPr>
      <w:r>
        <w:rPr>
          <w:rFonts w:ascii="Arial" w:cs="Arial" w:eastAsia="Arial" w:hAnsi="Arial"/>
          <w:sz w:val="11"/>
          <w:szCs w:val="11"/>
          <w:color w:val="54585A"/>
        </w:rPr>
        <w:t>In the event the Company's financial statements are restated or otherwise adjusted, resulting in a reduction to Adjusted EBITDA, then participants who have received distributions under the bonus plan in excess of the amounts they would have been entitled to receive, shall be liable to repay such excess to the Company.</w:t>
      </w:r>
    </w:p>
    <w:p>
      <w:pPr>
        <w:spacing w:after="0" w:line="99" w:lineRule="exact"/>
        <w:rPr>
          <w:sz w:val="20"/>
          <w:szCs w:val="20"/>
          <w:color w:val="auto"/>
        </w:rPr>
      </w:pPr>
    </w:p>
    <w:p>
      <w:pPr>
        <w:ind w:right="300"/>
        <w:spacing w:after="0" w:line="330" w:lineRule="auto"/>
        <w:rPr>
          <w:sz w:val="20"/>
          <w:szCs w:val="20"/>
          <w:color w:val="auto"/>
        </w:rPr>
      </w:pPr>
      <w:r>
        <w:rPr>
          <w:rFonts w:ascii="Arial" w:cs="Arial" w:eastAsia="Arial" w:hAnsi="Arial"/>
          <w:sz w:val="11"/>
          <w:szCs w:val="11"/>
          <w:b w:val="1"/>
          <w:bCs w:val="1"/>
          <w:i w:val="1"/>
          <w:iCs w:val="1"/>
          <w:color w:val="54585A"/>
        </w:rPr>
        <w:t xml:space="preserve">All Other Compensation. </w:t>
      </w:r>
      <w:r>
        <w:rPr>
          <w:rFonts w:ascii="Arial" w:cs="Arial" w:eastAsia="Arial" w:hAnsi="Arial"/>
          <w:sz w:val="11"/>
          <w:szCs w:val="11"/>
          <w:color w:val="54585A"/>
        </w:rPr>
        <w:t>We contribute $0.50 for each $1.00 contributed to our 401(k) plan by all U.S. employees, up to 6% of the employee’s base salary. We also provide limited perquisites to named executive officers consisting</w:t>
      </w:r>
      <w:r>
        <w:rPr>
          <w:rFonts w:ascii="Arial" w:cs="Arial" w:eastAsia="Arial" w:hAnsi="Arial"/>
          <w:sz w:val="11"/>
          <w:szCs w:val="11"/>
          <w:b w:val="1"/>
          <w:bCs w:val="1"/>
          <w:i w:val="1"/>
          <w:iCs w:val="1"/>
          <w:color w:val="54585A"/>
        </w:rPr>
        <w:t xml:space="preserve"> </w:t>
      </w:r>
      <w:r>
        <w:rPr>
          <w:rFonts w:ascii="Arial" w:cs="Arial" w:eastAsia="Arial" w:hAnsi="Arial"/>
          <w:sz w:val="11"/>
          <w:szCs w:val="11"/>
          <w:color w:val="54585A"/>
        </w:rPr>
        <w:t>primarily of premiums for term life insurance policies. We also have a compensation arrangement with Mr. Ponder whereby he receives grants of restricted stock awards in connection with obtaining certain international spectrum authorities.</w:t>
      </w:r>
    </w:p>
    <w:p>
      <w:pPr>
        <w:spacing w:after="0" w:line="144" w:lineRule="exact"/>
        <w:rPr>
          <w:sz w:val="20"/>
          <w:szCs w:val="20"/>
          <w:color w:val="auto"/>
        </w:rPr>
      </w:pPr>
    </w:p>
    <w:p>
      <w:pPr>
        <w:ind w:right="60"/>
        <w:spacing w:after="0" w:line="322" w:lineRule="auto"/>
        <w:rPr>
          <w:sz w:val="20"/>
          <w:szCs w:val="20"/>
          <w:color w:val="auto"/>
        </w:rPr>
      </w:pPr>
      <w:r>
        <w:rPr>
          <w:rFonts w:ascii="Arial" w:cs="Arial" w:eastAsia="Arial" w:hAnsi="Arial"/>
          <w:sz w:val="11"/>
          <w:szCs w:val="11"/>
          <w:b w:val="1"/>
          <w:bCs w:val="1"/>
          <w:i w:val="1"/>
          <w:iCs w:val="1"/>
          <w:color w:val="54585A"/>
        </w:rPr>
        <w:t xml:space="preserve">Deductibility of Compensation. </w:t>
      </w:r>
      <w:r>
        <w:rPr>
          <w:rFonts w:ascii="Arial" w:cs="Arial" w:eastAsia="Arial" w:hAnsi="Arial"/>
          <w:sz w:val="11"/>
          <w:szCs w:val="11"/>
          <w:color w:val="54585A"/>
        </w:rPr>
        <w:t>Section 162(m) of the Internal Revenue Code prohibits us from taking an income tax deduction for any compensation in excess of $1 million per year paid to certain covered employees. Prior law defined</w:t>
      </w:r>
      <w:r>
        <w:rPr>
          <w:rFonts w:ascii="Arial" w:cs="Arial" w:eastAsia="Arial" w:hAnsi="Arial"/>
          <w:sz w:val="11"/>
          <w:szCs w:val="11"/>
          <w:b w:val="1"/>
          <w:bCs w:val="1"/>
          <w:i w:val="1"/>
          <w:iCs w:val="1"/>
          <w:color w:val="54585A"/>
        </w:rPr>
        <w:t xml:space="preserve"> </w:t>
      </w:r>
      <w:r>
        <w:rPr>
          <w:rFonts w:ascii="Arial" w:cs="Arial" w:eastAsia="Arial" w:hAnsi="Arial"/>
          <w:sz w:val="11"/>
          <w:szCs w:val="11"/>
          <w:color w:val="54585A"/>
        </w:rPr>
        <w:t>a covered employee as the chief executive officer and the three most-highly compensated executive officers. The Tax Cuts and Jobs Act (the "Act") revised the definition of a covered employee under Section 162(m) to include both the CEO and CFO along with the three most-highly compensated executive officers for the tax year. The Act repealed the exception for performance-based compensation under Section 162(m) of the Internal Revenue Code, which is not expected to have a material impact on the Company.</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Hedging Policy</w:t>
      </w:r>
    </w:p>
    <w:p>
      <w:pPr>
        <w:spacing w:after="0" w:line="76" w:lineRule="exact"/>
        <w:rPr>
          <w:sz w:val="20"/>
          <w:szCs w:val="20"/>
          <w:color w:val="auto"/>
        </w:rPr>
      </w:pPr>
    </w:p>
    <w:p>
      <w:pPr>
        <w:spacing w:after="0"/>
        <w:rPr>
          <w:sz w:val="20"/>
          <w:szCs w:val="20"/>
          <w:color w:val="auto"/>
        </w:rPr>
      </w:pPr>
      <w:r>
        <w:rPr>
          <w:rFonts w:ascii="Arial" w:cs="Arial" w:eastAsia="Arial" w:hAnsi="Arial"/>
          <w:sz w:val="11"/>
          <w:szCs w:val="11"/>
          <w:color w:val="54585A"/>
        </w:rPr>
        <w:t>It is the Company’s policy that its directors, officers, employees, contract employees, consultants, and agents may not engage in any of the following activities with respect to the Company’s securities at any time:</w:t>
      </w:r>
    </w:p>
    <w:p>
      <w:pPr>
        <w:spacing w:after="0" w:line="144" w:lineRule="exact"/>
        <w:rPr>
          <w:sz w:val="20"/>
          <w:szCs w:val="20"/>
          <w:color w:val="auto"/>
        </w:rPr>
      </w:pPr>
    </w:p>
    <w:p>
      <w:pPr>
        <w:ind w:left="300" w:hanging="92"/>
        <w:spacing w:after="0"/>
        <w:tabs>
          <w:tab w:leader="none" w:pos="300" w:val="left"/>
        </w:tabs>
        <w:numPr>
          <w:ilvl w:val="0"/>
          <w:numId w:val="46"/>
        </w:numPr>
        <w:rPr>
          <w:rFonts w:ascii="Arial" w:cs="Arial" w:eastAsia="Arial" w:hAnsi="Arial"/>
          <w:sz w:val="11"/>
          <w:szCs w:val="11"/>
          <w:color w:val="54585A"/>
        </w:rPr>
      </w:pPr>
      <w:r>
        <w:rPr>
          <w:rFonts w:ascii="Arial" w:cs="Arial" w:eastAsia="Arial" w:hAnsi="Arial"/>
          <w:sz w:val="11"/>
          <w:szCs w:val="11"/>
          <w:color w:val="54585A"/>
        </w:rPr>
        <w:t>Short sales (a sale of securities that are not owned by the seller at the time of the sale), including short sales against the box.</w:t>
      </w:r>
    </w:p>
    <w:p>
      <w:pPr>
        <w:spacing w:after="0" w:line="116" w:lineRule="exact"/>
        <w:rPr>
          <w:rFonts w:ascii="Arial" w:cs="Arial" w:eastAsia="Arial" w:hAnsi="Arial"/>
          <w:sz w:val="11"/>
          <w:szCs w:val="11"/>
          <w:color w:val="54585A"/>
        </w:rPr>
      </w:pPr>
    </w:p>
    <w:p>
      <w:pPr>
        <w:ind w:left="300" w:hanging="92"/>
        <w:spacing w:after="0"/>
        <w:tabs>
          <w:tab w:leader="none" w:pos="300" w:val="left"/>
        </w:tabs>
        <w:numPr>
          <w:ilvl w:val="0"/>
          <w:numId w:val="46"/>
        </w:numPr>
        <w:rPr>
          <w:rFonts w:ascii="Arial" w:cs="Arial" w:eastAsia="Arial" w:hAnsi="Arial"/>
          <w:sz w:val="11"/>
          <w:szCs w:val="11"/>
          <w:color w:val="54585A"/>
        </w:rPr>
      </w:pPr>
      <w:r>
        <w:rPr>
          <w:rFonts w:ascii="Arial" w:cs="Arial" w:eastAsia="Arial" w:hAnsi="Arial"/>
          <w:sz w:val="11"/>
          <w:szCs w:val="11"/>
          <w:color w:val="54585A"/>
        </w:rPr>
        <w:t>Buying or selling puts or calls.</w:t>
      </w:r>
    </w:p>
    <w:p>
      <w:pPr>
        <w:spacing w:after="0" w:line="116" w:lineRule="exact"/>
        <w:rPr>
          <w:rFonts w:ascii="Arial" w:cs="Arial" w:eastAsia="Arial" w:hAnsi="Arial"/>
          <w:sz w:val="11"/>
          <w:szCs w:val="11"/>
          <w:color w:val="54585A"/>
        </w:rPr>
      </w:pPr>
    </w:p>
    <w:p>
      <w:pPr>
        <w:ind w:left="300" w:hanging="92"/>
        <w:spacing w:after="0"/>
        <w:tabs>
          <w:tab w:leader="none" w:pos="300" w:val="left"/>
        </w:tabs>
        <w:numPr>
          <w:ilvl w:val="0"/>
          <w:numId w:val="46"/>
        </w:numPr>
        <w:rPr>
          <w:rFonts w:ascii="Arial" w:cs="Arial" w:eastAsia="Arial" w:hAnsi="Arial"/>
          <w:sz w:val="11"/>
          <w:szCs w:val="11"/>
          <w:color w:val="54585A"/>
        </w:rPr>
      </w:pPr>
      <w:r>
        <w:rPr>
          <w:rFonts w:ascii="Arial" w:cs="Arial" w:eastAsia="Arial" w:hAnsi="Arial"/>
          <w:sz w:val="11"/>
          <w:szCs w:val="11"/>
          <w:color w:val="54585A"/>
        </w:rPr>
        <w:t>Frequent trading (for example, daily or weekly) to take advantage of fluctuations in stock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221615</wp:posOffset>
            </wp:positionV>
            <wp:extent cx="17145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96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158115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6" w:name="page27"/>
    <w:bookmarkEnd w:id="26"/>
    <w:p>
      <w:pPr>
        <w:ind w:left="68" w:hanging="68"/>
        <w:spacing w:after="0"/>
        <w:tabs>
          <w:tab w:leader="none" w:pos="68" w:val="left"/>
        </w:tabs>
        <w:numPr>
          <w:ilvl w:val="0"/>
          <w:numId w:val="47"/>
        </w:numPr>
        <w:rPr>
          <w:rFonts w:ascii="Arial" w:cs="Arial" w:eastAsia="Arial" w:hAnsi="Arial"/>
          <w:sz w:val="12"/>
          <w:szCs w:val="12"/>
          <w:b w:val="1"/>
          <w:bCs w:val="1"/>
          <w:color w:val="EB6C10"/>
        </w:rPr>
      </w:pPr>
      <w:r>
        <w:rPr>
          <w:rFonts w:ascii="Arial" w:cs="Arial" w:eastAsia="Arial" w:hAnsi="Arial"/>
          <w:sz w:val="10"/>
          <w:szCs w:val="10"/>
          <w:color w:val="54585A"/>
        </w:rPr>
        <w:t>Executive Officers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530860</wp:posOffset>
            </wp:positionV>
            <wp:extent cx="1788795" cy="49320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8795" cy="493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8"/>
        <w:spacing w:after="0"/>
        <w:rPr>
          <w:sz w:val="20"/>
          <w:szCs w:val="20"/>
          <w:color w:val="auto"/>
        </w:rPr>
      </w:pPr>
      <w:r>
        <w:rPr>
          <w:rFonts w:ascii="Arial" w:cs="Arial" w:eastAsia="Arial" w:hAnsi="Arial"/>
          <w:sz w:val="12"/>
          <w:szCs w:val="12"/>
          <w:b w:val="1"/>
          <w:bCs w:val="1"/>
          <w:color w:val="63C237"/>
        </w:rPr>
        <w:t>Proposal Three</w:t>
      </w:r>
    </w:p>
    <w:p>
      <w:pPr>
        <w:spacing w:after="0" w:line="78" w:lineRule="exact"/>
        <w:rPr>
          <w:sz w:val="20"/>
          <w:szCs w:val="20"/>
          <w:color w:val="auto"/>
        </w:rPr>
      </w:pPr>
    </w:p>
    <w:p>
      <w:pPr>
        <w:ind w:left="448" w:right="60" w:hanging="112"/>
        <w:spacing w:after="0" w:line="337" w:lineRule="auto"/>
        <w:tabs>
          <w:tab w:leader="none" w:pos="406" w:val="left"/>
        </w:tabs>
        <w:numPr>
          <w:ilvl w:val="0"/>
          <w:numId w:val="48"/>
        </w:numPr>
        <w:rPr>
          <w:rFonts w:ascii="Arial" w:cs="Arial" w:eastAsia="Arial" w:hAnsi="Arial"/>
          <w:sz w:val="12"/>
          <w:szCs w:val="12"/>
          <w:b w:val="1"/>
          <w:bCs w:val="1"/>
          <w:color w:val="63C237"/>
        </w:rPr>
      </w:pPr>
      <w:r>
        <w:rPr>
          <w:rFonts w:ascii="Arial" w:cs="Arial" w:eastAsia="Arial" w:hAnsi="Arial"/>
          <w:sz w:val="12"/>
          <w:szCs w:val="12"/>
          <w:color w:val="FFFFFF"/>
        </w:rPr>
        <w:t xml:space="preserve">The Board recommends a vote </w:t>
      </w:r>
      <w:r>
        <w:rPr>
          <w:rFonts w:ascii="Arial" w:cs="Arial" w:eastAsia="Arial" w:hAnsi="Arial"/>
          <w:sz w:val="12"/>
          <w:szCs w:val="12"/>
          <w:b w:val="1"/>
          <w:bCs w:val="1"/>
          <w:color w:val="63C237"/>
        </w:rPr>
        <w:t>FOR</w:t>
      </w:r>
      <w:r>
        <w:rPr>
          <w:rFonts w:ascii="Arial" w:cs="Arial" w:eastAsia="Arial" w:hAnsi="Arial"/>
          <w:sz w:val="12"/>
          <w:szCs w:val="12"/>
          <w:color w:val="FFFFFF"/>
        </w:rPr>
        <w:t xml:space="preserve"> the approval of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24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9"/>
          <w:szCs w:val="19"/>
          <w:color w:val="54585A"/>
        </w:rPr>
        <w:t>Advisory Vote on Named Executive Officer Compensation</w:t>
      </w:r>
    </w:p>
    <w:p>
      <w:pPr>
        <w:spacing w:after="0" w:line="137" w:lineRule="exact"/>
        <w:rPr>
          <w:sz w:val="20"/>
          <w:szCs w:val="20"/>
          <w:color w:val="auto"/>
        </w:rPr>
      </w:pPr>
    </w:p>
    <w:p>
      <w:pPr>
        <w:ind w:right="20"/>
        <w:spacing w:after="0" w:line="316" w:lineRule="auto"/>
        <w:rPr>
          <w:sz w:val="20"/>
          <w:szCs w:val="20"/>
          <w:color w:val="auto"/>
        </w:rPr>
      </w:pPr>
      <w:r>
        <w:rPr>
          <w:rFonts w:ascii="Arial" w:cs="Arial" w:eastAsia="Arial" w:hAnsi="Arial"/>
          <w:sz w:val="11"/>
          <w:szCs w:val="11"/>
          <w:color w:val="54585A"/>
        </w:rPr>
        <w:t>The Dodd-Frank Wall Street Reform and Consumer Protection Act, as amended (the “Dodd-Frank Act”) requires that we provide our stockholders with the opportunity to vote to approve, on a nonbinding, advisory basis, the compensation of our named executives officers as disclosed in this proxy statement in accordance with the compensation disclosure rules of the SEC. Pursuant to the decision of the stockholders at our 2020 Annual Meeting, we have provided our stockholders with the opportunity to cast this advisory vote on compensation every three years. The advisory vote as to how often we should include a proposal to vote on compensation is required to be presented to stockholders at least once every six years pursuant to Section 14A of the Securities Exchange Act of 1934 adopted as part of the Dodd-Frank Wall Street Reform and Consumer Protection Act; this advisory vote is provided to our stockholders in connection with this Annual Meeting. See Proposal No. 4 in this proxy statement for more information.</w:t>
      </w:r>
    </w:p>
    <w:p>
      <w:pPr>
        <w:spacing w:after="0" w:line="112" w:lineRule="exact"/>
        <w:rPr>
          <w:sz w:val="20"/>
          <w:szCs w:val="20"/>
          <w:color w:val="auto"/>
        </w:rPr>
      </w:pPr>
    </w:p>
    <w:p>
      <w:pPr>
        <w:spacing w:after="0" w:line="313" w:lineRule="auto"/>
        <w:rPr>
          <w:sz w:val="20"/>
          <w:szCs w:val="20"/>
          <w:color w:val="auto"/>
        </w:rPr>
      </w:pPr>
      <w:r>
        <w:rPr>
          <w:rFonts w:ascii="Arial" w:cs="Arial" w:eastAsia="Arial" w:hAnsi="Arial"/>
          <w:sz w:val="11"/>
          <w:szCs w:val="11"/>
          <w:color w:val="54585A"/>
        </w:rPr>
        <w:t>As described in detail under “Compensation Discussion and Analysis” beginning on page 21 our compensation programs for our named executive officers are designed to attract and retain the most qualified individuals in the mobile satellite services industry.</w:t>
      </w:r>
    </w:p>
    <w:p>
      <w:pPr>
        <w:spacing w:after="0" w:line="111" w:lineRule="exact"/>
        <w:rPr>
          <w:sz w:val="20"/>
          <w:szCs w:val="20"/>
          <w:color w:val="auto"/>
        </w:rPr>
      </w:pPr>
    </w:p>
    <w:p>
      <w:pPr>
        <w:jc w:val="both"/>
        <w:ind w:right="40"/>
        <w:spacing w:after="0" w:line="319" w:lineRule="auto"/>
        <w:rPr>
          <w:sz w:val="20"/>
          <w:szCs w:val="20"/>
          <w:color w:val="auto"/>
        </w:rPr>
      </w:pPr>
      <w:r>
        <w:rPr>
          <w:rFonts w:ascii="Arial" w:cs="Arial" w:eastAsia="Arial" w:hAnsi="Arial"/>
          <w:sz w:val="11"/>
          <w:szCs w:val="11"/>
          <w:color w:val="54585A"/>
        </w:rPr>
        <w:t>The vote on this resolution relates to the compensation of our named executive officers as a whole. The vote is advisory, which means that the vote is not binding on us, our Board or the Compensation Committee of our Board. To the extent there is any significant vote against the named executive officer compensation, the Compensation Committee will evaluate whether any actions are necessary to address the concerns of stockholders.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Vote Required to Approve the Advisory Vote on Executive Compensation</w:t>
      </w:r>
    </w:p>
    <w:p>
      <w:pPr>
        <w:spacing w:after="0" w:line="148" w:lineRule="exact"/>
        <w:rPr>
          <w:sz w:val="20"/>
          <w:szCs w:val="20"/>
          <w:color w:val="auto"/>
        </w:rPr>
      </w:pPr>
    </w:p>
    <w:p>
      <w:pPr>
        <w:ind w:right="280"/>
        <w:spacing w:after="0" w:line="313" w:lineRule="auto"/>
        <w:rPr>
          <w:sz w:val="20"/>
          <w:szCs w:val="20"/>
          <w:color w:val="auto"/>
        </w:rPr>
      </w:pPr>
      <w:r>
        <w:rPr>
          <w:rFonts w:ascii="Arial" w:cs="Arial" w:eastAsia="Arial" w:hAnsi="Arial"/>
          <w:sz w:val="11"/>
          <w:szCs w:val="11"/>
          <w:color w:val="54585A"/>
        </w:rPr>
        <w:t>The affirmative vote of the holders of a majority of the votes cast at the Annual Meeting by holders of common stock entitled to vote at the meeting is required for the advisory approval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3446145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5027295</wp:posOffset>
            </wp:positionH>
            <wp:positionV relativeFrom="paragraph">
              <wp:posOffset>3161665</wp:posOffset>
            </wp:positionV>
            <wp:extent cx="17145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2">
            <w:col w:w="2388" w:space="720"/>
            <w:col w:w="8100"/>
          </w:cols>
          <w:pgMar w:left="292" w:top="156" w:right="39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1788795" cy="49320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88795" cy="493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2"/>
          <w:szCs w:val="12"/>
          <w:b w:val="1"/>
          <w:bCs w:val="1"/>
          <w:color w:val="FFD900"/>
        </w:rPr>
        <w:t>Proposal Four</w:t>
      </w:r>
    </w:p>
    <w:p>
      <w:pPr>
        <w:spacing w:after="0" w:line="78" w:lineRule="exact"/>
        <w:rPr>
          <w:sz w:val="20"/>
          <w:szCs w:val="20"/>
          <w:color w:val="auto"/>
        </w:rPr>
      </w:pPr>
    </w:p>
    <w:p>
      <w:pPr>
        <w:ind w:left="120" w:hanging="112"/>
        <w:spacing w:after="0" w:line="329" w:lineRule="auto"/>
        <w:tabs>
          <w:tab w:leader="none" w:pos="78" w:val="left"/>
        </w:tabs>
        <w:numPr>
          <w:ilvl w:val="0"/>
          <w:numId w:val="49"/>
        </w:numPr>
        <w:rPr>
          <w:rFonts w:ascii="Arial" w:cs="Arial" w:eastAsia="Arial" w:hAnsi="Arial"/>
          <w:sz w:val="12"/>
          <w:szCs w:val="12"/>
          <w:b w:val="1"/>
          <w:bCs w:val="1"/>
          <w:color w:val="FFD900"/>
        </w:rPr>
      </w:pPr>
      <w:r>
        <w:rPr>
          <w:rFonts w:ascii="Arial" w:cs="Arial" w:eastAsia="Arial" w:hAnsi="Arial"/>
          <w:sz w:val="12"/>
          <w:szCs w:val="12"/>
          <w:color w:val="FFFFFF"/>
        </w:rPr>
        <w:t xml:space="preserve">The Board recommends you vote </w:t>
      </w:r>
      <w:r>
        <w:rPr>
          <w:rFonts w:ascii="Arial" w:cs="Arial" w:eastAsia="Arial" w:hAnsi="Arial"/>
          <w:sz w:val="12"/>
          <w:szCs w:val="12"/>
          <w:b w:val="1"/>
          <w:bCs w:val="1"/>
          <w:color w:val="FFD900"/>
        </w:rPr>
        <w:t>FOR</w:t>
      </w:r>
      <w:r>
        <w:rPr>
          <w:rFonts w:ascii="Arial" w:cs="Arial" w:eastAsia="Arial" w:hAnsi="Arial"/>
          <w:sz w:val="12"/>
          <w:szCs w:val="12"/>
          <w:color w:val="FFFFFF"/>
        </w:rPr>
        <w:t xml:space="preserve"> the option of every three years as the future frequency with which stockholders will be provided an advisory vote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3190875</wp:posOffset>
            </wp:positionV>
            <wp:extent cx="17145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0"/>
          <w:szCs w:val="10"/>
          <w:color w:val="54585A"/>
        </w:rPr>
        <w:t xml:space="preserve">Executive Officers and Compensation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9"/>
          <w:szCs w:val="19"/>
          <w:color w:val="54585A"/>
        </w:rPr>
        <w:t>Advisory Vote on Frequency of Future Advisory Votes on Executive Compensation</w:t>
      </w:r>
    </w:p>
    <w:p>
      <w:pPr>
        <w:spacing w:after="0" w:line="137" w:lineRule="exact"/>
        <w:rPr>
          <w:sz w:val="20"/>
          <w:szCs w:val="20"/>
          <w:color w:val="auto"/>
        </w:rPr>
      </w:pPr>
    </w:p>
    <w:p>
      <w:pPr>
        <w:ind w:right="60"/>
        <w:spacing w:after="0" w:line="318" w:lineRule="auto"/>
        <w:rPr>
          <w:sz w:val="20"/>
          <w:szCs w:val="20"/>
          <w:color w:val="auto"/>
        </w:rPr>
      </w:pPr>
      <w:r>
        <w:rPr>
          <w:rFonts w:ascii="Arial" w:cs="Arial" w:eastAsia="Arial" w:hAnsi="Arial"/>
          <w:sz w:val="11"/>
          <w:szCs w:val="11"/>
          <w:color w:val="54585A"/>
        </w:rPr>
        <w:t>This proposal is required to be presented to stockholders at least once every six years pursuant to Section 14A of the Securities Exchange Act of 1934 adopted as part of the Dodd-Frank Act. We are seeking a stockholder advisory vote as to how often we should include a proposal, similar to Proposal 3 above, asking for an advisory vote on the compensation paid to our named executive officers. Therefore, we are asking our stockholders to express their preference as to whether we should include an advisory vote to approve this compensation every one, two or three years. If they wish, stockholders may also abstain from casting a vote on this proposal. In considering their vote, we encourage stockholders to review carefully the information presented in connection with Proposal 3 of this Proxy Statement. The advisory vote is non-binding, but the Board and the Compensation Committee will take into account the outcome of the vote when making future decisions about how often we conduct a stockholder advisory vote on our named executive officer compensation. At our 2017 Annual Meeting of Stockholders, a majority of our stockholders cast a non-binding vote for three year say-on-pay vote intervals.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Vote Required to Approve the Frequency of Future Executive Compensation Votes</w:t>
      </w:r>
    </w:p>
    <w:p>
      <w:pPr>
        <w:spacing w:after="0" w:line="148" w:lineRule="exact"/>
        <w:rPr>
          <w:sz w:val="20"/>
          <w:szCs w:val="20"/>
          <w:color w:val="auto"/>
        </w:rPr>
      </w:pPr>
    </w:p>
    <w:p>
      <w:pPr>
        <w:ind w:right="20"/>
        <w:spacing w:after="0" w:line="320" w:lineRule="auto"/>
        <w:rPr>
          <w:sz w:val="20"/>
          <w:szCs w:val="20"/>
          <w:color w:val="auto"/>
        </w:rPr>
      </w:pPr>
      <w:r>
        <w:rPr>
          <w:rFonts w:ascii="Arial" w:cs="Arial" w:eastAsia="Arial" w:hAnsi="Arial"/>
          <w:sz w:val="11"/>
          <w:szCs w:val="11"/>
          <w:color w:val="54585A"/>
        </w:rPr>
        <w:t xml:space="preserve">The advisory vote regarding frequency of a stockholder advisory vote on executive compensation will be determined by whichever of the choices - annually, every other year or every three years - receives the greatest number of votes cast. Shares represented by proxies that are marked to indicate abstentions from this proposal and broker non-votes with respect to this proposal will not affect its outcome. If no voting specification is made on a properly returned and voted proxy card, the proxies named on the proxy card will vote FOR a frequency of </w:t>
      </w:r>
      <w:r>
        <w:rPr>
          <w:rFonts w:ascii="Arial" w:cs="Arial" w:eastAsia="Arial" w:hAnsi="Arial"/>
          <w:sz w:val="11"/>
          <w:szCs w:val="11"/>
          <w:b w:val="1"/>
          <w:bCs w:val="1"/>
          <w:color w:val="54585A"/>
        </w:rPr>
        <w:t>THREE YEARS</w:t>
      </w:r>
      <w:r>
        <w:rPr>
          <w:rFonts w:ascii="Arial" w:cs="Arial" w:eastAsia="Arial" w:hAnsi="Arial"/>
          <w:sz w:val="11"/>
          <w:szCs w:val="11"/>
          <w:color w:val="54585A"/>
        </w:rPr>
        <w:t xml:space="preserve"> for future advisory votes regarding executive compensation.</w:t>
      </w:r>
    </w:p>
    <w:p>
      <w:pPr>
        <w:spacing w:after="0" w:line="108" w:lineRule="exact"/>
        <w:rPr>
          <w:sz w:val="20"/>
          <w:szCs w:val="20"/>
          <w:color w:val="auto"/>
        </w:rPr>
      </w:pPr>
    </w:p>
    <w:p>
      <w:pPr>
        <w:ind w:right="300"/>
        <w:spacing w:after="0" w:line="313" w:lineRule="auto"/>
        <w:rPr>
          <w:sz w:val="20"/>
          <w:szCs w:val="20"/>
          <w:color w:val="auto"/>
        </w:rPr>
      </w:pPr>
      <w:r>
        <w:rPr>
          <w:rFonts w:ascii="Arial" w:cs="Arial" w:eastAsia="Arial" w:hAnsi="Arial"/>
          <w:sz w:val="11"/>
          <w:szCs w:val="11"/>
          <w:color w:val="54585A"/>
        </w:rPr>
        <w:t>The proxy card provides stockholders with the opportunity to choose among four options (holding the vote every one, two or three years, or abstaining) and, therefore, stockholders will not be voting to approve or disapprove the Board’s recommendation.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5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163830</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2140" w:space="640"/>
            <w:col w:w="8200"/>
          </w:cols>
          <w:pgMar w:left="620" w:top="125" w:right="299" w:bottom="1440" w:gutter="0" w:footer="0" w:header="0"/>
        </w:sectPr>
      </w:pPr>
    </w:p>
    <w:bookmarkStart w:id="28" w:name="page29"/>
    <w:bookmarkEnd w:id="28"/>
    <w:p>
      <w:pPr>
        <w:ind w:left="68" w:hanging="68"/>
        <w:spacing w:after="0"/>
        <w:tabs>
          <w:tab w:leader="none" w:pos="68" w:val="left"/>
        </w:tabs>
        <w:numPr>
          <w:ilvl w:val="0"/>
          <w:numId w:val="50"/>
        </w:numPr>
        <w:rPr>
          <w:rFonts w:ascii="Arial" w:cs="Arial" w:eastAsia="Arial" w:hAnsi="Arial"/>
          <w:sz w:val="12"/>
          <w:szCs w:val="12"/>
          <w:b w:val="1"/>
          <w:bCs w:val="1"/>
          <w:color w:val="EB6C10"/>
        </w:rPr>
      </w:pPr>
      <w:r>
        <w:rPr>
          <w:rFonts w:ascii="Arial" w:cs="Arial" w:eastAsia="Arial" w:hAnsi="Arial"/>
          <w:sz w:val="10"/>
          <w:szCs w:val="10"/>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
        <w:spacing w:after="0"/>
        <w:rPr>
          <w:sz w:val="20"/>
          <w:szCs w:val="20"/>
          <w:color w:val="auto"/>
        </w:rPr>
      </w:pPr>
      <w:r>
        <w:rPr>
          <w:rFonts w:ascii="Arial" w:cs="Arial" w:eastAsia="Arial" w:hAnsi="Arial"/>
          <w:sz w:val="19"/>
          <w:szCs w:val="19"/>
          <w:color w:val="54585A"/>
        </w:rPr>
        <w:t>2022 Summary Compensation Table</w:t>
      </w:r>
    </w:p>
    <w:p>
      <w:pPr>
        <w:spacing w:after="0" w:line="146" w:lineRule="exact"/>
        <w:rPr>
          <w:sz w:val="20"/>
          <w:szCs w:val="20"/>
          <w:color w:val="auto"/>
        </w:rPr>
      </w:pPr>
    </w:p>
    <w:p>
      <w:pPr>
        <w:ind w:left="8" w:right="160"/>
        <w:spacing w:after="0" w:line="313" w:lineRule="auto"/>
        <w:rPr>
          <w:sz w:val="20"/>
          <w:szCs w:val="20"/>
          <w:color w:val="auto"/>
        </w:rPr>
      </w:pPr>
      <w:r>
        <w:rPr>
          <w:rFonts w:ascii="Arial" w:cs="Arial" w:eastAsia="Arial" w:hAnsi="Arial"/>
          <w:sz w:val="11"/>
          <w:szCs w:val="11"/>
          <w:color w:val="54585A"/>
        </w:rPr>
        <w:t>The table below summarizes for 2022, 2021 and 2020 the compensation of our current principal executive officer, principal financial officer and other executive officers required to be included under SEC rules (collectively referred to as the “named executive officers”). Mr. Monroe did not receive any compensation during 2020 through 2022 for his service as an executive officer of the Company; therefore, is not included in the table below.</w:t>
      </w:r>
    </w:p>
    <w:p>
      <w:pPr>
        <w:spacing w:after="0" w:line="110"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140" w:type="dxa"/>
            <w:vAlign w:val="bottom"/>
            <w:shd w:val="clear" w:color="auto" w:fill="EEEDED"/>
          </w:tcPr>
          <w:p>
            <w:pPr>
              <w:spacing w:after="0"/>
              <w:rPr>
                <w:sz w:val="10"/>
                <w:szCs w:val="10"/>
                <w:color w:val="auto"/>
              </w:rPr>
            </w:pPr>
          </w:p>
        </w:tc>
        <w:tc>
          <w:tcPr>
            <w:tcW w:w="1180" w:type="dxa"/>
            <w:vAlign w:val="bottom"/>
            <w:shd w:val="clear" w:color="auto" w:fill="EEEDED"/>
          </w:tcPr>
          <w:p>
            <w:pPr>
              <w:spacing w:after="0"/>
              <w:rPr>
                <w:sz w:val="10"/>
                <w:szCs w:val="10"/>
                <w:color w:val="auto"/>
              </w:rPr>
            </w:pPr>
          </w:p>
        </w:tc>
        <w:tc>
          <w:tcPr>
            <w:tcW w:w="1540" w:type="dxa"/>
            <w:vAlign w:val="bottom"/>
            <w:vMerge w:val="restart"/>
            <w:shd w:val="clear" w:color="auto" w:fill="EEEDED"/>
          </w:tcPr>
          <w:p>
            <w:pPr>
              <w:jc w:val="right"/>
              <w:ind w:right="492"/>
              <w:spacing w:after="0"/>
              <w:rPr>
                <w:sz w:val="20"/>
                <w:szCs w:val="20"/>
                <w:color w:val="auto"/>
              </w:rPr>
            </w:pPr>
            <w:r>
              <w:rPr>
                <w:rFonts w:ascii="Arial" w:cs="Arial" w:eastAsia="Arial" w:hAnsi="Arial"/>
                <w:sz w:val="10"/>
                <w:szCs w:val="10"/>
                <w:b w:val="1"/>
                <w:bCs w:val="1"/>
                <w:color w:val="54585A"/>
              </w:rPr>
              <w:t>Salary</w:t>
            </w:r>
          </w:p>
        </w:tc>
        <w:tc>
          <w:tcPr>
            <w:tcW w:w="1340" w:type="dxa"/>
            <w:vAlign w:val="bottom"/>
            <w:vMerge w:val="restart"/>
            <w:shd w:val="clear" w:color="auto" w:fill="EEEDED"/>
          </w:tcPr>
          <w:p>
            <w:pPr>
              <w:jc w:val="right"/>
              <w:ind w:right="412"/>
              <w:spacing w:after="0"/>
              <w:rPr>
                <w:sz w:val="20"/>
                <w:szCs w:val="20"/>
                <w:color w:val="auto"/>
              </w:rPr>
            </w:pPr>
            <w:r>
              <w:rPr>
                <w:rFonts w:ascii="Arial" w:cs="Arial" w:eastAsia="Arial" w:hAnsi="Arial"/>
                <w:sz w:val="10"/>
                <w:szCs w:val="10"/>
                <w:b w:val="1"/>
                <w:bCs w:val="1"/>
                <w:color w:val="54585A"/>
              </w:rPr>
              <w:t>Bonus</w:t>
            </w:r>
          </w:p>
        </w:tc>
        <w:tc>
          <w:tcPr>
            <w:tcW w:w="1420" w:type="dxa"/>
            <w:vAlign w:val="bottom"/>
            <w:shd w:val="clear" w:color="auto" w:fill="EEEDED"/>
          </w:tcPr>
          <w:p>
            <w:pPr>
              <w:jc w:val="right"/>
              <w:ind w:right="472"/>
              <w:spacing w:after="0"/>
              <w:rPr>
                <w:sz w:val="20"/>
                <w:szCs w:val="20"/>
                <w:color w:val="auto"/>
              </w:rPr>
            </w:pPr>
            <w:r>
              <w:rPr>
                <w:rFonts w:ascii="Arial" w:cs="Arial" w:eastAsia="Arial" w:hAnsi="Arial"/>
                <w:sz w:val="10"/>
                <w:szCs w:val="10"/>
                <w:b w:val="1"/>
                <w:bCs w:val="1"/>
                <w:color w:val="54585A"/>
              </w:rPr>
              <w:t>Stock</w:t>
            </w:r>
          </w:p>
        </w:tc>
        <w:tc>
          <w:tcPr>
            <w:tcW w:w="1220" w:type="dxa"/>
            <w:vAlign w:val="bottom"/>
            <w:shd w:val="clear" w:color="auto" w:fill="EEEDED"/>
          </w:tcPr>
          <w:p>
            <w:pPr>
              <w:jc w:val="right"/>
              <w:ind w:right="312"/>
              <w:spacing w:after="0"/>
              <w:rPr>
                <w:sz w:val="20"/>
                <w:szCs w:val="20"/>
                <w:color w:val="auto"/>
              </w:rPr>
            </w:pPr>
            <w:r>
              <w:rPr>
                <w:rFonts w:ascii="Arial" w:cs="Arial" w:eastAsia="Arial" w:hAnsi="Arial"/>
                <w:sz w:val="10"/>
                <w:szCs w:val="10"/>
                <w:b w:val="1"/>
                <w:bCs w:val="1"/>
                <w:color w:val="54585A"/>
              </w:rPr>
              <w:t>Option</w:t>
            </w:r>
          </w:p>
        </w:tc>
        <w:tc>
          <w:tcPr>
            <w:tcW w:w="1440" w:type="dxa"/>
            <w:vAlign w:val="bottom"/>
            <w:shd w:val="clear" w:color="auto" w:fill="EEEDED"/>
          </w:tcPr>
          <w:p>
            <w:pPr>
              <w:jc w:val="right"/>
              <w:ind w:right="372"/>
              <w:spacing w:after="0"/>
              <w:rPr>
                <w:sz w:val="20"/>
                <w:szCs w:val="20"/>
                <w:color w:val="auto"/>
              </w:rPr>
            </w:pPr>
            <w:r>
              <w:rPr>
                <w:rFonts w:ascii="Arial" w:cs="Arial" w:eastAsia="Arial" w:hAnsi="Arial"/>
                <w:sz w:val="10"/>
                <w:szCs w:val="10"/>
                <w:b w:val="1"/>
                <w:bCs w:val="1"/>
                <w:color w:val="54585A"/>
              </w:rPr>
              <w:t>All Other</w:t>
            </w:r>
          </w:p>
        </w:tc>
        <w:tc>
          <w:tcPr>
            <w:tcW w:w="1020" w:type="dxa"/>
            <w:vAlign w:val="bottom"/>
            <w:vMerge w:val="restart"/>
            <w:shd w:val="clear" w:color="auto" w:fill="EEEDED"/>
          </w:tcPr>
          <w:p>
            <w:pPr>
              <w:jc w:val="right"/>
              <w:ind w:right="132"/>
              <w:spacing w:after="0"/>
              <w:rPr>
                <w:sz w:val="20"/>
                <w:szCs w:val="20"/>
                <w:color w:val="auto"/>
              </w:rPr>
            </w:pPr>
            <w:r>
              <w:rPr>
                <w:rFonts w:ascii="Arial" w:cs="Arial" w:eastAsia="Arial" w:hAnsi="Arial"/>
                <w:sz w:val="10"/>
                <w:szCs w:val="10"/>
                <w:b w:val="1"/>
                <w:bCs w:val="1"/>
                <w:color w:val="54585A"/>
              </w:rPr>
              <w:t>Total</w:t>
            </w:r>
          </w:p>
        </w:tc>
        <w:tc>
          <w:tcPr>
            <w:tcW w:w="0" w:type="dxa"/>
            <w:vAlign w:val="bottom"/>
          </w:tcPr>
          <w:p>
            <w:pPr>
              <w:spacing w:after="0"/>
              <w:rPr>
                <w:sz w:val="1"/>
                <w:szCs w:val="1"/>
                <w:color w:val="auto"/>
              </w:rPr>
            </w:pPr>
          </w:p>
        </w:tc>
      </w:tr>
      <w:tr>
        <w:trPr>
          <w:trHeight w:val="108"/>
        </w:trPr>
        <w:tc>
          <w:tcPr>
            <w:tcW w:w="2140" w:type="dxa"/>
            <w:vAlign w:val="bottom"/>
            <w:shd w:val="clear" w:color="auto" w:fill="EEEDED"/>
          </w:tcPr>
          <w:p>
            <w:pPr>
              <w:spacing w:after="0"/>
              <w:rPr>
                <w:sz w:val="9"/>
                <w:szCs w:val="9"/>
                <w:color w:val="auto"/>
              </w:rPr>
            </w:pPr>
          </w:p>
        </w:tc>
        <w:tc>
          <w:tcPr>
            <w:tcW w:w="1180" w:type="dxa"/>
            <w:vAlign w:val="bottom"/>
            <w:shd w:val="clear" w:color="auto" w:fill="EEEDED"/>
          </w:tcPr>
          <w:p>
            <w:pPr>
              <w:spacing w:after="0"/>
              <w:rPr>
                <w:sz w:val="9"/>
                <w:szCs w:val="9"/>
                <w:color w:val="auto"/>
              </w:rPr>
            </w:pPr>
          </w:p>
        </w:tc>
        <w:tc>
          <w:tcPr>
            <w:tcW w:w="1540" w:type="dxa"/>
            <w:vAlign w:val="bottom"/>
            <w:vMerge w:val="continue"/>
            <w:shd w:val="clear" w:color="auto" w:fill="EEEDED"/>
          </w:tcPr>
          <w:p>
            <w:pPr>
              <w:spacing w:after="0"/>
              <w:rPr>
                <w:sz w:val="9"/>
                <w:szCs w:val="9"/>
                <w:color w:val="auto"/>
              </w:rPr>
            </w:pPr>
          </w:p>
        </w:tc>
        <w:tc>
          <w:tcPr>
            <w:tcW w:w="1340" w:type="dxa"/>
            <w:vAlign w:val="bottom"/>
            <w:vMerge w:val="continue"/>
            <w:shd w:val="clear" w:color="auto" w:fill="EEEDED"/>
          </w:tcPr>
          <w:p>
            <w:pPr>
              <w:spacing w:after="0"/>
              <w:rPr>
                <w:sz w:val="9"/>
                <w:szCs w:val="9"/>
                <w:color w:val="auto"/>
              </w:rPr>
            </w:pPr>
          </w:p>
        </w:tc>
        <w:tc>
          <w:tcPr>
            <w:tcW w:w="1420" w:type="dxa"/>
            <w:vAlign w:val="bottom"/>
            <w:shd w:val="clear" w:color="auto" w:fill="EEEDED"/>
          </w:tcPr>
          <w:p>
            <w:pPr>
              <w:jc w:val="right"/>
              <w:ind w:right="472"/>
              <w:spacing w:after="0" w:line="108" w:lineRule="exact"/>
              <w:rPr>
                <w:sz w:val="20"/>
                <w:szCs w:val="20"/>
                <w:color w:val="auto"/>
              </w:rPr>
            </w:pPr>
            <w:r>
              <w:rPr>
                <w:rFonts w:ascii="Arial" w:cs="Arial" w:eastAsia="Arial" w:hAnsi="Arial"/>
                <w:sz w:val="10"/>
                <w:szCs w:val="10"/>
                <w:b w:val="1"/>
                <w:bCs w:val="1"/>
                <w:color w:val="54585A"/>
              </w:rPr>
              <w:t>Awards</w:t>
            </w:r>
          </w:p>
        </w:tc>
        <w:tc>
          <w:tcPr>
            <w:tcW w:w="1220" w:type="dxa"/>
            <w:vAlign w:val="bottom"/>
            <w:shd w:val="clear" w:color="auto" w:fill="EEEDED"/>
          </w:tcPr>
          <w:p>
            <w:pPr>
              <w:jc w:val="right"/>
              <w:ind w:right="312"/>
              <w:spacing w:after="0" w:line="108" w:lineRule="exact"/>
              <w:rPr>
                <w:sz w:val="20"/>
                <w:szCs w:val="20"/>
                <w:color w:val="auto"/>
              </w:rPr>
            </w:pPr>
            <w:r>
              <w:rPr>
                <w:rFonts w:ascii="Arial" w:cs="Arial" w:eastAsia="Arial" w:hAnsi="Arial"/>
                <w:sz w:val="10"/>
                <w:szCs w:val="10"/>
                <w:b w:val="1"/>
                <w:bCs w:val="1"/>
                <w:color w:val="54585A"/>
              </w:rPr>
              <w:t>Awards</w:t>
            </w:r>
          </w:p>
        </w:tc>
        <w:tc>
          <w:tcPr>
            <w:tcW w:w="1440" w:type="dxa"/>
            <w:vAlign w:val="bottom"/>
            <w:shd w:val="clear" w:color="auto" w:fill="EEEDED"/>
          </w:tcPr>
          <w:p>
            <w:pPr>
              <w:jc w:val="right"/>
              <w:ind w:right="372"/>
              <w:spacing w:after="0" w:line="108" w:lineRule="exact"/>
              <w:rPr>
                <w:sz w:val="20"/>
                <w:szCs w:val="20"/>
                <w:color w:val="auto"/>
              </w:rPr>
            </w:pPr>
            <w:r>
              <w:rPr>
                <w:rFonts w:ascii="Arial" w:cs="Arial" w:eastAsia="Arial" w:hAnsi="Arial"/>
                <w:sz w:val="10"/>
                <w:szCs w:val="10"/>
                <w:b w:val="1"/>
                <w:bCs w:val="1"/>
                <w:color w:val="54585A"/>
              </w:rPr>
              <w:t>Compensation</w:t>
            </w:r>
          </w:p>
        </w:tc>
        <w:tc>
          <w:tcPr>
            <w:tcW w:w="1020" w:type="dxa"/>
            <w:vAlign w:val="bottom"/>
            <w:vMerge w:val="continue"/>
            <w:shd w:val="clear" w:color="auto" w:fill="EEEDED"/>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140" w:type="dxa"/>
            <w:vAlign w:val="bottom"/>
            <w:shd w:val="clear" w:color="auto" w:fill="EEEDED"/>
          </w:tcPr>
          <w:p>
            <w:pPr>
              <w:ind w:left="60"/>
              <w:spacing w:after="0"/>
              <w:rPr>
                <w:sz w:val="20"/>
                <w:szCs w:val="20"/>
                <w:color w:val="auto"/>
              </w:rPr>
            </w:pPr>
            <w:r>
              <w:rPr>
                <w:rFonts w:ascii="Arial" w:cs="Arial" w:eastAsia="Arial" w:hAnsi="Arial"/>
                <w:sz w:val="10"/>
                <w:szCs w:val="10"/>
                <w:b w:val="1"/>
                <w:bCs w:val="1"/>
                <w:color w:val="54585A"/>
              </w:rPr>
              <w:t>Name and Principal Position</w:t>
            </w:r>
          </w:p>
        </w:tc>
        <w:tc>
          <w:tcPr>
            <w:tcW w:w="1180" w:type="dxa"/>
            <w:vAlign w:val="bottom"/>
            <w:shd w:val="clear" w:color="auto" w:fill="EEEDED"/>
          </w:tcPr>
          <w:p>
            <w:pPr>
              <w:ind w:left="320"/>
              <w:spacing w:after="0"/>
              <w:rPr>
                <w:sz w:val="20"/>
                <w:szCs w:val="20"/>
                <w:color w:val="auto"/>
              </w:rPr>
            </w:pPr>
            <w:r>
              <w:rPr>
                <w:rFonts w:ascii="Arial" w:cs="Arial" w:eastAsia="Arial" w:hAnsi="Arial"/>
                <w:sz w:val="10"/>
                <w:szCs w:val="10"/>
                <w:b w:val="1"/>
                <w:bCs w:val="1"/>
                <w:color w:val="54585A"/>
              </w:rPr>
              <w:t>Year</w:t>
            </w:r>
          </w:p>
        </w:tc>
        <w:tc>
          <w:tcPr>
            <w:tcW w:w="1540" w:type="dxa"/>
            <w:vAlign w:val="bottom"/>
            <w:shd w:val="clear" w:color="auto" w:fill="EEEDED"/>
          </w:tcPr>
          <w:p>
            <w:pPr>
              <w:jc w:val="right"/>
              <w:ind w:right="452"/>
              <w:spacing w:after="0"/>
              <w:rPr>
                <w:sz w:val="20"/>
                <w:szCs w:val="20"/>
                <w:color w:val="auto"/>
              </w:rPr>
            </w:pPr>
            <w:r>
              <w:rPr>
                <w:rFonts w:ascii="Arial" w:cs="Arial" w:eastAsia="Arial" w:hAnsi="Arial"/>
                <w:sz w:val="10"/>
                <w:szCs w:val="10"/>
                <w:b w:val="1"/>
                <w:bCs w:val="1"/>
                <w:color w:val="54585A"/>
              </w:rPr>
              <w:t>($)</w:t>
            </w:r>
          </w:p>
        </w:tc>
        <w:tc>
          <w:tcPr>
            <w:tcW w:w="1340" w:type="dxa"/>
            <w:vAlign w:val="bottom"/>
            <w:shd w:val="clear" w:color="auto" w:fill="EEEDED"/>
          </w:tcPr>
          <w:p>
            <w:pPr>
              <w:jc w:val="right"/>
              <w:ind w:right="412"/>
              <w:spacing w:after="0"/>
              <w:rPr>
                <w:sz w:val="20"/>
                <w:szCs w:val="20"/>
                <w:color w:val="auto"/>
              </w:rPr>
            </w:pPr>
            <w:r>
              <w:rPr>
                <w:rFonts w:ascii="Arial" w:cs="Arial" w:eastAsia="Arial" w:hAnsi="Arial"/>
                <w:sz w:val="10"/>
                <w:szCs w:val="10"/>
                <w:b w:val="1"/>
                <w:bCs w:val="1"/>
                <w:color w:val="54585A"/>
              </w:rPr>
              <w:t>($)</w:t>
            </w:r>
          </w:p>
        </w:tc>
        <w:tc>
          <w:tcPr>
            <w:tcW w:w="1420" w:type="dxa"/>
            <w:vAlign w:val="bottom"/>
            <w:shd w:val="clear" w:color="auto" w:fill="EEEDED"/>
          </w:tcPr>
          <w:p>
            <w:pPr>
              <w:jc w:val="right"/>
              <w:ind w:right="472"/>
              <w:spacing w:after="0"/>
              <w:rPr>
                <w:sz w:val="20"/>
                <w:szCs w:val="20"/>
                <w:color w:val="auto"/>
              </w:rPr>
            </w:pPr>
            <w:r>
              <w:rPr>
                <w:rFonts w:ascii="Arial" w:cs="Arial" w:eastAsia="Arial" w:hAnsi="Arial"/>
                <w:sz w:val="10"/>
                <w:szCs w:val="10"/>
                <w:b w:val="1"/>
                <w:bCs w:val="1"/>
                <w:color w:val="54585A"/>
              </w:rPr>
              <w:t>($)</w:t>
            </w:r>
            <w:r>
              <w:rPr>
                <w:rFonts w:ascii="Arial" w:cs="Arial" w:eastAsia="Arial" w:hAnsi="Arial"/>
                <w:sz w:val="6"/>
                <w:szCs w:val="6"/>
                <w:b w:val="1"/>
                <w:bCs w:val="1"/>
                <w:color w:val="54585A"/>
              </w:rPr>
              <w:t>(1)</w:t>
            </w:r>
          </w:p>
        </w:tc>
        <w:tc>
          <w:tcPr>
            <w:tcW w:w="1220" w:type="dxa"/>
            <w:vAlign w:val="bottom"/>
            <w:shd w:val="clear" w:color="auto" w:fill="EEEDED"/>
          </w:tcPr>
          <w:p>
            <w:pPr>
              <w:jc w:val="right"/>
              <w:ind w:right="312"/>
              <w:spacing w:after="0"/>
              <w:rPr>
                <w:sz w:val="20"/>
                <w:szCs w:val="20"/>
                <w:color w:val="auto"/>
              </w:rPr>
            </w:pPr>
            <w:r>
              <w:rPr>
                <w:rFonts w:ascii="Arial" w:cs="Arial" w:eastAsia="Arial" w:hAnsi="Arial"/>
                <w:sz w:val="10"/>
                <w:szCs w:val="10"/>
                <w:b w:val="1"/>
                <w:bCs w:val="1"/>
                <w:color w:val="54585A"/>
              </w:rPr>
              <w:t>($)</w:t>
            </w:r>
            <w:r>
              <w:rPr>
                <w:rFonts w:ascii="Arial" w:cs="Arial" w:eastAsia="Arial" w:hAnsi="Arial"/>
                <w:sz w:val="6"/>
                <w:szCs w:val="6"/>
                <w:b w:val="1"/>
                <w:bCs w:val="1"/>
                <w:color w:val="54585A"/>
              </w:rPr>
              <w:t>(1)</w:t>
            </w:r>
          </w:p>
        </w:tc>
        <w:tc>
          <w:tcPr>
            <w:tcW w:w="1440" w:type="dxa"/>
            <w:vAlign w:val="bottom"/>
            <w:shd w:val="clear" w:color="auto" w:fill="EEEDED"/>
          </w:tcPr>
          <w:p>
            <w:pPr>
              <w:jc w:val="right"/>
              <w:ind w:right="372"/>
              <w:spacing w:after="0"/>
              <w:rPr>
                <w:sz w:val="20"/>
                <w:szCs w:val="20"/>
                <w:color w:val="auto"/>
              </w:rPr>
            </w:pPr>
            <w:r>
              <w:rPr>
                <w:rFonts w:ascii="Arial" w:cs="Arial" w:eastAsia="Arial" w:hAnsi="Arial"/>
                <w:sz w:val="10"/>
                <w:szCs w:val="10"/>
                <w:b w:val="1"/>
                <w:bCs w:val="1"/>
                <w:color w:val="54585A"/>
              </w:rPr>
              <w:t>($)</w:t>
            </w:r>
            <w:r>
              <w:rPr>
                <w:rFonts w:ascii="Arial" w:cs="Arial" w:eastAsia="Arial" w:hAnsi="Arial"/>
                <w:sz w:val="6"/>
                <w:szCs w:val="6"/>
                <w:b w:val="1"/>
                <w:bCs w:val="1"/>
                <w:color w:val="54585A"/>
              </w:rPr>
              <w:t>(2)</w:t>
            </w:r>
          </w:p>
        </w:tc>
        <w:tc>
          <w:tcPr>
            <w:tcW w:w="1020" w:type="dxa"/>
            <w:vAlign w:val="bottom"/>
            <w:shd w:val="clear" w:color="auto" w:fill="EEEDED"/>
          </w:tcPr>
          <w:p>
            <w:pPr>
              <w:jc w:val="right"/>
              <w:ind w:right="112"/>
              <w:spacing w:after="0"/>
              <w:rPr>
                <w:sz w:val="20"/>
                <w:szCs w:val="20"/>
                <w:color w:val="auto"/>
              </w:rPr>
            </w:pPr>
            <w:r>
              <w:rPr>
                <w:rFonts w:ascii="Arial" w:cs="Arial" w:eastAsia="Arial" w:hAnsi="Arial"/>
                <w:sz w:val="10"/>
                <w:szCs w:val="10"/>
                <w:b w:val="1"/>
                <w:bCs w:val="1"/>
                <w:color w:val="54585A"/>
              </w:rPr>
              <w:t>($)</w:t>
            </w:r>
          </w:p>
        </w:tc>
        <w:tc>
          <w:tcPr>
            <w:tcW w:w="0" w:type="dxa"/>
            <w:vAlign w:val="bottom"/>
          </w:tcPr>
          <w:p>
            <w:pPr>
              <w:spacing w:after="0"/>
              <w:rPr>
                <w:sz w:val="1"/>
                <w:szCs w:val="1"/>
                <w:color w:val="auto"/>
              </w:rPr>
            </w:pPr>
          </w:p>
        </w:tc>
      </w:tr>
      <w:tr>
        <w:trPr>
          <w:trHeight w:val="80"/>
        </w:trPr>
        <w:tc>
          <w:tcPr>
            <w:tcW w:w="2140" w:type="dxa"/>
            <w:vAlign w:val="bottom"/>
            <w:shd w:val="clear" w:color="auto" w:fill="EEEDED"/>
          </w:tcPr>
          <w:p>
            <w:pPr>
              <w:spacing w:after="0"/>
              <w:rPr>
                <w:sz w:val="6"/>
                <w:szCs w:val="6"/>
                <w:color w:val="auto"/>
              </w:rPr>
            </w:pPr>
          </w:p>
        </w:tc>
        <w:tc>
          <w:tcPr>
            <w:tcW w:w="1180" w:type="dxa"/>
            <w:vAlign w:val="bottom"/>
            <w:shd w:val="clear" w:color="auto" w:fill="EEEDED"/>
          </w:tcPr>
          <w:p>
            <w:pPr>
              <w:spacing w:after="0"/>
              <w:rPr>
                <w:sz w:val="6"/>
                <w:szCs w:val="6"/>
                <w:color w:val="auto"/>
              </w:rPr>
            </w:pPr>
          </w:p>
        </w:tc>
        <w:tc>
          <w:tcPr>
            <w:tcW w:w="1540" w:type="dxa"/>
            <w:vAlign w:val="bottom"/>
            <w:shd w:val="clear" w:color="auto" w:fill="EEEDED"/>
          </w:tcPr>
          <w:p>
            <w:pPr>
              <w:spacing w:after="0"/>
              <w:rPr>
                <w:sz w:val="6"/>
                <w:szCs w:val="6"/>
                <w:color w:val="auto"/>
              </w:rPr>
            </w:pPr>
          </w:p>
        </w:tc>
        <w:tc>
          <w:tcPr>
            <w:tcW w:w="1340" w:type="dxa"/>
            <w:vAlign w:val="bottom"/>
            <w:shd w:val="clear" w:color="auto" w:fill="EEEDED"/>
          </w:tcPr>
          <w:p>
            <w:pPr>
              <w:spacing w:after="0"/>
              <w:rPr>
                <w:sz w:val="6"/>
                <w:szCs w:val="6"/>
                <w:color w:val="auto"/>
              </w:rPr>
            </w:pPr>
          </w:p>
        </w:tc>
        <w:tc>
          <w:tcPr>
            <w:tcW w:w="1420" w:type="dxa"/>
            <w:vAlign w:val="bottom"/>
            <w:shd w:val="clear" w:color="auto" w:fill="EEEDED"/>
          </w:tcPr>
          <w:p>
            <w:pPr>
              <w:spacing w:after="0"/>
              <w:rPr>
                <w:sz w:val="6"/>
                <w:szCs w:val="6"/>
                <w:color w:val="auto"/>
              </w:rPr>
            </w:pPr>
          </w:p>
        </w:tc>
        <w:tc>
          <w:tcPr>
            <w:tcW w:w="1220" w:type="dxa"/>
            <w:vAlign w:val="bottom"/>
            <w:shd w:val="clear" w:color="auto" w:fill="EEEDED"/>
          </w:tcPr>
          <w:p>
            <w:pPr>
              <w:spacing w:after="0"/>
              <w:rPr>
                <w:sz w:val="6"/>
                <w:szCs w:val="6"/>
                <w:color w:val="auto"/>
              </w:rPr>
            </w:pPr>
          </w:p>
        </w:tc>
        <w:tc>
          <w:tcPr>
            <w:tcW w:w="1440" w:type="dxa"/>
            <w:vAlign w:val="bottom"/>
            <w:shd w:val="clear" w:color="auto" w:fill="EEEDED"/>
          </w:tcPr>
          <w:p>
            <w:pPr>
              <w:spacing w:after="0"/>
              <w:rPr>
                <w:sz w:val="6"/>
                <w:szCs w:val="6"/>
                <w:color w:val="auto"/>
              </w:rPr>
            </w:pPr>
          </w:p>
        </w:tc>
        <w:tc>
          <w:tcPr>
            <w:tcW w:w="1020" w:type="dxa"/>
            <w:vAlign w:val="bottom"/>
            <w:shd w:val="clear" w:color="auto" w:fill="EEEDED"/>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140" w:type="dxa"/>
            <w:vAlign w:val="bottom"/>
          </w:tcPr>
          <w:p>
            <w:pPr>
              <w:spacing w:after="0"/>
              <w:rPr>
                <w:sz w:val="17"/>
                <w:szCs w:val="17"/>
                <w:color w:val="auto"/>
              </w:rPr>
            </w:pPr>
          </w:p>
        </w:tc>
        <w:tc>
          <w:tcPr>
            <w:tcW w:w="1180" w:type="dxa"/>
            <w:vAlign w:val="bottom"/>
          </w:tcPr>
          <w:p>
            <w:pPr>
              <w:ind w:left="320"/>
              <w:spacing w:after="0"/>
              <w:rPr>
                <w:sz w:val="20"/>
                <w:szCs w:val="20"/>
                <w:color w:val="auto"/>
              </w:rPr>
            </w:pPr>
            <w:r>
              <w:rPr>
                <w:rFonts w:ascii="Arial" w:cs="Arial" w:eastAsia="Arial" w:hAnsi="Arial"/>
                <w:sz w:val="10"/>
                <w:szCs w:val="10"/>
                <w:color w:val="54585A"/>
              </w:rPr>
              <w:t>2022</w:t>
            </w:r>
          </w:p>
        </w:tc>
        <w:tc>
          <w:tcPr>
            <w:tcW w:w="1540" w:type="dxa"/>
            <w:vAlign w:val="bottom"/>
          </w:tcPr>
          <w:p>
            <w:pPr>
              <w:jc w:val="right"/>
              <w:ind w:right="492"/>
              <w:spacing w:after="0"/>
              <w:rPr>
                <w:sz w:val="20"/>
                <w:szCs w:val="20"/>
                <w:color w:val="auto"/>
              </w:rPr>
            </w:pPr>
            <w:r>
              <w:rPr>
                <w:rFonts w:ascii="Arial" w:cs="Arial" w:eastAsia="Arial" w:hAnsi="Arial"/>
                <w:sz w:val="10"/>
                <w:szCs w:val="10"/>
                <w:color w:val="54585A"/>
              </w:rPr>
              <w:t>546,897</w:t>
            </w:r>
          </w:p>
        </w:tc>
        <w:tc>
          <w:tcPr>
            <w:tcW w:w="1340" w:type="dxa"/>
            <w:vAlign w:val="bottom"/>
          </w:tcPr>
          <w:p>
            <w:pPr>
              <w:jc w:val="right"/>
              <w:ind w:right="452"/>
              <w:spacing w:after="0"/>
              <w:rPr>
                <w:sz w:val="20"/>
                <w:szCs w:val="20"/>
                <w:color w:val="auto"/>
              </w:rPr>
            </w:pPr>
            <w:r>
              <w:rPr>
                <w:rFonts w:ascii="Arial" w:cs="Arial" w:eastAsia="Arial" w:hAnsi="Arial"/>
                <w:sz w:val="10"/>
                <w:szCs w:val="10"/>
                <w:color w:val="54585A"/>
              </w:rPr>
              <w:t>—</w:t>
            </w:r>
          </w:p>
        </w:tc>
        <w:tc>
          <w:tcPr>
            <w:tcW w:w="1420" w:type="dxa"/>
            <w:vAlign w:val="bottom"/>
          </w:tcPr>
          <w:p>
            <w:pPr>
              <w:jc w:val="right"/>
              <w:ind w:right="492"/>
              <w:spacing w:after="0"/>
              <w:rPr>
                <w:sz w:val="20"/>
                <w:szCs w:val="20"/>
                <w:color w:val="auto"/>
              </w:rPr>
            </w:pPr>
            <w:r>
              <w:rPr>
                <w:rFonts w:ascii="Arial" w:cs="Arial" w:eastAsia="Arial" w:hAnsi="Arial"/>
                <w:sz w:val="10"/>
                <w:szCs w:val="10"/>
                <w:color w:val="54585A"/>
              </w:rPr>
              <w:t>1,330,400</w:t>
            </w:r>
          </w:p>
        </w:tc>
        <w:tc>
          <w:tcPr>
            <w:tcW w:w="1220" w:type="dxa"/>
            <w:vAlign w:val="bottom"/>
          </w:tcPr>
          <w:p>
            <w:pPr>
              <w:ind w:left="740"/>
              <w:spacing w:after="0"/>
              <w:rPr>
                <w:sz w:val="20"/>
                <w:szCs w:val="20"/>
                <w:color w:val="auto"/>
              </w:rPr>
            </w:pPr>
            <w:r>
              <w:rPr>
                <w:rFonts w:ascii="Arial" w:cs="Arial" w:eastAsia="Arial" w:hAnsi="Arial"/>
                <w:sz w:val="10"/>
                <w:szCs w:val="10"/>
                <w:color w:val="54585A"/>
              </w:rPr>
              <w:t>—</w:t>
            </w:r>
          </w:p>
        </w:tc>
        <w:tc>
          <w:tcPr>
            <w:tcW w:w="1440" w:type="dxa"/>
            <w:vAlign w:val="bottom"/>
          </w:tcPr>
          <w:p>
            <w:pPr>
              <w:jc w:val="right"/>
              <w:ind w:right="412"/>
              <w:spacing w:after="0"/>
              <w:rPr>
                <w:sz w:val="20"/>
                <w:szCs w:val="20"/>
                <w:color w:val="auto"/>
              </w:rPr>
            </w:pPr>
            <w:r>
              <w:rPr>
                <w:rFonts w:ascii="Arial" w:cs="Arial" w:eastAsia="Arial" w:hAnsi="Arial"/>
                <w:sz w:val="10"/>
                <w:szCs w:val="10"/>
                <w:color w:val="54585A"/>
              </w:rPr>
              <w:t>14,870</w:t>
            </w:r>
          </w:p>
        </w:tc>
        <w:tc>
          <w:tcPr>
            <w:tcW w:w="1020" w:type="dxa"/>
            <w:vAlign w:val="bottom"/>
          </w:tcPr>
          <w:p>
            <w:pPr>
              <w:jc w:val="right"/>
              <w:ind w:right="132"/>
              <w:spacing w:after="0"/>
              <w:rPr>
                <w:sz w:val="20"/>
                <w:szCs w:val="20"/>
                <w:color w:val="auto"/>
              </w:rPr>
            </w:pPr>
            <w:r>
              <w:rPr>
                <w:rFonts w:ascii="Arial" w:cs="Arial" w:eastAsia="Arial" w:hAnsi="Arial"/>
                <w:sz w:val="10"/>
                <w:szCs w:val="10"/>
                <w:color w:val="54585A"/>
              </w:rPr>
              <w:t>1,892,167</w:t>
            </w:r>
          </w:p>
        </w:tc>
        <w:tc>
          <w:tcPr>
            <w:tcW w:w="0" w:type="dxa"/>
            <w:vAlign w:val="bottom"/>
          </w:tcPr>
          <w:p>
            <w:pPr>
              <w:spacing w:after="0"/>
              <w:rPr>
                <w:sz w:val="1"/>
                <w:szCs w:val="1"/>
                <w:color w:val="auto"/>
              </w:rPr>
            </w:pPr>
          </w:p>
        </w:tc>
      </w:tr>
      <w:tr>
        <w:trPr>
          <w:trHeight w:val="89"/>
        </w:trPr>
        <w:tc>
          <w:tcPr>
            <w:tcW w:w="2140" w:type="dxa"/>
            <w:vAlign w:val="bottom"/>
            <w:vMerge w:val="restart"/>
          </w:tcPr>
          <w:p>
            <w:pPr>
              <w:ind w:left="60"/>
              <w:spacing w:after="0"/>
              <w:rPr>
                <w:sz w:val="20"/>
                <w:szCs w:val="20"/>
                <w:color w:val="auto"/>
              </w:rPr>
            </w:pPr>
            <w:r>
              <w:rPr>
                <w:rFonts w:ascii="Arial" w:cs="Arial" w:eastAsia="Arial" w:hAnsi="Arial"/>
                <w:sz w:val="10"/>
                <w:szCs w:val="10"/>
                <w:b w:val="1"/>
                <w:bCs w:val="1"/>
                <w:color w:val="EB6C10"/>
              </w:rPr>
              <w:t>David B. Kagan</w:t>
            </w:r>
          </w:p>
        </w:tc>
        <w:tc>
          <w:tcPr>
            <w:tcW w:w="1180" w:type="dxa"/>
            <w:vAlign w:val="bottom"/>
            <w:tcBorders>
              <w:bottom w:val="single" w:sz="8" w:color="54585A"/>
            </w:tcBorders>
          </w:tcPr>
          <w:p>
            <w:pPr>
              <w:spacing w:after="0"/>
              <w:rPr>
                <w:sz w:val="7"/>
                <w:szCs w:val="7"/>
                <w:color w:val="auto"/>
              </w:rPr>
            </w:pPr>
          </w:p>
        </w:tc>
        <w:tc>
          <w:tcPr>
            <w:tcW w:w="1540" w:type="dxa"/>
            <w:vAlign w:val="bottom"/>
            <w:tcBorders>
              <w:bottom w:val="single" w:sz="8" w:color="54585A"/>
            </w:tcBorders>
          </w:tcPr>
          <w:p>
            <w:pPr>
              <w:spacing w:after="0"/>
              <w:rPr>
                <w:sz w:val="7"/>
                <w:szCs w:val="7"/>
                <w:color w:val="auto"/>
              </w:rPr>
            </w:pPr>
          </w:p>
        </w:tc>
        <w:tc>
          <w:tcPr>
            <w:tcW w:w="1340" w:type="dxa"/>
            <w:vAlign w:val="bottom"/>
            <w:tcBorders>
              <w:bottom w:val="single" w:sz="8" w:color="54585A"/>
            </w:tcBorders>
          </w:tcPr>
          <w:p>
            <w:pPr>
              <w:spacing w:after="0"/>
              <w:rPr>
                <w:sz w:val="7"/>
                <w:szCs w:val="7"/>
                <w:color w:val="auto"/>
              </w:rPr>
            </w:pPr>
          </w:p>
        </w:tc>
        <w:tc>
          <w:tcPr>
            <w:tcW w:w="1420" w:type="dxa"/>
            <w:vAlign w:val="bottom"/>
            <w:tcBorders>
              <w:bottom w:val="single" w:sz="8" w:color="54585A"/>
            </w:tcBorders>
          </w:tcPr>
          <w:p>
            <w:pPr>
              <w:spacing w:after="0"/>
              <w:rPr>
                <w:sz w:val="7"/>
                <w:szCs w:val="7"/>
                <w:color w:val="auto"/>
              </w:rPr>
            </w:pPr>
          </w:p>
        </w:tc>
        <w:tc>
          <w:tcPr>
            <w:tcW w:w="1220" w:type="dxa"/>
            <w:vAlign w:val="bottom"/>
            <w:tcBorders>
              <w:bottom w:val="single" w:sz="8" w:color="54585A"/>
            </w:tcBorders>
          </w:tcPr>
          <w:p>
            <w:pPr>
              <w:spacing w:after="0"/>
              <w:rPr>
                <w:sz w:val="7"/>
                <w:szCs w:val="7"/>
                <w:color w:val="auto"/>
              </w:rPr>
            </w:pPr>
          </w:p>
        </w:tc>
        <w:tc>
          <w:tcPr>
            <w:tcW w:w="1440" w:type="dxa"/>
            <w:vAlign w:val="bottom"/>
            <w:tcBorders>
              <w:bottom w:val="single" w:sz="8" w:color="54585A"/>
            </w:tcBorders>
          </w:tcPr>
          <w:p>
            <w:pPr>
              <w:spacing w:after="0"/>
              <w:rPr>
                <w:sz w:val="7"/>
                <w:szCs w:val="7"/>
                <w:color w:val="auto"/>
              </w:rPr>
            </w:pPr>
          </w:p>
        </w:tc>
        <w:tc>
          <w:tcPr>
            <w:tcW w:w="1020" w:type="dxa"/>
            <w:vAlign w:val="bottom"/>
            <w:tcBorders>
              <w:bottom w:val="single" w:sz="8" w:color="54585A"/>
            </w:tcBorders>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140" w:type="dxa"/>
            <w:vAlign w:val="bottom"/>
            <w:vMerge w:val="continue"/>
          </w:tcPr>
          <w:p>
            <w:pPr>
              <w:spacing w:after="0"/>
              <w:rPr>
                <w:sz w:val="10"/>
                <w:szCs w:val="10"/>
                <w:color w:val="auto"/>
              </w:rPr>
            </w:pPr>
          </w:p>
        </w:tc>
        <w:tc>
          <w:tcPr>
            <w:tcW w:w="1180" w:type="dxa"/>
            <w:vAlign w:val="bottom"/>
            <w:vMerge w:val="restart"/>
          </w:tcPr>
          <w:p>
            <w:pPr>
              <w:ind w:left="320"/>
              <w:spacing w:after="0"/>
              <w:rPr>
                <w:sz w:val="20"/>
                <w:szCs w:val="20"/>
                <w:color w:val="auto"/>
              </w:rPr>
            </w:pPr>
            <w:r>
              <w:rPr>
                <w:rFonts w:ascii="Arial" w:cs="Arial" w:eastAsia="Arial" w:hAnsi="Arial"/>
                <w:sz w:val="10"/>
                <w:szCs w:val="10"/>
                <w:color w:val="54585A"/>
              </w:rPr>
              <w:t>2021</w:t>
            </w:r>
          </w:p>
        </w:tc>
        <w:tc>
          <w:tcPr>
            <w:tcW w:w="1540" w:type="dxa"/>
            <w:vAlign w:val="bottom"/>
            <w:vMerge w:val="restart"/>
          </w:tcPr>
          <w:p>
            <w:pPr>
              <w:jc w:val="right"/>
              <w:ind w:right="492"/>
              <w:spacing w:after="0"/>
              <w:rPr>
                <w:sz w:val="20"/>
                <w:szCs w:val="20"/>
                <w:color w:val="auto"/>
              </w:rPr>
            </w:pPr>
            <w:r>
              <w:rPr>
                <w:rFonts w:ascii="Arial" w:cs="Arial" w:eastAsia="Arial" w:hAnsi="Arial"/>
                <w:sz w:val="10"/>
                <w:szCs w:val="10"/>
                <w:color w:val="54585A"/>
              </w:rPr>
              <w:t>543,225</w:t>
            </w:r>
          </w:p>
        </w:tc>
        <w:tc>
          <w:tcPr>
            <w:tcW w:w="1340" w:type="dxa"/>
            <w:vAlign w:val="bottom"/>
            <w:vMerge w:val="restart"/>
          </w:tcPr>
          <w:p>
            <w:pPr>
              <w:jc w:val="right"/>
              <w:ind w:right="452"/>
              <w:spacing w:after="0"/>
              <w:rPr>
                <w:sz w:val="20"/>
                <w:szCs w:val="20"/>
                <w:color w:val="auto"/>
              </w:rPr>
            </w:pPr>
            <w:r>
              <w:rPr>
                <w:rFonts w:ascii="Arial" w:cs="Arial" w:eastAsia="Arial" w:hAnsi="Arial"/>
                <w:sz w:val="10"/>
                <w:szCs w:val="10"/>
                <w:color w:val="54585A"/>
              </w:rPr>
              <w:t>150,000</w:t>
            </w:r>
          </w:p>
        </w:tc>
        <w:tc>
          <w:tcPr>
            <w:tcW w:w="1420" w:type="dxa"/>
            <w:vAlign w:val="bottom"/>
            <w:vMerge w:val="restart"/>
          </w:tcPr>
          <w:p>
            <w:pPr>
              <w:jc w:val="right"/>
              <w:ind w:right="492"/>
              <w:spacing w:after="0"/>
              <w:rPr>
                <w:sz w:val="20"/>
                <w:szCs w:val="20"/>
                <w:color w:val="auto"/>
              </w:rPr>
            </w:pPr>
            <w:r>
              <w:rPr>
                <w:rFonts w:ascii="Arial" w:cs="Arial" w:eastAsia="Arial" w:hAnsi="Arial"/>
                <w:sz w:val="10"/>
                <w:szCs w:val="10"/>
                <w:color w:val="54585A"/>
              </w:rPr>
              <w:t>165,600</w:t>
            </w:r>
          </w:p>
        </w:tc>
        <w:tc>
          <w:tcPr>
            <w:tcW w:w="1220" w:type="dxa"/>
            <w:vAlign w:val="bottom"/>
            <w:vMerge w:val="restart"/>
          </w:tcPr>
          <w:p>
            <w:pPr>
              <w:ind w:left="740"/>
              <w:spacing w:after="0"/>
              <w:rPr>
                <w:sz w:val="20"/>
                <w:szCs w:val="20"/>
                <w:color w:val="auto"/>
              </w:rPr>
            </w:pPr>
            <w:r>
              <w:rPr>
                <w:rFonts w:ascii="Arial" w:cs="Arial" w:eastAsia="Arial" w:hAnsi="Arial"/>
                <w:sz w:val="10"/>
                <w:szCs w:val="10"/>
                <w:color w:val="54585A"/>
              </w:rPr>
              <w:t>—</w:t>
            </w:r>
          </w:p>
        </w:tc>
        <w:tc>
          <w:tcPr>
            <w:tcW w:w="1440" w:type="dxa"/>
            <w:vAlign w:val="bottom"/>
            <w:vMerge w:val="restart"/>
          </w:tcPr>
          <w:p>
            <w:pPr>
              <w:jc w:val="right"/>
              <w:ind w:right="412"/>
              <w:spacing w:after="0"/>
              <w:rPr>
                <w:sz w:val="20"/>
                <w:szCs w:val="20"/>
                <w:color w:val="auto"/>
              </w:rPr>
            </w:pPr>
            <w:r>
              <w:rPr>
                <w:rFonts w:ascii="Arial" w:cs="Arial" w:eastAsia="Arial" w:hAnsi="Arial"/>
                <w:sz w:val="10"/>
                <w:szCs w:val="10"/>
                <w:color w:val="54585A"/>
              </w:rPr>
              <w:t>13,172</w:t>
            </w:r>
          </w:p>
        </w:tc>
        <w:tc>
          <w:tcPr>
            <w:tcW w:w="1020" w:type="dxa"/>
            <w:vAlign w:val="bottom"/>
            <w:vMerge w:val="restart"/>
          </w:tcPr>
          <w:p>
            <w:pPr>
              <w:jc w:val="right"/>
              <w:ind w:right="132"/>
              <w:spacing w:after="0"/>
              <w:rPr>
                <w:sz w:val="20"/>
                <w:szCs w:val="20"/>
                <w:color w:val="auto"/>
              </w:rPr>
            </w:pPr>
            <w:r>
              <w:rPr>
                <w:rFonts w:ascii="Arial" w:cs="Arial" w:eastAsia="Arial" w:hAnsi="Arial"/>
                <w:sz w:val="10"/>
                <w:szCs w:val="10"/>
                <w:color w:val="54585A"/>
              </w:rPr>
              <w:t>871,997</w:t>
            </w:r>
          </w:p>
        </w:tc>
        <w:tc>
          <w:tcPr>
            <w:tcW w:w="0" w:type="dxa"/>
            <w:vAlign w:val="bottom"/>
          </w:tcPr>
          <w:p>
            <w:pPr>
              <w:spacing w:after="0"/>
              <w:rPr>
                <w:sz w:val="1"/>
                <w:szCs w:val="1"/>
                <w:color w:val="auto"/>
              </w:rPr>
            </w:pPr>
          </w:p>
        </w:tc>
      </w:tr>
      <w:tr>
        <w:trPr>
          <w:trHeight w:val="71"/>
        </w:trPr>
        <w:tc>
          <w:tcPr>
            <w:tcW w:w="2140" w:type="dxa"/>
            <w:vAlign w:val="bottom"/>
            <w:vMerge w:val="restart"/>
          </w:tcPr>
          <w:p>
            <w:pPr>
              <w:ind w:left="60"/>
              <w:spacing w:after="0"/>
              <w:rPr>
                <w:sz w:val="20"/>
                <w:szCs w:val="20"/>
                <w:color w:val="auto"/>
              </w:rPr>
            </w:pPr>
            <w:r>
              <w:rPr>
                <w:rFonts w:ascii="Arial" w:cs="Arial" w:eastAsia="Arial" w:hAnsi="Arial"/>
                <w:sz w:val="10"/>
                <w:szCs w:val="10"/>
                <w:i w:val="1"/>
                <w:iCs w:val="1"/>
                <w:color w:val="54585A"/>
              </w:rPr>
              <w:t>Chief Executive Officer</w:t>
            </w:r>
          </w:p>
        </w:tc>
        <w:tc>
          <w:tcPr>
            <w:tcW w:w="118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14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140" w:type="dxa"/>
            <w:vAlign w:val="bottom"/>
          </w:tcPr>
          <w:p>
            <w:pPr>
              <w:spacing w:after="0"/>
              <w:rPr>
                <w:sz w:val="2"/>
                <w:szCs w:val="2"/>
                <w:color w:val="auto"/>
              </w:rPr>
            </w:pPr>
          </w:p>
        </w:tc>
        <w:tc>
          <w:tcPr>
            <w:tcW w:w="1180" w:type="dxa"/>
            <w:vAlign w:val="bottom"/>
            <w:tcBorders>
              <w:bottom w:val="single" w:sz="8" w:color="54585A"/>
            </w:tcBorders>
          </w:tcPr>
          <w:p>
            <w:pPr>
              <w:spacing w:after="0"/>
              <w:rPr>
                <w:sz w:val="2"/>
                <w:szCs w:val="2"/>
                <w:color w:val="auto"/>
              </w:rPr>
            </w:pPr>
          </w:p>
        </w:tc>
        <w:tc>
          <w:tcPr>
            <w:tcW w:w="1540" w:type="dxa"/>
            <w:vAlign w:val="bottom"/>
            <w:tcBorders>
              <w:bottom w:val="single" w:sz="8" w:color="54585A"/>
            </w:tcBorders>
          </w:tcPr>
          <w:p>
            <w:pPr>
              <w:spacing w:after="0"/>
              <w:rPr>
                <w:sz w:val="2"/>
                <w:szCs w:val="2"/>
                <w:color w:val="auto"/>
              </w:rPr>
            </w:pPr>
          </w:p>
        </w:tc>
        <w:tc>
          <w:tcPr>
            <w:tcW w:w="1340" w:type="dxa"/>
            <w:vAlign w:val="bottom"/>
            <w:tcBorders>
              <w:bottom w:val="single" w:sz="8" w:color="54585A"/>
            </w:tcBorders>
          </w:tcPr>
          <w:p>
            <w:pPr>
              <w:spacing w:after="0"/>
              <w:rPr>
                <w:sz w:val="2"/>
                <w:szCs w:val="2"/>
                <w:color w:val="auto"/>
              </w:rPr>
            </w:pPr>
          </w:p>
        </w:tc>
        <w:tc>
          <w:tcPr>
            <w:tcW w:w="1420" w:type="dxa"/>
            <w:vAlign w:val="bottom"/>
            <w:tcBorders>
              <w:bottom w:val="single" w:sz="8" w:color="54585A"/>
            </w:tcBorders>
          </w:tcPr>
          <w:p>
            <w:pPr>
              <w:spacing w:after="0"/>
              <w:rPr>
                <w:sz w:val="2"/>
                <w:szCs w:val="2"/>
                <w:color w:val="auto"/>
              </w:rPr>
            </w:pPr>
          </w:p>
        </w:tc>
        <w:tc>
          <w:tcPr>
            <w:tcW w:w="1220" w:type="dxa"/>
            <w:vAlign w:val="bottom"/>
            <w:tcBorders>
              <w:bottom w:val="single" w:sz="8" w:color="54585A"/>
            </w:tcBorders>
          </w:tcPr>
          <w:p>
            <w:pPr>
              <w:spacing w:after="0"/>
              <w:rPr>
                <w:sz w:val="2"/>
                <w:szCs w:val="2"/>
                <w:color w:val="auto"/>
              </w:rPr>
            </w:pPr>
          </w:p>
        </w:tc>
        <w:tc>
          <w:tcPr>
            <w:tcW w:w="1440" w:type="dxa"/>
            <w:vAlign w:val="bottom"/>
            <w:tcBorders>
              <w:bottom w:val="single" w:sz="8" w:color="54585A"/>
            </w:tcBorders>
          </w:tcPr>
          <w:p>
            <w:pPr>
              <w:spacing w:after="0"/>
              <w:rPr>
                <w:sz w:val="2"/>
                <w:szCs w:val="2"/>
                <w:color w:val="auto"/>
              </w:rPr>
            </w:pPr>
          </w:p>
        </w:tc>
        <w:tc>
          <w:tcPr>
            <w:tcW w:w="1020" w:type="dxa"/>
            <w:vAlign w:val="bottom"/>
            <w:tcBorders>
              <w:bottom w:val="single" w:sz="8" w:color="54585A"/>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1180" w:type="dxa"/>
            <w:vAlign w:val="bottom"/>
          </w:tcPr>
          <w:p>
            <w:pPr>
              <w:ind w:left="320"/>
              <w:spacing w:after="0"/>
              <w:rPr>
                <w:sz w:val="20"/>
                <w:szCs w:val="20"/>
                <w:color w:val="auto"/>
              </w:rPr>
            </w:pPr>
            <w:r>
              <w:rPr>
                <w:rFonts w:ascii="Arial" w:cs="Arial" w:eastAsia="Arial" w:hAnsi="Arial"/>
                <w:sz w:val="10"/>
                <w:szCs w:val="10"/>
                <w:color w:val="54585A"/>
              </w:rPr>
              <w:t>2020</w:t>
            </w:r>
          </w:p>
        </w:tc>
        <w:tc>
          <w:tcPr>
            <w:tcW w:w="1540" w:type="dxa"/>
            <w:vAlign w:val="bottom"/>
          </w:tcPr>
          <w:p>
            <w:pPr>
              <w:jc w:val="right"/>
              <w:ind w:right="492"/>
              <w:spacing w:after="0"/>
              <w:rPr>
                <w:sz w:val="20"/>
                <w:szCs w:val="20"/>
                <w:color w:val="auto"/>
              </w:rPr>
            </w:pPr>
            <w:r>
              <w:rPr>
                <w:rFonts w:ascii="Arial" w:cs="Arial" w:eastAsia="Arial" w:hAnsi="Arial"/>
                <w:sz w:val="10"/>
                <w:szCs w:val="10"/>
                <w:color w:val="54585A"/>
              </w:rPr>
              <w:t>534,808</w:t>
            </w:r>
          </w:p>
        </w:tc>
        <w:tc>
          <w:tcPr>
            <w:tcW w:w="1340" w:type="dxa"/>
            <w:vAlign w:val="bottom"/>
          </w:tcPr>
          <w:p>
            <w:pPr>
              <w:jc w:val="right"/>
              <w:ind w:right="452"/>
              <w:spacing w:after="0"/>
              <w:rPr>
                <w:sz w:val="20"/>
                <w:szCs w:val="20"/>
                <w:color w:val="auto"/>
              </w:rPr>
            </w:pPr>
            <w:r>
              <w:rPr>
                <w:rFonts w:ascii="Arial" w:cs="Arial" w:eastAsia="Arial" w:hAnsi="Arial"/>
                <w:sz w:val="10"/>
                <w:szCs w:val="10"/>
                <w:color w:val="54585A"/>
              </w:rPr>
              <w:t>—</w:t>
            </w:r>
          </w:p>
        </w:tc>
        <w:tc>
          <w:tcPr>
            <w:tcW w:w="1420" w:type="dxa"/>
            <w:vAlign w:val="bottom"/>
          </w:tcPr>
          <w:p>
            <w:pPr>
              <w:jc w:val="right"/>
              <w:ind w:right="492"/>
              <w:spacing w:after="0"/>
              <w:rPr>
                <w:sz w:val="20"/>
                <w:szCs w:val="20"/>
                <w:color w:val="auto"/>
              </w:rPr>
            </w:pPr>
            <w:r>
              <w:rPr>
                <w:rFonts w:ascii="Arial" w:cs="Arial" w:eastAsia="Arial" w:hAnsi="Arial"/>
                <w:sz w:val="10"/>
                <w:szCs w:val="10"/>
                <w:color w:val="54585A"/>
              </w:rPr>
              <w:t>182,359</w:t>
            </w:r>
          </w:p>
        </w:tc>
        <w:tc>
          <w:tcPr>
            <w:tcW w:w="1220" w:type="dxa"/>
            <w:vAlign w:val="bottom"/>
          </w:tcPr>
          <w:p>
            <w:pPr>
              <w:ind w:left="740"/>
              <w:spacing w:after="0"/>
              <w:rPr>
                <w:sz w:val="20"/>
                <w:szCs w:val="20"/>
                <w:color w:val="auto"/>
              </w:rPr>
            </w:pPr>
            <w:r>
              <w:rPr>
                <w:rFonts w:ascii="Arial" w:cs="Arial" w:eastAsia="Arial" w:hAnsi="Arial"/>
                <w:sz w:val="10"/>
                <w:szCs w:val="10"/>
                <w:color w:val="54585A"/>
              </w:rPr>
              <w:t>—</w:t>
            </w:r>
          </w:p>
        </w:tc>
        <w:tc>
          <w:tcPr>
            <w:tcW w:w="1440" w:type="dxa"/>
            <w:vAlign w:val="bottom"/>
          </w:tcPr>
          <w:p>
            <w:pPr>
              <w:jc w:val="right"/>
              <w:ind w:right="412"/>
              <w:spacing w:after="0"/>
              <w:rPr>
                <w:sz w:val="20"/>
                <w:szCs w:val="20"/>
                <w:color w:val="auto"/>
              </w:rPr>
            </w:pPr>
            <w:r>
              <w:rPr>
                <w:rFonts w:ascii="Arial" w:cs="Arial" w:eastAsia="Arial" w:hAnsi="Arial"/>
                <w:sz w:val="10"/>
                <w:szCs w:val="10"/>
                <w:color w:val="54585A"/>
              </w:rPr>
              <w:t>10,770</w:t>
            </w:r>
          </w:p>
        </w:tc>
        <w:tc>
          <w:tcPr>
            <w:tcW w:w="1020" w:type="dxa"/>
            <w:vAlign w:val="bottom"/>
          </w:tcPr>
          <w:p>
            <w:pPr>
              <w:jc w:val="right"/>
              <w:ind w:right="132"/>
              <w:spacing w:after="0"/>
              <w:rPr>
                <w:sz w:val="20"/>
                <w:szCs w:val="20"/>
                <w:color w:val="auto"/>
              </w:rPr>
            </w:pPr>
            <w:r>
              <w:rPr>
                <w:rFonts w:ascii="Arial" w:cs="Arial" w:eastAsia="Arial" w:hAnsi="Arial"/>
                <w:sz w:val="10"/>
                <w:szCs w:val="10"/>
                <w:color w:val="54585A"/>
              </w:rPr>
              <w:t>727,937</w:t>
            </w:r>
          </w:p>
        </w:tc>
        <w:tc>
          <w:tcPr>
            <w:tcW w:w="0" w:type="dxa"/>
            <w:vAlign w:val="bottom"/>
          </w:tcPr>
          <w:p>
            <w:pPr>
              <w:spacing w:after="0"/>
              <w:rPr>
                <w:sz w:val="1"/>
                <w:szCs w:val="1"/>
                <w:color w:val="auto"/>
              </w:rPr>
            </w:pPr>
          </w:p>
        </w:tc>
      </w:tr>
      <w:tr>
        <w:trPr>
          <w:trHeight w:val="80"/>
        </w:trPr>
        <w:tc>
          <w:tcPr>
            <w:tcW w:w="2140" w:type="dxa"/>
            <w:vAlign w:val="bottom"/>
            <w:tcBorders>
              <w:bottom w:val="single" w:sz="8" w:color="54585A"/>
            </w:tcBorders>
          </w:tcPr>
          <w:p>
            <w:pPr>
              <w:spacing w:after="0"/>
              <w:rPr>
                <w:sz w:val="6"/>
                <w:szCs w:val="6"/>
                <w:color w:val="auto"/>
              </w:rPr>
            </w:pPr>
          </w:p>
        </w:tc>
        <w:tc>
          <w:tcPr>
            <w:tcW w:w="1180" w:type="dxa"/>
            <w:vAlign w:val="bottom"/>
            <w:tcBorders>
              <w:bottom w:val="single" w:sz="8" w:color="54585A"/>
            </w:tcBorders>
          </w:tcPr>
          <w:p>
            <w:pPr>
              <w:spacing w:after="0"/>
              <w:rPr>
                <w:sz w:val="6"/>
                <w:szCs w:val="6"/>
                <w:color w:val="auto"/>
              </w:rPr>
            </w:pPr>
          </w:p>
        </w:tc>
        <w:tc>
          <w:tcPr>
            <w:tcW w:w="1540" w:type="dxa"/>
            <w:vAlign w:val="bottom"/>
            <w:tcBorders>
              <w:bottom w:val="single" w:sz="8" w:color="54585A"/>
            </w:tcBorders>
          </w:tcPr>
          <w:p>
            <w:pPr>
              <w:spacing w:after="0"/>
              <w:rPr>
                <w:sz w:val="6"/>
                <w:szCs w:val="6"/>
                <w:color w:val="auto"/>
              </w:rPr>
            </w:pPr>
          </w:p>
        </w:tc>
        <w:tc>
          <w:tcPr>
            <w:tcW w:w="1340" w:type="dxa"/>
            <w:vAlign w:val="bottom"/>
            <w:tcBorders>
              <w:bottom w:val="single" w:sz="8" w:color="54585A"/>
            </w:tcBorders>
          </w:tcPr>
          <w:p>
            <w:pPr>
              <w:spacing w:after="0"/>
              <w:rPr>
                <w:sz w:val="6"/>
                <w:szCs w:val="6"/>
                <w:color w:val="auto"/>
              </w:rPr>
            </w:pPr>
          </w:p>
        </w:tc>
        <w:tc>
          <w:tcPr>
            <w:tcW w:w="1420" w:type="dxa"/>
            <w:vAlign w:val="bottom"/>
            <w:tcBorders>
              <w:bottom w:val="single" w:sz="8" w:color="54585A"/>
            </w:tcBorders>
          </w:tcPr>
          <w:p>
            <w:pPr>
              <w:spacing w:after="0"/>
              <w:rPr>
                <w:sz w:val="6"/>
                <w:szCs w:val="6"/>
                <w:color w:val="auto"/>
              </w:rPr>
            </w:pPr>
          </w:p>
        </w:tc>
        <w:tc>
          <w:tcPr>
            <w:tcW w:w="1220" w:type="dxa"/>
            <w:vAlign w:val="bottom"/>
            <w:tcBorders>
              <w:bottom w:val="single" w:sz="8" w:color="54585A"/>
            </w:tcBorders>
          </w:tcPr>
          <w:p>
            <w:pPr>
              <w:spacing w:after="0"/>
              <w:rPr>
                <w:sz w:val="6"/>
                <w:szCs w:val="6"/>
                <w:color w:val="auto"/>
              </w:rPr>
            </w:pPr>
          </w:p>
        </w:tc>
        <w:tc>
          <w:tcPr>
            <w:tcW w:w="1440" w:type="dxa"/>
            <w:vAlign w:val="bottom"/>
            <w:tcBorders>
              <w:bottom w:val="single" w:sz="8" w:color="54585A"/>
            </w:tcBorders>
          </w:tcPr>
          <w:p>
            <w:pPr>
              <w:spacing w:after="0"/>
              <w:rPr>
                <w:sz w:val="6"/>
                <w:szCs w:val="6"/>
                <w:color w:val="auto"/>
              </w:rPr>
            </w:pPr>
          </w:p>
        </w:tc>
        <w:tc>
          <w:tcPr>
            <w:tcW w:w="102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1180" w:type="dxa"/>
            <w:vAlign w:val="bottom"/>
          </w:tcPr>
          <w:p>
            <w:pPr>
              <w:ind w:left="320"/>
              <w:spacing w:after="0"/>
              <w:rPr>
                <w:sz w:val="20"/>
                <w:szCs w:val="20"/>
                <w:color w:val="auto"/>
              </w:rPr>
            </w:pPr>
            <w:r>
              <w:rPr>
                <w:rFonts w:ascii="Arial" w:cs="Arial" w:eastAsia="Arial" w:hAnsi="Arial"/>
                <w:sz w:val="10"/>
                <w:szCs w:val="10"/>
                <w:color w:val="54585A"/>
              </w:rPr>
              <w:t>2022</w:t>
            </w:r>
          </w:p>
        </w:tc>
        <w:tc>
          <w:tcPr>
            <w:tcW w:w="1540" w:type="dxa"/>
            <w:vAlign w:val="bottom"/>
          </w:tcPr>
          <w:p>
            <w:pPr>
              <w:jc w:val="right"/>
              <w:ind w:right="492"/>
              <w:spacing w:after="0"/>
              <w:rPr>
                <w:sz w:val="20"/>
                <w:szCs w:val="20"/>
                <w:color w:val="auto"/>
              </w:rPr>
            </w:pPr>
            <w:r>
              <w:rPr>
                <w:rFonts w:ascii="Arial" w:cs="Arial" w:eastAsia="Arial" w:hAnsi="Arial"/>
                <w:sz w:val="10"/>
                <w:szCs w:val="10"/>
                <w:color w:val="54585A"/>
              </w:rPr>
              <w:t>330,690</w:t>
            </w:r>
          </w:p>
        </w:tc>
        <w:tc>
          <w:tcPr>
            <w:tcW w:w="1340" w:type="dxa"/>
            <w:vAlign w:val="bottom"/>
          </w:tcPr>
          <w:p>
            <w:pPr>
              <w:jc w:val="right"/>
              <w:ind w:right="452"/>
              <w:spacing w:after="0"/>
              <w:rPr>
                <w:sz w:val="20"/>
                <w:szCs w:val="20"/>
                <w:color w:val="auto"/>
              </w:rPr>
            </w:pPr>
            <w:r>
              <w:rPr>
                <w:rFonts w:ascii="Arial" w:cs="Arial" w:eastAsia="Arial" w:hAnsi="Arial"/>
                <w:sz w:val="10"/>
                <w:szCs w:val="10"/>
                <w:color w:val="54585A"/>
              </w:rPr>
              <w:t>7,000</w:t>
            </w:r>
          </w:p>
        </w:tc>
        <w:tc>
          <w:tcPr>
            <w:tcW w:w="1420" w:type="dxa"/>
            <w:vAlign w:val="bottom"/>
          </w:tcPr>
          <w:p>
            <w:pPr>
              <w:jc w:val="right"/>
              <w:ind w:right="492"/>
              <w:spacing w:after="0"/>
              <w:rPr>
                <w:sz w:val="20"/>
                <w:szCs w:val="20"/>
                <w:color w:val="auto"/>
              </w:rPr>
            </w:pPr>
            <w:r>
              <w:rPr>
                <w:rFonts w:ascii="Arial" w:cs="Arial" w:eastAsia="Arial" w:hAnsi="Arial"/>
                <w:sz w:val="10"/>
                <w:szCs w:val="10"/>
                <w:color w:val="54585A"/>
              </w:rPr>
              <w:t>1,565,401</w:t>
            </w:r>
          </w:p>
        </w:tc>
        <w:tc>
          <w:tcPr>
            <w:tcW w:w="1220" w:type="dxa"/>
            <w:vAlign w:val="bottom"/>
          </w:tcPr>
          <w:p>
            <w:pPr>
              <w:ind w:left="740"/>
              <w:spacing w:after="0"/>
              <w:rPr>
                <w:sz w:val="20"/>
                <w:szCs w:val="20"/>
                <w:color w:val="auto"/>
              </w:rPr>
            </w:pPr>
            <w:r>
              <w:rPr>
                <w:rFonts w:ascii="Arial" w:cs="Arial" w:eastAsia="Arial" w:hAnsi="Arial"/>
                <w:sz w:val="10"/>
                <w:szCs w:val="10"/>
                <w:color w:val="54585A"/>
              </w:rPr>
              <w:t>—</w:t>
            </w:r>
          </w:p>
        </w:tc>
        <w:tc>
          <w:tcPr>
            <w:tcW w:w="1440" w:type="dxa"/>
            <w:vAlign w:val="bottom"/>
          </w:tcPr>
          <w:p>
            <w:pPr>
              <w:jc w:val="right"/>
              <w:ind w:right="412"/>
              <w:spacing w:after="0"/>
              <w:rPr>
                <w:sz w:val="20"/>
                <w:szCs w:val="20"/>
                <w:color w:val="auto"/>
              </w:rPr>
            </w:pPr>
            <w:r>
              <w:rPr>
                <w:rFonts w:ascii="Arial" w:cs="Arial" w:eastAsia="Arial" w:hAnsi="Arial"/>
                <w:sz w:val="10"/>
                <w:szCs w:val="10"/>
                <w:color w:val="54585A"/>
              </w:rPr>
              <w:t>7,971</w:t>
            </w:r>
          </w:p>
        </w:tc>
        <w:tc>
          <w:tcPr>
            <w:tcW w:w="1020" w:type="dxa"/>
            <w:vAlign w:val="bottom"/>
          </w:tcPr>
          <w:p>
            <w:pPr>
              <w:jc w:val="right"/>
              <w:ind w:right="132"/>
              <w:spacing w:after="0"/>
              <w:rPr>
                <w:sz w:val="20"/>
                <w:szCs w:val="20"/>
                <w:color w:val="auto"/>
              </w:rPr>
            </w:pPr>
            <w:r>
              <w:rPr>
                <w:rFonts w:ascii="Arial" w:cs="Arial" w:eastAsia="Arial" w:hAnsi="Arial"/>
                <w:sz w:val="10"/>
                <w:szCs w:val="10"/>
                <w:color w:val="54585A"/>
              </w:rPr>
              <w:t>1,911,062</w:t>
            </w:r>
          </w:p>
        </w:tc>
        <w:tc>
          <w:tcPr>
            <w:tcW w:w="0" w:type="dxa"/>
            <w:vAlign w:val="bottom"/>
          </w:tcPr>
          <w:p>
            <w:pPr>
              <w:spacing w:after="0"/>
              <w:rPr>
                <w:sz w:val="1"/>
                <w:szCs w:val="1"/>
                <w:color w:val="auto"/>
              </w:rPr>
            </w:pPr>
          </w:p>
        </w:tc>
      </w:tr>
      <w:tr>
        <w:trPr>
          <w:trHeight w:val="80"/>
        </w:trPr>
        <w:tc>
          <w:tcPr>
            <w:tcW w:w="2140" w:type="dxa"/>
            <w:vAlign w:val="bottom"/>
            <w:vMerge w:val="restart"/>
          </w:tcPr>
          <w:p>
            <w:pPr>
              <w:ind w:left="60"/>
              <w:spacing w:after="0"/>
              <w:rPr>
                <w:sz w:val="20"/>
                <w:szCs w:val="20"/>
                <w:color w:val="auto"/>
              </w:rPr>
            </w:pPr>
            <w:r>
              <w:rPr>
                <w:rFonts w:ascii="Arial" w:cs="Arial" w:eastAsia="Arial" w:hAnsi="Arial"/>
                <w:sz w:val="10"/>
                <w:szCs w:val="10"/>
                <w:b w:val="1"/>
                <w:bCs w:val="1"/>
                <w:color w:val="EB6C10"/>
              </w:rPr>
              <w:t>Rebecca S. Clary</w:t>
            </w:r>
          </w:p>
        </w:tc>
        <w:tc>
          <w:tcPr>
            <w:tcW w:w="1180" w:type="dxa"/>
            <w:vAlign w:val="bottom"/>
            <w:tcBorders>
              <w:bottom w:val="single" w:sz="8" w:color="54585A"/>
            </w:tcBorders>
          </w:tcPr>
          <w:p>
            <w:pPr>
              <w:spacing w:after="0"/>
              <w:rPr>
                <w:sz w:val="6"/>
                <w:szCs w:val="6"/>
                <w:color w:val="auto"/>
              </w:rPr>
            </w:pPr>
          </w:p>
        </w:tc>
        <w:tc>
          <w:tcPr>
            <w:tcW w:w="1540" w:type="dxa"/>
            <w:vAlign w:val="bottom"/>
            <w:tcBorders>
              <w:bottom w:val="single" w:sz="8" w:color="54585A"/>
            </w:tcBorders>
          </w:tcPr>
          <w:p>
            <w:pPr>
              <w:spacing w:after="0"/>
              <w:rPr>
                <w:sz w:val="6"/>
                <w:szCs w:val="6"/>
                <w:color w:val="auto"/>
              </w:rPr>
            </w:pPr>
          </w:p>
        </w:tc>
        <w:tc>
          <w:tcPr>
            <w:tcW w:w="1340" w:type="dxa"/>
            <w:vAlign w:val="bottom"/>
            <w:tcBorders>
              <w:bottom w:val="single" w:sz="8" w:color="54585A"/>
            </w:tcBorders>
          </w:tcPr>
          <w:p>
            <w:pPr>
              <w:spacing w:after="0"/>
              <w:rPr>
                <w:sz w:val="6"/>
                <w:szCs w:val="6"/>
                <w:color w:val="auto"/>
              </w:rPr>
            </w:pPr>
          </w:p>
        </w:tc>
        <w:tc>
          <w:tcPr>
            <w:tcW w:w="1420" w:type="dxa"/>
            <w:vAlign w:val="bottom"/>
            <w:tcBorders>
              <w:bottom w:val="single" w:sz="8" w:color="54585A"/>
            </w:tcBorders>
          </w:tcPr>
          <w:p>
            <w:pPr>
              <w:spacing w:after="0"/>
              <w:rPr>
                <w:sz w:val="6"/>
                <w:szCs w:val="6"/>
                <w:color w:val="auto"/>
              </w:rPr>
            </w:pPr>
          </w:p>
        </w:tc>
        <w:tc>
          <w:tcPr>
            <w:tcW w:w="1220" w:type="dxa"/>
            <w:vAlign w:val="bottom"/>
            <w:tcBorders>
              <w:bottom w:val="single" w:sz="8" w:color="54585A"/>
            </w:tcBorders>
          </w:tcPr>
          <w:p>
            <w:pPr>
              <w:spacing w:after="0"/>
              <w:rPr>
                <w:sz w:val="6"/>
                <w:szCs w:val="6"/>
                <w:color w:val="auto"/>
              </w:rPr>
            </w:pPr>
          </w:p>
        </w:tc>
        <w:tc>
          <w:tcPr>
            <w:tcW w:w="1440" w:type="dxa"/>
            <w:vAlign w:val="bottom"/>
            <w:tcBorders>
              <w:bottom w:val="single" w:sz="8" w:color="54585A"/>
            </w:tcBorders>
          </w:tcPr>
          <w:p>
            <w:pPr>
              <w:spacing w:after="0"/>
              <w:rPr>
                <w:sz w:val="6"/>
                <w:szCs w:val="6"/>
                <w:color w:val="auto"/>
              </w:rPr>
            </w:pPr>
          </w:p>
        </w:tc>
        <w:tc>
          <w:tcPr>
            <w:tcW w:w="102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140" w:type="dxa"/>
            <w:vAlign w:val="bottom"/>
            <w:vMerge w:val="continue"/>
          </w:tcPr>
          <w:p>
            <w:pPr>
              <w:spacing w:after="0"/>
              <w:rPr>
                <w:sz w:val="10"/>
                <w:szCs w:val="10"/>
                <w:color w:val="auto"/>
              </w:rPr>
            </w:pPr>
          </w:p>
        </w:tc>
        <w:tc>
          <w:tcPr>
            <w:tcW w:w="1180" w:type="dxa"/>
            <w:vAlign w:val="bottom"/>
            <w:vMerge w:val="restart"/>
          </w:tcPr>
          <w:p>
            <w:pPr>
              <w:ind w:left="320"/>
              <w:spacing w:after="0"/>
              <w:rPr>
                <w:sz w:val="20"/>
                <w:szCs w:val="20"/>
                <w:color w:val="auto"/>
              </w:rPr>
            </w:pPr>
            <w:r>
              <w:rPr>
                <w:rFonts w:ascii="Arial" w:cs="Arial" w:eastAsia="Arial" w:hAnsi="Arial"/>
                <w:sz w:val="10"/>
                <w:szCs w:val="10"/>
                <w:color w:val="54585A"/>
              </w:rPr>
              <w:t>2021</w:t>
            </w:r>
          </w:p>
        </w:tc>
        <w:tc>
          <w:tcPr>
            <w:tcW w:w="1540" w:type="dxa"/>
            <w:vAlign w:val="bottom"/>
            <w:vMerge w:val="restart"/>
          </w:tcPr>
          <w:p>
            <w:pPr>
              <w:jc w:val="right"/>
              <w:ind w:right="492"/>
              <w:spacing w:after="0"/>
              <w:rPr>
                <w:sz w:val="20"/>
                <w:szCs w:val="20"/>
                <w:color w:val="auto"/>
              </w:rPr>
            </w:pPr>
            <w:r>
              <w:rPr>
                <w:rFonts w:ascii="Arial" w:cs="Arial" w:eastAsia="Arial" w:hAnsi="Arial"/>
                <w:sz w:val="10"/>
                <w:szCs w:val="10"/>
                <w:color w:val="54585A"/>
              </w:rPr>
              <w:t>313,719</w:t>
            </w:r>
          </w:p>
        </w:tc>
        <w:tc>
          <w:tcPr>
            <w:tcW w:w="1340" w:type="dxa"/>
            <w:vAlign w:val="bottom"/>
            <w:vMerge w:val="restart"/>
          </w:tcPr>
          <w:p>
            <w:pPr>
              <w:jc w:val="right"/>
              <w:ind w:right="452"/>
              <w:spacing w:after="0"/>
              <w:rPr>
                <w:sz w:val="20"/>
                <w:szCs w:val="20"/>
                <w:color w:val="auto"/>
              </w:rPr>
            </w:pPr>
            <w:r>
              <w:rPr>
                <w:rFonts w:ascii="Arial" w:cs="Arial" w:eastAsia="Arial" w:hAnsi="Arial"/>
                <w:sz w:val="10"/>
                <w:szCs w:val="10"/>
                <w:color w:val="54585A"/>
              </w:rPr>
              <w:t>100,000</w:t>
            </w:r>
          </w:p>
        </w:tc>
        <w:tc>
          <w:tcPr>
            <w:tcW w:w="1420" w:type="dxa"/>
            <w:vAlign w:val="bottom"/>
            <w:vMerge w:val="restart"/>
          </w:tcPr>
          <w:p>
            <w:pPr>
              <w:jc w:val="right"/>
              <w:ind w:right="492"/>
              <w:spacing w:after="0"/>
              <w:rPr>
                <w:sz w:val="20"/>
                <w:szCs w:val="20"/>
                <w:color w:val="auto"/>
              </w:rPr>
            </w:pPr>
            <w:r>
              <w:rPr>
                <w:rFonts w:ascii="Arial" w:cs="Arial" w:eastAsia="Arial" w:hAnsi="Arial"/>
                <w:sz w:val="10"/>
                <w:szCs w:val="10"/>
                <w:color w:val="54585A"/>
              </w:rPr>
              <w:t>165,600</w:t>
            </w:r>
          </w:p>
        </w:tc>
        <w:tc>
          <w:tcPr>
            <w:tcW w:w="1220" w:type="dxa"/>
            <w:vAlign w:val="bottom"/>
            <w:vMerge w:val="restart"/>
          </w:tcPr>
          <w:p>
            <w:pPr>
              <w:ind w:left="740"/>
              <w:spacing w:after="0"/>
              <w:rPr>
                <w:sz w:val="20"/>
                <w:szCs w:val="20"/>
                <w:color w:val="auto"/>
              </w:rPr>
            </w:pPr>
            <w:r>
              <w:rPr>
                <w:rFonts w:ascii="Arial" w:cs="Arial" w:eastAsia="Arial" w:hAnsi="Arial"/>
                <w:sz w:val="10"/>
                <w:szCs w:val="10"/>
                <w:color w:val="54585A"/>
              </w:rPr>
              <w:t>—</w:t>
            </w:r>
          </w:p>
        </w:tc>
        <w:tc>
          <w:tcPr>
            <w:tcW w:w="1440" w:type="dxa"/>
            <w:vAlign w:val="bottom"/>
            <w:vMerge w:val="restart"/>
          </w:tcPr>
          <w:p>
            <w:pPr>
              <w:jc w:val="right"/>
              <w:ind w:right="412"/>
              <w:spacing w:after="0"/>
              <w:rPr>
                <w:sz w:val="20"/>
                <w:szCs w:val="20"/>
                <w:color w:val="auto"/>
              </w:rPr>
            </w:pPr>
            <w:r>
              <w:rPr>
                <w:rFonts w:ascii="Arial" w:cs="Arial" w:eastAsia="Arial" w:hAnsi="Arial"/>
                <w:sz w:val="10"/>
                <w:szCs w:val="10"/>
                <w:color w:val="54585A"/>
              </w:rPr>
              <w:t>9,153</w:t>
            </w:r>
          </w:p>
        </w:tc>
        <w:tc>
          <w:tcPr>
            <w:tcW w:w="1020" w:type="dxa"/>
            <w:vAlign w:val="bottom"/>
            <w:vMerge w:val="restart"/>
          </w:tcPr>
          <w:p>
            <w:pPr>
              <w:jc w:val="right"/>
              <w:ind w:right="132"/>
              <w:spacing w:after="0"/>
              <w:rPr>
                <w:sz w:val="20"/>
                <w:szCs w:val="20"/>
                <w:color w:val="auto"/>
              </w:rPr>
            </w:pPr>
            <w:r>
              <w:rPr>
                <w:rFonts w:ascii="Arial" w:cs="Arial" w:eastAsia="Arial" w:hAnsi="Arial"/>
                <w:sz w:val="10"/>
                <w:szCs w:val="10"/>
                <w:color w:val="54585A"/>
              </w:rPr>
              <w:t>588,472</w:t>
            </w:r>
          </w:p>
        </w:tc>
        <w:tc>
          <w:tcPr>
            <w:tcW w:w="0" w:type="dxa"/>
            <w:vAlign w:val="bottom"/>
          </w:tcPr>
          <w:p>
            <w:pPr>
              <w:spacing w:after="0"/>
              <w:rPr>
                <w:sz w:val="1"/>
                <w:szCs w:val="1"/>
                <w:color w:val="auto"/>
              </w:rPr>
            </w:pPr>
          </w:p>
        </w:tc>
      </w:tr>
      <w:tr>
        <w:trPr>
          <w:trHeight w:val="71"/>
        </w:trPr>
        <w:tc>
          <w:tcPr>
            <w:tcW w:w="2140" w:type="dxa"/>
            <w:vAlign w:val="bottom"/>
            <w:vMerge w:val="restart"/>
          </w:tcPr>
          <w:p>
            <w:pPr>
              <w:ind w:left="60"/>
              <w:spacing w:after="0"/>
              <w:rPr>
                <w:sz w:val="20"/>
                <w:szCs w:val="20"/>
                <w:color w:val="auto"/>
              </w:rPr>
            </w:pPr>
            <w:r>
              <w:rPr>
                <w:rFonts w:ascii="Arial" w:cs="Arial" w:eastAsia="Arial" w:hAnsi="Arial"/>
                <w:sz w:val="10"/>
                <w:szCs w:val="10"/>
                <w:i w:val="1"/>
                <w:iCs w:val="1"/>
                <w:color w:val="54585A"/>
              </w:rPr>
              <w:t>Vice President and Chief Financial Officer</w:t>
            </w:r>
          </w:p>
        </w:tc>
        <w:tc>
          <w:tcPr>
            <w:tcW w:w="118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14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140" w:type="dxa"/>
            <w:vAlign w:val="bottom"/>
          </w:tcPr>
          <w:p>
            <w:pPr>
              <w:spacing w:after="0"/>
              <w:rPr>
                <w:sz w:val="2"/>
                <w:szCs w:val="2"/>
                <w:color w:val="auto"/>
              </w:rPr>
            </w:pPr>
          </w:p>
        </w:tc>
        <w:tc>
          <w:tcPr>
            <w:tcW w:w="1180" w:type="dxa"/>
            <w:vAlign w:val="bottom"/>
            <w:tcBorders>
              <w:bottom w:val="single" w:sz="8" w:color="54585A"/>
            </w:tcBorders>
          </w:tcPr>
          <w:p>
            <w:pPr>
              <w:spacing w:after="0"/>
              <w:rPr>
                <w:sz w:val="2"/>
                <w:szCs w:val="2"/>
                <w:color w:val="auto"/>
              </w:rPr>
            </w:pPr>
          </w:p>
        </w:tc>
        <w:tc>
          <w:tcPr>
            <w:tcW w:w="1540" w:type="dxa"/>
            <w:vAlign w:val="bottom"/>
            <w:tcBorders>
              <w:bottom w:val="single" w:sz="8" w:color="54585A"/>
            </w:tcBorders>
          </w:tcPr>
          <w:p>
            <w:pPr>
              <w:spacing w:after="0"/>
              <w:rPr>
                <w:sz w:val="2"/>
                <w:szCs w:val="2"/>
                <w:color w:val="auto"/>
              </w:rPr>
            </w:pPr>
          </w:p>
        </w:tc>
        <w:tc>
          <w:tcPr>
            <w:tcW w:w="1340" w:type="dxa"/>
            <w:vAlign w:val="bottom"/>
            <w:tcBorders>
              <w:bottom w:val="single" w:sz="8" w:color="54585A"/>
            </w:tcBorders>
          </w:tcPr>
          <w:p>
            <w:pPr>
              <w:spacing w:after="0"/>
              <w:rPr>
                <w:sz w:val="2"/>
                <w:szCs w:val="2"/>
                <w:color w:val="auto"/>
              </w:rPr>
            </w:pPr>
          </w:p>
        </w:tc>
        <w:tc>
          <w:tcPr>
            <w:tcW w:w="1420" w:type="dxa"/>
            <w:vAlign w:val="bottom"/>
            <w:tcBorders>
              <w:bottom w:val="single" w:sz="8" w:color="54585A"/>
            </w:tcBorders>
          </w:tcPr>
          <w:p>
            <w:pPr>
              <w:spacing w:after="0"/>
              <w:rPr>
                <w:sz w:val="2"/>
                <w:szCs w:val="2"/>
                <w:color w:val="auto"/>
              </w:rPr>
            </w:pPr>
          </w:p>
        </w:tc>
        <w:tc>
          <w:tcPr>
            <w:tcW w:w="1220" w:type="dxa"/>
            <w:vAlign w:val="bottom"/>
            <w:tcBorders>
              <w:bottom w:val="single" w:sz="8" w:color="54585A"/>
            </w:tcBorders>
          </w:tcPr>
          <w:p>
            <w:pPr>
              <w:spacing w:after="0"/>
              <w:rPr>
                <w:sz w:val="2"/>
                <w:szCs w:val="2"/>
                <w:color w:val="auto"/>
              </w:rPr>
            </w:pPr>
          </w:p>
        </w:tc>
        <w:tc>
          <w:tcPr>
            <w:tcW w:w="1440" w:type="dxa"/>
            <w:vAlign w:val="bottom"/>
            <w:tcBorders>
              <w:bottom w:val="single" w:sz="8" w:color="54585A"/>
            </w:tcBorders>
          </w:tcPr>
          <w:p>
            <w:pPr>
              <w:spacing w:after="0"/>
              <w:rPr>
                <w:sz w:val="2"/>
                <w:szCs w:val="2"/>
                <w:color w:val="auto"/>
              </w:rPr>
            </w:pPr>
          </w:p>
        </w:tc>
        <w:tc>
          <w:tcPr>
            <w:tcW w:w="1020" w:type="dxa"/>
            <w:vAlign w:val="bottom"/>
            <w:tcBorders>
              <w:bottom w:val="single" w:sz="8" w:color="54585A"/>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1180" w:type="dxa"/>
            <w:vAlign w:val="bottom"/>
          </w:tcPr>
          <w:p>
            <w:pPr>
              <w:ind w:left="320"/>
              <w:spacing w:after="0"/>
              <w:rPr>
                <w:sz w:val="20"/>
                <w:szCs w:val="20"/>
                <w:color w:val="auto"/>
              </w:rPr>
            </w:pPr>
            <w:r>
              <w:rPr>
                <w:rFonts w:ascii="Arial" w:cs="Arial" w:eastAsia="Arial" w:hAnsi="Arial"/>
                <w:sz w:val="10"/>
                <w:szCs w:val="10"/>
                <w:color w:val="54585A"/>
              </w:rPr>
              <w:t>2020</w:t>
            </w:r>
          </w:p>
        </w:tc>
        <w:tc>
          <w:tcPr>
            <w:tcW w:w="1540" w:type="dxa"/>
            <w:vAlign w:val="bottom"/>
          </w:tcPr>
          <w:p>
            <w:pPr>
              <w:jc w:val="right"/>
              <w:ind w:right="492"/>
              <w:spacing w:after="0"/>
              <w:rPr>
                <w:sz w:val="20"/>
                <w:szCs w:val="20"/>
                <w:color w:val="auto"/>
              </w:rPr>
            </w:pPr>
            <w:r>
              <w:rPr>
                <w:rFonts w:ascii="Arial" w:cs="Arial" w:eastAsia="Arial" w:hAnsi="Arial"/>
                <w:sz w:val="10"/>
                <w:szCs w:val="10"/>
                <w:color w:val="54585A"/>
              </w:rPr>
              <w:t>302,398</w:t>
            </w:r>
          </w:p>
        </w:tc>
        <w:tc>
          <w:tcPr>
            <w:tcW w:w="1340" w:type="dxa"/>
            <w:vAlign w:val="bottom"/>
          </w:tcPr>
          <w:p>
            <w:pPr>
              <w:jc w:val="right"/>
              <w:ind w:right="452"/>
              <w:spacing w:after="0"/>
              <w:rPr>
                <w:sz w:val="20"/>
                <w:szCs w:val="20"/>
                <w:color w:val="auto"/>
              </w:rPr>
            </w:pPr>
            <w:r>
              <w:rPr>
                <w:rFonts w:ascii="Arial" w:cs="Arial" w:eastAsia="Arial" w:hAnsi="Arial"/>
                <w:sz w:val="10"/>
                <w:szCs w:val="10"/>
                <w:color w:val="54585A"/>
              </w:rPr>
              <w:t>—</w:t>
            </w:r>
          </w:p>
        </w:tc>
        <w:tc>
          <w:tcPr>
            <w:tcW w:w="1420" w:type="dxa"/>
            <w:vAlign w:val="bottom"/>
          </w:tcPr>
          <w:p>
            <w:pPr>
              <w:jc w:val="right"/>
              <w:ind w:right="492"/>
              <w:spacing w:after="0"/>
              <w:rPr>
                <w:sz w:val="20"/>
                <w:szCs w:val="20"/>
                <w:color w:val="auto"/>
              </w:rPr>
            </w:pPr>
            <w:r>
              <w:rPr>
                <w:rFonts w:ascii="Arial" w:cs="Arial" w:eastAsia="Arial" w:hAnsi="Arial"/>
                <w:sz w:val="10"/>
                <w:szCs w:val="10"/>
                <w:color w:val="54585A"/>
              </w:rPr>
              <w:t>212,680</w:t>
            </w:r>
          </w:p>
        </w:tc>
        <w:tc>
          <w:tcPr>
            <w:tcW w:w="1220" w:type="dxa"/>
            <w:vAlign w:val="bottom"/>
          </w:tcPr>
          <w:p>
            <w:pPr>
              <w:ind w:left="740"/>
              <w:spacing w:after="0"/>
              <w:rPr>
                <w:sz w:val="20"/>
                <w:szCs w:val="20"/>
                <w:color w:val="auto"/>
              </w:rPr>
            </w:pPr>
            <w:r>
              <w:rPr>
                <w:rFonts w:ascii="Arial" w:cs="Arial" w:eastAsia="Arial" w:hAnsi="Arial"/>
                <w:sz w:val="10"/>
                <w:szCs w:val="10"/>
                <w:color w:val="54585A"/>
              </w:rPr>
              <w:t>—</w:t>
            </w:r>
          </w:p>
        </w:tc>
        <w:tc>
          <w:tcPr>
            <w:tcW w:w="1440" w:type="dxa"/>
            <w:vAlign w:val="bottom"/>
          </w:tcPr>
          <w:p>
            <w:pPr>
              <w:jc w:val="right"/>
              <w:ind w:right="412"/>
              <w:spacing w:after="0"/>
              <w:rPr>
                <w:sz w:val="20"/>
                <w:szCs w:val="20"/>
                <w:color w:val="auto"/>
              </w:rPr>
            </w:pPr>
            <w:r>
              <w:rPr>
                <w:rFonts w:ascii="Arial" w:cs="Arial" w:eastAsia="Arial" w:hAnsi="Arial"/>
                <w:sz w:val="10"/>
                <w:szCs w:val="10"/>
                <w:color w:val="54585A"/>
              </w:rPr>
              <w:t>9,016</w:t>
            </w:r>
          </w:p>
        </w:tc>
        <w:tc>
          <w:tcPr>
            <w:tcW w:w="1020" w:type="dxa"/>
            <w:vAlign w:val="bottom"/>
          </w:tcPr>
          <w:p>
            <w:pPr>
              <w:jc w:val="right"/>
              <w:ind w:right="132"/>
              <w:spacing w:after="0"/>
              <w:rPr>
                <w:sz w:val="20"/>
                <w:szCs w:val="20"/>
                <w:color w:val="auto"/>
              </w:rPr>
            </w:pPr>
            <w:r>
              <w:rPr>
                <w:rFonts w:ascii="Arial" w:cs="Arial" w:eastAsia="Arial" w:hAnsi="Arial"/>
                <w:sz w:val="10"/>
                <w:szCs w:val="10"/>
                <w:color w:val="54585A"/>
              </w:rPr>
              <w:t>524,094</w:t>
            </w:r>
          </w:p>
        </w:tc>
        <w:tc>
          <w:tcPr>
            <w:tcW w:w="0" w:type="dxa"/>
            <w:vAlign w:val="bottom"/>
          </w:tcPr>
          <w:p>
            <w:pPr>
              <w:spacing w:after="0"/>
              <w:rPr>
                <w:sz w:val="1"/>
                <w:szCs w:val="1"/>
                <w:color w:val="auto"/>
              </w:rPr>
            </w:pPr>
          </w:p>
        </w:tc>
      </w:tr>
      <w:tr>
        <w:trPr>
          <w:trHeight w:val="80"/>
        </w:trPr>
        <w:tc>
          <w:tcPr>
            <w:tcW w:w="2140" w:type="dxa"/>
            <w:vAlign w:val="bottom"/>
            <w:tcBorders>
              <w:bottom w:val="single" w:sz="8" w:color="54585A"/>
            </w:tcBorders>
          </w:tcPr>
          <w:p>
            <w:pPr>
              <w:spacing w:after="0"/>
              <w:rPr>
                <w:sz w:val="6"/>
                <w:szCs w:val="6"/>
                <w:color w:val="auto"/>
              </w:rPr>
            </w:pPr>
          </w:p>
        </w:tc>
        <w:tc>
          <w:tcPr>
            <w:tcW w:w="1180" w:type="dxa"/>
            <w:vAlign w:val="bottom"/>
            <w:tcBorders>
              <w:bottom w:val="single" w:sz="8" w:color="54585A"/>
            </w:tcBorders>
          </w:tcPr>
          <w:p>
            <w:pPr>
              <w:spacing w:after="0"/>
              <w:rPr>
                <w:sz w:val="6"/>
                <w:szCs w:val="6"/>
                <w:color w:val="auto"/>
              </w:rPr>
            </w:pPr>
          </w:p>
        </w:tc>
        <w:tc>
          <w:tcPr>
            <w:tcW w:w="1540" w:type="dxa"/>
            <w:vAlign w:val="bottom"/>
            <w:tcBorders>
              <w:bottom w:val="single" w:sz="8" w:color="54585A"/>
            </w:tcBorders>
          </w:tcPr>
          <w:p>
            <w:pPr>
              <w:spacing w:after="0"/>
              <w:rPr>
                <w:sz w:val="6"/>
                <w:szCs w:val="6"/>
                <w:color w:val="auto"/>
              </w:rPr>
            </w:pPr>
          </w:p>
        </w:tc>
        <w:tc>
          <w:tcPr>
            <w:tcW w:w="1340" w:type="dxa"/>
            <w:vAlign w:val="bottom"/>
            <w:tcBorders>
              <w:bottom w:val="single" w:sz="8" w:color="54585A"/>
            </w:tcBorders>
          </w:tcPr>
          <w:p>
            <w:pPr>
              <w:spacing w:after="0"/>
              <w:rPr>
                <w:sz w:val="6"/>
                <w:szCs w:val="6"/>
                <w:color w:val="auto"/>
              </w:rPr>
            </w:pPr>
          </w:p>
        </w:tc>
        <w:tc>
          <w:tcPr>
            <w:tcW w:w="1420" w:type="dxa"/>
            <w:vAlign w:val="bottom"/>
            <w:tcBorders>
              <w:bottom w:val="single" w:sz="8" w:color="54585A"/>
            </w:tcBorders>
          </w:tcPr>
          <w:p>
            <w:pPr>
              <w:spacing w:after="0"/>
              <w:rPr>
                <w:sz w:val="6"/>
                <w:szCs w:val="6"/>
                <w:color w:val="auto"/>
              </w:rPr>
            </w:pPr>
          </w:p>
        </w:tc>
        <w:tc>
          <w:tcPr>
            <w:tcW w:w="1220" w:type="dxa"/>
            <w:vAlign w:val="bottom"/>
            <w:tcBorders>
              <w:bottom w:val="single" w:sz="8" w:color="54585A"/>
            </w:tcBorders>
          </w:tcPr>
          <w:p>
            <w:pPr>
              <w:spacing w:after="0"/>
              <w:rPr>
                <w:sz w:val="6"/>
                <w:szCs w:val="6"/>
                <w:color w:val="auto"/>
              </w:rPr>
            </w:pPr>
          </w:p>
        </w:tc>
        <w:tc>
          <w:tcPr>
            <w:tcW w:w="1440" w:type="dxa"/>
            <w:vAlign w:val="bottom"/>
            <w:tcBorders>
              <w:bottom w:val="single" w:sz="8" w:color="54585A"/>
            </w:tcBorders>
          </w:tcPr>
          <w:p>
            <w:pPr>
              <w:spacing w:after="0"/>
              <w:rPr>
                <w:sz w:val="6"/>
                <w:szCs w:val="6"/>
                <w:color w:val="auto"/>
              </w:rPr>
            </w:pPr>
          </w:p>
        </w:tc>
        <w:tc>
          <w:tcPr>
            <w:tcW w:w="102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1180" w:type="dxa"/>
            <w:vAlign w:val="bottom"/>
          </w:tcPr>
          <w:p>
            <w:pPr>
              <w:ind w:left="320"/>
              <w:spacing w:after="0"/>
              <w:rPr>
                <w:sz w:val="20"/>
                <w:szCs w:val="20"/>
                <w:color w:val="auto"/>
              </w:rPr>
            </w:pPr>
            <w:r>
              <w:rPr>
                <w:rFonts w:ascii="Arial" w:cs="Arial" w:eastAsia="Arial" w:hAnsi="Arial"/>
                <w:sz w:val="10"/>
                <w:szCs w:val="10"/>
                <w:color w:val="54585A"/>
              </w:rPr>
              <w:t>2022</w:t>
            </w:r>
          </w:p>
        </w:tc>
        <w:tc>
          <w:tcPr>
            <w:tcW w:w="1540" w:type="dxa"/>
            <w:vAlign w:val="bottom"/>
          </w:tcPr>
          <w:p>
            <w:pPr>
              <w:jc w:val="right"/>
              <w:ind w:right="492"/>
              <w:spacing w:after="0"/>
              <w:rPr>
                <w:sz w:val="20"/>
                <w:szCs w:val="20"/>
                <w:color w:val="auto"/>
              </w:rPr>
            </w:pPr>
            <w:r>
              <w:rPr>
                <w:rFonts w:ascii="Arial" w:cs="Arial" w:eastAsia="Arial" w:hAnsi="Arial"/>
                <w:sz w:val="10"/>
                <w:szCs w:val="10"/>
                <w:color w:val="54585A"/>
              </w:rPr>
              <w:t>342,481</w:t>
            </w:r>
          </w:p>
        </w:tc>
        <w:tc>
          <w:tcPr>
            <w:tcW w:w="1340" w:type="dxa"/>
            <w:vAlign w:val="bottom"/>
          </w:tcPr>
          <w:p>
            <w:pPr>
              <w:jc w:val="right"/>
              <w:ind w:right="452"/>
              <w:spacing w:after="0"/>
              <w:rPr>
                <w:sz w:val="20"/>
                <w:szCs w:val="20"/>
                <w:color w:val="auto"/>
              </w:rPr>
            </w:pPr>
            <w:r>
              <w:rPr>
                <w:rFonts w:ascii="Arial" w:cs="Arial" w:eastAsia="Arial" w:hAnsi="Arial"/>
                <w:sz w:val="10"/>
                <w:szCs w:val="10"/>
                <w:color w:val="54585A"/>
              </w:rPr>
              <w:t>7,000</w:t>
            </w:r>
          </w:p>
        </w:tc>
        <w:tc>
          <w:tcPr>
            <w:tcW w:w="1420" w:type="dxa"/>
            <w:vAlign w:val="bottom"/>
          </w:tcPr>
          <w:p>
            <w:pPr>
              <w:jc w:val="right"/>
              <w:ind w:right="492"/>
              <w:spacing w:after="0"/>
              <w:rPr>
                <w:sz w:val="20"/>
                <w:szCs w:val="20"/>
                <w:color w:val="auto"/>
              </w:rPr>
            </w:pPr>
            <w:r>
              <w:rPr>
                <w:rFonts w:ascii="Arial" w:cs="Arial" w:eastAsia="Arial" w:hAnsi="Arial"/>
                <w:sz w:val="10"/>
                <w:szCs w:val="10"/>
                <w:color w:val="54585A"/>
              </w:rPr>
              <w:t>1,264,400</w:t>
            </w:r>
          </w:p>
        </w:tc>
        <w:tc>
          <w:tcPr>
            <w:tcW w:w="1220" w:type="dxa"/>
            <w:vAlign w:val="bottom"/>
          </w:tcPr>
          <w:p>
            <w:pPr>
              <w:ind w:left="740"/>
              <w:spacing w:after="0"/>
              <w:rPr>
                <w:sz w:val="20"/>
                <w:szCs w:val="20"/>
                <w:color w:val="auto"/>
              </w:rPr>
            </w:pPr>
            <w:r>
              <w:rPr>
                <w:rFonts w:ascii="Arial" w:cs="Arial" w:eastAsia="Arial" w:hAnsi="Arial"/>
                <w:sz w:val="10"/>
                <w:szCs w:val="10"/>
                <w:color w:val="54585A"/>
              </w:rPr>
              <w:t>—</w:t>
            </w:r>
          </w:p>
        </w:tc>
        <w:tc>
          <w:tcPr>
            <w:tcW w:w="1440" w:type="dxa"/>
            <w:vAlign w:val="bottom"/>
          </w:tcPr>
          <w:p>
            <w:pPr>
              <w:jc w:val="right"/>
              <w:ind w:right="412"/>
              <w:spacing w:after="0"/>
              <w:rPr>
                <w:sz w:val="20"/>
                <w:szCs w:val="20"/>
                <w:color w:val="auto"/>
              </w:rPr>
            </w:pPr>
            <w:r>
              <w:rPr>
                <w:rFonts w:ascii="Arial" w:cs="Arial" w:eastAsia="Arial" w:hAnsi="Arial"/>
                <w:sz w:val="10"/>
                <w:szCs w:val="10"/>
                <w:color w:val="54585A"/>
              </w:rPr>
              <w:t>4,133</w:t>
            </w:r>
          </w:p>
        </w:tc>
        <w:tc>
          <w:tcPr>
            <w:tcW w:w="1020" w:type="dxa"/>
            <w:vAlign w:val="bottom"/>
          </w:tcPr>
          <w:p>
            <w:pPr>
              <w:jc w:val="right"/>
              <w:ind w:right="132"/>
              <w:spacing w:after="0"/>
              <w:rPr>
                <w:sz w:val="20"/>
                <w:szCs w:val="20"/>
                <w:color w:val="auto"/>
              </w:rPr>
            </w:pPr>
            <w:r>
              <w:rPr>
                <w:rFonts w:ascii="Arial" w:cs="Arial" w:eastAsia="Arial" w:hAnsi="Arial"/>
                <w:sz w:val="10"/>
                <w:szCs w:val="10"/>
                <w:color w:val="54585A"/>
              </w:rPr>
              <w:t>1,618,014</w:t>
            </w:r>
          </w:p>
        </w:tc>
        <w:tc>
          <w:tcPr>
            <w:tcW w:w="0" w:type="dxa"/>
            <w:vAlign w:val="bottom"/>
          </w:tcPr>
          <w:p>
            <w:pPr>
              <w:spacing w:after="0"/>
              <w:rPr>
                <w:sz w:val="1"/>
                <w:szCs w:val="1"/>
                <w:color w:val="auto"/>
              </w:rPr>
            </w:pPr>
          </w:p>
        </w:tc>
      </w:tr>
      <w:tr>
        <w:trPr>
          <w:trHeight w:val="80"/>
        </w:trPr>
        <w:tc>
          <w:tcPr>
            <w:tcW w:w="2140" w:type="dxa"/>
            <w:vAlign w:val="bottom"/>
            <w:vMerge w:val="restart"/>
          </w:tcPr>
          <w:p>
            <w:pPr>
              <w:ind w:left="60"/>
              <w:spacing w:after="0"/>
              <w:rPr>
                <w:sz w:val="20"/>
                <w:szCs w:val="20"/>
                <w:color w:val="auto"/>
              </w:rPr>
            </w:pPr>
            <w:r>
              <w:rPr>
                <w:rFonts w:ascii="Arial" w:cs="Arial" w:eastAsia="Arial" w:hAnsi="Arial"/>
                <w:sz w:val="10"/>
                <w:szCs w:val="10"/>
                <w:b w:val="1"/>
                <w:bCs w:val="1"/>
                <w:color w:val="EB6C10"/>
              </w:rPr>
              <w:t>L. Barbee Ponder IV</w:t>
            </w:r>
          </w:p>
        </w:tc>
        <w:tc>
          <w:tcPr>
            <w:tcW w:w="1180" w:type="dxa"/>
            <w:vAlign w:val="bottom"/>
            <w:tcBorders>
              <w:bottom w:val="single" w:sz="8" w:color="54585A"/>
            </w:tcBorders>
          </w:tcPr>
          <w:p>
            <w:pPr>
              <w:spacing w:after="0"/>
              <w:rPr>
                <w:sz w:val="6"/>
                <w:szCs w:val="6"/>
                <w:color w:val="auto"/>
              </w:rPr>
            </w:pPr>
          </w:p>
        </w:tc>
        <w:tc>
          <w:tcPr>
            <w:tcW w:w="1540" w:type="dxa"/>
            <w:vAlign w:val="bottom"/>
            <w:tcBorders>
              <w:bottom w:val="single" w:sz="8" w:color="54585A"/>
            </w:tcBorders>
          </w:tcPr>
          <w:p>
            <w:pPr>
              <w:spacing w:after="0"/>
              <w:rPr>
                <w:sz w:val="6"/>
                <w:szCs w:val="6"/>
                <w:color w:val="auto"/>
              </w:rPr>
            </w:pPr>
          </w:p>
        </w:tc>
        <w:tc>
          <w:tcPr>
            <w:tcW w:w="1340" w:type="dxa"/>
            <w:vAlign w:val="bottom"/>
            <w:tcBorders>
              <w:bottom w:val="single" w:sz="8" w:color="54585A"/>
            </w:tcBorders>
          </w:tcPr>
          <w:p>
            <w:pPr>
              <w:spacing w:after="0"/>
              <w:rPr>
                <w:sz w:val="6"/>
                <w:szCs w:val="6"/>
                <w:color w:val="auto"/>
              </w:rPr>
            </w:pPr>
          </w:p>
        </w:tc>
        <w:tc>
          <w:tcPr>
            <w:tcW w:w="1420" w:type="dxa"/>
            <w:vAlign w:val="bottom"/>
            <w:tcBorders>
              <w:bottom w:val="single" w:sz="8" w:color="54585A"/>
            </w:tcBorders>
          </w:tcPr>
          <w:p>
            <w:pPr>
              <w:spacing w:after="0"/>
              <w:rPr>
                <w:sz w:val="6"/>
                <w:szCs w:val="6"/>
                <w:color w:val="auto"/>
              </w:rPr>
            </w:pPr>
          </w:p>
        </w:tc>
        <w:tc>
          <w:tcPr>
            <w:tcW w:w="1220" w:type="dxa"/>
            <w:vAlign w:val="bottom"/>
            <w:tcBorders>
              <w:bottom w:val="single" w:sz="8" w:color="54585A"/>
            </w:tcBorders>
          </w:tcPr>
          <w:p>
            <w:pPr>
              <w:spacing w:after="0"/>
              <w:rPr>
                <w:sz w:val="6"/>
                <w:szCs w:val="6"/>
                <w:color w:val="auto"/>
              </w:rPr>
            </w:pPr>
          </w:p>
        </w:tc>
        <w:tc>
          <w:tcPr>
            <w:tcW w:w="1440" w:type="dxa"/>
            <w:vAlign w:val="bottom"/>
            <w:tcBorders>
              <w:bottom w:val="single" w:sz="8" w:color="54585A"/>
            </w:tcBorders>
          </w:tcPr>
          <w:p>
            <w:pPr>
              <w:spacing w:after="0"/>
              <w:rPr>
                <w:sz w:val="6"/>
                <w:szCs w:val="6"/>
                <w:color w:val="auto"/>
              </w:rPr>
            </w:pPr>
          </w:p>
        </w:tc>
        <w:tc>
          <w:tcPr>
            <w:tcW w:w="102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14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140" w:type="dxa"/>
            <w:vAlign w:val="bottom"/>
          </w:tcPr>
          <w:p>
            <w:pPr>
              <w:ind w:left="60"/>
              <w:spacing w:after="0" w:line="108" w:lineRule="exact"/>
              <w:rPr>
                <w:sz w:val="20"/>
                <w:szCs w:val="20"/>
                <w:color w:val="auto"/>
              </w:rPr>
            </w:pPr>
            <w:r>
              <w:rPr>
                <w:rFonts w:ascii="Arial" w:cs="Arial" w:eastAsia="Arial" w:hAnsi="Arial"/>
                <w:sz w:val="10"/>
                <w:szCs w:val="10"/>
                <w:i w:val="1"/>
                <w:iCs w:val="1"/>
                <w:color w:val="54585A"/>
              </w:rPr>
              <w:t>General Counsel and Vice President of</w:t>
            </w:r>
          </w:p>
        </w:tc>
        <w:tc>
          <w:tcPr>
            <w:tcW w:w="1180" w:type="dxa"/>
            <w:vAlign w:val="bottom"/>
          </w:tcPr>
          <w:p>
            <w:pPr>
              <w:ind w:left="320"/>
              <w:spacing w:after="0" w:line="108" w:lineRule="exact"/>
              <w:rPr>
                <w:sz w:val="20"/>
                <w:szCs w:val="20"/>
                <w:color w:val="auto"/>
              </w:rPr>
            </w:pPr>
            <w:r>
              <w:rPr>
                <w:rFonts w:ascii="Arial" w:cs="Arial" w:eastAsia="Arial" w:hAnsi="Arial"/>
                <w:sz w:val="10"/>
                <w:szCs w:val="10"/>
                <w:color w:val="54585A"/>
              </w:rPr>
              <w:t>2021</w:t>
            </w:r>
          </w:p>
        </w:tc>
        <w:tc>
          <w:tcPr>
            <w:tcW w:w="1540" w:type="dxa"/>
            <w:vAlign w:val="bottom"/>
          </w:tcPr>
          <w:p>
            <w:pPr>
              <w:jc w:val="right"/>
              <w:ind w:right="492"/>
              <w:spacing w:after="0" w:line="108" w:lineRule="exact"/>
              <w:rPr>
                <w:sz w:val="20"/>
                <w:szCs w:val="20"/>
                <w:color w:val="auto"/>
              </w:rPr>
            </w:pPr>
            <w:r>
              <w:rPr>
                <w:rFonts w:ascii="Arial" w:cs="Arial" w:eastAsia="Arial" w:hAnsi="Arial"/>
                <w:sz w:val="10"/>
                <w:szCs w:val="10"/>
                <w:color w:val="54585A"/>
              </w:rPr>
              <w:t>330,889</w:t>
            </w:r>
          </w:p>
        </w:tc>
        <w:tc>
          <w:tcPr>
            <w:tcW w:w="1340" w:type="dxa"/>
            <w:vAlign w:val="bottom"/>
          </w:tcPr>
          <w:p>
            <w:pPr>
              <w:jc w:val="right"/>
              <w:ind w:right="452"/>
              <w:spacing w:after="0" w:line="108" w:lineRule="exact"/>
              <w:rPr>
                <w:sz w:val="20"/>
                <w:szCs w:val="20"/>
                <w:color w:val="auto"/>
              </w:rPr>
            </w:pPr>
            <w:r>
              <w:rPr>
                <w:rFonts w:ascii="Arial" w:cs="Arial" w:eastAsia="Arial" w:hAnsi="Arial"/>
                <w:sz w:val="10"/>
                <w:szCs w:val="10"/>
                <w:color w:val="54585A"/>
              </w:rPr>
              <w:t>—</w:t>
            </w:r>
          </w:p>
        </w:tc>
        <w:tc>
          <w:tcPr>
            <w:tcW w:w="1420" w:type="dxa"/>
            <w:vAlign w:val="bottom"/>
          </w:tcPr>
          <w:p>
            <w:pPr>
              <w:jc w:val="right"/>
              <w:ind w:right="492"/>
              <w:spacing w:after="0" w:line="108" w:lineRule="exact"/>
              <w:rPr>
                <w:sz w:val="20"/>
                <w:szCs w:val="20"/>
                <w:color w:val="auto"/>
              </w:rPr>
            </w:pPr>
            <w:r>
              <w:rPr>
                <w:rFonts w:ascii="Arial" w:cs="Arial" w:eastAsia="Arial" w:hAnsi="Arial"/>
                <w:sz w:val="10"/>
                <w:szCs w:val="10"/>
                <w:color w:val="54585A"/>
              </w:rPr>
              <w:t>267,200</w:t>
            </w:r>
          </w:p>
        </w:tc>
        <w:tc>
          <w:tcPr>
            <w:tcW w:w="1220" w:type="dxa"/>
            <w:vAlign w:val="bottom"/>
          </w:tcPr>
          <w:p>
            <w:pPr>
              <w:ind w:left="740"/>
              <w:spacing w:after="0" w:line="108" w:lineRule="exact"/>
              <w:rPr>
                <w:sz w:val="20"/>
                <w:szCs w:val="20"/>
                <w:color w:val="auto"/>
              </w:rPr>
            </w:pPr>
            <w:r>
              <w:rPr>
                <w:rFonts w:ascii="Arial" w:cs="Arial" w:eastAsia="Arial" w:hAnsi="Arial"/>
                <w:sz w:val="10"/>
                <w:szCs w:val="10"/>
                <w:color w:val="54585A"/>
              </w:rPr>
              <w:t>—</w:t>
            </w:r>
          </w:p>
        </w:tc>
        <w:tc>
          <w:tcPr>
            <w:tcW w:w="1440" w:type="dxa"/>
            <w:vAlign w:val="bottom"/>
          </w:tcPr>
          <w:p>
            <w:pPr>
              <w:jc w:val="right"/>
              <w:ind w:right="412"/>
              <w:spacing w:after="0" w:line="108" w:lineRule="exact"/>
              <w:rPr>
                <w:sz w:val="20"/>
                <w:szCs w:val="20"/>
                <w:color w:val="auto"/>
              </w:rPr>
            </w:pPr>
            <w:r>
              <w:rPr>
                <w:rFonts w:ascii="Arial" w:cs="Arial" w:eastAsia="Arial" w:hAnsi="Arial"/>
                <w:sz w:val="10"/>
                <w:szCs w:val="10"/>
                <w:color w:val="54585A"/>
              </w:rPr>
              <w:t>5,144</w:t>
            </w:r>
          </w:p>
        </w:tc>
        <w:tc>
          <w:tcPr>
            <w:tcW w:w="1020" w:type="dxa"/>
            <w:vAlign w:val="bottom"/>
          </w:tcPr>
          <w:p>
            <w:pPr>
              <w:jc w:val="right"/>
              <w:ind w:right="132"/>
              <w:spacing w:after="0" w:line="108" w:lineRule="exact"/>
              <w:rPr>
                <w:sz w:val="20"/>
                <w:szCs w:val="20"/>
                <w:color w:val="auto"/>
              </w:rPr>
            </w:pPr>
            <w:r>
              <w:rPr>
                <w:rFonts w:ascii="Arial" w:cs="Arial" w:eastAsia="Arial" w:hAnsi="Arial"/>
                <w:sz w:val="10"/>
                <w:szCs w:val="10"/>
                <w:color w:val="54585A"/>
              </w:rPr>
              <w:t>603,233</w:t>
            </w:r>
          </w:p>
        </w:tc>
        <w:tc>
          <w:tcPr>
            <w:tcW w:w="0" w:type="dxa"/>
            <w:vAlign w:val="bottom"/>
          </w:tcPr>
          <w:p>
            <w:pPr>
              <w:spacing w:after="0"/>
              <w:rPr>
                <w:sz w:val="1"/>
                <w:szCs w:val="1"/>
                <w:color w:val="auto"/>
              </w:rPr>
            </w:pPr>
          </w:p>
        </w:tc>
      </w:tr>
      <w:tr>
        <w:trPr>
          <w:trHeight w:val="97"/>
        </w:trPr>
        <w:tc>
          <w:tcPr>
            <w:tcW w:w="2140" w:type="dxa"/>
            <w:vAlign w:val="bottom"/>
          </w:tcPr>
          <w:p>
            <w:pPr>
              <w:ind w:left="60"/>
              <w:spacing w:after="0" w:line="77" w:lineRule="exact"/>
              <w:rPr>
                <w:sz w:val="20"/>
                <w:szCs w:val="20"/>
                <w:color w:val="auto"/>
              </w:rPr>
            </w:pPr>
            <w:r>
              <w:rPr>
                <w:rFonts w:ascii="Arial" w:cs="Arial" w:eastAsia="Arial" w:hAnsi="Arial"/>
                <w:sz w:val="8"/>
                <w:szCs w:val="8"/>
                <w:i w:val="1"/>
                <w:iCs w:val="1"/>
                <w:color w:val="54585A"/>
              </w:rPr>
              <w:t>Regulatory Affairs</w:t>
            </w:r>
          </w:p>
        </w:tc>
        <w:tc>
          <w:tcPr>
            <w:tcW w:w="1180" w:type="dxa"/>
            <w:vAlign w:val="bottom"/>
            <w:tcBorders>
              <w:bottom w:val="single" w:sz="8" w:color="54585A"/>
            </w:tcBorders>
          </w:tcPr>
          <w:p>
            <w:pPr>
              <w:spacing w:after="0"/>
              <w:rPr>
                <w:sz w:val="8"/>
                <w:szCs w:val="8"/>
                <w:color w:val="auto"/>
              </w:rPr>
            </w:pPr>
          </w:p>
        </w:tc>
        <w:tc>
          <w:tcPr>
            <w:tcW w:w="1540" w:type="dxa"/>
            <w:vAlign w:val="bottom"/>
            <w:tcBorders>
              <w:bottom w:val="single" w:sz="8" w:color="54585A"/>
            </w:tcBorders>
          </w:tcPr>
          <w:p>
            <w:pPr>
              <w:spacing w:after="0"/>
              <w:rPr>
                <w:sz w:val="8"/>
                <w:szCs w:val="8"/>
                <w:color w:val="auto"/>
              </w:rPr>
            </w:pPr>
          </w:p>
        </w:tc>
        <w:tc>
          <w:tcPr>
            <w:tcW w:w="1340" w:type="dxa"/>
            <w:vAlign w:val="bottom"/>
            <w:tcBorders>
              <w:bottom w:val="single" w:sz="8" w:color="54585A"/>
            </w:tcBorders>
          </w:tcPr>
          <w:p>
            <w:pPr>
              <w:spacing w:after="0"/>
              <w:rPr>
                <w:sz w:val="8"/>
                <w:szCs w:val="8"/>
                <w:color w:val="auto"/>
              </w:rPr>
            </w:pPr>
          </w:p>
        </w:tc>
        <w:tc>
          <w:tcPr>
            <w:tcW w:w="1420" w:type="dxa"/>
            <w:vAlign w:val="bottom"/>
            <w:tcBorders>
              <w:bottom w:val="single" w:sz="8" w:color="54585A"/>
            </w:tcBorders>
          </w:tcPr>
          <w:p>
            <w:pPr>
              <w:spacing w:after="0"/>
              <w:rPr>
                <w:sz w:val="8"/>
                <w:szCs w:val="8"/>
                <w:color w:val="auto"/>
              </w:rPr>
            </w:pPr>
          </w:p>
        </w:tc>
        <w:tc>
          <w:tcPr>
            <w:tcW w:w="1220" w:type="dxa"/>
            <w:vAlign w:val="bottom"/>
            <w:tcBorders>
              <w:bottom w:val="single" w:sz="8" w:color="54585A"/>
            </w:tcBorders>
          </w:tcPr>
          <w:p>
            <w:pPr>
              <w:spacing w:after="0"/>
              <w:rPr>
                <w:sz w:val="8"/>
                <w:szCs w:val="8"/>
                <w:color w:val="auto"/>
              </w:rPr>
            </w:pPr>
          </w:p>
        </w:tc>
        <w:tc>
          <w:tcPr>
            <w:tcW w:w="1440" w:type="dxa"/>
            <w:vAlign w:val="bottom"/>
            <w:tcBorders>
              <w:bottom w:val="single" w:sz="8" w:color="54585A"/>
            </w:tcBorders>
          </w:tcPr>
          <w:p>
            <w:pPr>
              <w:spacing w:after="0"/>
              <w:rPr>
                <w:sz w:val="8"/>
                <w:szCs w:val="8"/>
                <w:color w:val="auto"/>
              </w:rPr>
            </w:pPr>
          </w:p>
        </w:tc>
        <w:tc>
          <w:tcPr>
            <w:tcW w:w="1020" w:type="dxa"/>
            <w:vAlign w:val="bottom"/>
            <w:tcBorders>
              <w:bottom w:val="single" w:sz="8" w:color="54585A"/>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1180" w:type="dxa"/>
            <w:vAlign w:val="bottom"/>
          </w:tcPr>
          <w:p>
            <w:pPr>
              <w:ind w:left="320"/>
              <w:spacing w:after="0"/>
              <w:rPr>
                <w:sz w:val="20"/>
                <w:szCs w:val="20"/>
                <w:color w:val="auto"/>
              </w:rPr>
            </w:pPr>
            <w:r>
              <w:rPr>
                <w:rFonts w:ascii="Arial" w:cs="Arial" w:eastAsia="Arial" w:hAnsi="Arial"/>
                <w:sz w:val="10"/>
                <w:szCs w:val="10"/>
                <w:color w:val="54585A"/>
              </w:rPr>
              <w:t>2020</w:t>
            </w:r>
          </w:p>
        </w:tc>
        <w:tc>
          <w:tcPr>
            <w:tcW w:w="1540" w:type="dxa"/>
            <w:vAlign w:val="bottom"/>
          </w:tcPr>
          <w:p>
            <w:pPr>
              <w:jc w:val="right"/>
              <w:ind w:right="492"/>
              <w:spacing w:after="0"/>
              <w:rPr>
                <w:sz w:val="20"/>
                <w:szCs w:val="20"/>
                <w:color w:val="auto"/>
              </w:rPr>
            </w:pPr>
            <w:r>
              <w:rPr>
                <w:rFonts w:ascii="Arial" w:cs="Arial" w:eastAsia="Arial" w:hAnsi="Arial"/>
                <w:sz w:val="10"/>
                <w:szCs w:val="10"/>
                <w:color w:val="54585A"/>
              </w:rPr>
              <w:t>305,132</w:t>
            </w:r>
          </w:p>
        </w:tc>
        <w:tc>
          <w:tcPr>
            <w:tcW w:w="1340" w:type="dxa"/>
            <w:vAlign w:val="bottom"/>
          </w:tcPr>
          <w:p>
            <w:pPr>
              <w:jc w:val="right"/>
              <w:ind w:right="452"/>
              <w:spacing w:after="0"/>
              <w:rPr>
                <w:sz w:val="20"/>
                <w:szCs w:val="20"/>
                <w:color w:val="auto"/>
              </w:rPr>
            </w:pPr>
            <w:r>
              <w:rPr>
                <w:rFonts w:ascii="Arial" w:cs="Arial" w:eastAsia="Arial" w:hAnsi="Arial"/>
                <w:sz w:val="10"/>
                <w:szCs w:val="10"/>
                <w:color w:val="54585A"/>
              </w:rPr>
              <w:t>—</w:t>
            </w:r>
          </w:p>
        </w:tc>
        <w:tc>
          <w:tcPr>
            <w:tcW w:w="1420" w:type="dxa"/>
            <w:vAlign w:val="bottom"/>
          </w:tcPr>
          <w:p>
            <w:pPr>
              <w:jc w:val="right"/>
              <w:ind w:right="492"/>
              <w:spacing w:after="0"/>
              <w:rPr>
                <w:sz w:val="20"/>
                <w:szCs w:val="20"/>
                <w:color w:val="auto"/>
              </w:rPr>
            </w:pPr>
            <w:r>
              <w:rPr>
                <w:rFonts w:ascii="Arial" w:cs="Arial" w:eastAsia="Arial" w:hAnsi="Arial"/>
                <w:sz w:val="10"/>
                <w:szCs w:val="10"/>
                <w:color w:val="54585A"/>
              </w:rPr>
              <w:t>323,265</w:t>
            </w:r>
          </w:p>
        </w:tc>
        <w:tc>
          <w:tcPr>
            <w:tcW w:w="1220" w:type="dxa"/>
            <w:vAlign w:val="bottom"/>
          </w:tcPr>
          <w:p>
            <w:pPr>
              <w:ind w:left="740"/>
              <w:spacing w:after="0"/>
              <w:rPr>
                <w:sz w:val="20"/>
                <w:szCs w:val="20"/>
                <w:color w:val="auto"/>
              </w:rPr>
            </w:pPr>
            <w:r>
              <w:rPr>
                <w:rFonts w:ascii="Arial" w:cs="Arial" w:eastAsia="Arial" w:hAnsi="Arial"/>
                <w:sz w:val="10"/>
                <w:szCs w:val="10"/>
                <w:color w:val="54585A"/>
              </w:rPr>
              <w:t>—</w:t>
            </w:r>
          </w:p>
        </w:tc>
        <w:tc>
          <w:tcPr>
            <w:tcW w:w="1440" w:type="dxa"/>
            <w:vAlign w:val="bottom"/>
          </w:tcPr>
          <w:p>
            <w:pPr>
              <w:jc w:val="right"/>
              <w:ind w:right="412"/>
              <w:spacing w:after="0"/>
              <w:rPr>
                <w:sz w:val="20"/>
                <w:szCs w:val="20"/>
                <w:color w:val="auto"/>
              </w:rPr>
            </w:pPr>
            <w:r>
              <w:rPr>
                <w:rFonts w:ascii="Arial" w:cs="Arial" w:eastAsia="Arial" w:hAnsi="Arial"/>
                <w:sz w:val="10"/>
                <w:szCs w:val="10"/>
                <w:color w:val="54585A"/>
              </w:rPr>
              <w:t>8,195</w:t>
            </w:r>
          </w:p>
        </w:tc>
        <w:tc>
          <w:tcPr>
            <w:tcW w:w="1020" w:type="dxa"/>
            <w:vAlign w:val="bottom"/>
          </w:tcPr>
          <w:p>
            <w:pPr>
              <w:jc w:val="right"/>
              <w:ind w:right="132"/>
              <w:spacing w:after="0"/>
              <w:rPr>
                <w:sz w:val="20"/>
                <w:szCs w:val="20"/>
                <w:color w:val="auto"/>
              </w:rPr>
            </w:pPr>
            <w:r>
              <w:rPr>
                <w:rFonts w:ascii="Arial" w:cs="Arial" w:eastAsia="Arial" w:hAnsi="Arial"/>
                <w:sz w:val="10"/>
                <w:szCs w:val="10"/>
                <w:color w:val="54585A"/>
              </w:rPr>
              <w:t>636,592</w:t>
            </w:r>
          </w:p>
        </w:tc>
        <w:tc>
          <w:tcPr>
            <w:tcW w:w="0" w:type="dxa"/>
            <w:vAlign w:val="bottom"/>
          </w:tcPr>
          <w:p>
            <w:pPr>
              <w:spacing w:after="0"/>
              <w:rPr>
                <w:sz w:val="1"/>
                <w:szCs w:val="1"/>
                <w:color w:val="auto"/>
              </w:rPr>
            </w:pPr>
          </w:p>
        </w:tc>
      </w:tr>
      <w:tr>
        <w:trPr>
          <w:trHeight w:val="80"/>
        </w:trPr>
        <w:tc>
          <w:tcPr>
            <w:tcW w:w="2140" w:type="dxa"/>
            <w:vAlign w:val="bottom"/>
            <w:tcBorders>
              <w:bottom w:val="single" w:sz="8" w:color="54585A"/>
            </w:tcBorders>
          </w:tcPr>
          <w:p>
            <w:pPr>
              <w:spacing w:after="0"/>
              <w:rPr>
                <w:sz w:val="6"/>
                <w:szCs w:val="6"/>
                <w:color w:val="auto"/>
              </w:rPr>
            </w:pPr>
          </w:p>
        </w:tc>
        <w:tc>
          <w:tcPr>
            <w:tcW w:w="1180" w:type="dxa"/>
            <w:vAlign w:val="bottom"/>
            <w:tcBorders>
              <w:bottom w:val="single" w:sz="8" w:color="54585A"/>
            </w:tcBorders>
          </w:tcPr>
          <w:p>
            <w:pPr>
              <w:spacing w:after="0"/>
              <w:rPr>
                <w:sz w:val="6"/>
                <w:szCs w:val="6"/>
                <w:color w:val="auto"/>
              </w:rPr>
            </w:pPr>
          </w:p>
        </w:tc>
        <w:tc>
          <w:tcPr>
            <w:tcW w:w="1540" w:type="dxa"/>
            <w:vAlign w:val="bottom"/>
            <w:tcBorders>
              <w:bottom w:val="single" w:sz="8" w:color="54585A"/>
            </w:tcBorders>
          </w:tcPr>
          <w:p>
            <w:pPr>
              <w:spacing w:after="0"/>
              <w:rPr>
                <w:sz w:val="6"/>
                <w:szCs w:val="6"/>
                <w:color w:val="auto"/>
              </w:rPr>
            </w:pPr>
          </w:p>
        </w:tc>
        <w:tc>
          <w:tcPr>
            <w:tcW w:w="1340" w:type="dxa"/>
            <w:vAlign w:val="bottom"/>
            <w:tcBorders>
              <w:bottom w:val="single" w:sz="8" w:color="54585A"/>
            </w:tcBorders>
          </w:tcPr>
          <w:p>
            <w:pPr>
              <w:spacing w:after="0"/>
              <w:rPr>
                <w:sz w:val="6"/>
                <w:szCs w:val="6"/>
                <w:color w:val="auto"/>
              </w:rPr>
            </w:pPr>
          </w:p>
        </w:tc>
        <w:tc>
          <w:tcPr>
            <w:tcW w:w="1420" w:type="dxa"/>
            <w:vAlign w:val="bottom"/>
            <w:tcBorders>
              <w:bottom w:val="single" w:sz="8" w:color="54585A"/>
            </w:tcBorders>
          </w:tcPr>
          <w:p>
            <w:pPr>
              <w:spacing w:after="0"/>
              <w:rPr>
                <w:sz w:val="6"/>
                <w:szCs w:val="6"/>
                <w:color w:val="auto"/>
              </w:rPr>
            </w:pPr>
          </w:p>
        </w:tc>
        <w:tc>
          <w:tcPr>
            <w:tcW w:w="1220" w:type="dxa"/>
            <w:vAlign w:val="bottom"/>
            <w:tcBorders>
              <w:bottom w:val="single" w:sz="8" w:color="54585A"/>
            </w:tcBorders>
          </w:tcPr>
          <w:p>
            <w:pPr>
              <w:spacing w:after="0"/>
              <w:rPr>
                <w:sz w:val="6"/>
                <w:szCs w:val="6"/>
                <w:color w:val="auto"/>
              </w:rPr>
            </w:pPr>
          </w:p>
        </w:tc>
        <w:tc>
          <w:tcPr>
            <w:tcW w:w="1440" w:type="dxa"/>
            <w:vAlign w:val="bottom"/>
            <w:tcBorders>
              <w:bottom w:val="single" w:sz="8" w:color="54585A"/>
            </w:tcBorders>
          </w:tcPr>
          <w:p>
            <w:pPr>
              <w:spacing w:after="0"/>
              <w:rPr>
                <w:sz w:val="6"/>
                <w:szCs w:val="6"/>
                <w:color w:val="auto"/>
              </w:rPr>
            </w:pPr>
          </w:p>
        </w:tc>
        <w:tc>
          <w:tcPr>
            <w:tcW w:w="102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left="208" w:right="200" w:hanging="208"/>
        <w:spacing w:after="0" w:line="244" w:lineRule="auto"/>
        <w:tabs>
          <w:tab w:leader="none" w:pos="207" w:val="left"/>
        </w:tabs>
        <w:numPr>
          <w:ilvl w:val="0"/>
          <w:numId w:val="51"/>
        </w:numPr>
        <w:rPr>
          <w:rFonts w:ascii="Arial" w:cs="Arial" w:eastAsia="Arial" w:hAnsi="Arial"/>
          <w:sz w:val="10"/>
          <w:szCs w:val="10"/>
          <w:color w:val="54585A"/>
        </w:rPr>
      </w:pPr>
      <w:r>
        <w:rPr>
          <w:rFonts w:ascii="Arial" w:cs="Arial" w:eastAsia="Arial" w:hAnsi="Arial"/>
          <w:sz w:val="10"/>
          <w:szCs w:val="10"/>
          <w:color w:val="54585A"/>
        </w:rPr>
        <w:t>Represents the aggregate grant date fair value computed consistent with FASB ASC Topic 718, except for performance based awards which are included at the fair value on the vesting date when such vesting occurs. For further discussion of our accounting policies for stock-based compensation and assumptions used in calculating the grant date fair value of stock-based compensation awards, see Note 15 to the Consolidated Financial Statements in our 2022 Annual Report on Form 10-K. The actual amount of compensation realized, if any, for option awards may differ from the amounts presented in the table.</w:t>
      </w:r>
    </w:p>
    <w:p>
      <w:pPr>
        <w:spacing w:after="0" w:line="72" w:lineRule="exact"/>
        <w:rPr>
          <w:rFonts w:ascii="Arial" w:cs="Arial" w:eastAsia="Arial" w:hAnsi="Arial"/>
          <w:sz w:val="10"/>
          <w:szCs w:val="10"/>
          <w:color w:val="54585A"/>
        </w:rPr>
      </w:pPr>
    </w:p>
    <w:p>
      <w:pPr>
        <w:ind w:left="208" w:right="120"/>
        <w:spacing w:after="0" w:line="243" w:lineRule="auto"/>
        <w:rPr>
          <w:rFonts w:ascii="Arial" w:cs="Arial" w:eastAsia="Arial" w:hAnsi="Arial"/>
          <w:sz w:val="10"/>
          <w:szCs w:val="10"/>
          <w:color w:val="54585A"/>
        </w:rPr>
      </w:pPr>
      <w:r>
        <w:rPr>
          <w:rFonts w:ascii="Arial" w:cs="Arial" w:eastAsia="Arial" w:hAnsi="Arial"/>
          <w:sz w:val="10"/>
          <w:szCs w:val="10"/>
          <w:color w:val="54585A"/>
        </w:rPr>
        <w:t>Each of the named executive officers, excluding Mr. Monroe, earned a bonus related to the 2022 financial performance of Globalstar. As disclosed in the Compensation, Discussion and Analysis section above, these bonuses were paid in the form of Globalstar stock in March 2023 and are included in the Stock Awards columns above.</w:t>
      </w:r>
    </w:p>
    <w:p>
      <w:pPr>
        <w:spacing w:after="0" w:line="64" w:lineRule="exact"/>
        <w:rPr>
          <w:rFonts w:ascii="Arial" w:cs="Arial" w:eastAsia="Arial" w:hAnsi="Arial"/>
          <w:sz w:val="10"/>
          <w:szCs w:val="10"/>
          <w:color w:val="54585A"/>
        </w:rPr>
      </w:pPr>
    </w:p>
    <w:p>
      <w:pPr>
        <w:ind w:left="208" w:right="160"/>
        <w:spacing w:after="0" w:line="243" w:lineRule="auto"/>
        <w:rPr>
          <w:rFonts w:ascii="Arial" w:cs="Arial" w:eastAsia="Arial" w:hAnsi="Arial"/>
          <w:sz w:val="10"/>
          <w:szCs w:val="10"/>
          <w:color w:val="54585A"/>
        </w:rPr>
      </w:pPr>
      <w:r>
        <w:rPr>
          <w:rFonts w:ascii="Arial" w:cs="Arial" w:eastAsia="Arial" w:hAnsi="Arial"/>
          <w:sz w:val="10"/>
          <w:szCs w:val="10"/>
          <w:color w:val="54585A"/>
        </w:rPr>
        <w:t>The stock awards for Mr. Kagan in the table above include 500,000 restricted shares that vested in March 2023 when the Company reported Adjusted EBITDA in excess of $50 million for the year ended December 31, 2022. These awards were granted in two tranches of 250,000 in 2017 and 2018.</w:t>
      </w:r>
    </w:p>
    <w:p>
      <w:pPr>
        <w:spacing w:after="0" w:line="72" w:lineRule="exact"/>
        <w:rPr>
          <w:rFonts w:ascii="Arial" w:cs="Arial" w:eastAsia="Arial" w:hAnsi="Arial"/>
          <w:sz w:val="10"/>
          <w:szCs w:val="10"/>
          <w:color w:val="54585A"/>
        </w:rPr>
      </w:pPr>
    </w:p>
    <w:p>
      <w:pPr>
        <w:ind w:left="208" w:hanging="208"/>
        <w:spacing w:after="0"/>
        <w:tabs>
          <w:tab w:leader="none" w:pos="208" w:val="left"/>
        </w:tabs>
        <w:numPr>
          <w:ilvl w:val="0"/>
          <w:numId w:val="51"/>
        </w:numPr>
        <w:rPr>
          <w:rFonts w:ascii="Arial" w:cs="Arial" w:eastAsia="Arial" w:hAnsi="Arial"/>
          <w:sz w:val="10"/>
          <w:szCs w:val="10"/>
          <w:color w:val="54585A"/>
        </w:rPr>
      </w:pPr>
      <w:r>
        <w:rPr>
          <w:rFonts w:ascii="Arial" w:cs="Arial" w:eastAsia="Arial" w:hAnsi="Arial"/>
          <w:sz w:val="10"/>
          <w:szCs w:val="10"/>
          <w:color w:val="54585A"/>
        </w:rPr>
        <w:t>Consists of matching contributions to 401(k) Plan and life insurance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205105</wp:posOffset>
            </wp:positionV>
            <wp:extent cx="17145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78"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26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6" w:right="299" w:bottom="1440" w:gutter="0" w:footer="0" w:header="0"/>
        </w:sectPr>
      </w:pPr>
    </w:p>
    <w:bookmarkStart w:id="29" w:name="page30"/>
    <w:bookmarkEnd w:id="29"/>
    <w:p>
      <w:pPr>
        <w:jc w:val="right"/>
        <w:spacing w:after="0"/>
        <w:rPr>
          <w:sz w:val="20"/>
          <w:szCs w:val="20"/>
          <w:color w:val="auto"/>
        </w:rPr>
      </w:pPr>
      <w:r>
        <w:rPr>
          <w:rFonts w:ascii="Arial" w:cs="Arial" w:eastAsia="Arial" w:hAnsi="Arial"/>
          <w:sz w:val="10"/>
          <w:szCs w:val="10"/>
          <w:color w:val="54585A"/>
        </w:rPr>
        <w:t xml:space="preserve">Executive Officers and Compensation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
        <w:spacing w:after="0"/>
        <w:rPr>
          <w:sz w:val="20"/>
          <w:szCs w:val="20"/>
          <w:color w:val="auto"/>
        </w:rPr>
      </w:pPr>
      <w:r>
        <w:rPr>
          <w:rFonts w:ascii="Arial" w:cs="Arial" w:eastAsia="Arial" w:hAnsi="Arial"/>
          <w:sz w:val="19"/>
          <w:szCs w:val="19"/>
          <w:color w:val="54585A"/>
        </w:rPr>
        <w:t>Equity Compensation</w:t>
      </w:r>
    </w:p>
    <w:p>
      <w:pPr>
        <w:spacing w:after="0" w:line="146" w:lineRule="exact"/>
        <w:rPr>
          <w:sz w:val="20"/>
          <w:szCs w:val="20"/>
          <w:color w:val="auto"/>
        </w:rPr>
      </w:pPr>
    </w:p>
    <w:p>
      <w:pPr>
        <w:ind w:left="8" w:right="40"/>
        <w:spacing w:after="0" w:line="319" w:lineRule="auto"/>
        <w:rPr>
          <w:sz w:val="20"/>
          <w:szCs w:val="20"/>
          <w:color w:val="auto"/>
        </w:rPr>
      </w:pPr>
      <w:r>
        <w:rPr>
          <w:rFonts w:ascii="Arial" w:cs="Arial" w:eastAsia="Arial" w:hAnsi="Arial"/>
          <w:sz w:val="11"/>
          <w:szCs w:val="11"/>
          <w:color w:val="54585A"/>
        </w:rPr>
        <w:t>The following table sets forth certain information with respect to each equity award and award opportunity issued to the named executive officers during 2022. All equity awards are granted pursuant to our 2006 Equity Incentive Plan. See “Compensation, Discussion and Analysis - Elements of Compensation” for an explanation of the terms of these awards. In connection with his service as an executive officer of the Company, Mr. Monroe did not receive equity awards during 2022 and is not included in the table below.</w:t>
      </w:r>
    </w:p>
    <w:p>
      <w:pPr>
        <w:spacing w:after="0" w:line="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2022 Grants of Plan-Based Awards</w:t>
      </w:r>
    </w:p>
    <w:p>
      <w:pPr>
        <w:spacing w:after="0" w:line="75"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820" w:type="dxa"/>
            <w:vAlign w:val="bottom"/>
            <w:shd w:val="clear" w:color="auto" w:fill="EEEDED"/>
          </w:tcPr>
          <w:p>
            <w:pPr>
              <w:spacing w:after="0"/>
              <w:rPr>
                <w:sz w:val="10"/>
                <w:szCs w:val="10"/>
                <w:color w:val="auto"/>
              </w:rPr>
            </w:pPr>
          </w:p>
        </w:tc>
        <w:tc>
          <w:tcPr>
            <w:tcW w:w="1000" w:type="dxa"/>
            <w:vAlign w:val="bottom"/>
            <w:vMerge w:val="restart"/>
            <w:shd w:val="clear" w:color="auto" w:fill="EEEDED"/>
          </w:tcPr>
          <w:p>
            <w:pPr>
              <w:jc w:val="center"/>
              <w:ind w:left="52"/>
              <w:spacing w:after="0"/>
              <w:rPr>
                <w:sz w:val="20"/>
                <w:szCs w:val="20"/>
                <w:color w:val="auto"/>
              </w:rPr>
            </w:pPr>
            <w:r>
              <w:rPr>
                <w:rFonts w:ascii="Arial" w:cs="Arial" w:eastAsia="Arial" w:hAnsi="Arial"/>
                <w:sz w:val="10"/>
                <w:szCs w:val="10"/>
                <w:b w:val="1"/>
                <w:bCs w:val="1"/>
                <w:color w:val="54585A"/>
                <w:w w:val="97"/>
              </w:rPr>
              <w:t>Grant</w:t>
            </w:r>
          </w:p>
        </w:tc>
        <w:tc>
          <w:tcPr>
            <w:tcW w:w="1820" w:type="dxa"/>
            <w:vAlign w:val="bottom"/>
            <w:vMerge w:val="restart"/>
            <w:shd w:val="clear" w:color="auto" w:fill="EEEDED"/>
          </w:tcPr>
          <w:p>
            <w:pPr>
              <w:jc w:val="right"/>
              <w:ind w:right="72"/>
              <w:spacing w:after="0"/>
              <w:rPr>
                <w:sz w:val="20"/>
                <w:szCs w:val="20"/>
                <w:color w:val="auto"/>
              </w:rPr>
            </w:pPr>
            <w:r>
              <w:rPr>
                <w:rFonts w:ascii="Arial" w:cs="Arial" w:eastAsia="Arial" w:hAnsi="Arial"/>
                <w:sz w:val="10"/>
                <w:szCs w:val="10"/>
                <w:b w:val="1"/>
                <w:bCs w:val="1"/>
                <w:color w:val="54585A"/>
              </w:rPr>
              <w:t>All Other Stock Awards: Number</w:t>
            </w:r>
          </w:p>
        </w:tc>
        <w:tc>
          <w:tcPr>
            <w:tcW w:w="1820" w:type="dxa"/>
            <w:vAlign w:val="bottom"/>
            <w:vMerge w:val="restart"/>
            <w:shd w:val="clear" w:color="auto" w:fill="EEEDED"/>
          </w:tcPr>
          <w:p>
            <w:pPr>
              <w:ind w:left="120"/>
              <w:spacing w:after="0"/>
              <w:rPr>
                <w:sz w:val="20"/>
                <w:szCs w:val="20"/>
                <w:color w:val="auto"/>
              </w:rPr>
            </w:pPr>
            <w:r>
              <w:rPr>
                <w:rFonts w:ascii="Arial" w:cs="Arial" w:eastAsia="Arial" w:hAnsi="Arial"/>
                <w:sz w:val="10"/>
                <w:szCs w:val="10"/>
                <w:b w:val="1"/>
                <w:bCs w:val="1"/>
                <w:color w:val="54585A"/>
              </w:rPr>
              <w:t>All Other Option Awards: Number</w:t>
            </w:r>
          </w:p>
        </w:tc>
        <w:tc>
          <w:tcPr>
            <w:tcW w:w="1360" w:type="dxa"/>
            <w:vAlign w:val="bottom"/>
            <w:shd w:val="clear" w:color="auto" w:fill="EEEDED"/>
          </w:tcPr>
          <w:p>
            <w:pPr>
              <w:jc w:val="right"/>
              <w:ind w:right="32"/>
              <w:spacing w:after="0"/>
              <w:rPr>
                <w:sz w:val="20"/>
                <w:szCs w:val="20"/>
                <w:color w:val="auto"/>
              </w:rPr>
            </w:pPr>
            <w:r>
              <w:rPr>
                <w:rFonts w:ascii="Arial" w:cs="Arial" w:eastAsia="Arial" w:hAnsi="Arial"/>
                <w:sz w:val="10"/>
                <w:szCs w:val="10"/>
                <w:b w:val="1"/>
                <w:bCs w:val="1"/>
                <w:color w:val="54585A"/>
              </w:rPr>
              <w:t>Exercise or Base Price of</w:t>
            </w:r>
          </w:p>
        </w:tc>
        <w:tc>
          <w:tcPr>
            <w:tcW w:w="1680" w:type="dxa"/>
            <w:vAlign w:val="bottom"/>
            <w:shd w:val="clear" w:color="auto" w:fill="EEEDED"/>
          </w:tcPr>
          <w:p>
            <w:pPr>
              <w:jc w:val="right"/>
              <w:spacing w:after="0"/>
              <w:rPr>
                <w:sz w:val="20"/>
                <w:szCs w:val="20"/>
                <w:color w:val="auto"/>
              </w:rPr>
            </w:pPr>
            <w:r>
              <w:rPr>
                <w:rFonts w:ascii="Arial" w:cs="Arial" w:eastAsia="Arial" w:hAnsi="Arial"/>
                <w:sz w:val="10"/>
                <w:szCs w:val="10"/>
                <w:b w:val="1"/>
                <w:bCs w:val="1"/>
                <w:color w:val="54585A"/>
                <w:w w:val="99"/>
              </w:rPr>
              <w:t>Grant Date Fair Value of Stock and</w:t>
            </w:r>
          </w:p>
        </w:tc>
        <w:tc>
          <w:tcPr>
            <w:tcW w:w="340" w:type="dxa"/>
            <w:vAlign w:val="bottom"/>
            <w:shd w:val="clear" w:color="auto" w:fill="EEEDED"/>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shd w:val="clear" w:color="auto" w:fill="EEEDED"/>
          </w:tcPr>
          <w:p>
            <w:pPr>
              <w:spacing w:after="0"/>
              <w:rPr>
                <w:sz w:val="9"/>
                <w:szCs w:val="9"/>
                <w:color w:val="auto"/>
              </w:rPr>
            </w:pPr>
          </w:p>
        </w:tc>
        <w:tc>
          <w:tcPr>
            <w:tcW w:w="1000" w:type="dxa"/>
            <w:vAlign w:val="bottom"/>
            <w:vMerge w:val="continue"/>
            <w:shd w:val="clear" w:color="auto" w:fill="EEEDED"/>
          </w:tcPr>
          <w:p>
            <w:pPr>
              <w:spacing w:after="0"/>
              <w:rPr>
                <w:sz w:val="9"/>
                <w:szCs w:val="9"/>
                <w:color w:val="auto"/>
              </w:rPr>
            </w:pPr>
          </w:p>
        </w:tc>
        <w:tc>
          <w:tcPr>
            <w:tcW w:w="1820" w:type="dxa"/>
            <w:vAlign w:val="bottom"/>
            <w:vMerge w:val="continue"/>
            <w:shd w:val="clear" w:color="auto" w:fill="EEEDED"/>
          </w:tcPr>
          <w:p>
            <w:pPr>
              <w:spacing w:after="0"/>
              <w:rPr>
                <w:sz w:val="9"/>
                <w:szCs w:val="9"/>
                <w:color w:val="auto"/>
              </w:rPr>
            </w:pPr>
          </w:p>
        </w:tc>
        <w:tc>
          <w:tcPr>
            <w:tcW w:w="1820" w:type="dxa"/>
            <w:vAlign w:val="bottom"/>
            <w:vMerge w:val="continue"/>
            <w:shd w:val="clear" w:color="auto" w:fill="EEEDED"/>
          </w:tcPr>
          <w:p>
            <w:pPr>
              <w:spacing w:after="0"/>
              <w:rPr>
                <w:sz w:val="9"/>
                <w:szCs w:val="9"/>
                <w:color w:val="auto"/>
              </w:rPr>
            </w:pPr>
          </w:p>
        </w:tc>
        <w:tc>
          <w:tcPr>
            <w:tcW w:w="1360" w:type="dxa"/>
            <w:vAlign w:val="bottom"/>
            <w:shd w:val="clear" w:color="auto" w:fill="EEEDED"/>
          </w:tcPr>
          <w:p>
            <w:pPr>
              <w:jc w:val="right"/>
              <w:ind w:right="32"/>
              <w:spacing w:after="0" w:line="108" w:lineRule="exact"/>
              <w:rPr>
                <w:sz w:val="20"/>
                <w:szCs w:val="20"/>
                <w:color w:val="auto"/>
              </w:rPr>
            </w:pPr>
            <w:r>
              <w:rPr>
                <w:rFonts w:ascii="Arial" w:cs="Arial" w:eastAsia="Arial" w:hAnsi="Arial"/>
                <w:sz w:val="10"/>
                <w:szCs w:val="10"/>
                <w:b w:val="1"/>
                <w:bCs w:val="1"/>
                <w:color w:val="54585A"/>
              </w:rPr>
              <w:t>Option Awards</w:t>
            </w:r>
          </w:p>
        </w:tc>
        <w:tc>
          <w:tcPr>
            <w:tcW w:w="1680" w:type="dxa"/>
            <w:vAlign w:val="bottom"/>
            <w:shd w:val="clear" w:color="auto" w:fill="EEEDED"/>
          </w:tcPr>
          <w:p>
            <w:pPr>
              <w:jc w:val="right"/>
              <w:spacing w:after="0" w:line="108" w:lineRule="exact"/>
              <w:rPr>
                <w:sz w:val="20"/>
                <w:szCs w:val="20"/>
                <w:color w:val="auto"/>
              </w:rPr>
            </w:pPr>
            <w:r>
              <w:rPr>
                <w:rFonts w:ascii="Arial" w:cs="Arial" w:eastAsia="Arial" w:hAnsi="Arial"/>
                <w:sz w:val="10"/>
                <w:szCs w:val="10"/>
                <w:b w:val="1"/>
                <w:bCs w:val="1"/>
                <w:color w:val="54585A"/>
              </w:rPr>
              <w:t>Option Awards</w:t>
            </w:r>
          </w:p>
        </w:tc>
        <w:tc>
          <w:tcPr>
            <w:tcW w:w="340" w:type="dxa"/>
            <w:vAlign w:val="bottom"/>
            <w:shd w:val="clear" w:color="auto" w:fill="EEEDED"/>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820" w:type="dxa"/>
            <w:vAlign w:val="bottom"/>
            <w:shd w:val="clear" w:color="auto" w:fill="EEEDED"/>
          </w:tcPr>
          <w:p>
            <w:pPr>
              <w:ind w:left="60"/>
              <w:spacing w:after="0"/>
              <w:rPr>
                <w:sz w:val="20"/>
                <w:szCs w:val="20"/>
                <w:color w:val="auto"/>
              </w:rPr>
            </w:pPr>
            <w:r>
              <w:rPr>
                <w:rFonts w:ascii="Arial" w:cs="Arial" w:eastAsia="Arial" w:hAnsi="Arial"/>
                <w:sz w:val="10"/>
                <w:szCs w:val="10"/>
                <w:b w:val="1"/>
                <w:bCs w:val="1"/>
                <w:color w:val="54585A"/>
              </w:rPr>
              <w:t>Name</w:t>
            </w:r>
          </w:p>
        </w:tc>
        <w:tc>
          <w:tcPr>
            <w:tcW w:w="1000" w:type="dxa"/>
            <w:vAlign w:val="bottom"/>
            <w:shd w:val="clear" w:color="auto" w:fill="EEEDED"/>
          </w:tcPr>
          <w:p>
            <w:pPr>
              <w:jc w:val="center"/>
              <w:ind w:left="52"/>
              <w:spacing w:after="0"/>
              <w:rPr>
                <w:sz w:val="20"/>
                <w:szCs w:val="20"/>
                <w:color w:val="auto"/>
              </w:rPr>
            </w:pPr>
            <w:r>
              <w:rPr>
                <w:rFonts w:ascii="Arial" w:cs="Arial" w:eastAsia="Arial" w:hAnsi="Arial"/>
                <w:sz w:val="10"/>
                <w:szCs w:val="10"/>
                <w:b w:val="1"/>
                <w:bCs w:val="1"/>
                <w:color w:val="54585A"/>
              </w:rPr>
              <w:t>Date</w:t>
            </w:r>
          </w:p>
        </w:tc>
        <w:tc>
          <w:tcPr>
            <w:tcW w:w="1820" w:type="dxa"/>
            <w:vAlign w:val="bottom"/>
            <w:shd w:val="clear" w:color="auto" w:fill="EEEDED"/>
          </w:tcPr>
          <w:p>
            <w:pPr>
              <w:jc w:val="right"/>
              <w:ind w:right="72"/>
              <w:spacing w:after="0"/>
              <w:rPr>
                <w:sz w:val="20"/>
                <w:szCs w:val="20"/>
                <w:color w:val="auto"/>
              </w:rPr>
            </w:pPr>
            <w:r>
              <w:rPr>
                <w:rFonts w:ascii="Arial" w:cs="Arial" w:eastAsia="Arial" w:hAnsi="Arial"/>
                <w:sz w:val="10"/>
                <w:szCs w:val="10"/>
                <w:b w:val="1"/>
                <w:bCs w:val="1"/>
                <w:color w:val="54585A"/>
              </w:rPr>
              <w:t>of Shares of Stock Or Units</w:t>
            </w:r>
          </w:p>
        </w:tc>
        <w:tc>
          <w:tcPr>
            <w:tcW w:w="1820" w:type="dxa"/>
            <w:vAlign w:val="bottom"/>
            <w:shd w:val="clear" w:color="auto" w:fill="EEEDED"/>
          </w:tcPr>
          <w:p>
            <w:pPr>
              <w:ind w:left="180"/>
              <w:spacing w:after="0"/>
              <w:rPr>
                <w:sz w:val="20"/>
                <w:szCs w:val="20"/>
                <w:color w:val="auto"/>
              </w:rPr>
            </w:pPr>
            <w:r>
              <w:rPr>
                <w:rFonts w:ascii="Arial" w:cs="Arial" w:eastAsia="Arial" w:hAnsi="Arial"/>
                <w:sz w:val="10"/>
                <w:szCs w:val="10"/>
                <w:b w:val="1"/>
                <w:bCs w:val="1"/>
                <w:color w:val="54585A"/>
              </w:rPr>
              <w:t>of Securities Underlying Options</w:t>
            </w:r>
          </w:p>
        </w:tc>
        <w:tc>
          <w:tcPr>
            <w:tcW w:w="1360" w:type="dxa"/>
            <w:vAlign w:val="bottom"/>
            <w:shd w:val="clear" w:color="auto" w:fill="EEEDED"/>
          </w:tcPr>
          <w:p>
            <w:pPr>
              <w:ind w:left="1160"/>
              <w:spacing w:after="0"/>
              <w:rPr>
                <w:sz w:val="20"/>
                <w:szCs w:val="20"/>
                <w:color w:val="auto"/>
              </w:rPr>
            </w:pPr>
            <w:r>
              <w:rPr>
                <w:rFonts w:ascii="Arial" w:cs="Arial" w:eastAsia="Arial" w:hAnsi="Arial"/>
                <w:sz w:val="10"/>
                <w:szCs w:val="10"/>
                <w:b w:val="1"/>
                <w:bCs w:val="1"/>
                <w:color w:val="54585A"/>
              </w:rPr>
              <w:t>($)</w:t>
            </w:r>
          </w:p>
        </w:tc>
        <w:tc>
          <w:tcPr>
            <w:tcW w:w="1680" w:type="dxa"/>
            <w:vAlign w:val="bottom"/>
            <w:shd w:val="clear" w:color="auto" w:fill="EEEDED"/>
          </w:tcPr>
          <w:p>
            <w:pPr>
              <w:jc w:val="right"/>
              <w:spacing w:after="0"/>
              <w:rPr>
                <w:sz w:val="20"/>
                <w:szCs w:val="20"/>
                <w:color w:val="auto"/>
              </w:rPr>
            </w:pPr>
            <w:r>
              <w:rPr>
                <w:rFonts w:ascii="Arial" w:cs="Arial" w:eastAsia="Arial" w:hAnsi="Arial"/>
                <w:sz w:val="10"/>
                <w:szCs w:val="10"/>
                <w:b w:val="1"/>
                <w:bCs w:val="1"/>
                <w:color w:val="54585A"/>
              </w:rPr>
              <w:t>($)</w:t>
            </w:r>
          </w:p>
        </w:tc>
        <w:tc>
          <w:tcPr>
            <w:tcW w:w="340" w:type="dxa"/>
            <w:vAlign w:val="bottom"/>
            <w:shd w:val="clear" w:color="auto" w:fill="EEEDED"/>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820" w:type="dxa"/>
            <w:vAlign w:val="bottom"/>
            <w:shd w:val="clear" w:color="auto" w:fill="EEEDED"/>
          </w:tcPr>
          <w:p>
            <w:pPr>
              <w:spacing w:after="0"/>
              <w:rPr>
                <w:sz w:val="6"/>
                <w:szCs w:val="6"/>
                <w:color w:val="auto"/>
              </w:rPr>
            </w:pPr>
          </w:p>
        </w:tc>
        <w:tc>
          <w:tcPr>
            <w:tcW w:w="1000" w:type="dxa"/>
            <w:vAlign w:val="bottom"/>
            <w:shd w:val="clear" w:color="auto" w:fill="EEEDED"/>
          </w:tcPr>
          <w:p>
            <w:pPr>
              <w:spacing w:after="0"/>
              <w:rPr>
                <w:sz w:val="6"/>
                <w:szCs w:val="6"/>
                <w:color w:val="auto"/>
              </w:rPr>
            </w:pPr>
          </w:p>
        </w:tc>
        <w:tc>
          <w:tcPr>
            <w:tcW w:w="1820" w:type="dxa"/>
            <w:vAlign w:val="bottom"/>
            <w:shd w:val="clear" w:color="auto" w:fill="EEEDED"/>
          </w:tcPr>
          <w:p>
            <w:pPr>
              <w:spacing w:after="0"/>
              <w:rPr>
                <w:sz w:val="6"/>
                <w:szCs w:val="6"/>
                <w:color w:val="auto"/>
              </w:rPr>
            </w:pPr>
          </w:p>
        </w:tc>
        <w:tc>
          <w:tcPr>
            <w:tcW w:w="1820" w:type="dxa"/>
            <w:vAlign w:val="bottom"/>
            <w:shd w:val="clear" w:color="auto" w:fill="EEEDED"/>
          </w:tcPr>
          <w:p>
            <w:pPr>
              <w:spacing w:after="0"/>
              <w:rPr>
                <w:sz w:val="6"/>
                <w:szCs w:val="6"/>
                <w:color w:val="auto"/>
              </w:rPr>
            </w:pPr>
          </w:p>
        </w:tc>
        <w:tc>
          <w:tcPr>
            <w:tcW w:w="1360" w:type="dxa"/>
            <w:vAlign w:val="bottom"/>
            <w:shd w:val="clear" w:color="auto" w:fill="EEEDED"/>
          </w:tcPr>
          <w:p>
            <w:pPr>
              <w:spacing w:after="0"/>
              <w:rPr>
                <w:sz w:val="6"/>
                <w:szCs w:val="6"/>
                <w:color w:val="auto"/>
              </w:rPr>
            </w:pPr>
          </w:p>
        </w:tc>
        <w:tc>
          <w:tcPr>
            <w:tcW w:w="1680" w:type="dxa"/>
            <w:vAlign w:val="bottom"/>
            <w:shd w:val="clear" w:color="auto" w:fill="EEEDED"/>
          </w:tcPr>
          <w:p>
            <w:pPr>
              <w:spacing w:after="0"/>
              <w:rPr>
                <w:sz w:val="6"/>
                <w:szCs w:val="6"/>
                <w:color w:val="auto"/>
              </w:rPr>
            </w:pPr>
          </w:p>
        </w:tc>
        <w:tc>
          <w:tcPr>
            <w:tcW w:w="340" w:type="dxa"/>
            <w:vAlign w:val="bottom"/>
            <w:shd w:val="clear" w:color="auto" w:fill="EEEDED"/>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820" w:type="dxa"/>
            <w:vAlign w:val="bottom"/>
          </w:tcPr>
          <w:p>
            <w:pPr>
              <w:spacing w:after="0"/>
              <w:rPr>
                <w:sz w:val="17"/>
                <w:szCs w:val="17"/>
                <w:color w:val="auto"/>
              </w:rPr>
            </w:pPr>
          </w:p>
        </w:tc>
        <w:tc>
          <w:tcPr>
            <w:tcW w:w="1000" w:type="dxa"/>
            <w:vAlign w:val="bottom"/>
          </w:tcPr>
          <w:p>
            <w:pPr>
              <w:jc w:val="center"/>
              <w:ind w:left="72"/>
              <w:spacing w:after="0"/>
              <w:rPr>
                <w:sz w:val="20"/>
                <w:szCs w:val="20"/>
                <w:color w:val="auto"/>
              </w:rPr>
            </w:pPr>
            <w:r>
              <w:rPr>
                <w:rFonts w:ascii="Arial" w:cs="Arial" w:eastAsia="Arial" w:hAnsi="Arial"/>
                <w:sz w:val="10"/>
                <w:szCs w:val="10"/>
                <w:color w:val="54585A"/>
                <w:w w:val="95"/>
              </w:rPr>
              <w:t>11/15/2022</w:t>
            </w:r>
          </w:p>
        </w:tc>
        <w:tc>
          <w:tcPr>
            <w:tcW w:w="1820" w:type="dxa"/>
            <w:vAlign w:val="bottom"/>
          </w:tcPr>
          <w:p>
            <w:pPr>
              <w:jc w:val="right"/>
              <w:ind w:right="72"/>
              <w:spacing w:after="0"/>
              <w:rPr>
                <w:sz w:val="20"/>
                <w:szCs w:val="20"/>
                <w:color w:val="auto"/>
              </w:rPr>
            </w:pPr>
            <w:r>
              <w:rPr>
                <w:rFonts w:ascii="Arial" w:cs="Arial" w:eastAsia="Arial" w:hAnsi="Arial"/>
                <w:sz w:val="10"/>
                <w:szCs w:val="10"/>
                <w:color w:val="54585A"/>
              </w:rPr>
              <w:t>220,000</w:t>
            </w:r>
          </w:p>
        </w:tc>
        <w:tc>
          <w:tcPr>
            <w:tcW w:w="1820" w:type="dxa"/>
            <w:vAlign w:val="bottom"/>
          </w:tcPr>
          <w:p>
            <w:pPr>
              <w:ind w:left="1540"/>
              <w:spacing w:after="0"/>
              <w:rPr>
                <w:sz w:val="20"/>
                <w:szCs w:val="20"/>
                <w:color w:val="auto"/>
              </w:rPr>
            </w:pPr>
            <w:r>
              <w:rPr>
                <w:rFonts w:ascii="Arial" w:cs="Arial" w:eastAsia="Arial" w:hAnsi="Arial"/>
                <w:sz w:val="10"/>
                <w:szCs w:val="10"/>
                <w:color w:val="54585A"/>
              </w:rPr>
              <w:t>—</w:t>
            </w:r>
          </w:p>
        </w:tc>
        <w:tc>
          <w:tcPr>
            <w:tcW w:w="1360" w:type="dxa"/>
            <w:vAlign w:val="bottom"/>
          </w:tcPr>
          <w:p>
            <w:pPr>
              <w:ind w:left="1160"/>
              <w:spacing w:after="0"/>
              <w:rPr>
                <w:sz w:val="20"/>
                <w:szCs w:val="20"/>
                <w:color w:val="auto"/>
              </w:rPr>
            </w:pPr>
            <w:r>
              <w:rPr>
                <w:rFonts w:ascii="Arial" w:cs="Arial" w:eastAsia="Arial" w:hAnsi="Arial"/>
                <w:sz w:val="10"/>
                <w:szCs w:val="10"/>
                <w:color w:val="54585A"/>
              </w:rPr>
              <w:t>—</w:t>
            </w:r>
          </w:p>
        </w:tc>
        <w:tc>
          <w:tcPr>
            <w:tcW w:w="1680" w:type="dxa"/>
            <w:vAlign w:val="bottom"/>
          </w:tcPr>
          <w:p>
            <w:pPr>
              <w:jc w:val="right"/>
              <w:spacing w:after="0"/>
              <w:rPr>
                <w:sz w:val="20"/>
                <w:szCs w:val="20"/>
                <w:color w:val="auto"/>
              </w:rPr>
            </w:pPr>
            <w:r>
              <w:rPr>
                <w:rFonts w:ascii="Arial" w:cs="Arial" w:eastAsia="Arial" w:hAnsi="Arial"/>
                <w:sz w:val="10"/>
                <w:szCs w:val="10"/>
                <w:color w:val="54585A"/>
              </w:rPr>
              <w:t>418,000</w:t>
            </w:r>
          </w:p>
        </w:tc>
        <w:tc>
          <w:tcPr>
            <w:tcW w:w="340" w:type="dxa"/>
            <w:vAlign w:val="bottom"/>
          </w:tcPr>
          <w:p>
            <w:pPr>
              <w:jc w:val="right"/>
              <w:ind w:right="172"/>
              <w:spacing w:after="0"/>
              <w:rPr>
                <w:sz w:val="20"/>
                <w:szCs w:val="20"/>
                <w:color w:val="auto"/>
              </w:rPr>
            </w:pPr>
            <w:r>
              <w:rPr>
                <w:rFonts w:ascii="Arial" w:cs="Arial" w:eastAsia="Arial" w:hAnsi="Arial"/>
                <w:sz w:val="10"/>
                <w:szCs w:val="10"/>
                <w:color w:val="54585A"/>
                <w:w w:val="81"/>
              </w:rPr>
              <w:t>(2)</w:t>
            </w:r>
          </w:p>
        </w:tc>
        <w:tc>
          <w:tcPr>
            <w:tcW w:w="0" w:type="dxa"/>
            <w:vAlign w:val="bottom"/>
          </w:tcPr>
          <w:p>
            <w:pPr>
              <w:spacing w:after="0"/>
              <w:rPr>
                <w:sz w:val="1"/>
                <w:szCs w:val="1"/>
                <w:color w:val="auto"/>
              </w:rPr>
            </w:pPr>
          </w:p>
        </w:tc>
      </w:tr>
      <w:tr>
        <w:trPr>
          <w:trHeight w:val="89"/>
        </w:trPr>
        <w:tc>
          <w:tcPr>
            <w:tcW w:w="2820" w:type="dxa"/>
            <w:vAlign w:val="bottom"/>
            <w:vMerge w:val="restart"/>
          </w:tcPr>
          <w:p>
            <w:pPr>
              <w:ind w:left="60"/>
              <w:spacing w:after="0"/>
              <w:rPr>
                <w:sz w:val="20"/>
                <w:szCs w:val="20"/>
                <w:color w:val="auto"/>
              </w:rPr>
            </w:pPr>
            <w:r>
              <w:rPr>
                <w:rFonts w:ascii="Arial" w:cs="Arial" w:eastAsia="Arial" w:hAnsi="Arial"/>
                <w:sz w:val="10"/>
                <w:szCs w:val="10"/>
                <w:b w:val="1"/>
                <w:bCs w:val="1"/>
                <w:color w:val="EB6C10"/>
              </w:rPr>
              <w:t>David B. Kagan</w:t>
            </w:r>
          </w:p>
        </w:tc>
        <w:tc>
          <w:tcPr>
            <w:tcW w:w="1000" w:type="dxa"/>
            <w:vAlign w:val="bottom"/>
            <w:tcBorders>
              <w:bottom w:val="single" w:sz="8" w:color="54585A"/>
            </w:tcBorders>
          </w:tcPr>
          <w:p>
            <w:pPr>
              <w:spacing w:after="0"/>
              <w:rPr>
                <w:sz w:val="7"/>
                <w:szCs w:val="7"/>
                <w:color w:val="auto"/>
              </w:rPr>
            </w:pPr>
          </w:p>
        </w:tc>
        <w:tc>
          <w:tcPr>
            <w:tcW w:w="1820" w:type="dxa"/>
            <w:vAlign w:val="bottom"/>
            <w:tcBorders>
              <w:bottom w:val="single" w:sz="8" w:color="54585A"/>
            </w:tcBorders>
          </w:tcPr>
          <w:p>
            <w:pPr>
              <w:spacing w:after="0"/>
              <w:rPr>
                <w:sz w:val="7"/>
                <w:szCs w:val="7"/>
                <w:color w:val="auto"/>
              </w:rPr>
            </w:pPr>
          </w:p>
        </w:tc>
        <w:tc>
          <w:tcPr>
            <w:tcW w:w="1820" w:type="dxa"/>
            <w:vAlign w:val="bottom"/>
            <w:tcBorders>
              <w:bottom w:val="single" w:sz="8" w:color="54585A"/>
            </w:tcBorders>
          </w:tcPr>
          <w:p>
            <w:pPr>
              <w:spacing w:after="0"/>
              <w:rPr>
                <w:sz w:val="7"/>
                <w:szCs w:val="7"/>
                <w:color w:val="auto"/>
              </w:rPr>
            </w:pPr>
          </w:p>
        </w:tc>
        <w:tc>
          <w:tcPr>
            <w:tcW w:w="1360" w:type="dxa"/>
            <w:vAlign w:val="bottom"/>
            <w:tcBorders>
              <w:bottom w:val="single" w:sz="8" w:color="54585A"/>
            </w:tcBorders>
          </w:tcPr>
          <w:p>
            <w:pPr>
              <w:spacing w:after="0"/>
              <w:rPr>
                <w:sz w:val="7"/>
                <w:szCs w:val="7"/>
                <w:color w:val="auto"/>
              </w:rPr>
            </w:pPr>
          </w:p>
        </w:tc>
        <w:tc>
          <w:tcPr>
            <w:tcW w:w="1680" w:type="dxa"/>
            <w:vAlign w:val="bottom"/>
            <w:tcBorders>
              <w:bottom w:val="single" w:sz="8" w:color="54585A"/>
            </w:tcBorders>
          </w:tcPr>
          <w:p>
            <w:pPr>
              <w:spacing w:after="0"/>
              <w:rPr>
                <w:sz w:val="7"/>
                <w:szCs w:val="7"/>
                <w:color w:val="auto"/>
              </w:rPr>
            </w:pPr>
          </w:p>
        </w:tc>
        <w:tc>
          <w:tcPr>
            <w:tcW w:w="340" w:type="dxa"/>
            <w:vAlign w:val="bottom"/>
            <w:tcBorders>
              <w:bottom w:val="single" w:sz="8" w:color="54585A"/>
            </w:tcBorders>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2820" w:type="dxa"/>
            <w:vAlign w:val="bottom"/>
            <w:vMerge w:val="continue"/>
          </w:tcPr>
          <w:p>
            <w:pPr>
              <w:spacing w:after="0"/>
              <w:rPr>
                <w:sz w:val="3"/>
                <w:szCs w:val="3"/>
                <w:color w:val="auto"/>
              </w:rPr>
            </w:pPr>
          </w:p>
        </w:tc>
        <w:tc>
          <w:tcPr>
            <w:tcW w:w="1000" w:type="dxa"/>
            <w:vAlign w:val="bottom"/>
            <w:vMerge w:val="restart"/>
          </w:tcPr>
          <w:p>
            <w:pPr>
              <w:jc w:val="center"/>
              <w:ind w:left="52"/>
              <w:spacing w:after="0"/>
              <w:rPr>
                <w:sz w:val="20"/>
                <w:szCs w:val="20"/>
                <w:color w:val="auto"/>
              </w:rPr>
            </w:pPr>
            <w:r>
              <w:rPr>
                <w:rFonts w:ascii="Arial" w:cs="Arial" w:eastAsia="Arial" w:hAnsi="Arial"/>
                <w:sz w:val="10"/>
                <w:szCs w:val="10"/>
                <w:color w:val="54585A"/>
                <w:w w:val="94"/>
              </w:rPr>
              <w:t>12/6/2022</w:t>
            </w:r>
          </w:p>
        </w:tc>
        <w:tc>
          <w:tcPr>
            <w:tcW w:w="1820" w:type="dxa"/>
            <w:vAlign w:val="bottom"/>
            <w:vMerge w:val="restart"/>
          </w:tcPr>
          <w:p>
            <w:pPr>
              <w:jc w:val="right"/>
              <w:ind w:right="72"/>
              <w:spacing w:after="0"/>
              <w:rPr>
                <w:sz w:val="20"/>
                <w:szCs w:val="20"/>
                <w:color w:val="auto"/>
              </w:rPr>
            </w:pPr>
            <w:r>
              <w:rPr>
                <w:rFonts w:ascii="Arial" w:cs="Arial" w:eastAsia="Arial" w:hAnsi="Arial"/>
                <w:sz w:val="10"/>
                <w:szCs w:val="10"/>
                <w:color w:val="54585A"/>
              </w:rPr>
              <w:t>120,000</w:t>
            </w:r>
          </w:p>
        </w:tc>
        <w:tc>
          <w:tcPr>
            <w:tcW w:w="1820" w:type="dxa"/>
            <w:vAlign w:val="bottom"/>
            <w:vMerge w:val="restart"/>
          </w:tcPr>
          <w:p>
            <w:pPr>
              <w:ind w:left="1540"/>
              <w:spacing w:after="0"/>
              <w:rPr>
                <w:sz w:val="20"/>
                <w:szCs w:val="20"/>
                <w:color w:val="auto"/>
              </w:rPr>
            </w:pPr>
            <w:r>
              <w:rPr>
                <w:rFonts w:ascii="Arial" w:cs="Arial" w:eastAsia="Arial" w:hAnsi="Arial"/>
                <w:sz w:val="10"/>
                <w:szCs w:val="10"/>
                <w:color w:val="54585A"/>
              </w:rPr>
              <w:t>—</w:t>
            </w:r>
          </w:p>
        </w:tc>
        <w:tc>
          <w:tcPr>
            <w:tcW w:w="1360" w:type="dxa"/>
            <w:vAlign w:val="bottom"/>
            <w:vMerge w:val="restart"/>
          </w:tcPr>
          <w:p>
            <w:pPr>
              <w:ind w:left="1160"/>
              <w:spacing w:after="0"/>
              <w:rPr>
                <w:sz w:val="20"/>
                <w:szCs w:val="20"/>
                <w:color w:val="auto"/>
              </w:rPr>
            </w:pPr>
            <w:r>
              <w:rPr>
                <w:rFonts w:ascii="Arial" w:cs="Arial" w:eastAsia="Arial" w:hAnsi="Arial"/>
                <w:sz w:val="10"/>
                <w:szCs w:val="10"/>
                <w:color w:val="54585A"/>
              </w:rPr>
              <w:t>—</w:t>
            </w:r>
          </w:p>
        </w:tc>
        <w:tc>
          <w:tcPr>
            <w:tcW w:w="1680" w:type="dxa"/>
            <w:vAlign w:val="bottom"/>
            <w:vMerge w:val="restart"/>
          </w:tcPr>
          <w:p>
            <w:pPr>
              <w:jc w:val="right"/>
              <w:spacing w:after="0"/>
              <w:rPr>
                <w:sz w:val="20"/>
                <w:szCs w:val="20"/>
                <w:color w:val="auto"/>
              </w:rPr>
            </w:pPr>
            <w:r>
              <w:rPr>
                <w:rFonts w:ascii="Arial" w:cs="Arial" w:eastAsia="Arial" w:hAnsi="Arial"/>
                <w:sz w:val="10"/>
                <w:szCs w:val="10"/>
                <w:color w:val="54585A"/>
              </w:rPr>
              <w:t>212,400</w:t>
            </w:r>
          </w:p>
        </w:tc>
        <w:tc>
          <w:tcPr>
            <w:tcW w:w="340" w:type="dxa"/>
            <w:vAlign w:val="bottom"/>
            <w:vMerge w:val="restart"/>
          </w:tcPr>
          <w:p>
            <w:pPr>
              <w:jc w:val="right"/>
              <w:ind w:right="172"/>
              <w:spacing w:after="0"/>
              <w:rPr>
                <w:sz w:val="20"/>
                <w:szCs w:val="20"/>
                <w:color w:val="auto"/>
              </w:rPr>
            </w:pPr>
            <w:r>
              <w:rPr>
                <w:rFonts w:ascii="Arial" w:cs="Arial" w:eastAsia="Arial" w:hAnsi="Arial"/>
                <w:sz w:val="10"/>
                <w:szCs w:val="10"/>
                <w:color w:val="54585A"/>
                <w:w w:val="81"/>
              </w:rPr>
              <w:t>(3)</w:t>
            </w:r>
          </w:p>
        </w:tc>
        <w:tc>
          <w:tcPr>
            <w:tcW w:w="0" w:type="dxa"/>
            <w:vAlign w:val="bottom"/>
          </w:tcPr>
          <w:p>
            <w:pPr>
              <w:spacing w:after="0" w:line="20" w:lineRule="exact"/>
              <w:rPr>
                <w:sz w:val="1"/>
                <w:szCs w:val="1"/>
                <w:color w:val="auto"/>
              </w:rPr>
            </w:pPr>
          </w:p>
        </w:tc>
      </w:tr>
      <w:tr>
        <w:trPr>
          <w:trHeight w:val="153"/>
        </w:trPr>
        <w:tc>
          <w:tcPr>
            <w:tcW w:w="28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820" w:type="dxa"/>
            <w:vAlign w:val="bottom"/>
            <w:tcBorders>
              <w:bottom w:val="single" w:sz="8" w:color="54585A"/>
            </w:tcBorders>
          </w:tcPr>
          <w:p>
            <w:pPr>
              <w:spacing w:after="0"/>
              <w:rPr>
                <w:sz w:val="6"/>
                <w:szCs w:val="6"/>
                <w:color w:val="auto"/>
              </w:rPr>
            </w:pPr>
          </w:p>
        </w:tc>
        <w:tc>
          <w:tcPr>
            <w:tcW w:w="100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360" w:type="dxa"/>
            <w:vAlign w:val="bottom"/>
            <w:tcBorders>
              <w:bottom w:val="single" w:sz="8" w:color="54585A"/>
            </w:tcBorders>
          </w:tcPr>
          <w:p>
            <w:pPr>
              <w:spacing w:after="0"/>
              <w:rPr>
                <w:sz w:val="6"/>
                <w:szCs w:val="6"/>
                <w:color w:val="auto"/>
              </w:rPr>
            </w:pPr>
          </w:p>
        </w:tc>
        <w:tc>
          <w:tcPr>
            <w:tcW w:w="1680" w:type="dxa"/>
            <w:vAlign w:val="bottom"/>
            <w:tcBorders>
              <w:bottom w:val="single" w:sz="8" w:color="54585A"/>
            </w:tcBorders>
          </w:tcPr>
          <w:p>
            <w:pPr>
              <w:spacing w:after="0"/>
              <w:rPr>
                <w:sz w:val="6"/>
                <w:szCs w:val="6"/>
                <w:color w:val="auto"/>
              </w:rPr>
            </w:pPr>
          </w:p>
        </w:tc>
        <w:tc>
          <w:tcPr>
            <w:tcW w:w="34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000" w:type="dxa"/>
            <w:vAlign w:val="bottom"/>
          </w:tcPr>
          <w:p>
            <w:pPr>
              <w:jc w:val="center"/>
              <w:ind w:left="72"/>
              <w:spacing w:after="0"/>
              <w:rPr>
                <w:sz w:val="20"/>
                <w:szCs w:val="20"/>
                <w:color w:val="auto"/>
              </w:rPr>
            </w:pPr>
            <w:r>
              <w:rPr>
                <w:rFonts w:ascii="Arial" w:cs="Arial" w:eastAsia="Arial" w:hAnsi="Arial"/>
                <w:sz w:val="10"/>
                <w:szCs w:val="10"/>
                <w:color w:val="54585A"/>
                <w:w w:val="95"/>
              </w:rPr>
              <w:t>11/15/2022</w:t>
            </w:r>
          </w:p>
        </w:tc>
        <w:tc>
          <w:tcPr>
            <w:tcW w:w="1820" w:type="dxa"/>
            <w:vAlign w:val="bottom"/>
          </w:tcPr>
          <w:p>
            <w:pPr>
              <w:jc w:val="right"/>
              <w:ind w:right="72"/>
              <w:spacing w:after="0"/>
              <w:rPr>
                <w:sz w:val="20"/>
                <w:szCs w:val="20"/>
                <w:color w:val="auto"/>
              </w:rPr>
            </w:pPr>
            <w:r>
              <w:rPr>
                <w:rFonts w:ascii="Arial" w:cs="Arial" w:eastAsia="Arial" w:hAnsi="Arial"/>
                <w:sz w:val="10"/>
                <w:szCs w:val="10"/>
                <w:color w:val="54585A"/>
              </w:rPr>
              <w:t>170,000</w:t>
            </w:r>
          </w:p>
        </w:tc>
        <w:tc>
          <w:tcPr>
            <w:tcW w:w="1820" w:type="dxa"/>
            <w:vAlign w:val="bottom"/>
          </w:tcPr>
          <w:p>
            <w:pPr>
              <w:ind w:left="1540"/>
              <w:spacing w:after="0"/>
              <w:rPr>
                <w:sz w:val="20"/>
                <w:szCs w:val="20"/>
                <w:color w:val="auto"/>
              </w:rPr>
            </w:pPr>
            <w:r>
              <w:rPr>
                <w:rFonts w:ascii="Arial" w:cs="Arial" w:eastAsia="Arial" w:hAnsi="Arial"/>
                <w:sz w:val="10"/>
                <w:szCs w:val="10"/>
                <w:color w:val="54585A"/>
              </w:rPr>
              <w:t>—</w:t>
            </w:r>
          </w:p>
        </w:tc>
        <w:tc>
          <w:tcPr>
            <w:tcW w:w="1360" w:type="dxa"/>
            <w:vAlign w:val="bottom"/>
          </w:tcPr>
          <w:p>
            <w:pPr>
              <w:ind w:left="1160"/>
              <w:spacing w:after="0"/>
              <w:rPr>
                <w:sz w:val="20"/>
                <w:szCs w:val="20"/>
                <w:color w:val="auto"/>
              </w:rPr>
            </w:pPr>
            <w:r>
              <w:rPr>
                <w:rFonts w:ascii="Arial" w:cs="Arial" w:eastAsia="Arial" w:hAnsi="Arial"/>
                <w:sz w:val="10"/>
                <w:szCs w:val="10"/>
                <w:color w:val="54585A"/>
              </w:rPr>
              <w:t>—</w:t>
            </w:r>
          </w:p>
        </w:tc>
        <w:tc>
          <w:tcPr>
            <w:tcW w:w="1680" w:type="dxa"/>
            <w:vAlign w:val="bottom"/>
          </w:tcPr>
          <w:p>
            <w:pPr>
              <w:jc w:val="right"/>
              <w:spacing w:after="0"/>
              <w:rPr>
                <w:sz w:val="20"/>
                <w:szCs w:val="20"/>
                <w:color w:val="auto"/>
              </w:rPr>
            </w:pPr>
            <w:r>
              <w:rPr>
                <w:rFonts w:ascii="Arial" w:cs="Arial" w:eastAsia="Arial" w:hAnsi="Arial"/>
                <w:sz w:val="10"/>
                <w:szCs w:val="10"/>
                <w:color w:val="54585A"/>
              </w:rPr>
              <w:t>323,000</w:t>
            </w:r>
          </w:p>
        </w:tc>
        <w:tc>
          <w:tcPr>
            <w:tcW w:w="340" w:type="dxa"/>
            <w:vAlign w:val="bottom"/>
          </w:tcPr>
          <w:p>
            <w:pPr>
              <w:jc w:val="right"/>
              <w:ind w:right="172"/>
              <w:spacing w:after="0"/>
              <w:rPr>
                <w:sz w:val="20"/>
                <w:szCs w:val="20"/>
                <w:color w:val="auto"/>
              </w:rPr>
            </w:pPr>
            <w:r>
              <w:rPr>
                <w:rFonts w:ascii="Arial" w:cs="Arial" w:eastAsia="Arial" w:hAnsi="Arial"/>
                <w:sz w:val="10"/>
                <w:szCs w:val="10"/>
                <w:color w:val="54585A"/>
                <w:w w:val="81"/>
              </w:rPr>
              <w:t>(2)</w:t>
            </w:r>
          </w:p>
        </w:tc>
        <w:tc>
          <w:tcPr>
            <w:tcW w:w="0" w:type="dxa"/>
            <w:vAlign w:val="bottom"/>
          </w:tcPr>
          <w:p>
            <w:pPr>
              <w:spacing w:after="0"/>
              <w:rPr>
                <w:sz w:val="1"/>
                <w:szCs w:val="1"/>
                <w:color w:val="auto"/>
              </w:rPr>
            </w:pPr>
          </w:p>
        </w:tc>
      </w:tr>
      <w:tr>
        <w:trPr>
          <w:trHeight w:val="80"/>
        </w:trPr>
        <w:tc>
          <w:tcPr>
            <w:tcW w:w="2820" w:type="dxa"/>
            <w:vAlign w:val="bottom"/>
            <w:vMerge w:val="restart"/>
          </w:tcPr>
          <w:p>
            <w:pPr>
              <w:ind w:left="60"/>
              <w:spacing w:after="0"/>
              <w:rPr>
                <w:sz w:val="20"/>
                <w:szCs w:val="20"/>
                <w:color w:val="auto"/>
              </w:rPr>
            </w:pPr>
            <w:r>
              <w:rPr>
                <w:rFonts w:ascii="Arial" w:cs="Arial" w:eastAsia="Arial" w:hAnsi="Arial"/>
                <w:sz w:val="10"/>
                <w:szCs w:val="10"/>
                <w:b w:val="1"/>
                <w:bCs w:val="1"/>
                <w:color w:val="EB6C10"/>
              </w:rPr>
              <w:t>Rebecca S. Clary</w:t>
            </w:r>
          </w:p>
        </w:tc>
        <w:tc>
          <w:tcPr>
            <w:tcW w:w="100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360" w:type="dxa"/>
            <w:vAlign w:val="bottom"/>
            <w:tcBorders>
              <w:bottom w:val="single" w:sz="8" w:color="54585A"/>
            </w:tcBorders>
          </w:tcPr>
          <w:p>
            <w:pPr>
              <w:spacing w:after="0"/>
              <w:rPr>
                <w:sz w:val="6"/>
                <w:szCs w:val="6"/>
                <w:color w:val="auto"/>
              </w:rPr>
            </w:pPr>
          </w:p>
        </w:tc>
        <w:tc>
          <w:tcPr>
            <w:tcW w:w="1680" w:type="dxa"/>
            <w:vAlign w:val="bottom"/>
            <w:tcBorders>
              <w:bottom w:val="single" w:sz="8" w:color="54585A"/>
            </w:tcBorders>
          </w:tcPr>
          <w:p>
            <w:pPr>
              <w:spacing w:after="0"/>
              <w:rPr>
                <w:sz w:val="6"/>
                <w:szCs w:val="6"/>
                <w:color w:val="auto"/>
              </w:rPr>
            </w:pPr>
          </w:p>
        </w:tc>
        <w:tc>
          <w:tcPr>
            <w:tcW w:w="34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820" w:type="dxa"/>
            <w:vAlign w:val="bottom"/>
            <w:vMerge w:val="continue"/>
          </w:tcPr>
          <w:p>
            <w:pPr>
              <w:spacing w:after="0"/>
              <w:rPr>
                <w:sz w:val="16"/>
                <w:szCs w:val="16"/>
                <w:color w:val="auto"/>
              </w:rPr>
            </w:pPr>
          </w:p>
        </w:tc>
        <w:tc>
          <w:tcPr>
            <w:tcW w:w="1000" w:type="dxa"/>
            <w:vAlign w:val="bottom"/>
          </w:tcPr>
          <w:p>
            <w:pPr>
              <w:jc w:val="center"/>
              <w:ind w:left="72"/>
              <w:spacing w:after="0"/>
              <w:rPr>
                <w:sz w:val="20"/>
                <w:szCs w:val="20"/>
                <w:color w:val="auto"/>
              </w:rPr>
            </w:pPr>
            <w:r>
              <w:rPr>
                <w:rFonts w:ascii="Arial" w:cs="Arial" w:eastAsia="Arial" w:hAnsi="Arial"/>
                <w:sz w:val="10"/>
                <w:szCs w:val="10"/>
                <w:color w:val="54585A"/>
                <w:w w:val="95"/>
              </w:rPr>
              <w:t>11/15/2022</w:t>
            </w:r>
          </w:p>
        </w:tc>
        <w:tc>
          <w:tcPr>
            <w:tcW w:w="1820" w:type="dxa"/>
            <w:vAlign w:val="bottom"/>
          </w:tcPr>
          <w:p>
            <w:pPr>
              <w:jc w:val="right"/>
              <w:ind w:right="72"/>
              <w:spacing w:after="0"/>
              <w:rPr>
                <w:sz w:val="20"/>
                <w:szCs w:val="20"/>
                <w:color w:val="auto"/>
              </w:rPr>
            </w:pPr>
            <w:r>
              <w:rPr>
                <w:rFonts w:ascii="Arial" w:cs="Arial" w:eastAsia="Arial" w:hAnsi="Arial"/>
                <w:sz w:val="10"/>
                <w:szCs w:val="10"/>
                <w:color w:val="54585A"/>
              </w:rPr>
              <w:t>500,000</w:t>
            </w:r>
          </w:p>
        </w:tc>
        <w:tc>
          <w:tcPr>
            <w:tcW w:w="1820" w:type="dxa"/>
            <w:vAlign w:val="bottom"/>
          </w:tcPr>
          <w:p>
            <w:pPr>
              <w:ind w:left="1540"/>
              <w:spacing w:after="0"/>
              <w:rPr>
                <w:sz w:val="20"/>
                <w:szCs w:val="20"/>
                <w:color w:val="auto"/>
              </w:rPr>
            </w:pPr>
            <w:r>
              <w:rPr>
                <w:rFonts w:ascii="Arial" w:cs="Arial" w:eastAsia="Arial" w:hAnsi="Arial"/>
                <w:sz w:val="10"/>
                <w:szCs w:val="10"/>
                <w:color w:val="54585A"/>
              </w:rPr>
              <w:t>—</w:t>
            </w:r>
          </w:p>
        </w:tc>
        <w:tc>
          <w:tcPr>
            <w:tcW w:w="1360" w:type="dxa"/>
            <w:vAlign w:val="bottom"/>
          </w:tcPr>
          <w:p>
            <w:pPr>
              <w:ind w:left="1160"/>
              <w:spacing w:after="0"/>
              <w:rPr>
                <w:sz w:val="20"/>
                <w:szCs w:val="20"/>
                <w:color w:val="auto"/>
              </w:rPr>
            </w:pPr>
            <w:r>
              <w:rPr>
                <w:rFonts w:ascii="Arial" w:cs="Arial" w:eastAsia="Arial" w:hAnsi="Arial"/>
                <w:sz w:val="10"/>
                <w:szCs w:val="10"/>
                <w:color w:val="54585A"/>
              </w:rPr>
              <w:t>—</w:t>
            </w:r>
          </w:p>
        </w:tc>
        <w:tc>
          <w:tcPr>
            <w:tcW w:w="1680" w:type="dxa"/>
            <w:vAlign w:val="bottom"/>
          </w:tcPr>
          <w:p>
            <w:pPr>
              <w:jc w:val="right"/>
              <w:spacing w:after="0"/>
              <w:rPr>
                <w:sz w:val="20"/>
                <w:szCs w:val="20"/>
                <w:color w:val="auto"/>
              </w:rPr>
            </w:pPr>
            <w:r>
              <w:rPr>
                <w:rFonts w:ascii="Arial" w:cs="Arial" w:eastAsia="Arial" w:hAnsi="Arial"/>
                <w:sz w:val="10"/>
                <w:szCs w:val="10"/>
                <w:color w:val="54585A"/>
              </w:rPr>
              <w:t>950,000</w:t>
            </w:r>
          </w:p>
        </w:tc>
        <w:tc>
          <w:tcPr>
            <w:tcW w:w="340" w:type="dxa"/>
            <w:vAlign w:val="bottom"/>
          </w:tcPr>
          <w:p>
            <w:pPr>
              <w:jc w:val="right"/>
              <w:ind w:right="172"/>
              <w:spacing w:after="0"/>
              <w:rPr>
                <w:sz w:val="20"/>
                <w:szCs w:val="20"/>
                <w:color w:val="auto"/>
              </w:rPr>
            </w:pPr>
            <w:r>
              <w:rPr>
                <w:rFonts w:ascii="Arial" w:cs="Arial" w:eastAsia="Arial" w:hAnsi="Arial"/>
                <w:sz w:val="10"/>
                <w:szCs w:val="10"/>
                <w:color w:val="54585A"/>
                <w:w w:val="81"/>
              </w:rPr>
              <w:t>(4)</w:t>
            </w:r>
          </w:p>
        </w:tc>
        <w:tc>
          <w:tcPr>
            <w:tcW w:w="0" w:type="dxa"/>
            <w:vAlign w:val="bottom"/>
          </w:tcPr>
          <w:p>
            <w:pPr>
              <w:spacing w:after="0"/>
              <w:rPr>
                <w:sz w:val="1"/>
                <w:szCs w:val="1"/>
                <w:color w:val="auto"/>
              </w:rPr>
            </w:pPr>
          </w:p>
        </w:tc>
      </w:tr>
      <w:tr>
        <w:trPr>
          <w:trHeight w:val="80"/>
        </w:trPr>
        <w:tc>
          <w:tcPr>
            <w:tcW w:w="2820" w:type="dxa"/>
            <w:vAlign w:val="bottom"/>
          </w:tcPr>
          <w:p>
            <w:pPr>
              <w:spacing w:after="0"/>
              <w:rPr>
                <w:sz w:val="6"/>
                <w:szCs w:val="6"/>
                <w:color w:val="auto"/>
              </w:rPr>
            </w:pPr>
          </w:p>
        </w:tc>
        <w:tc>
          <w:tcPr>
            <w:tcW w:w="100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360" w:type="dxa"/>
            <w:vAlign w:val="bottom"/>
            <w:tcBorders>
              <w:bottom w:val="single" w:sz="8" w:color="54585A"/>
            </w:tcBorders>
          </w:tcPr>
          <w:p>
            <w:pPr>
              <w:spacing w:after="0"/>
              <w:rPr>
                <w:sz w:val="6"/>
                <w:szCs w:val="6"/>
                <w:color w:val="auto"/>
              </w:rPr>
            </w:pPr>
          </w:p>
        </w:tc>
        <w:tc>
          <w:tcPr>
            <w:tcW w:w="1680" w:type="dxa"/>
            <w:vAlign w:val="bottom"/>
            <w:tcBorders>
              <w:bottom w:val="single" w:sz="8" w:color="54585A"/>
            </w:tcBorders>
          </w:tcPr>
          <w:p>
            <w:pPr>
              <w:spacing w:after="0"/>
              <w:rPr>
                <w:sz w:val="6"/>
                <w:szCs w:val="6"/>
                <w:color w:val="auto"/>
              </w:rPr>
            </w:pPr>
          </w:p>
        </w:tc>
        <w:tc>
          <w:tcPr>
            <w:tcW w:w="34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000" w:type="dxa"/>
            <w:vAlign w:val="bottom"/>
          </w:tcPr>
          <w:p>
            <w:pPr>
              <w:jc w:val="center"/>
              <w:ind w:left="52"/>
              <w:spacing w:after="0"/>
              <w:rPr>
                <w:sz w:val="20"/>
                <w:szCs w:val="20"/>
                <w:color w:val="auto"/>
              </w:rPr>
            </w:pPr>
            <w:r>
              <w:rPr>
                <w:rFonts w:ascii="Arial" w:cs="Arial" w:eastAsia="Arial" w:hAnsi="Arial"/>
                <w:sz w:val="10"/>
                <w:szCs w:val="10"/>
                <w:color w:val="54585A"/>
                <w:w w:val="94"/>
              </w:rPr>
              <w:t>12/6/2022</w:t>
            </w:r>
          </w:p>
        </w:tc>
        <w:tc>
          <w:tcPr>
            <w:tcW w:w="1820" w:type="dxa"/>
            <w:vAlign w:val="bottom"/>
          </w:tcPr>
          <w:p>
            <w:pPr>
              <w:jc w:val="right"/>
              <w:ind w:right="72"/>
              <w:spacing w:after="0"/>
              <w:rPr>
                <w:sz w:val="20"/>
                <w:szCs w:val="20"/>
                <w:color w:val="auto"/>
              </w:rPr>
            </w:pPr>
            <w:r>
              <w:rPr>
                <w:rFonts w:ascii="Arial" w:cs="Arial" w:eastAsia="Arial" w:hAnsi="Arial"/>
                <w:sz w:val="10"/>
                <w:szCs w:val="10"/>
                <w:color w:val="54585A"/>
              </w:rPr>
              <w:t>120,000</w:t>
            </w:r>
          </w:p>
        </w:tc>
        <w:tc>
          <w:tcPr>
            <w:tcW w:w="1820" w:type="dxa"/>
            <w:vAlign w:val="bottom"/>
          </w:tcPr>
          <w:p>
            <w:pPr>
              <w:ind w:left="1540"/>
              <w:spacing w:after="0"/>
              <w:rPr>
                <w:sz w:val="20"/>
                <w:szCs w:val="20"/>
                <w:color w:val="auto"/>
              </w:rPr>
            </w:pPr>
            <w:r>
              <w:rPr>
                <w:rFonts w:ascii="Arial" w:cs="Arial" w:eastAsia="Arial" w:hAnsi="Arial"/>
                <w:sz w:val="10"/>
                <w:szCs w:val="10"/>
                <w:color w:val="54585A"/>
              </w:rPr>
              <w:t>—</w:t>
            </w:r>
          </w:p>
        </w:tc>
        <w:tc>
          <w:tcPr>
            <w:tcW w:w="1360" w:type="dxa"/>
            <w:vAlign w:val="bottom"/>
          </w:tcPr>
          <w:p>
            <w:pPr>
              <w:ind w:left="1160"/>
              <w:spacing w:after="0"/>
              <w:rPr>
                <w:sz w:val="20"/>
                <w:szCs w:val="20"/>
                <w:color w:val="auto"/>
              </w:rPr>
            </w:pPr>
            <w:r>
              <w:rPr>
                <w:rFonts w:ascii="Arial" w:cs="Arial" w:eastAsia="Arial" w:hAnsi="Arial"/>
                <w:sz w:val="10"/>
                <w:szCs w:val="10"/>
                <w:color w:val="54585A"/>
              </w:rPr>
              <w:t>—</w:t>
            </w:r>
          </w:p>
        </w:tc>
        <w:tc>
          <w:tcPr>
            <w:tcW w:w="1680" w:type="dxa"/>
            <w:vAlign w:val="bottom"/>
          </w:tcPr>
          <w:p>
            <w:pPr>
              <w:jc w:val="right"/>
              <w:spacing w:after="0"/>
              <w:rPr>
                <w:sz w:val="20"/>
                <w:szCs w:val="20"/>
                <w:color w:val="auto"/>
              </w:rPr>
            </w:pPr>
            <w:r>
              <w:rPr>
                <w:rFonts w:ascii="Arial" w:cs="Arial" w:eastAsia="Arial" w:hAnsi="Arial"/>
                <w:sz w:val="10"/>
                <w:szCs w:val="10"/>
                <w:color w:val="54585A"/>
              </w:rPr>
              <w:t>212,400</w:t>
            </w:r>
          </w:p>
        </w:tc>
        <w:tc>
          <w:tcPr>
            <w:tcW w:w="340" w:type="dxa"/>
            <w:vAlign w:val="bottom"/>
          </w:tcPr>
          <w:p>
            <w:pPr>
              <w:jc w:val="right"/>
              <w:ind w:right="172"/>
              <w:spacing w:after="0"/>
              <w:rPr>
                <w:sz w:val="20"/>
                <w:szCs w:val="20"/>
                <w:color w:val="auto"/>
              </w:rPr>
            </w:pPr>
            <w:r>
              <w:rPr>
                <w:rFonts w:ascii="Arial" w:cs="Arial" w:eastAsia="Arial" w:hAnsi="Arial"/>
                <w:sz w:val="10"/>
                <w:szCs w:val="10"/>
                <w:color w:val="54585A"/>
                <w:w w:val="81"/>
              </w:rPr>
              <w:t>(3)</w:t>
            </w:r>
          </w:p>
        </w:tc>
        <w:tc>
          <w:tcPr>
            <w:tcW w:w="0" w:type="dxa"/>
            <w:vAlign w:val="bottom"/>
          </w:tcPr>
          <w:p>
            <w:pPr>
              <w:spacing w:after="0"/>
              <w:rPr>
                <w:sz w:val="1"/>
                <w:szCs w:val="1"/>
                <w:color w:val="auto"/>
              </w:rPr>
            </w:pPr>
          </w:p>
        </w:tc>
      </w:tr>
      <w:tr>
        <w:trPr>
          <w:trHeight w:val="80"/>
        </w:trPr>
        <w:tc>
          <w:tcPr>
            <w:tcW w:w="2820" w:type="dxa"/>
            <w:vAlign w:val="bottom"/>
            <w:tcBorders>
              <w:bottom w:val="single" w:sz="8" w:color="54585A"/>
            </w:tcBorders>
          </w:tcPr>
          <w:p>
            <w:pPr>
              <w:spacing w:after="0"/>
              <w:rPr>
                <w:sz w:val="6"/>
                <w:szCs w:val="6"/>
                <w:color w:val="auto"/>
              </w:rPr>
            </w:pPr>
          </w:p>
        </w:tc>
        <w:tc>
          <w:tcPr>
            <w:tcW w:w="100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360" w:type="dxa"/>
            <w:vAlign w:val="bottom"/>
            <w:tcBorders>
              <w:bottom w:val="single" w:sz="8" w:color="54585A"/>
            </w:tcBorders>
          </w:tcPr>
          <w:p>
            <w:pPr>
              <w:spacing w:after="0"/>
              <w:rPr>
                <w:sz w:val="6"/>
                <w:szCs w:val="6"/>
                <w:color w:val="auto"/>
              </w:rPr>
            </w:pPr>
          </w:p>
        </w:tc>
        <w:tc>
          <w:tcPr>
            <w:tcW w:w="1680" w:type="dxa"/>
            <w:vAlign w:val="bottom"/>
            <w:tcBorders>
              <w:bottom w:val="single" w:sz="8" w:color="54585A"/>
            </w:tcBorders>
          </w:tcPr>
          <w:p>
            <w:pPr>
              <w:spacing w:after="0"/>
              <w:rPr>
                <w:sz w:val="6"/>
                <w:szCs w:val="6"/>
                <w:color w:val="auto"/>
              </w:rPr>
            </w:pPr>
          </w:p>
        </w:tc>
        <w:tc>
          <w:tcPr>
            <w:tcW w:w="34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000" w:type="dxa"/>
            <w:vAlign w:val="bottom"/>
          </w:tcPr>
          <w:p>
            <w:pPr>
              <w:jc w:val="center"/>
              <w:ind w:left="52"/>
              <w:spacing w:after="0"/>
              <w:rPr>
                <w:sz w:val="20"/>
                <w:szCs w:val="20"/>
                <w:color w:val="auto"/>
              </w:rPr>
            </w:pPr>
            <w:r>
              <w:rPr>
                <w:rFonts w:ascii="Arial" w:cs="Arial" w:eastAsia="Arial" w:hAnsi="Arial"/>
                <w:sz w:val="10"/>
                <w:szCs w:val="10"/>
                <w:color w:val="54585A"/>
                <w:w w:val="97"/>
              </w:rPr>
              <w:t>3/3/2022</w:t>
            </w:r>
          </w:p>
        </w:tc>
        <w:tc>
          <w:tcPr>
            <w:tcW w:w="1820" w:type="dxa"/>
            <w:vAlign w:val="bottom"/>
          </w:tcPr>
          <w:p>
            <w:pPr>
              <w:jc w:val="right"/>
              <w:ind w:right="72"/>
              <w:spacing w:after="0"/>
              <w:rPr>
                <w:sz w:val="20"/>
                <w:szCs w:val="20"/>
                <w:color w:val="auto"/>
              </w:rPr>
            </w:pPr>
            <w:r>
              <w:rPr>
                <w:rFonts w:ascii="Arial" w:cs="Arial" w:eastAsia="Arial" w:hAnsi="Arial"/>
                <w:sz w:val="10"/>
                <w:szCs w:val="10"/>
                <w:color w:val="54585A"/>
              </w:rPr>
              <w:t>62,992</w:t>
            </w:r>
          </w:p>
        </w:tc>
        <w:tc>
          <w:tcPr>
            <w:tcW w:w="1820" w:type="dxa"/>
            <w:vAlign w:val="bottom"/>
          </w:tcPr>
          <w:p>
            <w:pPr>
              <w:ind w:left="1540"/>
              <w:spacing w:after="0"/>
              <w:rPr>
                <w:sz w:val="20"/>
                <w:szCs w:val="20"/>
                <w:color w:val="auto"/>
              </w:rPr>
            </w:pPr>
            <w:r>
              <w:rPr>
                <w:rFonts w:ascii="Arial" w:cs="Arial" w:eastAsia="Arial" w:hAnsi="Arial"/>
                <w:sz w:val="10"/>
                <w:szCs w:val="10"/>
                <w:color w:val="54585A"/>
              </w:rPr>
              <w:t>—</w:t>
            </w:r>
          </w:p>
        </w:tc>
        <w:tc>
          <w:tcPr>
            <w:tcW w:w="1360" w:type="dxa"/>
            <w:vAlign w:val="bottom"/>
          </w:tcPr>
          <w:p>
            <w:pPr>
              <w:ind w:left="1160"/>
              <w:spacing w:after="0"/>
              <w:rPr>
                <w:sz w:val="20"/>
                <w:szCs w:val="20"/>
                <w:color w:val="auto"/>
              </w:rPr>
            </w:pPr>
            <w:r>
              <w:rPr>
                <w:rFonts w:ascii="Arial" w:cs="Arial" w:eastAsia="Arial" w:hAnsi="Arial"/>
                <w:sz w:val="10"/>
                <w:szCs w:val="10"/>
                <w:color w:val="54585A"/>
              </w:rPr>
              <w:t>—</w:t>
            </w:r>
          </w:p>
        </w:tc>
        <w:tc>
          <w:tcPr>
            <w:tcW w:w="1680" w:type="dxa"/>
            <w:vAlign w:val="bottom"/>
          </w:tcPr>
          <w:p>
            <w:pPr>
              <w:jc w:val="right"/>
              <w:spacing w:after="0"/>
              <w:rPr>
                <w:sz w:val="20"/>
                <w:szCs w:val="20"/>
                <w:color w:val="auto"/>
              </w:rPr>
            </w:pPr>
            <w:r>
              <w:rPr>
                <w:rFonts w:ascii="Arial" w:cs="Arial" w:eastAsia="Arial" w:hAnsi="Arial"/>
                <w:sz w:val="10"/>
                <w:szCs w:val="10"/>
                <w:color w:val="54585A"/>
              </w:rPr>
              <w:t>80,000</w:t>
            </w:r>
          </w:p>
        </w:tc>
        <w:tc>
          <w:tcPr>
            <w:tcW w:w="340" w:type="dxa"/>
            <w:vAlign w:val="bottom"/>
          </w:tcPr>
          <w:p>
            <w:pPr>
              <w:jc w:val="right"/>
              <w:ind w:right="172"/>
              <w:spacing w:after="0"/>
              <w:rPr>
                <w:sz w:val="20"/>
                <w:szCs w:val="20"/>
                <w:color w:val="auto"/>
              </w:rPr>
            </w:pPr>
            <w:r>
              <w:rPr>
                <w:rFonts w:ascii="Arial" w:cs="Arial" w:eastAsia="Arial" w:hAnsi="Arial"/>
                <w:sz w:val="10"/>
                <w:szCs w:val="10"/>
                <w:color w:val="54585A"/>
                <w:w w:val="81"/>
              </w:rPr>
              <w:t>(1)</w:t>
            </w:r>
          </w:p>
        </w:tc>
        <w:tc>
          <w:tcPr>
            <w:tcW w:w="0" w:type="dxa"/>
            <w:vAlign w:val="bottom"/>
          </w:tcPr>
          <w:p>
            <w:pPr>
              <w:spacing w:after="0"/>
              <w:rPr>
                <w:sz w:val="1"/>
                <w:szCs w:val="1"/>
                <w:color w:val="auto"/>
              </w:rPr>
            </w:pPr>
          </w:p>
        </w:tc>
      </w:tr>
      <w:tr>
        <w:trPr>
          <w:trHeight w:val="80"/>
        </w:trPr>
        <w:tc>
          <w:tcPr>
            <w:tcW w:w="2820" w:type="dxa"/>
            <w:vAlign w:val="bottom"/>
          </w:tcPr>
          <w:p>
            <w:pPr>
              <w:spacing w:after="0"/>
              <w:rPr>
                <w:sz w:val="6"/>
                <w:szCs w:val="6"/>
                <w:color w:val="auto"/>
              </w:rPr>
            </w:pPr>
          </w:p>
        </w:tc>
        <w:tc>
          <w:tcPr>
            <w:tcW w:w="100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360" w:type="dxa"/>
            <w:vAlign w:val="bottom"/>
            <w:tcBorders>
              <w:bottom w:val="single" w:sz="8" w:color="54585A"/>
            </w:tcBorders>
          </w:tcPr>
          <w:p>
            <w:pPr>
              <w:spacing w:after="0"/>
              <w:rPr>
                <w:sz w:val="6"/>
                <w:szCs w:val="6"/>
                <w:color w:val="auto"/>
              </w:rPr>
            </w:pPr>
          </w:p>
        </w:tc>
        <w:tc>
          <w:tcPr>
            <w:tcW w:w="1680" w:type="dxa"/>
            <w:vAlign w:val="bottom"/>
            <w:tcBorders>
              <w:bottom w:val="single" w:sz="8" w:color="54585A"/>
            </w:tcBorders>
          </w:tcPr>
          <w:p>
            <w:pPr>
              <w:spacing w:after="0"/>
              <w:rPr>
                <w:sz w:val="6"/>
                <w:szCs w:val="6"/>
                <w:color w:val="auto"/>
              </w:rPr>
            </w:pPr>
          </w:p>
        </w:tc>
        <w:tc>
          <w:tcPr>
            <w:tcW w:w="34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000" w:type="dxa"/>
            <w:vAlign w:val="bottom"/>
          </w:tcPr>
          <w:p>
            <w:pPr>
              <w:jc w:val="center"/>
              <w:ind w:left="72"/>
              <w:spacing w:after="0"/>
              <w:rPr>
                <w:sz w:val="20"/>
                <w:szCs w:val="20"/>
                <w:color w:val="auto"/>
              </w:rPr>
            </w:pPr>
            <w:r>
              <w:rPr>
                <w:rFonts w:ascii="Arial" w:cs="Arial" w:eastAsia="Arial" w:hAnsi="Arial"/>
                <w:sz w:val="10"/>
                <w:szCs w:val="10"/>
                <w:color w:val="54585A"/>
                <w:w w:val="95"/>
              </w:rPr>
              <w:t>11/15/2022</w:t>
            </w:r>
          </w:p>
        </w:tc>
        <w:tc>
          <w:tcPr>
            <w:tcW w:w="1820" w:type="dxa"/>
            <w:vAlign w:val="bottom"/>
          </w:tcPr>
          <w:p>
            <w:pPr>
              <w:jc w:val="right"/>
              <w:ind w:right="72"/>
              <w:spacing w:after="0"/>
              <w:rPr>
                <w:sz w:val="20"/>
                <w:szCs w:val="20"/>
                <w:color w:val="auto"/>
              </w:rPr>
            </w:pPr>
            <w:r>
              <w:rPr>
                <w:rFonts w:ascii="Arial" w:cs="Arial" w:eastAsia="Arial" w:hAnsi="Arial"/>
                <w:sz w:val="10"/>
                <w:szCs w:val="10"/>
                <w:color w:val="54585A"/>
              </w:rPr>
              <w:t>220,000</w:t>
            </w:r>
          </w:p>
        </w:tc>
        <w:tc>
          <w:tcPr>
            <w:tcW w:w="1820" w:type="dxa"/>
            <w:vAlign w:val="bottom"/>
          </w:tcPr>
          <w:p>
            <w:pPr>
              <w:ind w:left="1540"/>
              <w:spacing w:after="0"/>
              <w:rPr>
                <w:sz w:val="20"/>
                <w:szCs w:val="20"/>
                <w:color w:val="auto"/>
              </w:rPr>
            </w:pPr>
            <w:r>
              <w:rPr>
                <w:rFonts w:ascii="Arial" w:cs="Arial" w:eastAsia="Arial" w:hAnsi="Arial"/>
                <w:sz w:val="10"/>
                <w:szCs w:val="10"/>
                <w:color w:val="54585A"/>
              </w:rPr>
              <w:t>—</w:t>
            </w:r>
          </w:p>
        </w:tc>
        <w:tc>
          <w:tcPr>
            <w:tcW w:w="1360" w:type="dxa"/>
            <w:vAlign w:val="bottom"/>
          </w:tcPr>
          <w:p>
            <w:pPr>
              <w:ind w:left="1160"/>
              <w:spacing w:after="0"/>
              <w:rPr>
                <w:sz w:val="20"/>
                <w:szCs w:val="20"/>
                <w:color w:val="auto"/>
              </w:rPr>
            </w:pPr>
            <w:r>
              <w:rPr>
                <w:rFonts w:ascii="Arial" w:cs="Arial" w:eastAsia="Arial" w:hAnsi="Arial"/>
                <w:sz w:val="10"/>
                <w:szCs w:val="10"/>
                <w:color w:val="54585A"/>
              </w:rPr>
              <w:t>—</w:t>
            </w:r>
          </w:p>
        </w:tc>
        <w:tc>
          <w:tcPr>
            <w:tcW w:w="1680" w:type="dxa"/>
            <w:vAlign w:val="bottom"/>
          </w:tcPr>
          <w:p>
            <w:pPr>
              <w:jc w:val="right"/>
              <w:spacing w:after="0"/>
              <w:rPr>
                <w:sz w:val="20"/>
                <w:szCs w:val="20"/>
                <w:color w:val="auto"/>
              </w:rPr>
            </w:pPr>
            <w:r>
              <w:rPr>
                <w:rFonts w:ascii="Arial" w:cs="Arial" w:eastAsia="Arial" w:hAnsi="Arial"/>
                <w:sz w:val="10"/>
                <w:szCs w:val="10"/>
                <w:color w:val="54585A"/>
              </w:rPr>
              <w:t>418,000</w:t>
            </w:r>
          </w:p>
        </w:tc>
        <w:tc>
          <w:tcPr>
            <w:tcW w:w="340" w:type="dxa"/>
            <w:vAlign w:val="bottom"/>
          </w:tcPr>
          <w:p>
            <w:pPr>
              <w:jc w:val="right"/>
              <w:ind w:right="172"/>
              <w:spacing w:after="0"/>
              <w:rPr>
                <w:sz w:val="20"/>
                <w:szCs w:val="20"/>
                <w:color w:val="auto"/>
              </w:rPr>
            </w:pPr>
            <w:r>
              <w:rPr>
                <w:rFonts w:ascii="Arial" w:cs="Arial" w:eastAsia="Arial" w:hAnsi="Arial"/>
                <w:sz w:val="10"/>
                <w:szCs w:val="10"/>
                <w:color w:val="54585A"/>
                <w:w w:val="81"/>
              </w:rPr>
              <w:t>(2)</w:t>
            </w:r>
          </w:p>
        </w:tc>
        <w:tc>
          <w:tcPr>
            <w:tcW w:w="0" w:type="dxa"/>
            <w:vAlign w:val="bottom"/>
          </w:tcPr>
          <w:p>
            <w:pPr>
              <w:spacing w:after="0"/>
              <w:rPr>
                <w:sz w:val="1"/>
                <w:szCs w:val="1"/>
                <w:color w:val="auto"/>
              </w:rPr>
            </w:pPr>
          </w:p>
        </w:tc>
      </w:tr>
      <w:tr>
        <w:trPr>
          <w:trHeight w:val="80"/>
        </w:trPr>
        <w:tc>
          <w:tcPr>
            <w:tcW w:w="2820" w:type="dxa"/>
            <w:vAlign w:val="bottom"/>
            <w:vMerge w:val="restart"/>
          </w:tcPr>
          <w:p>
            <w:pPr>
              <w:ind w:left="60"/>
              <w:spacing w:after="0"/>
              <w:rPr>
                <w:sz w:val="20"/>
                <w:szCs w:val="20"/>
                <w:color w:val="auto"/>
              </w:rPr>
            </w:pPr>
            <w:r>
              <w:rPr>
                <w:rFonts w:ascii="Arial" w:cs="Arial" w:eastAsia="Arial" w:hAnsi="Arial"/>
                <w:sz w:val="10"/>
                <w:szCs w:val="10"/>
                <w:b w:val="1"/>
                <w:bCs w:val="1"/>
                <w:color w:val="EB6C10"/>
              </w:rPr>
              <w:t>L. Barbee Ponder IV</w:t>
            </w:r>
          </w:p>
        </w:tc>
        <w:tc>
          <w:tcPr>
            <w:tcW w:w="100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360" w:type="dxa"/>
            <w:vAlign w:val="bottom"/>
            <w:tcBorders>
              <w:bottom w:val="single" w:sz="8" w:color="54585A"/>
            </w:tcBorders>
          </w:tcPr>
          <w:p>
            <w:pPr>
              <w:spacing w:after="0"/>
              <w:rPr>
                <w:sz w:val="6"/>
                <w:szCs w:val="6"/>
                <w:color w:val="auto"/>
              </w:rPr>
            </w:pPr>
          </w:p>
        </w:tc>
        <w:tc>
          <w:tcPr>
            <w:tcW w:w="1680" w:type="dxa"/>
            <w:vAlign w:val="bottom"/>
            <w:tcBorders>
              <w:bottom w:val="single" w:sz="8" w:color="54585A"/>
            </w:tcBorders>
          </w:tcPr>
          <w:p>
            <w:pPr>
              <w:spacing w:after="0"/>
              <w:rPr>
                <w:sz w:val="6"/>
                <w:szCs w:val="6"/>
                <w:color w:val="auto"/>
              </w:rPr>
            </w:pPr>
          </w:p>
        </w:tc>
        <w:tc>
          <w:tcPr>
            <w:tcW w:w="34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820" w:type="dxa"/>
            <w:vAlign w:val="bottom"/>
            <w:vMerge w:val="continue"/>
          </w:tcPr>
          <w:p>
            <w:pPr>
              <w:spacing w:after="0"/>
              <w:rPr>
                <w:sz w:val="3"/>
                <w:szCs w:val="3"/>
                <w:color w:val="auto"/>
              </w:rPr>
            </w:pPr>
          </w:p>
        </w:tc>
        <w:tc>
          <w:tcPr>
            <w:tcW w:w="1000" w:type="dxa"/>
            <w:vAlign w:val="bottom"/>
            <w:vMerge w:val="restart"/>
          </w:tcPr>
          <w:p>
            <w:pPr>
              <w:jc w:val="center"/>
              <w:ind w:left="72"/>
              <w:spacing w:after="0"/>
              <w:rPr>
                <w:sz w:val="20"/>
                <w:szCs w:val="20"/>
                <w:color w:val="auto"/>
              </w:rPr>
            </w:pPr>
            <w:r>
              <w:rPr>
                <w:rFonts w:ascii="Arial" w:cs="Arial" w:eastAsia="Arial" w:hAnsi="Arial"/>
                <w:sz w:val="10"/>
                <w:szCs w:val="10"/>
                <w:color w:val="54585A"/>
                <w:w w:val="95"/>
              </w:rPr>
              <w:t>11/15/2022</w:t>
            </w:r>
          </w:p>
        </w:tc>
        <w:tc>
          <w:tcPr>
            <w:tcW w:w="1820" w:type="dxa"/>
            <w:vAlign w:val="bottom"/>
            <w:vMerge w:val="restart"/>
          </w:tcPr>
          <w:p>
            <w:pPr>
              <w:jc w:val="right"/>
              <w:ind w:right="72"/>
              <w:spacing w:after="0"/>
              <w:rPr>
                <w:sz w:val="20"/>
                <w:szCs w:val="20"/>
                <w:color w:val="auto"/>
              </w:rPr>
            </w:pPr>
            <w:r>
              <w:rPr>
                <w:rFonts w:ascii="Arial" w:cs="Arial" w:eastAsia="Arial" w:hAnsi="Arial"/>
                <w:sz w:val="10"/>
                <w:szCs w:val="10"/>
                <w:color w:val="54585A"/>
              </w:rPr>
              <w:t>300,000</w:t>
            </w:r>
          </w:p>
        </w:tc>
        <w:tc>
          <w:tcPr>
            <w:tcW w:w="1820" w:type="dxa"/>
            <w:vAlign w:val="bottom"/>
            <w:vMerge w:val="restart"/>
          </w:tcPr>
          <w:p>
            <w:pPr>
              <w:ind w:left="1540"/>
              <w:spacing w:after="0"/>
              <w:rPr>
                <w:sz w:val="20"/>
                <w:szCs w:val="20"/>
                <w:color w:val="auto"/>
              </w:rPr>
            </w:pPr>
            <w:r>
              <w:rPr>
                <w:rFonts w:ascii="Arial" w:cs="Arial" w:eastAsia="Arial" w:hAnsi="Arial"/>
                <w:sz w:val="10"/>
                <w:szCs w:val="10"/>
                <w:color w:val="54585A"/>
              </w:rPr>
              <w:t>—</w:t>
            </w:r>
          </w:p>
        </w:tc>
        <w:tc>
          <w:tcPr>
            <w:tcW w:w="1360" w:type="dxa"/>
            <w:vAlign w:val="bottom"/>
            <w:vMerge w:val="restart"/>
          </w:tcPr>
          <w:p>
            <w:pPr>
              <w:ind w:left="1160"/>
              <w:spacing w:after="0"/>
              <w:rPr>
                <w:sz w:val="20"/>
                <w:szCs w:val="20"/>
                <w:color w:val="auto"/>
              </w:rPr>
            </w:pPr>
            <w:r>
              <w:rPr>
                <w:rFonts w:ascii="Arial" w:cs="Arial" w:eastAsia="Arial" w:hAnsi="Arial"/>
                <w:sz w:val="10"/>
                <w:szCs w:val="10"/>
                <w:color w:val="54585A"/>
              </w:rPr>
              <w:t>—</w:t>
            </w:r>
          </w:p>
        </w:tc>
        <w:tc>
          <w:tcPr>
            <w:tcW w:w="1680" w:type="dxa"/>
            <w:vAlign w:val="bottom"/>
            <w:vMerge w:val="restart"/>
          </w:tcPr>
          <w:p>
            <w:pPr>
              <w:jc w:val="right"/>
              <w:spacing w:after="0"/>
              <w:rPr>
                <w:sz w:val="20"/>
                <w:szCs w:val="20"/>
                <w:color w:val="auto"/>
              </w:rPr>
            </w:pPr>
            <w:r>
              <w:rPr>
                <w:rFonts w:ascii="Arial" w:cs="Arial" w:eastAsia="Arial" w:hAnsi="Arial"/>
                <w:sz w:val="10"/>
                <w:szCs w:val="10"/>
                <w:color w:val="54585A"/>
              </w:rPr>
              <w:t>570,000</w:t>
            </w:r>
          </w:p>
        </w:tc>
        <w:tc>
          <w:tcPr>
            <w:tcW w:w="340" w:type="dxa"/>
            <w:vAlign w:val="bottom"/>
            <w:vMerge w:val="restart"/>
          </w:tcPr>
          <w:p>
            <w:pPr>
              <w:jc w:val="right"/>
              <w:ind w:right="172"/>
              <w:spacing w:after="0"/>
              <w:rPr>
                <w:sz w:val="20"/>
                <w:szCs w:val="20"/>
                <w:color w:val="auto"/>
              </w:rPr>
            </w:pPr>
            <w:r>
              <w:rPr>
                <w:rFonts w:ascii="Arial" w:cs="Arial" w:eastAsia="Arial" w:hAnsi="Arial"/>
                <w:sz w:val="10"/>
                <w:szCs w:val="10"/>
                <w:color w:val="54585A"/>
                <w:w w:val="81"/>
              </w:rPr>
              <w:t>(4)</w:t>
            </w:r>
          </w:p>
        </w:tc>
        <w:tc>
          <w:tcPr>
            <w:tcW w:w="0" w:type="dxa"/>
            <w:vAlign w:val="bottom"/>
          </w:tcPr>
          <w:p>
            <w:pPr>
              <w:spacing w:after="0"/>
              <w:rPr>
                <w:sz w:val="1"/>
                <w:szCs w:val="1"/>
                <w:color w:val="auto"/>
              </w:rPr>
            </w:pPr>
          </w:p>
        </w:tc>
      </w:tr>
      <w:tr>
        <w:trPr>
          <w:trHeight w:val="144"/>
        </w:trPr>
        <w:tc>
          <w:tcPr>
            <w:tcW w:w="28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820" w:type="dxa"/>
            <w:vAlign w:val="bottom"/>
          </w:tcPr>
          <w:p>
            <w:pPr>
              <w:spacing w:after="0"/>
              <w:rPr>
                <w:sz w:val="6"/>
                <w:szCs w:val="6"/>
                <w:color w:val="auto"/>
              </w:rPr>
            </w:pPr>
          </w:p>
        </w:tc>
        <w:tc>
          <w:tcPr>
            <w:tcW w:w="100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360" w:type="dxa"/>
            <w:vAlign w:val="bottom"/>
            <w:tcBorders>
              <w:bottom w:val="single" w:sz="8" w:color="54585A"/>
            </w:tcBorders>
          </w:tcPr>
          <w:p>
            <w:pPr>
              <w:spacing w:after="0"/>
              <w:rPr>
                <w:sz w:val="6"/>
                <w:szCs w:val="6"/>
                <w:color w:val="auto"/>
              </w:rPr>
            </w:pPr>
          </w:p>
        </w:tc>
        <w:tc>
          <w:tcPr>
            <w:tcW w:w="1680" w:type="dxa"/>
            <w:vAlign w:val="bottom"/>
            <w:tcBorders>
              <w:bottom w:val="single" w:sz="8" w:color="54585A"/>
            </w:tcBorders>
          </w:tcPr>
          <w:p>
            <w:pPr>
              <w:spacing w:after="0"/>
              <w:rPr>
                <w:sz w:val="6"/>
                <w:szCs w:val="6"/>
                <w:color w:val="auto"/>
              </w:rPr>
            </w:pPr>
          </w:p>
        </w:tc>
        <w:tc>
          <w:tcPr>
            <w:tcW w:w="34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000" w:type="dxa"/>
            <w:vAlign w:val="bottom"/>
          </w:tcPr>
          <w:p>
            <w:pPr>
              <w:jc w:val="center"/>
              <w:ind w:left="52"/>
              <w:spacing w:after="0"/>
              <w:rPr>
                <w:sz w:val="20"/>
                <w:szCs w:val="20"/>
                <w:color w:val="auto"/>
              </w:rPr>
            </w:pPr>
            <w:r>
              <w:rPr>
                <w:rFonts w:ascii="Arial" w:cs="Arial" w:eastAsia="Arial" w:hAnsi="Arial"/>
                <w:sz w:val="10"/>
                <w:szCs w:val="10"/>
                <w:color w:val="54585A"/>
                <w:w w:val="94"/>
              </w:rPr>
              <w:t>12/6/2022</w:t>
            </w:r>
          </w:p>
        </w:tc>
        <w:tc>
          <w:tcPr>
            <w:tcW w:w="1820" w:type="dxa"/>
            <w:vAlign w:val="bottom"/>
          </w:tcPr>
          <w:p>
            <w:pPr>
              <w:jc w:val="right"/>
              <w:ind w:right="72"/>
              <w:spacing w:after="0"/>
              <w:rPr>
                <w:sz w:val="20"/>
                <w:szCs w:val="20"/>
                <w:color w:val="auto"/>
              </w:rPr>
            </w:pPr>
            <w:r>
              <w:rPr>
                <w:rFonts w:ascii="Arial" w:cs="Arial" w:eastAsia="Arial" w:hAnsi="Arial"/>
                <w:sz w:val="10"/>
                <w:szCs w:val="10"/>
                <w:color w:val="54585A"/>
              </w:rPr>
              <w:t>120,000</w:t>
            </w:r>
          </w:p>
        </w:tc>
        <w:tc>
          <w:tcPr>
            <w:tcW w:w="1820" w:type="dxa"/>
            <w:vAlign w:val="bottom"/>
          </w:tcPr>
          <w:p>
            <w:pPr>
              <w:ind w:left="1540"/>
              <w:spacing w:after="0"/>
              <w:rPr>
                <w:sz w:val="20"/>
                <w:szCs w:val="20"/>
                <w:color w:val="auto"/>
              </w:rPr>
            </w:pPr>
            <w:r>
              <w:rPr>
                <w:rFonts w:ascii="Arial" w:cs="Arial" w:eastAsia="Arial" w:hAnsi="Arial"/>
                <w:sz w:val="10"/>
                <w:szCs w:val="10"/>
                <w:color w:val="54585A"/>
              </w:rPr>
              <w:t>—</w:t>
            </w:r>
          </w:p>
        </w:tc>
        <w:tc>
          <w:tcPr>
            <w:tcW w:w="1360" w:type="dxa"/>
            <w:vAlign w:val="bottom"/>
          </w:tcPr>
          <w:p>
            <w:pPr>
              <w:ind w:left="1160"/>
              <w:spacing w:after="0"/>
              <w:rPr>
                <w:sz w:val="20"/>
                <w:szCs w:val="20"/>
                <w:color w:val="auto"/>
              </w:rPr>
            </w:pPr>
            <w:r>
              <w:rPr>
                <w:rFonts w:ascii="Arial" w:cs="Arial" w:eastAsia="Arial" w:hAnsi="Arial"/>
                <w:sz w:val="10"/>
                <w:szCs w:val="10"/>
                <w:color w:val="54585A"/>
              </w:rPr>
              <w:t>—</w:t>
            </w:r>
          </w:p>
        </w:tc>
        <w:tc>
          <w:tcPr>
            <w:tcW w:w="1680" w:type="dxa"/>
            <w:vAlign w:val="bottom"/>
          </w:tcPr>
          <w:p>
            <w:pPr>
              <w:jc w:val="right"/>
              <w:spacing w:after="0"/>
              <w:rPr>
                <w:sz w:val="20"/>
                <w:szCs w:val="20"/>
                <w:color w:val="auto"/>
              </w:rPr>
            </w:pPr>
            <w:r>
              <w:rPr>
                <w:rFonts w:ascii="Arial" w:cs="Arial" w:eastAsia="Arial" w:hAnsi="Arial"/>
                <w:sz w:val="10"/>
                <w:szCs w:val="10"/>
                <w:color w:val="54585A"/>
              </w:rPr>
              <w:t>212,400</w:t>
            </w:r>
          </w:p>
        </w:tc>
        <w:tc>
          <w:tcPr>
            <w:tcW w:w="340" w:type="dxa"/>
            <w:vAlign w:val="bottom"/>
          </w:tcPr>
          <w:p>
            <w:pPr>
              <w:jc w:val="right"/>
              <w:ind w:right="172"/>
              <w:spacing w:after="0"/>
              <w:rPr>
                <w:sz w:val="20"/>
                <w:szCs w:val="20"/>
                <w:color w:val="auto"/>
              </w:rPr>
            </w:pPr>
            <w:r>
              <w:rPr>
                <w:rFonts w:ascii="Arial" w:cs="Arial" w:eastAsia="Arial" w:hAnsi="Arial"/>
                <w:sz w:val="10"/>
                <w:szCs w:val="10"/>
                <w:color w:val="54585A"/>
                <w:w w:val="81"/>
              </w:rPr>
              <w:t>(3)</w:t>
            </w:r>
          </w:p>
        </w:tc>
        <w:tc>
          <w:tcPr>
            <w:tcW w:w="0" w:type="dxa"/>
            <w:vAlign w:val="bottom"/>
          </w:tcPr>
          <w:p>
            <w:pPr>
              <w:spacing w:after="0"/>
              <w:rPr>
                <w:sz w:val="1"/>
                <w:szCs w:val="1"/>
                <w:color w:val="auto"/>
              </w:rPr>
            </w:pPr>
          </w:p>
        </w:tc>
      </w:tr>
      <w:tr>
        <w:trPr>
          <w:trHeight w:val="80"/>
        </w:trPr>
        <w:tc>
          <w:tcPr>
            <w:tcW w:w="2820" w:type="dxa"/>
            <w:vAlign w:val="bottom"/>
            <w:tcBorders>
              <w:bottom w:val="single" w:sz="8" w:color="54585A"/>
            </w:tcBorders>
          </w:tcPr>
          <w:p>
            <w:pPr>
              <w:spacing w:after="0"/>
              <w:rPr>
                <w:sz w:val="6"/>
                <w:szCs w:val="6"/>
                <w:color w:val="auto"/>
              </w:rPr>
            </w:pPr>
          </w:p>
        </w:tc>
        <w:tc>
          <w:tcPr>
            <w:tcW w:w="100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1360" w:type="dxa"/>
            <w:vAlign w:val="bottom"/>
            <w:tcBorders>
              <w:bottom w:val="single" w:sz="8" w:color="54585A"/>
            </w:tcBorders>
          </w:tcPr>
          <w:p>
            <w:pPr>
              <w:spacing w:after="0"/>
              <w:rPr>
                <w:sz w:val="6"/>
                <w:szCs w:val="6"/>
                <w:color w:val="auto"/>
              </w:rPr>
            </w:pPr>
          </w:p>
        </w:tc>
        <w:tc>
          <w:tcPr>
            <w:tcW w:w="1680" w:type="dxa"/>
            <w:vAlign w:val="bottom"/>
            <w:tcBorders>
              <w:bottom w:val="single" w:sz="8" w:color="54585A"/>
            </w:tcBorders>
          </w:tcPr>
          <w:p>
            <w:pPr>
              <w:spacing w:after="0"/>
              <w:rPr>
                <w:sz w:val="6"/>
                <w:szCs w:val="6"/>
                <w:color w:val="auto"/>
              </w:rPr>
            </w:pPr>
          </w:p>
        </w:tc>
        <w:tc>
          <w:tcPr>
            <w:tcW w:w="34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08" w:hanging="208"/>
        <w:spacing w:after="0"/>
        <w:tabs>
          <w:tab w:leader="none" w:pos="208" w:val="left"/>
        </w:tabs>
        <w:numPr>
          <w:ilvl w:val="0"/>
          <w:numId w:val="52"/>
        </w:numPr>
        <w:rPr>
          <w:rFonts w:ascii="Arial" w:cs="Arial" w:eastAsia="Arial" w:hAnsi="Arial"/>
          <w:sz w:val="10"/>
          <w:szCs w:val="10"/>
          <w:color w:val="54585A"/>
        </w:rPr>
      </w:pPr>
      <w:r>
        <w:rPr>
          <w:rFonts w:ascii="Arial" w:cs="Arial" w:eastAsia="Arial" w:hAnsi="Arial"/>
          <w:sz w:val="10"/>
          <w:szCs w:val="10"/>
          <w:color w:val="54585A"/>
        </w:rPr>
        <w:t>The Company's stock price on the date of the grant was $1.27. Represents bonus payments earned related to 2021 performance and granted in the form of restricted stock awards in March 2022. Awards vested immediately.</w:t>
      </w:r>
    </w:p>
    <w:p>
      <w:pPr>
        <w:spacing w:after="0" w:line="74" w:lineRule="exact"/>
        <w:rPr>
          <w:rFonts w:ascii="Arial" w:cs="Arial" w:eastAsia="Arial" w:hAnsi="Arial"/>
          <w:sz w:val="10"/>
          <w:szCs w:val="10"/>
          <w:color w:val="54585A"/>
        </w:rPr>
      </w:pPr>
    </w:p>
    <w:p>
      <w:pPr>
        <w:ind w:left="208" w:hanging="208"/>
        <w:spacing w:after="0"/>
        <w:tabs>
          <w:tab w:leader="none" w:pos="208" w:val="left"/>
        </w:tabs>
        <w:numPr>
          <w:ilvl w:val="0"/>
          <w:numId w:val="52"/>
        </w:numPr>
        <w:rPr>
          <w:rFonts w:ascii="Arial" w:cs="Arial" w:eastAsia="Arial" w:hAnsi="Arial"/>
          <w:sz w:val="10"/>
          <w:szCs w:val="10"/>
          <w:color w:val="54585A"/>
        </w:rPr>
      </w:pPr>
      <w:r>
        <w:rPr>
          <w:rFonts w:ascii="Arial" w:cs="Arial" w:eastAsia="Arial" w:hAnsi="Arial"/>
          <w:sz w:val="10"/>
          <w:szCs w:val="10"/>
          <w:color w:val="54585A"/>
        </w:rPr>
        <w:t>Restricted Stock Award granted pursuant to our 2006 Equity Incentive Plan. The Company's stock price on the date of the grant was $1.90. Awards vest two-third on grant date and the remaining one-third vests in November 2023.</w:t>
      </w:r>
    </w:p>
    <w:p>
      <w:pPr>
        <w:spacing w:after="0" w:line="62" w:lineRule="exact"/>
        <w:rPr>
          <w:rFonts w:ascii="Arial" w:cs="Arial" w:eastAsia="Arial" w:hAnsi="Arial"/>
          <w:sz w:val="10"/>
          <w:szCs w:val="10"/>
          <w:color w:val="54585A"/>
        </w:rPr>
      </w:pPr>
    </w:p>
    <w:p>
      <w:pPr>
        <w:ind w:left="208" w:hanging="208"/>
        <w:spacing w:after="0"/>
        <w:tabs>
          <w:tab w:leader="none" w:pos="208" w:val="left"/>
        </w:tabs>
        <w:numPr>
          <w:ilvl w:val="0"/>
          <w:numId w:val="52"/>
        </w:numPr>
        <w:rPr>
          <w:rFonts w:ascii="Arial" w:cs="Arial" w:eastAsia="Arial" w:hAnsi="Arial"/>
          <w:sz w:val="10"/>
          <w:szCs w:val="10"/>
          <w:color w:val="54585A"/>
        </w:rPr>
      </w:pPr>
      <w:r>
        <w:rPr>
          <w:rFonts w:ascii="Arial" w:cs="Arial" w:eastAsia="Arial" w:hAnsi="Arial"/>
          <w:sz w:val="10"/>
          <w:szCs w:val="10"/>
          <w:color w:val="54585A"/>
        </w:rPr>
        <w:t>Restricted Stock Award granted pursuant to our 2006 Equity Incentive Plan. The Company's stock price on the date of the grant was $1.77. Awards vest one-third on grant date, one-third in December 2023, and one-third in December 2024</w:t>
      </w:r>
      <w:r>
        <w:rPr>
          <w:rFonts w:ascii="Arial" w:cs="Arial" w:eastAsia="Arial" w:hAnsi="Arial"/>
          <w:sz w:val="11"/>
          <w:szCs w:val="11"/>
          <w:color w:val="FF0090"/>
        </w:rPr>
        <w:t>.</w:t>
      </w:r>
    </w:p>
    <w:p>
      <w:pPr>
        <w:spacing w:after="0" w:line="101" w:lineRule="exact"/>
        <w:rPr>
          <w:rFonts w:ascii="Arial" w:cs="Arial" w:eastAsia="Arial" w:hAnsi="Arial"/>
          <w:sz w:val="10"/>
          <w:szCs w:val="10"/>
          <w:color w:val="54585A"/>
        </w:rPr>
      </w:pPr>
    </w:p>
    <w:p>
      <w:pPr>
        <w:ind w:left="208" w:hanging="208"/>
        <w:spacing w:after="0"/>
        <w:tabs>
          <w:tab w:leader="none" w:pos="208" w:val="left"/>
        </w:tabs>
        <w:numPr>
          <w:ilvl w:val="0"/>
          <w:numId w:val="52"/>
        </w:numPr>
        <w:rPr>
          <w:rFonts w:ascii="Arial" w:cs="Arial" w:eastAsia="Arial" w:hAnsi="Arial"/>
          <w:sz w:val="10"/>
          <w:szCs w:val="10"/>
          <w:color w:val="54585A"/>
        </w:rPr>
      </w:pPr>
      <w:r>
        <w:rPr>
          <w:rFonts w:ascii="Arial" w:cs="Arial" w:eastAsia="Arial" w:hAnsi="Arial"/>
          <w:sz w:val="10"/>
          <w:szCs w:val="10"/>
          <w:color w:val="54585A"/>
        </w:rPr>
        <w:t>Restricted Stock Award granted pursuant to our 2006 Equity Incentive Plan. The Company's stock price on the date of the grant was $1.90. Awards vest in November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205105</wp:posOffset>
            </wp:positionV>
            <wp:extent cx="17145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78" w:lineRule="exact"/>
        <w:rPr>
          <w:sz w:val="20"/>
          <w:szCs w:val="20"/>
          <w:color w:val="auto"/>
        </w:rPr>
      </w:pPr>
    </w:p>
    <w:p>
      <w:pPr>
        <w:ind w:left="9668"/>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30" w:name="page31"/>
    <w:bookmarkEnd w:id="30"/>
    <w:p>
      <w:pPr>
        <w:ind w:left="68" w:hanging="68"/>
        <w:spacing w:after="0"/>
        <w:tabs>
          <w:tab w:leader="none" w:pos="68" w:val="left"/>
        </w:tabs>
        <w:numPr>
          <w:ilvl w:val="0"/>
          <w:numId w:val="53"/>
        </w:numPr>
        <w:rPr>
          <w:rFonts w:ascii="Arial" w:cs="Arial" w:eastAsia="Arial" w:hAnsi="Arial"/>
          <w:sz w:val="12"/>
          <w:szCs w:val="12"/>
          <w:b w:val="1"/>
          <w:bCs w:val="1"/>
          <w:color w:val="EB6C10"/>
        </w:rPr>
      </w:pPr>
      <w:r>
        <w:rPr>
          <w:rFonts w:ascii="Arial" w:cs="Arial" w:eastAsia="Arial" w:hAnsi="Arial"/>
          <w:sz w:val="10"/>
          <w:szCs w:val="10"/>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Outstanding Equity Awards at 2022 Fiscal Year-End</w:t>
      </w:r>
    </w:p>
    <w:p>
      <w:pPr>
        <w:spacing w:after="0" w:line="76" w:lineRule="exact"/>
        <w:rPr>
          <w:sz w:val="20"/>
          <w:szCs w:val="20"/>
          <w:color w:val="auto"/>
        </w:rPr>
      </w:pPr>
    </w:p>
    <w:p>
      <w:pPr>
        <w:jc w:val="both"/>
        <w:ind w:left="8" w:right="140"/>
        <w:spacing w:after="0" w:line="319" w:lineRule="auto"/>
        <w:rPr>
          <w:sz w:val="20"/>
          <w:szCs w:val="20"/>
          <w:color w:val="auto"/>
        </w:rPr>
      </w:pPr>
      <w:r>
        <w:rPr>
          <w:rFonts w:ascii="Arial" w:cs="Arial" w:eastAsia="Arial" w:hAnsi="Arial"/>
          <w:sz w:val="11"/>
          <w:szCs w:val="11"/>
          <w:color w:val="54585A"/>
        </w:rPr>
        <w:t>The following table reports, on an award-by-award basis, each outstanding equity award held by the named executive officers on December 31, 2022. We generally do not permit executive officers to transfer awards prior to the vesting date, and no transfers were permitted during 2022. In connection with his service as an executive officer of the Company, Mr. Monroe does not have any outstanding equity awards at 2022 fiscal year-end and is not included in the table below.</w:t>
      </w:r>
    </w:p>
    <w:p>
      <w:pPr>
        <w:spacing w:after="0" w:line="106"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1920" w:type="dxa"/>
            <w:vAlign w:val="bottom"/>
            <w:tcBorders>
              <w:bottom w:val="single" w:sz="8" w:color="EEEDED"/>
            </w:tcBorders>
            <w:shd w:val="clear" w:color="auto" w:fill="EEEDED"/>
          </w:tcPr>
          <w:p>
            <w:pPr>
              <w:spacing w:after="0"/>
              <w:rPr>
                <w:sz w:val="13"/>
                <w:szCs w:val="13"/>
                <w:color w:val="auto"/>
              </w:rPr>
            </w:pPr>
          </w:p>
        </w:tc>
        <w:tc>
          <w:tcPr>
            <w:tcW w:w="1060" w:type="dxa"/>
            <w:vAlign w:val="bottom"/>
            <w:tcBorders>
              <w:bottom w:val="single" w:sz="8" w:color="54585A"/>
            </w:tcBorders>
            <w:shd w:val="clear" w:color="auto" w:fill="EEEDED"/>
          </w:tcPr>
          <w:p>
            <w:pPr>
              <w:spacing w:after="0"/>
              <w:rPr>
                <w:sz w:val="13"/>
                <w:szCs w:val="13"/>
                <w:color w:val="auto"/>
              </w:rPr>
            </w:pPr>
          </w:p>
        </w:tc>
        <w:tc>
          <w:tcPr>
            <w:tcW w:w="1300" w:type="dxa"/>
            <w:vAlign w:val="bottom"/>
            <w:tcBorders>
              <w:bottom w:val="single" w:sz="8" w:color="54585A"/>
            </w:tcBorders>
            <w:shd w:val="clear" w:color="auto" w:fill="EEEDED"/>
          </w:tcPr>
          <w:p>
            <w:pPr>
              <w:spacing w:after="0"/>
              <w:rPr>
                <w:sz w:val="13"/>
                <w:szCs w:val="13"/>
                <w:color w:val="auto"/>
              </w:rPr>
            </w:pPr>
          </w:p>
        </w:tc>
        <w:tc>
          <w:tcPr>
            <w:tcW w:w="1600" w:type="dxa"/>
            <w:vAlign w:val="bottom"/>
            <w:tcBorders>
              <w:bottom w:val="single" w:sz="8" w:color="54585A"/>
            </w:tcBorders>
            <w:shd w:val="clear" w:color="auto" w:fill="EEEDED"/>
          </w:tcPr>
          <w:p>
            <w:pPr>
              <w:ind w:left="140"/>
              <w:spacing w:after="0"/>
              <w:rPr>
                <w:sz w:val="20"/>
                <w:szCs w:val="20"/>
                <w:color w:val="auto"/>
              </w:rPr>
            </w:pPr>
            <w:r>
              <w:rPr>
                <w:rFonts w:ascii="Arial" w:cs="Arial" w:eastAsia="Arial" w:hAnsi="Arial"/>
                <w:sz w:val="10"/>
                <w:szCs w:val="10"/>
                <w:b w:val="1"/>
                <w:bCs w:val="1"/>
                <w:color w:val="54585A"/>
              </w:rPr>
              <w:t>Option Awards</w:t>
            </w:r>
          </w:p>
        </w:tc>
        <w:tc>
          <w:tcPr>
            <w:tcW w:w="720" w:type="dxa"/>
            <w:vAlign w:val="bottom"/>
            <w:tcBorders>
              <w:bottom w:val="single" w:sz="8" w:color="54585A"/>
            </w:tcBorders>
            <w:shd w:val="clear" w:color="auto" w:fill="EEEDED"/>
          </w:tcPr>
          <w:p>
            <w:pPr>
              <w:spacing w:after="0"/>
              <w:rPr>
                <w:sz w:val="13"/>
                <w:szCs w:val="13"/>
                <w:color w:val="auto"/>
              </w:rPr>
            </w:pPr>
          </w:p>
        </w:tc>
        <w:tc>
          <w:tcPr>
            <w:tcW w:w="1020" w:type="dxa"/>
            <w:vAlign w:val="bottom"/>
            <w:tcBorders>
              <w:bottom w:val="single" w:sz="8" w:color="54585A"/>
              <w:right w:val="single" w:sz="8" w:color="54585A"/>
            </w:tcBorders>
            <w:shd w:val="clear" w:color="auto" w:fill="EEEDED"/>
          </w:tcPr>
          <w:p>
            <w:pPr>
              <w:spacing w:after="0"/>
              <w:rPr>
                <w:sz w:val="13"/>
                <w:szCs w:val="13"/>
                <w:color w:val="auto"/>
              </w:rPr>
            </w:pPr>
          </w:p>
        </w:tc>
        <w:tc>
          <w:tcPr>
            <w:tcW w:w="940" w:type="dxa"/>
            <w:vAlign w:val="bottom"/>
            <w:tcBorders>
              <w:bottom w:val="single" w:sz="8" w:color="54585A"/>
            </w:tcBorders>
            <w:shd w:val="clear" w:color="auto" w:fill="EEEDED"/>
          </w:tcPr>
          <w:p>
            <w:pPr>
              <w:spacing w:after="0"/>
              <w:rPr>
                <w:sz w:val="13"/>
                <w:szCs w:val="13"/>
                <w:color w:val="auto"/>
              </w:rPr>
            </w:pPr>
          </w:p>
        </w:tc>
        <w:tc>
          <w:tcPr>
            <w:tcW w:w="1380" w:type="dxa"/>
            <w:vAlign w:val="bottom"/>
            <w:tcBorders>
              <w:bottom w:val="single" w:sz="8" w:color="54585A"/>
            </w:tcBorders>
            <w:shd w:val="clear" w:color="auto" w:fill="EEEDED"/>
          </w:tcPr>
          <w:p>
            <w:pPr>
              <w:jc w:val="right"/>
              <w:ind w:right="92"/>
              <w:spacing w:after="0"/>
              <w:rPr>
                <w:sz w:val="20"/>
                <w:szCs w:val="20"/>
                <w:color w:val="auto"/>
              </w:rPr>
            </w:pPr>
            <w:r>
              <w:rPr>
                <w:rFonts w:ascii="Arial" w:cs="Arial" w:eastAsia="Arial" w:hAnsi="Arial"/>
                <w:sz w:val="10"/>
                <w:szCs w:val="10"/>
                <w:b w:val="1"/>
                <w:bCs w:val="1"/>
                <w:color w:val="54585A"/>
              </w:rPr>
              <w:t>Stock Awards</w:t>
            </w:r>
            <w:r>
              <w:rPr>
                <w:rFonts w:ascii="Arial" w:cs="Arial" w:eastAsia="Arial" w:hAnsi="Arial"/>
                <w:sz w:val="12"/>
                <w:szCs w:val="12"/>
                <w:b w:val="1"/>
                <w:bCs w:val="1"/>
                <w:color w:val="54585A"/>
                <w:vertAlign w:val="superscript"/>
              </w:rPr>
              <w:t>(1)</w:t>
            </w:r>
          </w:p>
        </w:tc>
        <w:tc>
          <w:tcPr>
            <w:tcW w:w="1220" w:type="dxa"/>
            <w:vAlign w:val="bottom"/>
            <w:tcBorders>
              <w:bottom w:val="single" w:sz="8" w:color="54585A"/>
            </w:tcBorders>
            <w:shd w:val="clear" w:color="auto" w:fill="EEEDED"/>
          </w:tcPr>
          <w:p>
            <w:pPr>
              <w:spacing w:after="0"/>
              <w:rPr>
                <w:sz w:val="13"/>
                <w:szCs w:val="13"/>
                <w:color w:val="auto"/>
              </w:rPr>
            </w:pPr>
          </w:p>
        </w:tc>
        <w:tc>
          <w:tcPr>
            <w:tcW w:w="140" w:type="dxa"/>
            <w:vAlign w:val="bottom"/>
            <w:tcBorders>
              <w:bottom w:val="single" w:sz="8" w:color="54585A"/>
            </w:tcBorders>
            <w:shd w:val="clear" w:color="auto" w:fill="EEEDED"/>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920" w:type="dxa"/>
            <w:vAlign w:val="bottom"/>
            <w:shd w:val="clear" w:color="auto" w:fill="EEEDED"/>
          </w:tcPr>
          <w:p>
            <w:pPr>
              <w:spacing w:after="0"/>
              <w:rPr>
                <w:sz w:val="10"/>
                <w:szCs w:val="10"/>
                <w:color w:val="auto"/>
              </w:rPr>
            </w:pPr>
          </w:p>
        </w:tc>
        <w:tc>
          <w:tcPr>
            <w:tcW w:w="1060" w:type="dxa"/>
            <w:vAlign w:val="bottom"/>
            <w:shd w:val="clear" w:color="auto" w:fill="EEEDED"/>
          </w:tcPr>
          <w:p>
            <w:pPr>
              <w:spacing w:after="0"/>
              <w:rPr>
                <w:sz w:val="10"/>
                <w:szCs w:val="10"/>
                <w:color w:val="auto"/>
              </w:rPr>
            </w:pPr>
          </w:p>
        </w:tc>
        <w:tc>
          <w:tcPr>
            <w:tcW w:w="1300" w:type="dxa"/>
            <w:vAlign w:val="bottom"/>
            <w:shd w:val="clear" w:color="auto" w:fill="EEEDED"/>
          </w:tcPr>
          <w:p>
            <w:pPr>
              <w:jc w:val="right"/>
              <w:ind w:right="92"/>
              <w:spacing w:after="0"/>
              <w:rPr>
                <w:sz w:val="20"/>
                <w:szCs w:val="20"/>
                <w:color w:val="auto"/>
              </w:rPr>
            </w:pPr>
            <w:r>
              <w:rPr>
                <w:rFonts w:ascii="Arial" w:cs="Arial" w:eastAsia="Arial" w:hAnsi="Arial"/>
                <w:sz w:val="10"/>
                <w:szCs w:val="10"/>
                <w:b w:val="1"/>
                <w:bCs w:val="1"/>
                <w:color w:val="54585A"/>
              </w:rPr>
              <w:t>Number of</w:t>
            </w:r>
          </w:p>
        </w:tc>
        <w:tc>
          <w:tcPr>
            <w:tcW w:w="1600" w:type="dxa"/>
            <w:vAlign w:val="bottom"/>
            <w:shd w:val="clear" w:color="auto" w:fill="EEEDED"/>
          </w:tcPr>
          <w:p>
            <w:pPr>
              <w:spacing w:after="0"/>
              <w:rPr>
                <w:sz w:val="10"/>
                <w:szCs w:val="10"/>
                <w:color w:val="auto"/>
              </w:rPr>
            </w:pPr>
          </w:p>
        </w:tc>
        <w:tc>
          <w:tcPr>
            <w:tcW w:w="720" w:type="dxa"/>
            <w:vAlign w:val="bottom"/>
            <w:shd w:val="clear" w:color="auto" w:fill="EEEDED"/>
          </w:tcPr>
          <w:p>
            <w:pPr>
              <w:spacing w:after="0"/>
              <w:rPr>
                <w:sz w:val="10"/>
                <w:szCs w:val="10"/>
                <w:color w:val="auto"/>
              </w:rPr>
            </w:pPr>
          </w:p>
        </w:tc>
        <w:tc>
          <w:tcPr>
            <w:tcW w:w="1020" w:type="dxa"/>
            <w:vAlign w:val="bottom"/>
            <w:tcBorders>
              <w:right w:val="single" w:sz="8" w:color="54585A"/>
            </w:tcBorders>
            <w:shd w:val="clear" w:color="auto" w:fill="EEEDED"/>
          </w:tcPr>
          <w:p>
            <w:pPr>
              <w:spacing w:after="0"/>
              <w:rPr>
                <w:sz w:val="10"/>
                <w:szCs w:val="10"/>
                <w:color w:val="auto"/>
              </w:rPr>
            </w:pPr>
          </w:p>
        </w:tc>
        <w:tc>
          <w:tcPr>
            <w:tcW w:w="940" w:type="dxa"/>
            <w:vAlign w:val="bottom"/>
            <w:shd w:val="clear" w:color="auto" w:fill="EEEDED"/>
          </w:tcPr>
          <w:p>
            <w:pPr>
              <w:spacing w:after="0"/>
              <w:rPr>
                <w:sz w:val="10"/>
                <w:szCs w:val="10"/>
                <w:color w:val="auto"/>
              </w:rPr>
            </w:pPr>
          </w:p>
        </w:tc>
        <w:tc>
          <w:tcPr>
            <w:tcW w:w="1380" w:type="dxa"/>
            <w:vAlign w:val="bottom"/>
            <w:shd w:val="clear" w:color="auto" w:fill="EEEDED"/>
          </w:tcPr>
          <w:p>
            <w:pPr>
              <w:spacing w:after="0"/>
              <w:rPr>
                <w:sz w:val="10"/>
                <w:szCs w:val="10"/>
                <w:color w:val="auto"/>
              </w:rPr>
            </w:pPr>
          </w:p>
        </w:tc>
        <w:tc>
          <w:tcPr>
            <w:tcW w:w="1220" w:type="dxa"/>
            <w:vAlign w:val="bottom"/>
            <w:shd w:val="clear" w:color="auto" w:fill="EEEDED"/>
          </w:tcPr>
          <w:p>
            <w:pPr>
              <w:spacing w:after="0"/>
              <w:rPr>
                <w:sz w:val="10"/>
                <w:szCs w:val="10"/>
                <w:color w:val="auto"/>
              </w:rPr>
            </w:pPr>
          </w:p>
        </w:tc>
        <w:tc>
          <w:tcPr>
            <w:tcW w:w="140" w:type="dxa"/>
            <w:vAlign w:val="bottom"/>
            <w:shd w:val="clear" w:color="auto" w:fill="EEEDED"/>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20" w:type="dxa"/>
            <w:vAlign w:val="bottom"/>
            <w:shd w:val="clear" w:color="auto" w:fill="EEEDED"/>
          </w:tcPr>
          <w:p>
            <w:pPr>
              <w:spacing w:after="0"/>
              <w:rPr>
                <w:sz w:val="9"/>
                <w:szCs w:val="9"/>
                <w:color w:val="auto"/>
              </w:rPr>
            </w:pPr>
          </w:p>
        </w:tc>
        <w:tc>
          <w:tcPr>
            <w:tcW w:w="1060" w:type="dxa"/>
            <w:vAlign w:val="bottom"/>
            <w:shd w:val="clear" w:color="auto" w:fill="EEEDED"/>
          </w:tcPr>
          <w:p>
            <w:pPr>
              <w:spacing w:after="0"/>
              <w:rPr>
                <w:sz w:val="9"/>
                <w:szCs w:val="9"/>
                <w:color w:val="auto"/>
              </w:rPr>
            </w:pPr>
          </w:p>
        </w:tc>
        <w:tc>
          <w:tcPr>
            <w:tcW w:w="1300" w:type="dxa"/>
            <w:vAlign w:val="bottom"/>
            <w:shd w:val="clear" w:color="auto" w:fill="EEEDED"/>
          </w:tcPr>
          <w:p>
            <w:pPr>
              <w:jc w:val="right"/>
              <w:ind w:right="92"/>
              <w:spacing w:after="0" w:line="108" w:lineRule="exact"/>
              <w:rPr>
                <w:sz w:val="20"/>
                <w:szCs w:val="20"/>
                <w:color w:val="auto"/>
              </w:rPr>
            </w:pPr>
            <w:r>
              <w:rPr>
                <w:rFonts w:ascii="Arial" w:cs="Arial" w:eastAsia="Arial" w:hAnsi="Arial"/>
                <w:sz w:val="10"/>
                <w:szCs w:val="10"/>
                <w:b w:val="1"/>
                <w:bCs w:val="1"/>
                <w:color w:val="54585A"/>
              </w:rPr>
              <w:t>Securities</w:t>
            </w:r>
          </w:p>
        </w:tc>
        <w:tc>
          <w:tcPr>
            <w:tcW w:w="1600" w:type="dxa"/>
            <w:vAlign w:val="bottom"/>
            <w:shd w:val="clear" w:color="auto" w:fill="EEEDED"/>
          </w:tcPr>
          <w:p>
            <w:pPr>
              <w:spacing w:after="0"/>
              <w:rPr>
                <w:sz w:val="9"/>
                <w:szCs w:val="9"/>
                <w:color w:val="auto"/>
              </w:rPr>
            </w:pPr>
          </w:p>
        </w:tc>
        <w:tc>
          <w:tcPr>
            <w:tcW w:w="720" w:type="dxa"/>
            <w:vAlign w:val="bottom"/>
            <w:shd w:val="clear" w:color="auto" w:fill="EEEDED"/>
          </w:tcPr>
          <w:p>
            <w:pPr>
              <w:spacing w:after="0"/>
              <w:rPr>
                <w:sz w:val="9"/>
                <w:szCs w:val="9"/>
                <w:color w:val="auto"/>
              </w:rPr>
            </w:pPr>
          </w:p>
        </w:tc>
        <w:tc>
          <w:tcPr>
            <w:tcW w:w="1020" w:type="dxa"/>
            <w:vAlign w:val="bottom"/>
            <w:tcBorders>
              <w:right w:val="single" w:sz="8" w:color="54585A"/>
            </w:tcBorders>
            <w:shd w:val="clear" w:color="auto" w:fill="EEEDED"/>
          </w:tcPr>
          <w:p>
            <w:pPr>
              <w:spacing w:after="0"/>
              <w:rPr>
                <w:sz w:val="9"/>
                <w:szCs w:val="9"/>
                <w:color w:val="auto"/>
              </w:rPr>
            </w:pPr>
          </w:p>
        </w:tc>
        <w:tc>
          <w:tcPr>
            <w:tcW w:w="940" w:type="dxa"/>
            <w:vAlign w:val="bottom"/>
            <w:shd w:val="clear" w:color="auto" w:fill="EEEDED"/>
          </w:tcPr>
          <w:p>
            <w:pPr>
              <w:spacing w:after="0"/>
              <w:rPr>
                <w:sz w:val="9"/>
                <w:szCs w:val="9"/>
                <w:color w:val="auto"/>
              </w:rPr>
            </w:pPr>
          </w:p>
        </w:tc>
        <w:tc>
          <w:tcPr>
            <w:tcW w:w="1380" w:type="dxa"/>
            <w:vAlign w:val="bottom"/>
            <w:shd w:val="clear" w:color="auto" w:fill="EEEDED"/>
          </w:tcPr>
          <w:p>
            <w:pPr>
              <w:spacing w:after="0"/>
              <w:rPr>
                <w:sz w:val="9"/>
                <w:szCs w:val="9"/>
                <w:color w:val="auto"/>
              </w:rPr>
            </w:pPr>
          </w:p>
        </w:tc>
        <w:tc>
          <w:tcPr>
            <w:tcW w:w="1220" w:type="dxa"/>
            <w:vAlign w:val="bottom"/>
            <w:shd w:val="clear" w:color="auto" w:fill="EEEDED"/>
          </w:tcPr>
          <w:p>
            <w:pPr>
              <w:spacing w:after="0"/>
              <w:rPr>
                <w:sz w:val="9"/>
                <w:szCs w:val="9"/>
                <w:color w:val="auto"/>
              </w:rPr>
            </w:pPr>
          </w:p>
        </w:tc>
        <w:tc>
          <w:tcPr>
            <w:tcW w:w="140" w:type="dxa"/>
            <w:vAlign w:val="bottom"/>
            <w:shd w:val="clear" w:color="auto" w:fill="EEEDED"/>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920" w:type="dxa"/>
            <w:vAlign w:val="bottom"/>
            <w:shd w:val="clear" w:color="auto" w:fill="EEEDED"/>
          </w:tcPr>
          <w:p>
            <w:pPr>
              <w:spacing w:after="0"/>
              <w:rPr>
                <w:sz w:val="10"/>
                <w:szCs w:val="10"/>
                <w:color w:val="auto"/>
              </w:rPr>
            </w:pPr>
          </w:p>
        </w:tc>
        <w:tc>
          <w:tcPr>
            <w:tcW w:w="1060" w:type="dxa"/>
            <w:vAlign w:val="bottom"/>
            <w:shd w:val="clear" w:color="auto" w:fill="EEEDED"/>
          </w:tcPr>
          <w:p>
            <w:pPr>
              <w:spacing w:after="0"/>
              <w:rPr>
                <w:sz w:val="10"/>
                <w:szCs w:val="10"/>
                <w:color w:val="auto"/>
              </w:rPr>
            </w:pPr>
          </w:p>
        </w:tc>
        <w:tc>
          <w:tcPr>
            <w:tcW w:w="1300" w:type="dxa"/>
            <w:vAlign w:val="bottom"/>
            <w:shd w:val="clear" w:color="auto" w:fill="EEEDED"/>
          </w:tcPr>
          <w:p>
            <w:pPr>
              <w:jc w:val="right"/>
              <w:ind w:right="92"/>
              <w:spacing w:after="0"/>
              <w:rPr>
                <w:sz w:val="20"/>
                <w:szCs w:val="20"/>
                <w:color w:val="auto"/>
              </w:rPr>
            </w:pPr>
            <w:r>
              <w:rPr>
                <w:rFonts w:ascii="Arial" w:cs="Arial" w:eastAsia="Arial" w:hAnsi="Arial"/>
                <w:sz w:val="10"/>
                <w:szCs w:val="10"/>
                <w:b w:val="1"/>
                <w:bCs w:val="1"/>
                <w:color w:val="54585A"/>
              </w:rPr>
              <w:t>Underlying</w:t>
            </w:r>
          </w:p>
        </w:tc>
        <w:tc>
          <w:tcPr>
            <w:tcW w:w="1600" w:type="dxa"/>
            <w:vAlign w:val="bottom"/>
            <w:shd w:val="clear" w:color="auto" w:fill="EEEDED"/>
          </w:tcPr>
          <w:p>
            <w:pPr>
              <w:jc w:val="right"/>
              <w:ind w:right="212"/>
              <w:spacing w:after="0"/>
              <w:rPr>
                <w:sz w:val="20"/>
                <w:szCs w:val="20"/>
                <w:color w:val="auto"/>
              </w:rPr>
            </w:pPr>
            <w:r>
              <w:rPr>
                <w:rFonts w:ascii="Arial" w:cs="Arial" w:eastAsia="Arial" w:hAnsi="Arial"/>
                <w:sz w:val="10"/>
                <w:szCs w:val="10"/>
                <w:b w:val="1"/>
                <w:bCs w:val="1"/>
                <w:color w:val="54585A"/>
              </w:rPr>
              <w:t>Number of Securities</w:t>
            </w:r>
          </w:p>
        </w:tc>
        <w:tc>
          <w:tcPr>
            <w:tcW w:w="720" w:type="dxa"/>
            <w:vAlign w:val="bottom"/>
            <w:shd w:val="clear" w:color="auto" w:fill="EEEDED"/>
          </w:tcPr>
          <w:p>
            <w:pPr>
              <w:jc w:val="right"/>
              <w:ind w:right="12"/>
              <w:spacing w:after="0"/>
              <w:rPr>
                <w:sz w:val="20"/>
                <w:szCs w:val="20"/>
                <w:color w:val="auto"/>
              </w:rPr>
            </w:pPr>
            <w:r>
              <w:rPr>
                <w:rFonts w:ascii="Arial" w:cs="Arial" w:eastAsia="Arial" w:hAnsi="Arial"/>
                <w:sz w:val="10"/>
                <w:szCs w:val="10"/>
                <w:b w:val="1"/>
                <w:bCs w:val="1"/>
                <w:color w:val="54585A"/>
              </w:rPr>
              <w:t>Option</w:t>
            </w:r>
          </w:p>
        </w:tc>
        <w:tc>
          <w:tcPr>
            <w:tcW w:w="1020" w:type="dxa"/>
            <w:vAlign w:val="bottom"/>
            <w:tcBorders>
              <w:right w:val="single" w:sz="8" w:color="54585A"/>
            </w:tcBorders>
            <w:shd w:val="clear" w:color="auto" w:fill="EEEDED"/>
          </w:tcPr>
          <w:p>
            <w:pPr>
              <w:spacing w:after="0"/>
              <w:rPr>
                <w:sz w:val="10"/>
                <w:szCs w:val="10"/>
                <w:color w:val="auto"/>
              </w:rPr>
            </w:pPr>
          </w:p>
        </w:tc>
        <w:tc>
          <w:tcPr>
            <w:tcW w:w="940" w:type="dxa"/>
            <w:vAlign w:val="bottom"/>
            <w:shd w:val="clear" w:color="auto" w:fill="EEEDED"/>
          </w:tcPr>
          <w:p>
            <w:pPr>
              <w:spacing w:after="0"/>
              <w:rPr>
                <w:sz w:val="10"/>
                <w:szCs w:val="10"/>
                <w:color w:val="auto"/>
              </w:rPr>
            </w:pPr>
          </w:p>
        </w:tc>
        <w:tc>
          <w:tcPr>
            <w:tcW w:w="1380" w:type="dxa"/>
            <w:vAlign w:val="bottom"/>
            <w:shd w:val="clear" w:color="auto" w:fill="EEEDED"/>
          </w:tcPr>
          <w:p>
            <w:pPr>
              <w:spacing w:after="0"/>
              <w:rPr>
                <w:sz w:val="10"/>
                <w:szCs w:val="10"/>
                <w:color w:val="auto"/>
              </w:rPr>
            </w:pPr>
          </w:p>
        </w:tc>
        <w:tc>
          <w:tcPr>
            <w:tcW w:w="1360" w:type="dxa"/>
            <w:vAlign w:val="bottom"/>
            <w:gridSpan w:val="2"/>
            <w:shd w:val="clear" w:color="auto" w:fill="EEEDED"/>
          </w:tcPr>
          <w:p>
            <w:pPr>
              <w:jc w:val="right"/>
              <w:ind w:right="160"/>
              <w:spacing w:after="0"/>
              <w:rPr>
                <w:sz w:val="20"/>
                <w:szCs w:val="20"/>
                <w:color w:val="auto"/>
              </w:rPr>
            </w:pPr>
            <w:r>
              <w:rPr>
                <w:rFonts w:ascii="Arial" w:cs="Arial" w:eastAsia="Arial" w:hAnsi="Arial"/>
                <w:sz w:val="10"/>
                <w:szCs w:val="10"/>
                <w:b w:val="1"/>
                <w:bCs w:val="1"/>
                <w:color w:val="54585A"/>
                <w:w w:val="96"/>
              </w:rPr>
              <w:t>Market Value of Shares or</w:t>
            </w:r>
          </w:p>
        </w:tc>
        <w:tc>
          <w:tcPr>
            <w:tcW w:w="0" w:type="dxa"/>
            <w:vAlign w:val="bottom"/>
          </w:tcPr>
          <w:p>
            <w:pPr>
              <w:spacing w:after="0"/>
              <w:rPr>
                <w:sz w:val="1"/>
                <w:szCs w:val="1"/>
                <w:color w:val="auto"/>
              </w:rPr>
            </w:pPr>
          </w:p>
        </w:tc>
      </w:tr>
      <w:tr>
        <w:trPr>
          <w:trHeight w:val="117"/>
        </w:trPr>
        <w:tc>
          <w:tcPr>
            <w:tcW w:w="1920" w:type="dxa"/>
            <w:vAlign w:val="bottom"/>
            <w:shd w:val="clear" w:color="auto" w:fill="EEEDED"/>
          </w:tcPr>
          <w:p>
            <w:pPr>
              <w:spacing w:after="0"/>
              <w:rPr>
                <w:sz w:val="10"/>
                <w:szCs w:val="10"/>
                <w:color w:val="auto"/>
              </w:rPr>
            </w:pPr>
          </w:p>
        </w:tc>
        <w:tc>
          <w:tcPr>
            <w:tcW w:w="1060" w:type="dxa"/>
            <w:vAlign w:val="bottom"/>
            <w:shd w:val="clear" w:color="auto" w:fill="EEEDED"/>
          </w:tcPr>
          <w:p>
            <w:pPr>
              <w:spacing w:after="0"/>
              <w:rPr>
                <w:sz w:val="10"/>
                <w:szCs w:val="10"/>
                <w:color w:val="auto"/>
              </w:rPr>
            </w:pPr>
          </w:p>
        </w:tc>
        <w:tc>
          <w:tcPr>
            <w:tcW w:w="1300" w:type="dxa"/>
            <w:vAlign w:val="bottom"/>
            <w:shd w:val="clear" w:color="auto" w:fill="EEEDED"/>
          </w:tcPr>
          <w:p>
            <w:pPr>
              <w:jc w:val="right"/>
              <w:ind w:right="92"/>
              <w:spacing w:after="0"/>
              <w:rPr>
                <w:sz w:val="20"/>
                <w:szCs w:val="20"/>
                <w:color w:val="auto"/>
              </w:rPr>
            </w:pPr>
            <w:r>
              <w:rPr>
                <w:rFonts w:ascii="Arial" w:cs="Arial" w:eastAsia="Arial" w:hAnsi="Arial"/>
                <w:sz w:val="10"/>
                <w:szCs w:val="10"/>
                <w:b w:val="1"/>
                <w:bCs w:val="1"/>
                <w:color w:val="54585A"/>
              </w:rPr>
              <w:t>Unexercised</w:t>
            </w:r>
          </w:p>
        </w:tc>
        <w:tc>
          <w:tcPr>
            <w:tcW w:w="1600" w:type="dxa"/>
            <w:vAlign w:val="bottom"/>
            <w:shd w:val="clear" w:color="auto" w:fill="EEEDED"/>
          </w:tcPr>
          <w:p>
            <w:pPr>
              <w:jc w:val="right"/>
              <w:ind w:right="212"/>
              <w:spacing w:after="0"/>
              <w:rPr>
                <w:sz w:val="20"/>
                <w:szCs w:val="20"/>
                <w:color w:val="auto"/>
              </w:rPr>
            </w:pPr>
            <w:r>
              <w:rPr>
                <w:rFonts w:ascii="Arial" w:cs="Arial" w:eastAsia="Arial" w:hAnsi="Arial"/>
                <w:sz w:val="10"/>
                <w:szCs w:val="10"/>
                <w:b w:val="1"/>
                <w:bCs w:val="1"/>
                <w:color w:val="54585A"/>
              </w:rPr>
              <w:t>Underlying Unexercised</w:t>
            </w:r>
          </w:p>
        </w:tc>
        <w:tc>
          <w:tcPr>
            <w:tcW w:w="720" w:type="dxa"/>
            <w:vAlign w:val="bottom"/>
            <w:shd w:val="clear" w:color="auto" w:fill="EEEDED"/>
          </w:tcPr>
          <w:p>
            <w:pPr>
              <w:jc w:val="right"/>
              <w:ind w:right="12"/>
              <w:spacing w:after="0"/>
              <w:rPr>
                <w:sz w:val="20"/>
                <w:szCs w:val="20"/>
                <w:color w:val="auto"/>
              </w:rPr>
            </w:pPr>
            <w:r>
              <w:rPr>
                <w:rFonts w:ascii="Arial" w:cs="Arial" w:eastAsia="Arial" w:hAnsi="Arial"/>
                <w:sz w:val="10"/>
                <w:szCs w:val="10"/>
                <w:b w:val="1"/>
                <w:bCs w:val="1"/>
                <w:color w:val="54585A"/>
              </w:rPr>
              <w:t>Exercise</w:t>
            </w:r>
          </w:p>
        </w:tc>
        <w:tc>
          <w:tcPr>
            <w:tcW w:w="1020" w:type="dxa"/>
            <w:vAlign w:val="bottom"/>
            <w:tcBorders>
              <w:right w:val="single" w:sz="8" w:color="54585A"/>
            </w:tcBorders>
            <w:shd w:val="clear" w:color="auto" w:fill="EEEDED"/>
          </w:tcPr>
          <w:p>
            <w:pPr>
              <w:spacing w:after="0"/>
              <w:rPr>
                <w:sz w:val="10"/>
                <w:szCs w:val="10"/>
                <w:color w:val="auto"/>
              </w:rPr>
            </w:pPr>
          </w:p>
        </w:tc>
        <w:tc>
          <w:tcPr>
            <w:tcW w:w="940" w:type="dxa"/>
            <w:vAlign w:val="bottom"/>
            <w:shd w:val="clear" w:color="auto" w:fill="EEEDED"/>
          </w:tcPr>
          <w:p>
            <w:pPr>
              <w:spacing w:after="0"/>
              <w:rPr>
                <w:sz w:val="10"/>
                <w:szCs w:val="10"/>
                <w:color w:val="auto"/>
              </w:rPr>
            </w:pPr>
          </w:p>
        </w:tc>
        <w:tc>
          <w:tcPr>
            <w:tcW w:w="1380" w:type="dxa"/>
            <w:vAlign w:val="bottom"/>
            <w:shd w:val="clear" w:color="auto" w:fill="EEEDED"/>
          </w:tcPr>
          <w:p>
            <w:pPr>
              <w:jc w:val="right"/>
              <w:spacing w:after="0"/>
              <w:rPr>
                <w:sz w:val="20"/>
                <w:szCs w:val="20"/>
                <w:color w:val="auto"/>
              </w:rPr>
            </w:pPr>
            <w:r>
              <w:rPr>
                <w:rFonts w:ascii="Arial" w:cs="Arial" w:eastAsia="Arial" w:hAnsi="Arial"/>
                <w:sz w:val="10"/>
                <w:szCs w:val="10"/>
                <w:b w:val="1"/>
                <w:bCs w:val="1"/>
                <w:color w:val="54585A"/>
              </w:rPr>
              <w:t>Number of Shares or Units</w:t>
            </w:r>
          </w:p>
        </w:tc>
        <w:tc>
          <w:tcPr>
            <w:tcW w:w="1360" w:type="dxa"/>
            <w:vAlign w:val="bottom"/>
            <w:gridSpan w:val="2"/>
            <w:shd w:val="clear" w:color="auto" w:fill="EEEDED"/>
          </w:tcPr>
          <w:p>
            <w:pPr>
              <w:jc w:val="right"/>
              <w:ind w:right="160"/>
              <w:spacing w:after="0"/>
              <w:rPr>
                <w:sz w:val="20"/>
                <w:szCs w:val="20"/>
                <w:color w:val="auto"/>
              </w:rPr>
            </w:pPr>
            <w:r>
              <w:rPr>
                <w:rFonts w:ascii="Arial" w:cs="Arial" w:eastAsia="Arial" w:hAnsi="Arial"/>
                <w:sz w:val="10"/>
                <w:szCs w:val="10"/>
                <w:b w:val="1"/>
                <w:bCs w:val="1"/>
                <w:color w:val="54585A"/>
              </w:rPr>
              <w:t>Units of Stock That Have</w:t>
            </w:r>
          </w:p>
        </w:tc>
        <w:tc>
          <w:tcPr>
            <w:tcW w:w="0" w:type="dxa"/>
            <w:vAlign w:val="bottom"/>
          </w:tcPr>
          <w:p>
            <w:pPr>
              <w:spacing w:after="0"/>
              <w:rPr>
                <w:sz w:val="1"/>
                <w:szCs w:val="1"/>
                <w:color w:val="auto"/>
              </w:rPr>
            </w:pPr>
          </w:p>
        </w:tc>
      </w:tr>
      <w:tr>
        <w:trPr>
          <w:trHeight w:val="117"/>
        </w:trPr>
        <w:tc>
          <w:tcPr>
            <w:tcW w:w="1920" w:type="dxa"/>
            <w:vAlign w:val="bottom"/>
            <w:shd w:val="clear" w:color="auto" w:fill="EEEDED"/>
          </w:tcPr>
          <w:p>
            <w:pPr>
              <w:spacing w:after="0"/>
              <w:rPr>
                <w:sz w:val="10"/>
                <w:szCs w:val="10"/>
                <w:color w:val="auto"/>
              </w:rPr>
            </w:pPr>
          </w:p>
        </w:tc>
        <w:tc>
          <w:tcPr>
            <w:tcW w:w="1060" w:type="dxa"/>
            <w:vAlign w:val="bottom"/>
            <w:shd w:val="clear" w:color="auto" w:fill="EEEDED"/>
          </w:tcPr>
          <w:p>
            <w:pPr>
              <w:spacing w:after="0"/>
              <w:rPr>
                <w:sz w:val="10"/>
                <w:szCs w:val="10"/>
                <w:color w:val="auto"/>
              </w:rPr>
            </w:pPr>
          </w:p>
        </w:tc>
        <w:tc>
          <w:tcPr>
            <w:tcW w:w="1300" w:type="dxa"/>
            <w:vAlign w:val="bottom"/>
            <w:shd w:val="clear" w:color="auto" w:fill="EEEDED"/>
          </w:tcPr>
          <w:p>
            <w:pPr>
              <w:jc w:val="right"/>
              <w:ind w:right="92"/>
              <w:spacing w:after="0"/>
              <w:rPr>
                <w:sz w:val="20"/>
                <w:szCs w:val="20"/>
                <w:color w:val="auto"/>
              </w:rPr>
            </w:pPr>
            <w:r>
              <w:rPr>
                <w:rFonts w:ascii="Arial" w:cs="Arial" w:eastAsia="Arial" w:hAnsi="Arial"/>
                <w:sz w:val="10"/>
                <w:szCs w:val="10"/>
                <w:b w:val="1"/>
                <w:bCs w:val="1"/>
                <w:color w:val="54585A"/>
              </w:rPr>
              <w:t>Options</w:t>
            </w:r>
          </w:p>
        </w:tc>
        <w:tc>
          <w:tcPr>
            <w:tcW w:w="1600" w:type="dxa"/>
            <w:vAlign w:val="bottom"/>
            <w:shd w:val="clear" w:color="auto" w:fill="EEEDED"/>
          </w:tcPr>
          <w:p>
            <w:pPr>
              <w:jc w:val="right"/>
              <w:ind w:right="212"/>
              <w:spacing w:after="0"/>
              <w:rPr>
                <w:sz w:val="20"/>
                <w:szCs w:val="20"/>
                <w:color w:val="auto"/>
              </w:rPr>
            </w:pPr>
            <w:r>
              <w:rPr>
                <w:rFonts w:ascii="Arial" w:cs="Arial" w:eastAsia="Arial" w:hAnsi="Arial"/>
                <w:sz w:val="10"/>
                <w:szCs w:val="10"/>
                <w:b w:val="1"/>
                <w:bCs w:val="1"/>
                <w:color w:val="54585A"/>
              </w:rPr>
              <w:t>Options</w:t>
            </w:r>
          </w:p>
        </w:tc>
        <w:tc>
          <w:tcPr>
            <w:tcW w:w="720" w:type="dxa"/>
            <w:vAlign w:val="bottom"/>
            <w:shd w:val="clear" w:color="auto" w:fill="EEEDED"/>
          </w:tcPr>
          <w:p>
            <w:pPr>
              <w:jc w:val="right"/>
              <w:ind w:right="12"/>
              <w:spacing w:after="0"/>
              <w:rPr>
                <w:sz w:val="20"/>
                <w:szCs w:val="20"/>
                <w:color w:val="auto"/>
              </w:rPr>
            </w:pPr>
            <w:r>
              <w:rPr>
                <w:rFonts w:ascii="Arial" w:cs="Arial" w:eastAsia="Arial" w:hAnsi="Arial"/>
                <w:sz w:val="10"/>
                <w:szCs w:val="10"/>
                <w:b w:val="1"/>
                <w:bCs w:val="1"/>
                <w:color w:val="54585A"/>
              </w:rPr>
              <w:t>Price</w:t>
            </w:r>
          </w:p>
        </w:tc>
        <w:tc>
          <w:tcPr>
            <w:tcW w:w="1020" w:type="dxa"/>
            <w:vAlign w:val="bottom"/>
            <w:tcBorders>
              <w:right w:val="single" w:sz="8" w:color="54585A"/>
            </w:tcBorders>
            <w:shd w:val="clear" w:color="auto" w:fill="EEEDED"/>
          </w:tcPr>
          <w:p>
            <w:pPr>
              <w:jc w:val="center"/>
              <w:ind w:right="12"/>
              <w:spacing w:after="0"/>
              <w:rPr>
                <w:sz w:val="20"/>
                <w:szCs w:val="20"/>
                <w:color w:val="auto"/>
              </w:rPr>
            </w:pPr>
            <w:r>
              <w:rPr>
                <w:rFonts w:ascii="Arial" w:cs="Arial" w:eastAsia="Arial" w:hAnsi="Arial"/>
                <w:sz w:val="10"/>
                <w:szCs w:val="10"/>
                <w:b w:val="1"/>
                <w:bCs w:val="1"/>
                <w:color w:val="54585A"/>
                <w:w w:val="95"/>
              </w:rPr>
              <w:t>Option Expiration</w:t>
            </w:r>
          </w:p>
        </w:tc>
        <w:tc>
          <w:tcPr>
            <w:tcW w:w="940" w:type="dxa"/>
            <w:vAlign w:val="bottom"/>
            <w:shd w:val="clear" w:color="auto" w:fill="EEEDED"/>
          </w:tcPr>
          <w:p>
            <w:pPr>
              <w:jc w:val="center"/>
              <w:ind w:left="32"/>
              <w:spacing w:after="0"/>
              <w:rPr>
                <w:sz w:val="20"/>
                <w:szCs w:val="20"/>
                <w:color w:val="auto"/>
              </w:rPr>
            </w:pPr>
            <w:r>
              <w:rPr>
                <w:rFonts w:ascii="Arial" w:cs="Arial" w:eastAsia="Arial" w:hAnsi="Arial"/>
                <w:sz w:val="10"/>
                <w:szCs w:val="10"/>
                <w:b w:val="1"/>
                <w:bCs w:val="1"/>
                <w:color w:val="54585A"/>
                <w:w w:val="95"/>
              </w:rPr>
              <w:t>Stock Award</w:t>
            </w:r>
          </w:p>
        </w:tc>
        <w:tc>
          <w:tcPr>
            <w:tcW w:w="1380" w:type="dxa"/>
            <w:vAlign w:val="bottom"/>
            <w:shd w:val="clear" w:color="auto" w:fill="EEEDED"/>
          </w:tcPr>
          <w:p>
            <w:pPr>
              <w:jc w:val="right"/>
              <w:spacing w:after="0"/>
              <w:rPr>
                <w:sz w:val="20"/>
                <w:szCs w:val="20"/>
                <w:color w:val="auto"/>
              </w:rPr>
            </w:pPr>
            <w:r>
              <w:rPr>
                <w:rFonts w:ascii="Arial" w:cs="Arial" w:eastAsia="Arial" w:hAnsi="Arial"/>
                <w:sz w:val="10"/>
                <w:szCs w:val="10"/>
                <w:b w:val="1"/>
                <w:bCs w:val="1"/>
                <w:color w:val="54585A"/>
              </w:rPr>
              <w:t>of Stock That Have Not</w:t>
            </w:r>
          </w:p>
        </w:tc>
        <w:tc>
          <w:tcPr>
            <w:tcW w:w="1360" w:type="dxa"/>
            <w:vAlign w:val="bottom"/>
            <w:gridSpan w:val="2"/>
            <w:shd w:val="clear" w:color="auto" w:fill="EEEDED"/>
          </w:tcPr>
          <w:p>
            <w:pPr>
              <w:jc w:val="right"/>
              <w:ind w:right="160"/>
              <w:spacing w:after="0"/>
              <w:rPr>
                <w:sz w:val="20"/>
                <w:szCs w:val="20"/>
                <w:color w:val="auto"/>
              </w:rPr>
            </w:pPr>
            <w:r>
              <w:rPr>
                <w:rFonts w:ascii="Arial" w:cs="Arial" w:eastAsia="Arial" w:hAnsi="Arial"/>
                <w:sz w:val="10"/>
                <w:szCs w:val="10"/>
                <w:b w:val="1"/>
                <w:bCs w:val="1"/>
                <w:color w:val="54585A"/>
              </w:rPr>
              <w:t>Not Vested</w:t>
            </w:r>
          </w:p>
        </w:tc>
        <w:tc>
          <w:tcPr>
            <w:tcW w:w="0" w:type="dxa"/>
            <w:vAlign w:val="bottom"/>
          </w:tcPr>
          <w:p>
            <w:pPr>
              <w:spacing w:after="0"/>
              <w:rPr>
                <w:sz w:val="1"/>
                <w:szCs w:val="1"/>
                <w:color w:val="auto"/>
              </w:rPr>
            </w:pPr>
          </w:p>
        </w:tc>
      </w:tr>
      <w:tr>
        <w:trPr>
          <w:trHeight w:val="144"/>
        </w:trPr>
        <w:tc>
          <w:tcPr>
            <w:tcW w:w="1920" w:type="dxa"/>
            <w:vAlign w:val="bottom"/>
            <w:shd w:val="clear" w:color="auto" w:fill="EEEDED"/>
          </w:tcPr>
          <w:p>
            <w:pPr>
              <w:ind w:left="60"/>
              <w:spacing w:after="0"/>
              <w:rPr>
                <w:sz w:val="20"/>
                <w:szCs w:val="20"/>
                <w:color w:val="auto"/>
              </w:rPr>
            </w:pPr>
            <w:r>
              <w:rPr>
                <w:rFonts w:ascii="Arial" w:cs="Arial" w:eastAsia="Arial" w:hAnsi="Arial"/>
                <w:sz w:val="10"/>
                <w:szCs w:val="10"/>
                <w:b w:val="1"/>
                <w:bCs w:val="1"/>
                <w:color w:val="54585A"/>
              </w:rPr>
              <w:t>Name</w:t>
            </w:r>
          </w:p>
        </w:tc>
        <w:tc>
          <w:tcPr>
            <w:tcW w:w="1060" w:type="dxa"/>
            <w:vAlign w:val="bottom"/>
            <w:shd w:val="clear" w:color="auto" w:fill="EEEDED"/>
          </w:tcPr>
          <w:p>
            <w:pPr>
              <w:ind w:left="120"/>
              <w:spacing w:after="0"/>
              <w:rPr>
                <w:sz w:val="20"/>
                <w:szCs w:val="20"/>
                <w:color w:val="auto"/>
              </w:rPr>
            </w:pPr>
            <w:r>
              <w:rPr>
                <w:rFonts w:ascii="Arial" w:cs="Arial" w:eastAsia="Arial" w:hAnsi="Arial"/>
                <w:sz w:val="10"/>
                <w:szCs w:val="10"/>
                <w:b w:val="1"/>
                <w:bCs w:val="1"/>
                <w:color w:val="54585A"/>
              </w:rPr>
              <w:t>Option Grant Date</w:t>
            </w:r>
          </w:p>
        </w:tc>
        <w:tc>
          <w:tcPr>
            <w:tcW w:w="1300" w:type="dxa"/>
            <w:vAlign w:val="bottom"/>
            <w:shd w:val="clear" w:color="auto" w:fill="EEEDED"/>
          </w:tcPr>
          <w:p>
            <w:pPr>
              <w:jc w:val="right"/>
              <w:ind w:right="92"/>
              <w:spacing w:after="0"/>
              <w:rPr>
                <w:sz w:val="20"/>
                <w:szCs w:val="20"/>
                <w:color w:val="auto"/>
              </w:rPr>
            </w:pPr>
            <w:r>
              <w:rPr>
                <w:rFonts w:ascii="Arial" w:cs="Arial" w:eastAsia="Arial" w:hAnsi="Arial"/>
                <w:sz w:val="10"/>
                <w:szCs w:val="10"/>
                <w:b w:val="1"/>
                <w:bCs w:val="1"/>
                <w:color w:val="54585A"/>
              </w:rPr>
              <w:t>Exercisable</w:t>
            </w:r>
          </w:p>
        </w:tc>
        <w:tc>
          <w:tcPr>
            <w:tcW w:w="1600" w:type="dxa"/>
            <w:vAlign w:val="bottom"/>
            <w:shd w:val="clear" w:color="auto" w:fill="EEEDED"/>
          </w:tcPr>
          <w:p>
            <w:pPr>
              <w:jc w:val="right"/>
              <w:ind w:right="212"/>
              <w:spacing w:after="0"/>
              <w:rPr>
                <w:sz w:val="20"/>
                <w:szCs w:val="20"/>
                <w:color w:val="auto"/>
              </w:rPr>
            </w:pPr>
            <w:r>
              <w:rPr>
                <w:rFonts w:ascii="Arial" w:cs="Arial" w:eastAsia="Arial" w:hAnsi="Arial"/>
                <w:sz w:val="10"/>
                <w:szCs w:val="10"/>
                <w:b w:val="1"/>
                <w:bCs w:val="1"/>
                <w:color w:val="54585A"/>
              </w:rPr>
              <w:t>Unexercisable</w:t>
            </w:r>
            <w:r>
              <w:rPr>
                <w:rFonts w:ascii="Arial" w:cs="Arial" w:eastAsia="Arial" w:hAnsi="Arial"/>
                <w:sz w:val="12"/>
                <w:szCs w:val="12"/>
                <w:b w:val="1"/>
                <w:bCs w:val="1"/>
                <w:color w:val="54585A"/>
                <w:vertAlign w:val="superscript"/>
              </w:rPr>
              <w:t>(2)</w:t>
            </w:r>
          </w:p>
        </w:tc>
        <w:tc>
          <w:tcPr>
            <w:tcW w:w="720" w:type="dxa"/>
            <w:vAlign w:val="bottom"/>
            <w:shd w:val="clear" w:color="auto" w:fill="EEEDED"/>
          </w:tcPr>
          <w:p>
            <w:pPr>
              <w:jc w:val="right"/>
              <w:ind w:right="12"/>
              <w:spacing w:after="0"/>
              <w:rPr>
                <w:sz w:val="20"/>
                <w:szCs w:val="20"/>
                <w:color w:val="auto"/>
              </w:rPr>
            </w:pPr>
            <w:r>
              <w:rPr>
                <w:rFonts w:ascii="Arial" w:cs="Arial" w:eastAsia="Arial" w:hAnsi="Arial"/>
                <w:sz w:val="10"/>
                <w:szCs w:val="10"/>
                <w:b w:val="1"/>
                <w:bCs w:val="1"/>
                <w:color w:val="54585A"/>
              </w:rPr>
              <w:t>($)</w:t>
            </w:r>
          </w:p>
        </w:tc>
        <w:tc>
          <w:tcPr>
            <w:tcW w:w="1020" w:type="dxa"/>
            <w:vAlign w:val="bottom"/>
            <w:tcBorders>
              <w:right w:val="single" w:sz="8" w:color="54585A"/>
            </w:tcBorders>
            <w:shd w:val="clear" w:color="auto" w:fill="EEEDED"/>
          </w:tcPr>
          <w:p>
            <w:pPr>
              <w:jc w:val="center"/>
              <w:ind w:right="12"/>
              <w:spacing w:after="0"/>
              <w:rPr>
                <w:sz w:val="20"/>
                <w:szCs w:val="20"/>
                <w:color w:val="auto"/>
              </w:rPr>
            </w:pPr>
            <w:r>
              <w:rPr>
                <w:rFonts w:ascii="Arial" w:cs="Arial" w:eastAsia="Arial" w:hAnsi="Arial"/>
                <w:sz w:val="10"/>
                <w:szCs w:val="10"/>
                <w:b w:val="1"/>
                <w:bCs w:val="1"/>
                <w:color w:val="54585A"/>
                <w:w w:val="92"/>
              </w:rPr>
              <w:t>Date</w:t>
            </w:r>
          </w:p>
        </w:tc>
        <w:tc>
          <w:tcPr>
            <w:tcW w:w="940" w:type="dxa"/>
            <w:vAlign w:val="bottom"/>
            <w:shd w:val="clear" w:color="auto" w:fill="EEEDED"/>
          </w:tcPr>
          <w:p>
            <w:pPr>
              <w:jc w:val="center"/>
              <w:ind w:left="52"/>
              <w:spacing w:after="0"/>
              <w:rPr>
                <w:sz w:val="20"/>
                <w:szCs w:val="20"/>
                <w:color w:val="auto"/>
              </w:rPr>
            </w:pPr>
            <w:r>
              <w:rPr>
                <w:rFonts w:ascii="Arial" w:cs="Arial" w:eastAsia="Arial" w:hAnsi="Arial"/>
                <w:sz w:val="10"/>
                <w:szCs w:val="10"/>
                <w:b w:val="1"/>
                <w:bCs w:val="1"/>
                <w:color w:val="54585A"/>
                <w:w w:val="93"/>
              </w:rPr>
              <w:t>Grant Date</w:t>
            </w:r>
          </w:p>
        </w:tc>
        <w:tc>
          <w:tcPr>
            <w:tcW w:w="1380" w:type="dxa"/>
            <w:vAlign w:val="bottom"/>
            <w:shd w:val="clear" w:color="auto" w:fill="EEEDED"/>
          </w:tcPr>
          <w:p>
            <w:pPr>
              <w:jc w:val="right"/>
              <w:spacing w:after="0"/>
              <w:rPr>
                <w:sz w:val="20"/>
                <w:szCs w:val="20"/>
                <w:color w:val="auto"/>
              </w:rPr>
            </w:pPr>
            <w:r>
              <w:rPr>
                <w:rFonts w:ascii="Arial" w:cs="Arial" w:eastAsia="Arial" w:hAnsi="Arial"/>
                <w:sz w:val="10"/>
                <w:szCs w:val="10"/>
                <w:b w:val="1"/>
                <w:bCs w:val="1"/>
                <w:color w:val="54585A"/>
              </w:rPr>
              <w:t>Vested</w:t>
            </w:r>
            <w:r>
              <w:rPr>
                <w:rFonts w:ascii="Arial" w:cs="Arial" w:eastAsia="Arial" w:hAnsi="Arial"/>
                <w:sz w:val="6"/>
                <w:szCs w:val="6"/>
                <w:b w:val="1"/>
                <w:bCs w:val="1"/>
                <w:color w:val="54585A"/>
              </w:rPr>
              <w:t>(2)</w:t>
            </w:r>
          </w:p>
        </w:tc>
        <w:tc>
          <w:tcPr>
            <w:tcW w:w="1220" w:type="dxa"/>
            <w:vAlign w:val="bottom"/>
            <w:shd w:val="clear" w:color="auto" w:fill="EEEDED"/>
          </w:tcPr>
          <w:p>
            <w:pPr>
              <w:jc w:val="right"/>
              <w:spacing w:after="0"/>
              <w:rPr>
                <w:sz w:val="20"/>
                <w:szCs w:val="20"/>
                <w:color w:val="auto"/>
              </w:rPr>
            </w:pPr>
            <w:r>
              <w:rPr>
                <w:rFonts w:ascii="Arial" w:cs="Arial" w:eastAsia="Arial" w:hAnsi="Arial"/>
                <w:sz w:val="10"/>
                <w:szCs w:val="10"/>
                <w:b w:val="1"/>
                <w:bCs w:val="1"/>
                <w:color w:val="54585A"/>
              </w:rPr>
              <w:t>($)</w:t>
            </w:r>
          </w:p>
        </w:tc>
        <w:tc>
          <w:tcPr>
            <w:tcW w:w="140" w:type="dxa"/>
            <w:vAlign w:val="bottom"/>
            <w:shd w:val="clear" w:color="auto" w:fill="EEEDED"/>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920" w:type="dxa"/>
            <w:vAlign w:val="bottom"/>
            <w:shd w:val="clear" w:color="auto" w:fill="EEEDED"/>
          </w:tcPr>
          <w:p>
            <w:pPr>
              <w:spacing w:after="0"/>
              <w:rPr>
                <w:sz w:val="5"/>
                <w:szCs w:val="5"/>
                <w:color w:val="auto"/>
              </w:rPr>
            </w:pPr>
          </w:p>
        </w:tc>
        <w:tc>
          <w:tcPr>
            <w:tcW w:w="1060" w:type="dxa"/>
            <w:vAlign w:val="bottom"/>
            <w:tcBorders>
              <w:bottom w:val="single" w:sz="8" w:color="54585A"/>
            </w:tcBorders>
            <w:shd w:val="clear" w:color="auto" w:fill="EEEDED"/>
          </w:tcPr>
          <w:p>
            <w:pPr>
              <w:spacing w:after="0"/>
              <w:rPr>
                <w:sz w:val="5"/>
                <w:szCs w:val="5"/>
                <w:color w:val="auto"/>
              </w:rPr>
            </w:pPr>
          </w:p>
        </w:tc>
        <w:tc>
          <w:tcPr>
            <w:tcW w:w="1300" w:type="dxa"/>
            <w:vAlign w:val="bottom"/>
            <w:tcBorders>
              <w:bottom w:val="single" w:sz="8" w:color="54585A"/>
            </w:tcBorders>
            <w:shd w:val="clear" w:color="auto" w:fill="EEEDED"/>
          </w:tcPr>
          <w:p>
            <w:pPr>
              <w:spacing w:after="0"/>
              <w:rPr>
                <w:sz w:val="5"/>
                <w:szCs w:val="5"/>
                <w:color w:val="auto"/>
              </w:rPr>
            </w:pPr>
          </w:p>
        </w:tc>
        <w:tc>
          <w:tcPr>
            <w:tcW w:w="1600" w:type="dxa"/>
            <w:vAlign w:val="bottom"/>
            <w:tcBorders>
              <w:bottom w:val="single" w:sz="8" w:color="54585A"/>
            </w:tcBorders>
            <w:shd w:val="clear" w:color="auto" w:fill="EEEDED"/>
          </w:tcPr>
          <w:p>
            <w:pPr>
              <w:spacing w:after="0"/>
              <w:rPr>
                <w:sz w:val="5"/>
                <w:szCs w:val="5"/>
                <w:color w:val="auto"/>
              </w:rPr>
            </w:pPr>
          </w:p>
        </w:tc>
        <w:tc>
          <w:tcPr>
            <w:tcW w:w="720" w:type="dxa"/>
            <w:vAlign w:val="bottom"/>
            <w:tcBorders>
              <w:bottom w:val="single" w:sz="8" w:color="54585A"/>
            </w:tcBorders>
            <w:shd w:val="clear" w:color="auto" w:fill="EEEDED"/>
          </w:tcPr>
          <w:p>
            <w:pPr>
              <w:spacing w:after="0"/>
              <w:rPr>
                <w:sz w:val="5"/>
                <w:szCs w:val="5"/>
                <w:color w:val="auto"/>
              </w:rPr>
            </w:pPr>
          </w:p>
        </w:tc>
        <w:tc>
          <w:tcPr>
            <w:tcW w:w="1020" w:type="dxa"/>
            <w:vAlign w:val="bottom"/>
            <w:tcBorders>
              <w:bottom w:val="single" w:sz="8" w:color="54585A"/>
              <w:right w:val="single" w:sz="8" w:color="54585A"/>
            </w:tcBorders>
            <w:shd w:val="clear" w:color="auto" w:fill="EEEDED"/>
          </w:tcPr>
          <w:p>
            <w:pPr>
              <w:spacing w:after="0"/>
              <w:rPr>
                <w:sz w:val="5"/>
                <w:szCs w:val="5"/>
                <w:color w:val="auto"/>
              </w:rPr>
            </w:pPr>
          </w:p>
        </w:tc>
        <w:tc>
          <w:tcPr>
            <w:tcW w:w="940" w:type="dxa"/>
            <w:vAlign w:val="bottom"/>
            <w:tcBorders>
              <w:bottom w:val="single" w:sz="8" w:color="54585A"/>
            </w:tcBorders>
            <w:shd w:val="clear" w:color="auto" w:fill="EEEDED"/>
          </w:tcPr>
          <w:p>
            <w:pPr>
              <w:spacing w:after="0"/>
              <w:rPr>
                <w:sz w:val="5"/>
                <w:szCs w:val="5"/>
                <w:color w:val="auto"/>
              </w:rPr>
            </w:pPr>
          </w:p>
        </w:tc>
        <w:tc>
          <w:tcPr>
            <w:tcW w:w="1380" w:type="dxa"/>
            <w:vAlign w:val="bottom"/>
            <w:tcBorders>
              <w:bottom w:val="single" w:sz="8" w:color="54585A"/>
            </w:tcBorders>
            <w:shd w:val="clear" w:color="auto" w:fill="EEEDED"/>
          </w:tcPr>
          <w:p>
            <w:pPr>
              <w:spacing w:after="0"/>
              <w:rPr>
                <w:sz w:val="5"/>
                <w:szCs w:val="5"/>
                <w:color w:val="auto"/>
              </w:rPr>
            </w:pPr>
          </w:p>
        </w:tc>
        <w:tc>
          <w:tcPr>
            <w:tcW w:w="1220" w:type="dxa"/>
            <w:vAlign w:val="bottom"/>
            <w:tcBorders>
              <w:bottom w:val="single" w:sz="8" w:color="54585A"/>
            </w:tcBorders>
            <w:shd w:val="clear" w:color="auto" w:fill="EEEDED"/>
          </w:tcPr>
          <w:p>
            <w:pPr>
              <w:spacing w:after="0"/>
              <w:rPr>
                <w:sz w:val="5"/>
                <w:szCs w:val="5"/>
                <w:color w:val="auto"/>
              </w:rPr>
            </w:pPr>
          </w:p>
        </w:tc>
        <w:tc>
          <w:tcPr>
            <w:tcW w:w="140" w:type="dxa"/>
            <w:vAlign w:val="bottom"/>
            <w:shd w:val="clear" w:color="auto" w:fill="EEEDED"/>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0"/>
                <w:szCs w:val="10"/>
                <w:color w:val="54585A"/>
                <w:w w:val="94"/>
              </w:rPr>
              <w:t>1/13/2016</w:t>
            </w:r>
          </w:p>
        </w:tc>
        <w:tc>
          <w:tcPr>
            <w:tcW w:w="1300" w:type="dxa"/>
            <w:vAlign w:val="bottom"/>
          </w:tcPr>
          <w:p>
            <w:pPr>
              <w:jc w:val="right"/>
              <w:ind w:right="92"/>
              <w:spacing w:after="0"/>
              <w:rPr>
                <w:sz w:val="20"/>
                <w:szCs w:val="20"/>
                <w:color w:val="auto"/>
              </w:rPr>
            </w:pPr>
            <w:r>
              <w:rPr>
                <w:rFonts w:ascii="Arial" w:cs="Arial" w:eastAsia="Arial" w:hAnsi="Arial"/>
                <w:sz w:val="10"/>
                <w:szCs w:val="10"/>
                <w:color w:val="54585A"/>
              </w:rPr>
              <w:t>250,000</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20" w:type="dxa"/>
            <w:vAlign w:val="bottom"/>
          </w:tcPr>
          <w:p>
            <w:pPr>
              <w:jc w:val="right"/>
              <w:ind w:right="12"/>
              <w:spacing w:after="0"/>
              <w:rPr>
                <w:sz w:val="20"/>
                <w:szCs w:val="20"/>
                <w:color w:val="auto"/>
              </w:rPr>
            </w:pPr>
            <w:r>
              <w:rPr>
                <w:rFonts w:ascii="Arial" w:cs="Arial" w:eastAsia="Arial" w:hAnsi="Arial"/>
                <w:sz w:val="10"/>
                <w:szCs w:val="10"/>
                <w:color w:val="54585A"/>
              </w:rPr>
              <w:t>1.21</w:t>
            </w:r>
          </w:p>
        </w:tc>
        <w:tc>
          <w:tcPr>
            <w:tcW w:w="1020" w:type="dxa"/>
            <w:vAlign w:val="bottom"/>
            <w:tcBorders>
              <w:right w:val="single" w:sz="8" w:color="54585A"/>
            </w:tcBorders>
          </w:tcPr>
          <w:p>
            <w:pPr>
              <w:jc w:val="center"/>
              <w:ind w:right="12"/>
              <w:spacing w:after="0"/>
              <w:rPr>
                <w:sz w:val="20"/>
                <w:szCs w:val="20"/>
                <w:color w:val="auto"/>
              </w:rPr>
            </w:pPr>
            <w:r>
              <w:rPr>
                <w:rFonts w:ascii="Arial" w:cs="Arial" w:eastAsia="Arial" w:hAnsi="Arial"/>
                <w:sz w:val="10"/>
                <w:szCs w:val="10"/>
                <w:color w:val="54585A"/>
                <w:w w:val="98"/>
              </w:rPr>
              <w:t>1/13/2026</w:t>
            </w:r>
          </w:p>
        </w:tc>
        <w:tc>
          <w:tcPr>
            <w:tcW w:w="940" w:type="dxa"/>
            <w:vAlign w:val="bottom"/>
          </w:tcPr>
          <w:p>
            <w:pPr>
              <w:jc w:val="center"/>
              <w:ind w:left="52"/>
              <w:spacing w:after="0"/>
              <w:rPr>
                <w:sz w:val="20"/>
                <w:szCs w:val="20"/>
                <w:color w:val="auto"/>
              </w:rPr>
            </w:pPr>
            <w:r>
              <w:rPr>
                <w:rFonts w:ascii="Arial" w:cs="Arial" w:eastAsia="Arial" w:hAnsi="Arial"/>
                <w:sz w:val="10"/>
                <w:szCs w:val="10"/>
                <w:color w:val="54585A"/>
                <w:w w:val="98"/>
              </w:rPr>
              <w:t>12/6/2017</w:t>
            </w:r>
          </w:p>
        </w:tc>
        <w:tc>
          <w:tcPr>
            <w:tcW w:w="1380" w:type="dxa"/>
            <w:vAlign w:val="bottom"/>
          </w:tcPr>
          <w:p>
            <w:pPr>
              <w:jc w:val="right"/>
              <w:ind w:right="32"/>
              <w:spacing w:after="0"/>
              <w:rPr>
                <w:sz w:val="20"/>
                <w:szCs w:val="20"/>
                <w:color w:val="auto"/>
              </w:rPr>
            </w:pPr>
            <w:r>
              <w:rPr>
                <w:rFonts w:ascii="Arial" w:cs="Arial" w:eastAsia="Arial" w:hAnsi="Arial"/>
                <w:sz w:val="10"/>
                <w:szCs w:val="10"/>
                <w:color w:val="54585A"/>
              </w:rPr>
              <w:t>250,000</w:t>
            </w:r>
          </w:p>
        </w:tc>
        <w:tc>
          <w:tcPr>
            <w:tcW w:w="1220" w:type="dxa"/>
            <w:vAlign w:val="bottom"/>
          </w:tcPr>
          <w:p>
            <w:pPr>
              <w:jc w:val="right"/>
              <w:spacing w:after="0"/>
              <w:rPr>
                <w:sz w:val="20"/>
                <w:szCs w:val="20"/>
                <w:color w:val="auto"/>
              </w:rPr>
            </w:pPr>
            <w:r>
              <w:rPr>
                <w:rFonts w:ascii="Arial" w:cs="Arial" w:eastAsia="Arial" w:hAnsi="Arial"/>
                <w:sz w:val="10"/>
                <w:szCs w:val="10"/>
                <w:color w:val="54585A"/>
              </w:rPr>
              <w:t>332,500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920" w:type="dxa"/>
            <w:vAlign w:val="bottom"/>
          </w:tcPr>
          <w:p>
            <w:pPr>
              <w:spacing w:after="0"/>
              <w:rPr>
                <w:sz w:val="5"/>
                <w:szCs w:val="5"/>
                <w:color w:val="auto"/>
              </w:rPr>
            </w:pPr>
          </w:p>
        </w:tc>
        <w:tc>
          <w:tcPr>
            <w:tcW w:w="1060" w:type="dxa"/>
            <w:vAlign w:val="bottom"/>
            <w:tcBorders>
              <w:bottom w:val="single" w:sz="8" w:color="54585A"/>
            </w:tcBorders>
          </w:tcPr>
          <w:p>
            <w:pPr>
              <w:spacing w:after="0"/>
              <w:rPr>
                <w:sz w:val="5"/>
                <w:szCs w:val="5"/>
                <w:color w:val="auto"/>
              </w:rPr>
            </w:pPr>
          </w:p>
        </w:tc>
        <w:tc>
          <w:tcPr>
            <w:tcW w:w="1300" w:type="dxa"/>
            <w:vAlign w:val="bottom"/>
            <w:tcBorders>
              <w:bottom w:val="single" w:sz="8" w:color="54585A"/>
            </w:tcBorders>
          </w:tcPr>
          <w:p>
            <w:pPr>
              <w:spacing w:after="0"/>
              <w:rPr>
                <w:sz w:val="5"/>
                <w:szCs w:val="5"/>
                <w:color w:val="auto"/>
              </w:rPr>
            </w:pPr>
          </w:p>
        </w:tc>
        <w:tc>
          <w:tcPr>
            <w:tcW w:w="1600" w:type="dxa"/>
            <w:vAlign w:val="bottom"/>
            <w:tcBorders>
              <w:bottom w:val="single" w:sz="8" w:color="54585A"/>
            </w:tcBorders>
          </w:tcPr>
          <w:p>
            <w:pPr>
              <w:spacing w:after="0"/>
              <w:rPr>
                <w:sz w:val="5"/>
                <w:szCs w:val="5"/>
                <w:color w:val="auto"/>
              </w:rPr>
            </w:pPr>
          </w:p>
        </w:tc>
        <w:tc>
          <w:tcPr>
            <w:tcW w:w="720" w:type="dxa"/>
            <w:vAlign w:val="bottom"/>
            <w:tcBorders>
              <w:bottom w:val="single" w:sz="8" w:color="54585A"/>
            </w:tcBorders>
          </w:tcPr>
          <w:p>
            <w:pPr>
              <w:spacing w:after="0"/>
              <w:rPr>
                <w:sz w:val="5"/>
                <w:szCs w:val="5"/>
                <w:color w:val="auto"/>
              </w:rPr>
            </w:pPr>
          </w:p>
        </w:tc>
        <w:tc>
          <w:tcPr>
            <w:tcW w:w="1020" w:type="dxa"/>
            <w:vAlign w:val="bottom"/>
            <w:tcBorders>
              <w:bottom w:val="single" w:sz="8" w:color="54585A"/>
              <w:right w:val="single" w:sz="8" w:color="54585A"/>
            </w:tcBorders>
          </w:tcPr>
          <w:p>
            <w:pPr>
              <w:spacing w:after="0"/>
              <w:rPr>
                <w:sz w:val="5"/>
                <w:szCs w:val="5"/>
                <w:color w:val="auto"/>
              </w:rPr>
            </w:pPr>
          </w:p>
        </w:tc>
        <w:tc>
          <w:tcPr>
            <w:tcW w:w="940" w:type="dxa"/>
            <w:vAlign w:val="bottom"/>
            <w:tcBorders>
              <w:bottom w:val="single" w:sz="8" w:color="54585A"/>
            </w:tcBorders>
          </w:tcPr>
          <w:p>
            <w:pPr>
              <w:spacing w:after="0"/>
              <w:rPr>
                <w:sz w:val="5"/>
                <w:szCs w:val="5"/>
                <w:color w:val="auto"/>
              </w:rPr>
            </w:pPr>
          </w:p>
        </w:tc>
        <w:tc>
          <w:tcPr>
            <w:tcW w:w="1380" w:type="dxa"/>
            <w:vAlign w:val="bottom"/>
            <w:tcBorders>
              <w:bottom w:val="single" w:sz="8" w:color="54585A"/>
            </w:tcBorders>
          </w:tcPr>
          <w:p>
            <w:pPr>
              <w:spacing w:after="0"/>
              <w:rPr>
                <w:sz w:val="5"/>
                <w:szCs w:val="5"/>
                <w:color w:val="auto"/>
              </w:rPr>
            </w:pPr>
          </w:p>
        </w:tc>
        <w:tc>
          <w:tcPr>
            <w:tcW w:w="1220" w:type="dxa"/>
            <w:vAlign w:val="bottom"/>
            <w:tcBorders>
              <w:bottom w:val="single" w:sz="8" w:color="54585A"/>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0"/>
                <w:szCs w:val="10"/>
                <w:color w:val="54585A"/>
                <w:w w:val="99"/>
              </w:rPr>
              <w:t>—</w:t>
            </w:r>
          </w:p>
        </w:tc>
        <w:tc>
          <w:tcPr>
            <w:tcW w:w="1300" w:type="dxa"/>
            <w:vAlign w:val="bottom"/>
          </w:tcPr>
          <w:p>
            <w:pPr>
              <w:jc w:val="right"/>
              <w:ind w:right="132"/>
              <w:spacing w:after="0"/>
              <w:rPr>
                <w:sz w:val="20"/>
                <w:szCs w:val="20"/>
                <w:color w:val="auto"/>
              </w:rPr>
            </w:pPr>
            <w:r>
              <w:rPr>
                <w:rFonts w:ascii="Arial" w:cs="Arial" w:eastAsia="Arial" w:hAnsi="Arial"/>
                <w:sz w:val="10"/>
                <w:szCs w:val="10"/>
                <w:color w:val="54585A"/>
              </w:rPr>
              <w:t>—</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20" w:type="dxa"/>
            <w:vAlign w:val="bottom"/>
          </w:tcPr>
          <w:p>
            <w:pPr>
              <w:jc w:val="right"/>
              <w:ind w:right="52"/>
              <w:spacing w:after="0"/>
              <w:rPr>
                <w:sz w:val="20"/>
                <w:szCs w:val="20"/>
                <w:color w:val="auto"/>
              </w:rPr>
            </w:pPr>
            <w:r>
              <w:rPr>
                <w:rFonts w:ascii="Arial" w:cs="Arial" w:eastAsia="Arial" w:hAnsi="Arial"/>
                <w:sz w:val="10"/>
                <w:szCs w:val="10"/>
                <w:color w:val="54585A"/>
              </w:rPr>
              <w:t>—</w:t>
            </w:r>
          </w:p>
        </w:tc>
        <w:tc>
          <w:tcPr>
            <w:tcW w:w="1020" w:type="dxa"/>
            <w:vAlign w:val="bottom"/>
            <w:tcBorders>
              <w:right w:val="single" w:sz="8" w:color="54585A"/>
            </w:tcBorders>
          </w:tcPr>
          <w:p>
            <w:pPr>
              <w:jc w:val="center"/>
              <w:ind w:right="12"/>
              <w:spacing w:after="0"/>
              <w:rPr>
                <w:sz w:val="20"/>
                <w:szCs w:val="20"/>
                <w:color w:val="auto"/>
              </w:rPr>
            </w:pPr>
            <w:r>
              <w:rPr>
                <w:rFonts w:ascii="Arial" w:cs="Arial" w:eastAsia="Arial" w:hAnsi="Arial"/>
                <w:sz w:val="10"/>
                <w:szCs w:val="10"/>
                <w:color w:val="54585A"/>
                <w:w w:val="79"/>
              </w:rPr>
              <w:t>—</w:t>
            </w:r>
          </w:p>
        </w:tc>
        <w:tc>
          <w:tcPr>
            <w:tcW w:w="940" w:type="dxa"/>
            <w:vAlign w:val="bottom"/>
          </w:tcPr>
          <w:p>
            <w:pPr>
              <w:jc w:val="center"/>
              <w:ind w:left="52"/>
              <w:spacing w:after="0"/>
              <w:rPr>
                <w:sz w:val="20"/>
                <w:szCs w:val="20"/>
                <w:color w:val="auto"/>
              </w:rPr>
            </w:pPr>
            <w:r>
              <w:rPr>
                <w:rFonts w:ascii="Arial" w:cs="Arial" w:eastAsia="Arial" w:hAnsi="Arial"/>
                <w:sz w:val="10"/>
                <w:szCs w:val="10"/>
                <w:color w:val="54585A"/>
                <w:w w:val="92"/>
              </w:rPr>
              <w:t>9/4/2018</w:t>
            </w:r>
          </w:p>
        </w:tc>
        <w:tc>
          <w:tcPr>
            <w:tcW w:w="1380" w:type="dxa"/>
            <w:vAlign w:val="bottom"/>
          </w:tcPr>
          <w:p>
            <w:pPr>
              <w:jc w:val="right"/>
              <w:ind w:right="32"/>
              <w:spacing w:after="0"/>
              <w:rPr>
                <w:sz w:val="20"/>
                <w:szCs w:val="20"/>
                <w:color w:val="auto"/>
              </w:rPr>
            </w:pPr>
            <w:r>
              <w:rPr>
                <w:rFonts w:ascii="Arial" w:cs="Arial" w:eastAsia="Arial" w:hAnsi="Arial"/>
                <w:sz w:val="10"/>
                <w:szCs w:val="10"/>
                <w:color w:val="54585A"/>
              </w:rPr>
              <w:t>250,000</w:t>
            </w:r>
          </w:p>
        </w:tc>
        <w:tc>
          <w:tcPr>
            <w:tcW w:w="1220" w:type="dxa"/>
            <w:vAlign w:val="bottom"/>
          </w:tcPr>
          <w:p>
            <w:pPr>
              <w:jc w:val="right"/>
              <w:spacing w:after="0"/>
              <w:rPr>
                <w:sz w:val="20"/>
                <w:szCs w:val="20"/>
                <w:color w:val="auto"/>
              </w:rPr>
            </w:pPr>
            <w:r>
              <w:rPr>
                <w:rFonts w:ascii="Arial" w:cs="Arial" w:eastAsia="Arial" w:hAnsi="Arial"/>
                <w:sz w:val="10"/>
                <w:szCs w:val="10"/>
                <w:color w:val="54585A"/>
              </w:rPr>
              <w:t>332,500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920" w:type="dxa"/>
            <w:vAlign w:val="bottom"/>
          </w:tcPr>
          <w:p>
            <w:pPr>
              <w:spacing w:after="0"/>
              <w:rPr>
                <w:sz w:val="5"/>
                <w:szCs w:val="5"/>
                <w:color w:val="auto"/>
              </w:rPr>
            </w:pPr>
          </w:p>
        </w:tc>
        <w:tc>
          <w:tcPr>
            <w:tcW w:w="1060" w:type="dxa"/>
            <w:vAlign w:val="bottom"/>
            <w:tcBorders>
              <w:bottom w:val="single" w:sz="8" w:color="54585A"/>
            </w:tcBorders>
          </w:tcPr>
          <w:p>
            <w:pPr>
              <w:spacing w:after="0"/>
              <w:rPr>
                <w:sz w:val="5"/>
                <w:szCs w:val="5"/>
                <w:color w:val="auto"/>
              </w:rPr>
            </w:pPr>
          </w:p>
        </w:tc>
        <w:tc>
          <w:tcPr>
            <w:tcW w:w="1300" w:type="dxa"/>
            <w:vAlign w:val="bottom"/>
            <w:tcBorders>
              <w:bottom w:val="single" w:sz="8" w:color="54585A"/>
            </w:tcBorders>
          </w:tcPr>
          <w:p>
            <w:pPr>
              <w:spacing w:after="0"/>
              <w:rPr>
                <w:sz w:val="5"/>
                <w:szCs w:val="5"/>
                <w:color w:val="auto"/>
              </w:rPr>
            </w:pPr>
          </w:p>
        </w:tc>
        <w:tc>
          <w:tcPr>
            <w:tcW w:w="1600" w:type="dxa"/>
            <w:vAlign w:val="bottom"/>
            <w:tcBorders>
              <w:bottom w:val="single" w:sz="8" w:color="54585A"/>
            </w:tcBorders>
          </w:tcPr>
          <w:p>
            <w:pPr>
              <w:spacing w:after="0"/>
              <w:rPr>
                <w:sz w:val="5"/>
                <w:szCs w:val="5"/>
                <w:color w:val="auto"/>
              </w:rPr>
            </w:pPr>
          </w:p>
        </w:tc>
        <w:tc>
          <w:tcPr>
            <w:tcW w:w="720" w:type="dxa"/>
            <w:vAlign w:val="bottom"/>
            <w:tcBorders>
              <w:bottom w:val="single" w:sz="8" w:color="54585A"/>
            </w:tcBorders>
          </w:tcPr>
          <w:p>
            <w:pPr>
              <w:spacing w:after="0"/>
              <w:rPr>
                <w:sz w:val="5"/>
                <w:szCs w:val="5"/>
                <w:color w:val="auto"/>
              </w:rPr>
            </w:pPr>
          </w:p>
        </w:tc>
        <w:tc>
          <w:tcPr>
            <w:tcW w:w="1020" w:type="dxa"/>
            <w:vAlign w:val="bottom"/>
            <w:tcBorders>
              <w:bottom w:val="single" w:sz="8" w:color="54585A"/>
              <w:right w:val="single" w:sz="8" w:color="54585A"/>
            </w:tcBorders>
          </w:tcPr>
          <w:p>
            <w:pPr>
              <w:spacing w:after="0"/>
              <w:rPr>
                <w:sz w:val="5"/>
                <w:szCs w:val="5"/>
                <w:color w:val="auto"/>
              </w:rPr>
            </w:pPr>
          </w:p>
        </w:tc>
        <w:tc>
          <w:tcPr>
            <w:tcW w:w="940" w:type="dxa"/>
            <w:vAlign w:val="bottom"/>
            <w:tcBorders>
              <w:bottom w:val="single" w:sz="8" w:color="54585A"/>
            </w:tcBorders>
          </w:tcPr>
          <w:p>
            <w:pPr>
              <w:spacing w:after="0"/>
              <w:rPr>
                <w:sz w:val="5"/>
                <w:szCs w:val="5"/>
                <w:color w:val="auto"/>
              </w:rPr>
            </w:pPr>
          </w:p>
        </w:tc>
        <w:tc>
          <w:tcPr>
            <w:tcW w:w="1380" w:type="dxa"/>
            <w:vAlign w:val="bottom"/>
            <w:tcBorders>
              <w:bottom w:val="single" w:sz="8" w:color="54585A"/>
            </w:tcBorders>
          </w:tcPr>
          <w:p>
            <w:pPr>
              <w:spacing w:after="0"/>
              <w:rPr>
                <w:sz w:val="5"/>
                <w:szCs w:val="5"/>
                <w:color w:val="auto"/>
              </w:rPr>
            </w:pPr>
          </w:p>
        </w:tc>
        <w:tc>
          <w:tcPr>
            <w:tcW w:w="1220" w:type="dxa"/>
            <w:vAlign w:val="bottom"/>
            <w:tcBorders>
              <w:bottom w:val="single" w:sz="8" w:color="54585A"/>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0"/>
                <w:szCs w:val="10"/>
                <w:color w:val="54585A"/>
                <w:w w:val="99"/>
              </w:rPr>
              <w:t>—</w:t>
            </w:r>
          </w:p>
        </w:tc>
        <w:tc>
          <w:tcPr>
            <w:tcW w:w="1300" w:type="dxa"/>
            <w:vAlign w:val="bottom"/>
          </w:tcPr>
          <w:p>
            <w:pPr>
              <w:jc w:val="right"/>
              <w:ind w:right="132"/>
              <w:spacing w:after="0"/>
              <w:rPr>
                <w:sz w:val="20"/>
                <w:szCs w:val="20"/>
                <w:color w:val="auto"/>
              </w:rPr>
            </w:pPr>
            <w:r>
              <w:rPr>
                <w:rFonts w:ascii="Arial" w:cs="Arial" w:eastAsia="Arial" w:hAnsi="Arial"/>
                <w:sz w:val="10"/>
                <w:szCs w:val="10"/>
                <w:color w:val="54585A"/>
              </w:rPr>
              <w:t>—</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20" w:type="dxa"/>
            <w:vAlign w:val="bottom"/>
          </w:tcPr>
          <w:p>
            <w:pPr>
              <w:jc w:val="right"/>
              <w:ind w:right="52"/>
              <w:spacing w:after="0"/>
              <w:rPr>
                <w:sz w:val="20"/>
                <w:szCs w:val="20"/>
                <w:color w:val="auto"/>
              </w:rPr>
            </w:pPr>
            <w:r>
              <w:rPr>
                <w:rFonts w:ascii="Arial" w:cs="Arial" w:eastAsia="Arial" w:hAnsi="Arial"/>
                <w:sz w:val="10"/>
                <w:szCs w:val="10"/>
                <w:color w:val="54585A"/>
              </w:rPr>
              <w:t>—</w:t>
            </w:r>
          </w:p>
        </w:tc>
        <w:tc>
          <w:tcPr>
            <w:tcW w:w="1020" w:type="dxa"/>
            <w:vAlign w:val="bottom"/>
            <w:tcBorders>
              <w:right w:val="single" w:sz="8" w:color="54585A"/>
            </w:tcBorders>
          </w:tcPr>
          <w:p>
            <w:pPr>
              <w:jc w:val="center"/>
              <w:ind w:right="12"/>
              <w:spacing w:after="0"/>
              <w:rPr>
                <w:sz w:val="20"/>
                <w:szCs w:val="20"/>
                <w:color w:val="auto"/>
              </w:rPr>
            </w:pPr>
            <w:r>
              <w:rPr>
                <w:rFonts w:ascii="Arial" w:cs="Arial" w:eastAsia="Arial" w:hAnsi="Arial"/>
                <w:sz w:val="10"/>
                <w:szCs w:val="10"/>
                <w:color w:val="54585A"/>
                <w:w w:val="79"/>
              </w:rPr>
              <w:t>—</w:t>
            </w:r>
          </w:p>
        </w:tc>
        <w:tc>
          <w:tcPr>
            <w:tcW w:w="940" w:type="dxa"/>
            <w:vAlign w:val="bottom"/>
          </w:tcPr>
          <w:p>
            <w:pPr>
              <w:jc w:val="center"/>
              <w:ind w:left="52"/>
              <w:spacing w:after="0"/>
              <w:rPr>
                <w:sz w:val="20"/>
                <w:szCs w:val="20"/>
                <w:color w:val="auto"/>
              </w:rPr>
            </w:pPr>
            <w:r>
              <w:rPr>
                <w:rFonts w:ascii="Arial" w:cs="Arial" w:eastAsia="Arial" w:hAnsi="Arial"/>
                <w:sz w:val="10"/>
                <w:szCs w:val="10"/>
                <w:color w:val="54585A"/>
                <w:w w:val="92"/>
              </w:rPr>
              <w:t>9/4/2018</w:t>
            </w:r>
          </w:p>
        </w:tc>
        <w:tc>
          <w:tcPr>
            <w:tcW w:w="1380" w:type="dxa"/>
            <w:vAlign w:val="bottom"/>
          </w:tcPr>
          <w:p>
            <w:pPr>
              <w:jc w:val="right"/>
              <w:ind w:right="32"/>
              <w:spacing w:after="0"/>
              <w:rPr>
                <w:sz w:val="20"/>
                <w:szCs w:val="20"/>
                <w:color w:val="auto"/>
              </w:rPr>
            </w:pPr>
            <w:r>
              <w:rPr>
                <w:rFonts w:ascii="Arial" w:cs="Arial" w:eastAsia="Arial" w:hAnsi="Arial"/>
                <w:sz w:val="10"/>
                <w:szCs w:val="10"/>
                <w:color w:val="54585A"/>
              </w:rPr>
              <w:t>750,000</w:t>
            </w:r>
          </w:p>
        </w:tc>
        <w:tc>
          <w:tcPr>
            <w:tcW w:w="1220" w:type="dxa"/>
            <w:vAlign w:val="bottom"/>
          </w:tcPr>
          <w:p>
            <w:pPr>
              <w:jc w:val="right"/>
              <w:spacing w:after="0"/>
              <w:rPr>
                <w:sz w:val="20"/>
                <w:szCs w:val="20"/>
                <w:color w:val="auto"/>
              </w:rPr>
            </w:pPr>
            <w:r>
              <w:rPr>
                <w:rFonts w:ascii="Arial" w:cs="Arial" w:eastAsia="Arial" w:hAnsi="Arial"/>
                <w:sz w:val="10"/>
                <w:szCs w:val="10"/>
                <w:color w:val="54585A"/>
              </w:rPr>
              <w:t>997,500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920" w:type="dxa"/>
            <w:vAlign w:val="bottom"/>
            <w:vMerge w:val="restart"/>
          </w:tcPr>
          <w:p>
            <w:pPr>
              <w:ind w:left="60"/>
              <w:spacing w:after="0"/>
              <w:rPr>
                <w:sz w:val="20"/>
                <w:szCs w:val="20"/>
                <w:color w:val="auto"/>
              </w:rPr>
            </w:pPr>
            <w:r>
              <w:rPr>
                <w:rFonts w:ascii="Arial" w:cs="Arial" w:eastAsia="Arial" w:hAnsi="Arial"/>
                <w:sz w:val="10"/>
                <w:szCs w:val="10"/>
                <w:b w:val="1"/>
                <w:bCs w:val="1"/>
                <w:color w:val="EB6C10"/>
              </w:rPr>
              <w:t>David B. Kagan</w:t>
            </w:r>
            <w:r>
              <w:rPr>
                <w:rFonts w:ascii="Arial" w:cs="Arial" w:eastAsia="Arial" w:hAnsi="Arial"/>
                <w:sz w:val="12"/>
                <w:szCs w:val="12"/>
                <w:b w:val="1"/>
                <w:bCs w:val="1"/>
                <w:color w:val="EB6C10"/>
                <w:vertAlign w:val="superscript"/>
              </w:rPr>
              <w:t>(3)</w:t>
            </w:r>
          </w:p>
        </w:tc>
        <w:tc>
          <w:tcPr>
            <w:tcW w:w="1060" w:type="dxa"/>
            <w:vAlign w:val="bottom"/>
            <w:tcBorders>
              <w:bottom w:val="single" w:sz="8" w:color="54585A"/>
            </w:tcBorders>
          </w:tcPr>
          <w:p>
            <w:pPr>
              <w:spacing w:after="0"/>
              <w:rPr>
                <w:sz w:val="5"/>
                <w:szCs w:val="5"/>
                <w:color w:val="auto"/>
              </w:rPr>
            </w:pPr>
          </w:p>
        </w:tc>
        <w:tc>
          <w:tcPr>
            <w:tcW w:w="1300" w:type="dxa"/>
            <w:vAlign w:val="bottom"/>
            <w:tcBorders>
              <w:bottom w:val="single" w:sz="8" w:color="54585A"/>
            </w:tcBorders>
          </w:tcPr>
          <w:p>
            <w:pPr>
              <w:spacing w:after="0"/>
              <w:rPr>
                <w:sz w:val="5"/>
                <w:szCs w:val="5"/>
                <w:color w:val="auto"/>
              </w:rPr>
            </w:pPr>
          </w:p>
        </w:tc>
        <w:tc>
          <w:tcPr>
            <w:tcW w:w="1600" w:type="dxa"/>
            <w:vAlign w:val="bottom"/>
            <w:tcBorders>
              <w:bottom w:val="single" w:sz="8" w:color="54585A"/>
            </w:tcBorders>
          </w:tcPr>
          <w:p>
            <w:pPr>
              <w:spacing w:after="0"/>
              <w:rPr>
                <w:sz w:val="5"/>
                <w:szCs w:val="5"/>
                <w:color w:val="auto"/>
              </w:rPr>
            </w:pPr>
          </w:p>
        </w:tc>
        <w:tc>
          <w:tcPr>
            <w:tcW w:w="720" w:type="dxa"/>
            <w:vAlign w:val="bottom"/>
            <w:tcBorders>
              <w:bottom w:val="single" w:sz="8" w:color="54585A"/>
            </w:tcBorders>
          </w:tcPr>
          <w:p>
            <w:pPr>
              <w:spacing w:after="0"/>
              <w:rPr>
                <w:sz w:val="5"/>
                <w:szCs w:val="5"/>
                <w:color w:val="auto"/>
              </w:rPr>
            </w:pPr>
          </w:p>
        </w:tc>
        <w:tc>
          <w:tcPr>
            <w:tcW w:w="1020" w:type="dxa"/>
            <w:vAlign w:val="bottom"/>
            <w:tcBorders>
              <w:bottom w:val="single" w:sz="8" w:color="54585A"/>
              <w:right w:val="single" w:sz="8" w:color="54585A"/>
            </w:tcBorders>
          </w:tcPr>
          <w:p>
            <w:pPr>
              <w:spacing w:after="0"/>
              <w:rPr>
                <w:sz w:val="5"/>
                <w:szCs w:val="5"/>
                <w:color w:val="auto"/>
              </w:rPr>
            </w:pPr>
          </w:p>
        </w:tc>
        <w:tc>
          <w:tcPr>
            <w:tcW w:w="940" w:type="dxa"/>
            <w:vAlign w:val="bottom"/>
            <w:tcBorders>
              <w:bottom w:val="single" w:sz="8" w:color="54585A"/>
            </w:tcBorders>
          </w:tcPr>
          <w:p>
            <w:pPr>
              <w:spacing w:after="0"/>
              <w:rPr>
                <w:sz w:val="5"/>
                <w:szCs w:val="5"/>
                <w:color w:val="auto"/>
              </w:rPr>
            </w:pPr>
          </w:p>
        </w:tc>
        <w:tc>
          <w:tcPr>
            <w:tcW w:w="1380" w:type="dxa"/>
            <w:vAlign w:val="bottom"/>
            <w:tcBorders>
              <w:bottom w:val="single" w:sz="8" w:color="54585A"/>
            </w:tcBorders>
          </w:tcPr>
          <w:p>
            <w:pPr>
              <w:spacing w:after="0"/>
              <w:rPr>
                <w:sz w:val="5"/>
                <w:szCs w:val="5"/>
                <w:color w:val="auto"/>
              </w:rPr>
            </w:pPr>
          </w:p>
        </w:tc>
        <w:tc>
          <w:tcPr>
            <w:tcW w:w="1220" w:type="dxa"/>
            <w:vAlign w:val="bottom"/>
            <w:tcBorders>
              <w:bottom w:val="single" w:sz="8" w:color="54585A"/>
            </w:tcBorders>
          </w:tcPr>
          <w:p>
            <w:pPr>
              <w:spacing w:after="0"/>
              <w:rPr>
                <w:sz w:val="5"/>
                <w:szCs w:val="5"/>
                <w:color w:val="auto"/>
              </w:rPr>
            </w:pPr>
          </w:p>
        </w:tc>
        <w:tc>
          <w:tcPr>
            <w:tcW w:w="140" w:type="dxa"/>
            <w:vAlign w:val="bottom"/>
            <w:tcBorders>
              <w:bottom w:val="single" w:sz="8" w:color="54585A"/>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920" w:type="dxa"/>
            <w:vAlign w:val="bottom"/>
            <w:vMerge w:val="continue"/>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0"/>
                <w:szCs w:val="10"/>
                <w:color w:val="54585A"/>
                <w:w w:val="99"/>
              </w:rPr>
              <w:t>—</w:t>
            </w:r>
          </w:p>
        </w:tc>
        <w:tc>
          <w:tcPr>
            <w:tcW w:w="1300" w:type="dxa"/>
            <w:vAlign w:val="bottom"/>
          </w:tcPr>
          <w:p>
            <w:pPr>
              <w:jc w:val="right"/>
              <w:ind w:right="132"/>
              <w:spacing w:after="0"/>
              <w:rPr>
                <w:sz w:val="20"/>
                <w:szCs w:val="20"/>
                <w:color w:val="auto"/>
              </w:rPr>
            </w:pPr>
            <w:r>
              <w:rPr>
                <w:rFonts w:ascii="Arial" w:cs="Arial" w:eastAsia="Arial" w:hAnsi="Arial"/>
                <w:sz w:val="10"/>
                <w:szCs w:val="10"/>
                <w:color w:val="54585A"/>
              </w:rPr>
              <w:t>—</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20" w:type="dxa"/>
            <w:vAlign w:val="bottom"/>
          </w:tcPr>
          <w:p>
            <w:pPr>
              <w:jc w:val="right"/>
              <w:ind w:right="52"/>
              <w:spacing w:after="0"/>
              <w:rPr>
                <w:sz w:val="20"/>
                <w:szCs w:val="20"/>
                <w:color w:val="auto"/>
              </w:rPr>
            </w:pPr>
            <w:r>
              <w:rPr>
                <w:rFonts w:ascii="Arial" w:cs="Arial" w:eastAsia="Arial" w:hAnsi="Arial"/>
                <w:sz w:val="10"/>
                <w:szCs w:val="10"/>
                <w:color w:val="54585A"/>
              </w:rPr>
              <w:t>—</w:t>
            </w:r>
          </w:p>
        </w:tc>
        <w:tc>
          <w:tcPr>
            <w:tcW w:w="1020" w:type="dxa"/>
            <w:vAlign w:val="bottom"/>
            <w:tcBorders>
              <w:right w:val="single" w:sz="8" w:color="54585A"/>
            </w:tcBorders>
          </w:tcPr>
          <w:p>
            <w:pPr>
              <w:jc w:val="center"/>
              <w:ind w:right="12"/>
              <w:spacing w:after="0"/>
              <w:rPr>
                <w:sz w:val="20"/>
                <w:szCs w:val="20"/>
                <w:color w:val="auto"/>
              </w:rPr>
            </w:pPr>
            <w:r>
              <w:rPr>
                <w:rFonts w:ascii="Arial" w:cs="Arial" w:eastAsia="Arial" w:hAnsi="Arial"/>
                <w:sz w:val="10"/>
                <w:szCs w:val="10"/>
                <w:color w:val="54585A"/>
                <w:w w:val="79"/>
              </w:rPr>
              <w:t>—</w:t>
            </w:r>
          </w:p>
        </w:tc>
        <w:tc>
          <w:tcPr>
            <w:tcW w:w="940" w:type="dxa"/>
            <w:vAlign w:val="bottom"/>
          </w:tcPr>
          <w:p>
            <w:pPr>
              <w:jc w:val="center"/>
              <w:ind w:left="52"/>
              <w:spacing w:after="0"/>
              <w:rPr>
                <w:sz w:val="20"/>
                <w:szCs w:val="20"/>
                <w:color w:val="auto"/>
              </w:rPr>
            </w:pPr>
            <w:r>
              <w:rPr>
                <w:rFonts w:ascii="Arial" w:cs="Arial" w:eastAsia="Arial" w:hAnsi="Arial"/>
                <w:sz w:val="10"/>
                <w:szCs w:val="10"/>
                <w:color w:val="54585A"/>
                <w:w w:val="92"/>
              </w:rPr>
              <w:t>9/4/2018</w:t>
            </w:r>
          </w:p>
        </w:tc>
        <w:tc>
          <w:tcPr>
            <w:tcW w:w="1380" w:type="dxa"/>
            <w:vAlign w:val="bottom"/>
          </w:tcPr>
          <w:p>
            <w:pPr>
              <w:jc w:val="right"/>
              <w:ind w:right="32"/>
              <w:spacing w:after="0"/>
              <w:rPr>
                <w:sz w:val="20"/>
                <w:szCs w:val="20"/>
                <w:color w:val="auto"/>
              </w:rPr>
            </w:pPr>
            <w:r>
              <w:rPr>
                <w:rFonts w:ascii="Arial" w:cs="Arial" w:eastAsia="Arial" w:hAnsi="Arial"/>
                <w:sz w:val="10"/>
                <w:szCs w:val="10"/>
                <w:color w:val="54585A"/>
              </w:rPr>
              <w:t>750,000</w:t>
            </w:r>
          </w:p>
        </w:tc>
        <w:tc>
          <w:tcPr>
            <w:tcW w:w="1220" w:type="dxa"/>
            <w:vAlign w:val="bottom"/>
          </w:tcPr>
          <w:p>
            <w:pPr>
              <w:jc w:val="right"/>
              <w:spacing w:after="0"/>
              <w:rPr>
                <w:sz w:val="20"/>
                <w:szCs w:val="20"/>
                <w:color w:val="auto"/>
              </w:rPr>
            </w:pPr>
            <w:r>
              <w:rPr>
                <w:rFonts w:ascii="Arial" w:cs="Arial" w:eastAsia="Arial" w:hAnsi="Arial"/>
                <w:sz w:val="10"/>
                <w:szCs w:val="10"/>
                <w:color w:val="54585A"/>
              </w:rPr>
              <w:t>997,500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1060" w:type="dxa"/>
            <w:vAlign w:val="bottom"/>
            <w:tcBorders>
              <w:bottom w:val="single" w:sz="8" w:color="54585A"/>
            </w:tcBorders>
          </w:tcPr>
          <w:p>
            <w:pPr>
              <w:spacing w:after="0"/>
              <w:rPr>
                <w:sz w:val="2"/>
                <w:szCs w:val="2"/>
                <w:color w:val="auto"/>
              </w:rPr>
            </w:pPr>
          </w:p>
        </w:tc>
        <w:tc>
          <w:tcPr>
            <w:tcW w:w="1300" w:type="dxa"/>
            <w:vAlign w:val="bottom"/>
            <w:tcBorders>
              <w:bottom w:val="single" w:sz="8" w:color="54585A"/>
            </w:tcBorders>
          </w:tcPr>
          <w:p>
            <w:pPr>
              <w:spacing w:after="0"/>
              <w:rPr>
                <w:sz w:val="2"/>
                <w:szCs w:val="2"/>
                <w:color w:val="auto"/>
              </w:rPr>
            </w:pPr>
          </w:p>
        </w:tc>
        <w:tc>
          <w:tcPr>
            <w:tcW w:w="1600" w:type="dxa"/>
            <w:vAlign w:val="bottom"/>
            <w:tcBorders>
              <w:bottom w:val="single" w:sz="8" w:color="54585A"/>
            </w:tcBorders>
          </w:tcPr>
          <w:p>
            <w:pPr>
              <w:spacing w:after="0"/>
              <w:rPr>
                <w:sz w:val="2"/>
                <w:szCs w:val="2"/>
                <w:color w:val="auto"/>
              </w:rPr>
            </w:pPr>
          </w:p>
        </w:tc>
        <w:tc>
          <w:tcPr>
            <w:tcW w:w="720" w:type="dxa"/>
            <w:vAlign w:val="bottom"/>
            <w:tcBorders>
              <w:bottom w:val="single" w:sz="8" w:color="54585A"/>
            </w:tcBorders>
          </w:tcPr>
          <w:p>
            <w:pPr>
              <w:spacing w:after="0"/>
              <w:rPr>
                <w:sz w:val="2"/>
                <w:szCs w:val="2"/>
                <w:color w:val="auto"/>
              </w:rPr>
            </w:pPr>
          </w:p>
        </w:tc>
        <w:tc>
          <w:tcPr>
            <w:tcW w:w="1020" w:type="dxa"/>
            <w:vAlign w:val="bottom"/>
            <w:tcBorders>
              <w:bottom w:val="single" w:sz="8" w:color="54585A"/>
              <w:right w:val="single" w:sz="8" w:color="54585A"/>
            </w:tcBorders>
          </w:tcPr>
          <w:p>
            <w:pPr>
              <w:spacing w:after="0"/>
              <w:rPr>
                <w:sz w:val="2"/>
                <w:szCs w:val="2"/>
                <w:color w:val="auto"/>
              </w:rPr>
            </w:pPr>
          </w:p>
        </w:tc>
        <w:tc>
          <w:tcPr>
            <w:tcW w:w="940" w:type="dxa"/>
            <w:vAlign w:val="bottom"/>
            <w:tcBorders>
              <w:bottom w:val="single" w:sz="8" w:color="54585A"/>
            </w:tcBorders>
          </w:tcPr>
          <w:p>
            <w:pPr>
              <w:spacing w:after="0"/>
              <w:rPr>
                <w:sz w:val="2"/>
                <w:szCs w:val="2"/>
                <w:color w:val="auto"/>
              </w:rPr>
            </w:pPr>
          </w:p>
        </w:tc>
        <w:tc>
          <w:tcPr>
            <w:tcW w:w="1380" w:type="dxa"/>
            <w:vAlign w:val="bottom"/>
            <w:tcBorders>
              <w:bottom w:val="single" w:sz="8" w:color="54585A"/>
            </w:tcBorders>
          </w:tcPr>
          <w:p>
            <w:pPr>
              <w:spacing w:after="0"/>
              <w:rPr>
                <w:sz w:val="2"/>
                <w:szCs w:val="2"/>
                <w:color w:val="auto"/>
              </w:rPr>
            </w:pPr>
          </w:p>
        </w:tc>
        <w:tc>
          <w:tcPr>
            <w:tcW w:w="1220" w:type="dxa"/>
            <w:vAlign w:val="bottom"/>
            <w:tcBorders>
              <w:bottom w:val="single" w:sz="8" w:color="54585A"/>
            </w:tcBorders>
          </w:tcPr>
          <w:p>
            <w:pPr>
              <w:spacing w:after="0"/>
              <w:rPr>
                <w:sz w:val="2"/>
                <w:szCs w:val="2"/>
                <w:color w:val="auto"/>
              </w:rPr>
            </w:pPr>
          </w:p>
        </w:tc>
        <w:tc>
          <w:tcPr>
            <w:tcW w:w="140" w:type="dxa"/>
            <w:vAlign w:val="bottom"/>
            <w:tcBorders>
              <w:bottom w:val="single" w:sz="8" w:color="54585A"/>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1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0"/>
                <w:szCs w:val="10"/>
                <w:color w:val="54585A"/>
                <w:w w:val="99"/>
              </w:rPr>
              <w:t>—</w:t>
            </w:r>
          </w:p>
        </w:tc>
        <w:tc>
          <w:tcPr>
            <w:tcW w:w="1300" w:type="dxa"/>
            <w:vAlign w:val="bottom"/>
          </w:tcPr>
          <w:p>
            <w:pPr>
              <w:jc w:val="right"/>
              <w:ind w:right="132"/>
              <w:spacing w:after="0"/>
              <w:rPr>
                <w:sz w:val="20"/>
                <w:szCs w:val="20"/>
                <w:color w:val="auto"/>
              </w:rPr>
            </w:pPr>
            <w:r>
              <w:rPr>
                <w:rFonts w:ascii="Arial" w:cs="Arial" w:eastAsia="Arial" w:hAnsi="Arial"/>
                <w:sz w:val="10"/>
                <w:szCs w:val="10"/>
                <w:color w:val="54585A"/>
              </w:rPr>
              <w:t>—</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20" w:type="dxa"/>
            <w:vAlign w:val="bottom"/>
          </w:tcPr>
          <w:p>
            <w:pPr>
              <w:jc w:val="right"/>
              <w:ind w:right="52"/>
              <w:spacing w:after="0"/>
              <w:rPr>
                <w:sz w:val="20"/>
                <w:szCs w:val="20"/>
                <w:color w:val="auto"/>
              </w:rPr>
            </w:pPr>
            <w:r>
              <w:rPr>
                <w:rFonts w:ascii="Arial" w:cs="Arial" w:eastAsia="Arial" w:hAnsi="Arial"/>
                <w:sz w:val="10"/>
                <w:szCs w:val="10"/>
                <w:color w:val="54585A"/>
              </w:rPr>
              <w:t>—</w:t>
            </w:r>
          </w:p>
        </w:tc>
        <w:tc>
          <w:tcPr>
            <w:tcW w:w="1020" w:type="dxa"/>
            <w:vAlign w:val="bottom"/>
            <w:tcBorders>
              <w:right w:val="single" w:sz="8" w:color="54585A"/>
            </w:tcBorders>
          </w:tcPr>
          <w:p>
            <w:pPr>
              <w:jc w:val="center"/>
              <w:ind w:right="12"/>
              <w:spacing w:after="0"/>
              <w:rPr>
                <w:sz w:val="20"/>
                <w:szCs w:val="20"/>
                <w:color w:val="auto"/>
              </w:rPr>
            </w:pPr>
            <w:r>
              <w:rPr>
                <w:rFonts w:ascii="Arial" w:cs="Arial" w:eastAsia="Arial" w:hAnsi="Arial"/>
                <w:sz w:val="10"/>
                <w:szCs w:val="10"/>
                <w:color w:val="54585A"/>
                <w:w w:val="79"/>
              </w:rPr>
              <w:t>—</w:t>
            </w:r>
          </w:p>
        </w:tc>
        <w:tc>
          <w:tcPr>
            <w:tcW w:w="940" w:type="dxa"/>
            <w:vAlign w:val="bottom"/>
          </w:tcPr>
          <w:p>
            <w:pPr>
              <w:jc w:val="center"/>
              <w:ind w:left="52"/>
              <w:spacing w:after="0"/>
              <w:rPr>
                <w:sz w:val="20"/>
                <w:szCs w:val="20"/>
                <w:color w:val="auto"/>
              </w:rPr>
            </w:pPr>
            <w:r>
              <w:rPr>
                <w:rFonts w:ascii="Arial" w:cs="Arial" w:eastAsia="Arial" w:hAnsi="Arial"/>
                <w:sz w:val="10"/>
                <w:szCs w:val="10"/>
                <w:color w:val="54585A"/>
                <w:w w:val="98"/>
              </w:rPr>
              <w:t>12/8/2021</w:t>
            </w:r>
          </w:p>
        </w:tc>
        <w:tc>
          <w:tcPr>
            <w:tcW w:w="1380" w:type="dxa"/>
            <w:vAlign w:val="bottom"/>
          </w:tcPr>
          <w:p>
            <w:pPr>
              <w:jc w:val="right"/>
              <w:ind w:right="32"/>
              <w:spacing w:after="0"/>
              <w:rPr>
                <w:sz w:val="20"/>
                <w:szCs w:val="20"/>
                <w:color w:val="auto"/>
              </w:rPr>
            </w:pPr>
            <w:r>
              <w:rPr>
                <w:rFonts w:ascii="Arial" w:cs="Arial" w:eastAsia="Arial" w:hAnsi="Arial"/>
                <w:sz w:val="10"/>
                <w:szCs w:val="10"/>
                <w:color w:val="54585A"/>
              </w:rPr>
              <w:t>40,008</w:t>
            </w:r>
          </w:p>
        </w:tc>
        <w:tc>
          <w:tcPr>
            <w:tcW w:w="1220" w:type="dxa"/>
            <w:vAlign w:val="bottom"/>
          </w:tcPr>
          <w:p>
            <w:pPr>
              <w:jc w:val="right"/>
              <w:spacing w:after="0"/>
              <w:rPr>
                <w:sz w:val="20"/>
                <w:szCs w:val="20"/>
                <w:color w:val="auto"/>
              </w:rPr>
            </w:pPr>
            <w:r>
              <w:rPr>
                <w:rFonts w:ascii="Arial" w:cs="Arial" w:eastAsia="Arial" w:hAnsi="Arial"/>
                <w:sz w:val="10"/>
                <w:szCs w:val="10"/>
                <w:color w:val="54585A"/>
              </w:rPr>
              <w:t>53,211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920" w:type="dxa"/>
            <w:vAlign w:val="bottom"/>
          </w:tcPr>
          <w:p>
            <w:pPr>
              <w:spacing w:after="0"/>
              <w:rPr>
                <w:sz w:val="5"/>
                <w:szCs w:val="5"/>
                <w:color w:val="auto"/>
              </w:rPr>
            </w:pPr>
          </w:p>
        </w:tc>
        <w:tc>
          <w:tcPr>
            <w:tcW w:w="1060" w:type="dxa"/>
            <w:vAlign w:val="bottom"/>
            <w:tcBorders>
              <w:bottom w:val="single" w:sz="8" w:color="54585A"/>
            </w:tcBorders>
          </w:tcPr>
          <w:p>
            <w:pPr>
              <w:spacing w:after="0"/>
              <w:rPr>
                <w:sz w:val="5"/>
                <w:szCs w:val="5"/>
                <w:color w:val="auto"/>
              </w:rPr>
            </w:pPr>
          </w:p>
        </w:tc>
        <w:tc>
          <w:tcPr>
            <w:tcW w:w="1300" w:type="dxa"/>
            <w:vAlign w:val="bottom"/>
            <w:tcBorders>
              <w:bottom w:val="single" w:sz="8" w:color="54585A"/>
            </w:tcBorders>
          </w:tcPr>
          <w:p>
            <w:pPr>
              <w:spacing w:after="0"/>
              <w:rPr>
                <w:sz w:val="5"/>
                <w:szCs w:val="5"/>
                <w:color w:val="auto"/>
              </w:rPr>
            </w:pPr>
          </w:p>
        </w:tc>
        <w:tc>
          <w:tcPr>
            <w:tcW w:w="1600" w:type="dxa"/>
            <w:vAlign w:val="bottom"/>
            <w:tcBorders>
              <w:bottom w:val="single" w:sz="8" w:color="54585A"/>
            </w:tcBorders>
          </w:tcPr>
          <w:p>
            <w:pPr>
              <w:spacing w:after="0"/>
              <w:rPr>
                <w:sz w:val="5"/>
                <w:szCs w:val="5"/>
                <w:color w:val="auto"/>
              </w:rPr>
            </w:pPr>
          </w:p>
        </w:tc>
        <w:tc>
          <w:tcPr>
            <w:tcW w:w="720" w:type="dxa"/>
            <w:vAlign w:val="bottom"/>
            <w:tcBorders>
              <w:bottom w:val="single" w:sz="8" w:color="54585A"/>
            </w:tcBorders>
          </w:tcPr>
          <w:p>
            <w:pPr>
              <w:spacing w:after="0"/>
              <w:rPr>
                <w:sz w:val="5"/>
                <w:szCs w:val="5"/>
                <w:color w:val="auto"/>
              </w:rPr>
            </w:pPr>
          </w:p>
        </w:tc>
        <w:tc>
          <w:tcPr>
            <w:tcW w:w="1020" w:type="dxa"/>
            <w:vAlign w:val="bottom"/>
            <w:tcBorders>
              <w:bottom w:val="single" w:sz="8" w:color="54585A"/>
              <w:right w:val="single" w:sz="8" w:color="54585A"/>
            </w:tcBorders>
          </w:tcPr>
          <w:p>
            <w:pPr>
              <w:spacing w:after="0"/>
              <w:rPr>
                <w:sz w:val="5"/>
                <w:szCs w:val="5"/>
                <w:color w:val="auto"/>
              </w:rPr>
            </w:pPr>
          </w:p>
        </w:tc>
        <w:tc>
          <w:tcPr>
            <w:tcW w:w="940" w:type="dxa"/>
            <w:vAlign w:val="bottom"/>
            <w:tcBorders>
              <w:bottom w:val="single" w:sz="8" w:color="54585A"/>
            </w:tcBorders>
          </w:tcPr>
          <w:p>
            <w:pPr>
              <w:spacing w:after="0"/>
              <w:rPr>
                <w:sz w:val="5"/>
                <w:szCs w:val="5"/>
                <w:color w:val="auto"/>
              </w:rPr>
            </w:pPr>
          </w:p>
        </w:tc>
        <w:tc>
          <w:tcPr>
            <w:tcW w:w="1380" w:type="dxa"/>
            <w:vAlign w:val="bottom"/>
            <w:tcBorders>
              <w:bottom w:val="single" w:sz="8" w:color="54585A"/>
            </w:tcBorders>
          </w:tcPr>
          <w:p>
            <w:pPr>
              <w:spacing w:after="0"/>
              <w:rPr>
                <w:sz w:val="5"/>
                <w:szCs w:val="5"/>
                <w:color w:val="auto"/>
              </w:rPr>
            </w:pPr>
          </w:p>
        </w:tc>
        <w:tc>
          <w:tcPr>
            <w:tcW w:w="1220" w:type="dxa"/>
            <w:vAlign w:val="bottom"/>
            <w:tcBorders>
              <w:bottom w:val="single" w:sz="8" w:color="54585A"/>
            </w:tcBorders>
          </w:tcPr>
          <w:p>
            <w:pPr>
              <w:spacing w:after="0"/>
              <w:rPr>
                <w:sz w:val="5"/>
                <w:szCs w:val="5"/>
                <w:color w:val="auto"/>
              </w:rPr>
            </w:pPr>
          </w:p>
        </w:tc>
        <w:tc>
          <w:tcPr>
            <w:tcW w:w="140" w:type="dxa"/>
            <w:vAlign w:val="bottom"/>
            <w:tcBorders>
              <w:bottom w:val="single" w:sz="8" w:color="54585A"/>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0"/>
                <w:szCs w:val="10"/>
                <w:color w:val="54585A"/>
                <w:w w:val="99"/>
              </w:rPr>
              <w:t>—</w:t>
            </w:r>
          </w:p>
        </w:tc>
        <w:tc>
          <w:tcPr>
            <w:tcW w:w="1300" w:type="dxa"/>
            <w:vAlign w:val="bottom"/>
          </w:tcPr>
          <w:p>
            <w:pPr>
              <w:jc w:val="right"/>
              <w:ind w:right="132"/>
              <w:spacing w:after="0"/>
              <w:rPr>
                <w:sz w:val="20"/>
                <w:szCs w:val="20"/>
                <w:color w:val="auto"/>
              </w:rPr>
            </w:pPr>
            <w:r>
              <w:rPr>
                <w:rFonts w:ascii="Arial" w:cs="Arial" w:eastAsia="Arial" w:hAnsi="Arial"/>
                <w:sz w:val="10"/>
                <w:szCs w:val="10"/>
                <w:color w:val="54585A"/>
              </w:rPr>
              <w:t>—</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20" w:type="dxa"/>
            <w:vAlign w:val="bottom"/>
          </w:tcPr>
          <w:p>
            <w:pPr>
              <w:jc w:val="right"/>
              <w:ind w:right="52"/>
              <w:spacing w:after="0"/>
              <w:rPr>
                <w:sz w:val="20"/>
                <w:szCs w:val="20"/>
                <w:color w:val="auto"/>
              </w:rPr>
            </w:pPr>
            <w:r>
              <w:rPr>
                <w:rFonts w:ascii="Arial" w:cs="Arial" w:eastAsia="Arial" w:hAnsi="Arial"/>
                <w:sz w:val="10"/>
                <w:szCs w:val="10"/>
                <w:color w:val="54585A"/>
              </w:rPr>
              <w:t>—</w:t>
            </w:r>
          </w:p>
        </w:tc>
        <w:tc>
          <w:tcPr>
            <w:tcW w:w="1020" w:type="dxa"/>
            <w:vAlign w:val="bottom"/>
            <w:tcBorders>
              <w:right w:val="single" w:sz="8" w:color="54585A"/>
            </w:tcBorders>
          </w:tcPr>
          <w:p>
            <w:pPr>
              <w:jc w:val="center"/>
              <w:ind w:right="12"/>
              <w:spacing w:after="0"/>
              <w:rPr>
                <w:sz w:val="20"/>
                <w:szCs w:val="20"/>
                <w:color w:val="auto"/>
              </w:rPr>
            </w:pPr>
            <w:r>
              <w:rPr>
                <w:rFonts w:ascii="Arial" w:cs="Arial" w:eastAsia="Arial" w:hAnsi="Arial"/>
                <w:sz w:val="10"/>
                <w:szCs w:val="10"/>
                <w:color w:val="54585A"/>
                <w:w w:val="79"/>
              </w:rPr>
              <w:t>—</w:t>
            </w:r>
          </w:p>
        </w:tc>
        <w:tc>
          <w:tcPr>
            <w:tcW w:w="940" w:type="dxa"/>
            <w:vAlign w:val="bottom"/>
          </w:tcPr>
          <w:p>
            <w:pPr>
              <w:jc w:val="center"/>
              <w:ind w:left="52"/>
              <w:spacing w:after="0"/>
              <w:rPr>
                <w:sz w:val="20"/>
                <w:szCs w:val="20"/>
                <w:color w:val="auto"/>
              </w:rPr>
            </w:pPr>
            <w:r>
              <w:rPr>
                <w:rFonts w:ascii="Arial" w:cs="Arial" w:eastAsia="Arial" w:hAnsi="Arial"/>
                <w:sz w:val="10"/>
                <w:szCs w:val="10"/>
                <w:color w:val="54585A"/>
                <w:w w:val="95"/>
              </w:rPr>
              <w:t>11/15/2022</w:t>
            </w:r>
          </w:p>
        </w:tc>
        <w:tc>
          <w:tcPr>
            <w:tcW w:w="1380" w:type="dxa"/>
            <w:vAlign w:val="bottom"/>
          </w:tcPr>
          <w:p>
            <w:pPr>
              <w:jc w:val="right"/>
              <w:ind w:right="32"/>
              <w:spacing w:after="0"/>
              <w:rPr>
                <w:sz w:val="20"/>
                <w:szCs w:val="20"/>
                <w:color w:val="auto"/>
              </w:rPr>
            </w:pPr>
            <w:r>
              <w:rPr>
                <w:rFonts w:ascii="Arial" w:cs="Arial" w:eastAsia="Arial" w:hAnsi="Arial"/>
                <w:sz w:val="10"/>
                <w:szCs w:val="10"/>
                <w:color w:val="54585A"/>
              </w:rPr>
              <w:t>73,334</w:t>
            </w:r>
          </w:p>
        </w:tc>
        <w:tc>
          <w:tcPr>
            <w:tcW w:w="1220" w:type="dxa"/>
            <w:vAlign w:val="bottom"/>
          </w:tcPr>
          <w:p>
            <w:pPr>
              <w:jc w:val="right"/>
              <w:spacing w:after="0"/>
              <w:rPr>
                <w:sz w:val="20"/>
                <w:szCs w:val="20"/>
                <w:color w:val="auto"/>
              </w:rPr>
            </w:pPr>
            <w:r>
              <w:rPr>
                <w:rFonts w:ascii="Arial" w:cs="Arial" w:eastAsia="Arial" w:hAnsi="Arial"/>
                <w:sz w:val="10"/>
                <w:szCs w:val="10"/>
                <w:color w:val="54585A"/>
              </w:rPr>
              <w:t>97,534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920" w:type="dxa"/>
            <w:vAlign w:val="bottom"/>
          </w:tcPr>
          <w:p>
            <w:pPr>
              <w:spacing w:after="0"/>
              <w:rPr>
                <w:sz w:val="5"/>
                <w:szCs w:val="5"/>
                <w:color w:val="auto"/>
              </w:rPr>
            </w:pPr>
          </w:p>
        </w:tc>
        <w:tc>
          <w:tcPr>
            <w:tcW w:w="1060" w:type="dxa"/>
            <w:vAlign w:val="bottom"/>
            <w:tcBorders>
              <w:bottom w:val="single" w:sz="8" w:color="54585A"/>
            </w:tcBorders>
          </w:tcPr>
          <w:p>
            <w:pPr>
              <w:spacing w:after="0"/>
              <w:rPr>
                <w:sz w:val="5"/>
                <w:szCs w:val="5"/>
                <w:color w:val="auto"/>
              </w:rPr>
            </w:pPr>
          </w:p>
        </w:tc>
        <w:tc>
          <w:tcPr>
            <w:tcW w:w="1300" w:type="dxa"/>
            <w:vAlign w:val="bottom"/>
            <w:tcBorders>
              <w:bottom w:val="single" w:sz="8" w:color="54585A"/>
            </w:tcBorders>
          </w:tcPr>
          <w:p>
            <w:pPr>
              <w:spacing w:after="0"/>
              <w:rPr>
                <w:sz w:val="5"/>
                <w:szCs w:val="5"/>
                <w:color w:val="auto"/>
              </w:rPr>
            </w:pPr>
          </w:p>
        </w:tc>
        <w:tc>
          <w:tcPr>
            <w:tcW w:w="1600" w:type="dxa"/>
            <w:vAlign w:val="bottom"/>
            <w:tcBorders>
              <w:bottom w:val="single" w:sz="8" w:color="54585A"/>
            </w:tcBorders>
          </w:tcPr>
          <w:p>
            <w:pPr>
              <w:spacing w:after="0"/>
              <w:rPr>
                <w:sz w:val="5"/>
                <w:szCs w:val="5"/>
                <w:color w:val="auto"/>
              </w:rPr>
            </w:pPr>
          </w:p>
        </w:tc>
        <w:tc>
          <w:tcPr>
            <w:tcW w:w="720" w:type="dxa"/>
            <w:vAlign w:val="bottom"/>
            <w:tcBorders>
              <w:bottom w:val="single" w:sz="8" w:color="54585A"/>
            </w:tcBorders>
          </w:tcPr>
          <w:p>
            <w:pPr>
              <w:spacing w:after="0"/>
              <w:rPr>
                <w:sz w:val="5"/>
                <w:szCs w:val="5"/>
                <w:color w:val="auto"/>
              </w:rPr>
            </w:pPr>
          </w:p>
        </w:tc>
        <w:tc>
          <w:tcPr>
            <w:tcW w:w="1020" w:type="dxa"/>
            <w:vAlign w:val="bottom"/>
            <w:tcBorders>
              <w:bottom w:val="single" w:sz="8" w:color="54585A"/>
              <w:right w:val="single" w:sz="8" w:color="54585A"/>
            </w:tcBorders>
          </w:tcPr>
          <w:p>
            <w:pPr>
              <w:spacing w:after="0"/>
              <w:rPr>
                <w:sz w:val="5"/>
                <w:szCs w:val="5"/>
                <w:color w:val="auto"/>
              </w:rPr>
            </w:pPr>
          </w:p>
        </w:tc>
        <w:tc>
          <w:tcPr>
            <w:tcW w:w="940" w:type="dxa"/>
            <w:vAlign w:val="bottom"/>
            <w:tcBorders>
              <w:bottom w:val="single" w:sz="8" w:color="54585A"/>
            </w:tcBorders>
          </w:tcPr>
          <w:p>
            <w:pPr>
              <w:spacing w:after="0"/>
              <w:rPr>
                <w:sz w:val="5"/>
                <w:szCs w:val="5"/>
                <w:color w:val="auto"/>
              </w:rPr>
            </w:pPr>
          </w:p>
        </w:tc>
        <w:tc>
          <w:tcPr>
            <w:tcW w:w="1380" w:type="dxa"/>
            <w:vAlign w:val="bottom"/>
            <w:tcBorders>
              <w:bottom w:val="single" w:sz="8" w:color="54585A"/>
            </w:tcBorders>
          </w:tcPr>
          <w:p>
            <w:pPr>
              <w:spacing w:after="0"/>
              <w:rPr>
                <w:sz w:val="5"/>
                <w:szCs w:val="5"/>
                <w:color w:val="auto"/>
              </w:rPr>
            </w:pPr>
          </w:p>
        </w:tc>
        <w:tc>
          <w:tcPr>
            <w:tcW w:w="1220" w:type="dxa"/>
            <w:vAlign w:val="bottom"/>
            <w:tcBorders>
              <w:bottom w:val="single" w:sz="8" w:color="54585A"/>
            </w:tcBorders>
          </w:tcPr>
          <w:p>
            <w:pPr>
              <w:spacing w:after="0"/>
              <w:rPr>
                <w:sz w:val="5"/>
                <w:szCs w:val="5"/>
                <w:color w:val="auto"/>
              </w:rPr>
            </w:pPr>
          </w:p>
        </w:tc>
        <w:tc>
          <w:tcPr>
            <w:tcW w:w="140" w:type="dxa"/>
            <w:vAlign w:val="bottom"/>
            <w:tcBorders>
              <w:bottom w:val="single" w:sz="8" w:color="54585A"/>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0"/>
                <w:szCs w:val="10"/>
                <w:color w:val="54585A"/>
                <w:w w:val="99"/>
              </w:rPr>
              <w:t>—</w:t>
            </w:r>
          </w:p>
        </w:tc>
        <w:tc>
          <w:tcPr>
            <w:tcW w:w="1300" w:type="dxa"/>
            <w:vAlign w:val="bottom"/>
          </w:tcPr>
          <w:p>
            <w:pPr>
              <w:jc w:val="right"/>
              <w:ind w:right="132"/>
              <w:spacing w:after="0"/>
              <w:rPr>
                <w:sz w:val="20"/>
                <w:szCs w:val="20"/>
                <w:color w:val="auto"/>
              </w:rPr>
            </w:pPr>
            <w:r>
              <w:rPr>
                <w:rFonts w:ascii="Arial" w:cs="Arial" w:eastAsia="Arial" w:hAnsi="Arial"/>
                <w:sz w:val="10"/>
                <w:szCs w:val="10"/>
                <w:color w:val="54585A"/>
              </w:rPr>
              <w:t>—</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20" w:type="dxa"/>
            <w:vAlign w:val="bottom"/>
          </w:tcPr>
          <w:p>
            <w:pPr>
              <w:jc w:val="right"/>
              <w:ind w:right="52"/>
              <w:spacing w:after="0"/>
              <w:rPr>
                <w:sz w:val="20"/>
                <w:szCs w:val="20"/>
                <w:color w:val="auto"/>
              </w:rPr>
            </w:pPr>
            <w:r>
              <w:rPr>
                <w:rFonts w:ascii="Arial" w:cs="Arial" w:eastAsia="Arial" w:hAnsi="Arial"/>
                <w:sz w:val="10"/>
                <w:szCs w:val="10"/>
                <w:color w:val="54585A"/>
              </w:rPr>
              <w:t>—</w:t>
            </w:r>
          </w:p>
        </w:tc>
        <w:tc>
          <w:tcPr>
            <w:tcW w:w="1020" w:type="dxa"/>
            <w:vAlign w:val="bottom"/>
            <w:tcBorders>
              <w:right w:val="single" w:sz="8" w:color="54585A"/>
            </w:tcBorders>
          </w:tcPr>
          <w:p>
            <w:pPr>
              <w:jc w:val="center"/>
              <w:ind w:right="12"/>
              <w:spacing w:after="0"/>
              <w:rPr>
                <w:sz w:val="20"/>
                <w:szCs w:val="20"/>
                <w:color w:val="auto"/>
              </w:rPr>
            </w:pPr>
            <w:r>
              <w:rPr>
                <w:rFonts w:ascii="Arial" w:cs="Arial" w:eastAsia="Arial" w:hAnsi="Arial"/>
                <w:sz w:val="10"/>
                <w:szCs w:val="10"/>
                <w:color w:val="54585A"/>
                <w:w w:val="79"/>
              </w:rPr>
              <w:t>—</w:t>
            </w:r>
          </w:p>
        </w:tc>
        <w:tc>
          <w:tcPr>
            <w:tcW w:w="940" w:type="dxa"/>
            <w:vAlign w:val="bottom"/>
          </w:tcPr>
          <w:p>
            <w:pPr>
              <w:jc w:val="center"/>
              <w:ind w:left="52"/>
              <w:spacing w:after="0"/>
              <w:rPr>
                <w:sz w:val="20"/>
                <w:szCs w:val="20"/>
                <w:color w:val="auto"/>
              </w:rPr>
            </w:pPr>
            <w:r>
              <w:rPr>
                <w:rFonts w:ascii="Arial" w:cs="Arial" w:eastAsia="Arial" w:hAnsi="Arial"/>
                <w:sz w:val="10"/>
                <w:szCs w:val="10"/>
                <w:color w:val="54585A"/>
                <w:w w:val="98"/>
              </w:rPr>
              <w:t>12/6/2022</w:t>
            </w:r>
          </w:p>
        </w:tc>
        <w:tc>
          <w:tcPr>
            <w:tcW w:w="1380" w:type="dxa"/>
            <w:vAlign w:val="bottom"/>
          </w:tcPr>
          <w:p>
            <w:pPr>
              <w:jc w:val="right"/>
              <w:ind w:right="32"/>
              <w:spacing w:after="0"/>
              <w:rPr>
                <w:sz w:val="20"/>
                <w:szCs w:val="20"/>
                <w:color w:val="auto"/>
              </w:rPr>
            </w:pPr>
            <w:r>
              <w:rPr>
                <w:rFonts w:ascii="Arial" w:cs="Arial" w:eastAsia="Arial" w:hAnsi="Arial"/>
                <w:sz w:val="10"/>
                <w:szCs w:val="10"/>
                <w:color w:val="54585A"/>
              </w:rPr>
              <w:t>80,004</w:t>
            </w:r>
          </w:p>
        </w:tc>
        <w:tc>
          <w:tcPr>
            <w:tcW w:w="1220" w:type="dxa"/>
            <w:vAlign w:val="bottom"/>
          </w:tcPr>
          <w:p>
            <w:pPr>
              <w:jc w:val="right"/>
              <w:spacing w:after="0"/>
              <w:rPr>
                <w:sz w:val="20"/>
                <w:szCs w:val="20"/>
                <w:color w:val="auto"/>
              </w:rPr>
            </w:pPr>
            <w:r>
              <w:rPr>
                <w:rFonts w:ascii="Arial" w:cs="Arial" w:eastAsia="Arial" w:hAnsi="Arial"/>
                <w:sz w:val="10"/>
                <w:szCs w:val="10"/>
                <w:color w:val="54585A"/>
              </w:rPr>
              <w:t>106,405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920" w:type="dxa"/>
            <w:vAlign w:val="bottom"/>
            <w:tcBorders>
              <w:bottom w:val="single" w:sz="8" w:color="54585A"/>
            </w:tcBorders>
          </w:tcPr>
          <w:p>
            <w:pPr>
              <w:spacing w:after="0"/>
              <w:rPr>
                <w:sz w:val="5"/>
                <w:szCs w:val="5"/>
                <w:color w:val="auto"/>
              </w:rPr>
            </w:pPr>
          </w:p>
        </w:tc>
        <w:tc>
          <w:tcPr>
            <w:tcW w:w="1060" w:type="dxa"/>
            <w:vAlign w:val="bottom"/>
            <w:tcBorders>
              <w:bottom w:val="single" w:sz="8" w:color="54585A"/>
            </w:tcBorders>
          </w:tcPr>
          <w:p>
            <w:pPr>
              <w:spacing w:after="0"/>
              <w:rPr>
                <w:sz w:val="5"/>
                <w:szCs w:val="5"/>
                <w:color w:val="auto"/>
              </w:rPr>
            </w:pPr>
          </w:p>
        </w:tc>
        <w:tc>
          <w:tcPr>
            <w:tcW w:w="1300" w:type="dxa"/>
            <w:vAlign w:val="bottom"/>
            <w:tcBorders>
              <w:bottom w:val="single" w:sz="8" w:color="54585A"/>
            </w:tcBorders>
          </w:tcPr>
          <w:p>
            <w:pPr>
              <w:spacing w:after="0"/>
              <w:rPr>
                <w:sz w:val="5"/>
                <w:szCs w:val="5"/>
                <w:color w:val="auto"/>
              </w:rPr>
            </w:pPr>
          </w:p>
        </w:tc>
        <w:tc>
          <w:tcPr>
            <w:tcW w:w="1600" w:type="dxa"/>
            <w:vAlign w:val="bottom"/>
            <w:tcBorders>
              <w:bottom w:val="single" w:sz="8" w:color="54585A"/>
            </w:tcBorders>
          </w:tcPr>
          <w:p>
            <w:pPr>
              <w:spacing w:after="0"/>
              <w:rPr>
                <w:sz w:val="5"/>
                <w:szCs w:val="5"/>
                <w:color w:val="auto"/>
              </w:rPr>
            </w:pPr>
          </w:p>
        </w:tc>
        <w:tc>
          <w:tcPr>
            <w:tcW w:w="720" w:type="dxa"/>
            <w:vAlign w:val="bottom"/>
            <w:tcBorders>
              <w:bottom w:val="single" w:sz="8" w:color="54585A"/>
            </w:tcBorders>
          </w:tcPr>
          <w:p>
            <w:pPr>
              <w:spacing w:after="0"/>
              <w:rPr>
                <w:sz w:val="5"/>
                <w:szCs w:val="5"/>
                <w:color w:val="auto"/>
              </w:rPr>
            </w:pPr>
          </w:p>
        </w:tc>
        <w:tc>
          <w:tcPr>
            <w:tcW w:w="1020" w:type="dxa"/>
            <w:vAlign w:val="bottom"/>
            <w:tcBorders>
              <w:bottom w:val="single" w:sz="8" w:color="54585A"/>
              <w:right w:val="single" w:sz="8" w:color="54585A"/>
            </w:tcBorders>
          </w:tcPr>
          <w:p>
            <w:pPr>
              <w:spacing w:after="0"/>
              <w:rPr>
                <w:sz w:val="5"/>
                <w:szCs w:val="5"/>
                <w:color w:val="auto"/>
              </w:rPr>
            </w:pPr>
          </w:p>
        </w:tc>
        <w:tc>
          <w:tcPr>
            <w:tcW w:w="940" w:type="dxa"/>
            <w:vAlign w:val="bottom"/>
            <w:tcBorders>
              <w:bottom w:val="single" w:sz="8" w:color="54585A"/>
            </w:tcBorders>
          </w:tcPr>
          <w:p>
            <w:pPr>
              <w:spacing w:after="0"/>
              <w:rPr>
                <w:sz w:val="5"/>
                <w:szCs w:val="5"/>
                <w:color w:val="auto"/>
              </w:rPr>
            </w:pPr>
          </w:p>
        </w:tc>
        <w:tc>
          <w:tcPr>
            <w:tcW w:w="1380" w:type="dxa"/>
            <w:vAlign w:val="bottom"/>
            <w:tcBorders>
              <w:bottom w:val="single" w:sz="8" w:color="54585A"/>
            </w:tcBorders>
          </w:tcPr>
          <w:p>
            <w:pPr>
              <w:spacing w:after="0"/>
              <w:rPr>
                <w:sz w:val="5"/>
                <w:szCs w:val="5"/>
                <w:color w:val="auto"/>
              </w:rPr>
            </w:pPr>
          </w:p>
        </w:tc>
        <w:tc>
          <w:tcPr>
            <w:tcW w:w="1220" w:type="dxa"/>
            <w:vAlign w:val="bottom"/>
            <w:tcBorders>
              <w:bottom w:val="single" w:sz="8" w:color="54585A"/>
            </w:tcBorders>
          </w:tcPr>
          <w:p>
            <w:pPr>
              <w:spacing w:after="0"/>
              <w:rPr>
                <w:sz w:val="5"/>
                <w:szCs w:val="5"/>
                <w:color w:val="auto"/>
              </w:rPr>
            </w:pPr>
          </w:p>
        </w:tc>
        <w:tc>
          <w:tcPr>
            <w:tcW w:w="140" w:type="dxa"/>
            <w:vAlign w:val="bottom"/>
            <w:tcBorders>
              <w:bottom w:val="single" w:sz="8" w:color="54585A"/>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0"/>
                <w:szCs w:val="10"/>
                <w:color w:val="54585A"/>
                <w:w w:val="95"/>
              </w:rPr>
              <w:t>12/13/2013</w:t>
            </w:r>
          </w:p>
        </w:tc>
        <w:tc>
          <w:tcPr>
            <w:tcW w:w="1300" w:type="dxa"/>
            <w:vAlign w:val="bottom"/>
          </w:tcPr>
          <w:p>
            <w:pPr>
              <w:jc w:val="right"/>
              <w:ind w:right="92"/>
              <w:spacing w:after="0"/>
              <w:rPr>
                <w:sz w:val="20"/>
                <w:szCs w:val="20"/>
                <w:color w:val="auto"/>
              </w:rPr>
            </w:pPr>
            <w:r>
              <w:rPr>
                <w:rFonts w:ascii="Arial" w:cs="Arial" w:eastAsia="Arial" w:hAnsi="Arial"/>
                <w:sz w:val="10"/>
                <w:szCs w:val="10"/>
                <w:color w:val="54585A"/>
              </w:rPr>
              <w:t>40,000</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20" w:type="dxa"/>
            <w:vAlign w:val="bottom"/>
          </w:tcPr>
          <w:p>
            <w:pPr>
              <w:jc w:val="right"/>
              <w:ind w:right="12"/>
              <w:spacing w:after="0"/>
              <w:rPr>
                <w:sz w:val="20"/>
                <w:szCs w:val="20"/>
                <w:color w:val="auto"/>
              </w:rPr>
            </w:pPr>
            <w:r>
              <w:rPr>
                <w:rFonts w:ascii="Arial" w:cs="Arial" w:eastAsia="Arial" w:hAnsi="Arial"/>
                <w:sz w:val="10"/>
                <w:szCs w:val="10"/>
                <w:color w:val="54585A"/>
              </w:rPr>
              <w:t>1.97</w:t>
            </w:r>
          </w:p>
        </w:tc>
        <w:tc>
          <w:tcPr>
            <w:tcW w:w="1020" w:type="dxa"/>
            <w:vAlign w:val="bottom"/>
            <w:tcBorders>
              <w:right w:val="single" w:sz="8" w:color="54585A"/>
            </w:tcBorders>
          </w:tcPr>
          <w:p>
            <w:pPr>
              <w:jc w:val="center"/>
              <w:ind w:right="12"/>
              <w:spacing w:after="0"/>
              <w:rPr>
                <w:sz w:val="20"/>
                <w:szCs w:val="20"/>
                <w:color w:val="auto"/>
              </w:rPr>
            </w:pPr>
            <w:r>
              <w:rPr>
                <w:rFonts w:ascii="Arial" w:cs="Arial" w:eastAsia="Arial" w:hAnsi="Arial"/>
                <w:sz w:val="10"/>
                <w:szCs w:val="10"/>
                <w:color w:val="54585A"/>
                <w:w w:val="95"/>
              </w:rPr>
              <w:t>12/13/2023</w:t>
            </w:r>
          </w:p>
        </w:tc>
        <w:tc>
          <w:tcPr>
            <w:tcW w:w="940" w:type="dxa"/>
            <w:vAlign w:val="bottom"/>
          </w:tcPr>
          <w:p>
            <w:pPr>
              <w:jc w:val="center"/>
              <w:ind w:left="52"/>
              <w:spacing w:after="0"/>
              <w:rPr>
                <w:sz w:val="20"/>
                <w:szCs w:val="20"/>
                <w:color w:val="auto"/>
              </w:rPr>
            </w:pPr>
            <w:r>
              <w:rPr>
                <w:rFonts w:ascii="Arial" w:cs="Arial" w:eastAsia="Arial" w:hAnsi="Arial"/>
                <w:sz w:val="10"/>
                <w:szCs w:val="10"/>
                <w:color w:val="54585A"/>
                <w:w w:val="98"/>
              </w:rPr>
              <w:t>12/8/2021</w:t>
            </w:r>
          </w:p>
        </w:tc>
        <w:tc>
          <w:tcPr>
            <w:tcW w:w="1380" w:type="dxa"/>
            <w:vAlign w:val="bottom"/>
          </w:tcPr>
          <w:p>
            <w:pPr>
              <w:jc w:val="right"/>
              <w:ind w:right="32"/>
              <w:spacing w:after="0"/>
              <w:rPr>
                <w:sz w:val="20"/>
                <w:szCs w:val="20"/>
                <w:color w:val="auto"/>
              </w:rPr>
            </w:pPr>
            <w:r>
              <w:rPr>
                <w:rFonts w:ascii="Arial" w:cs="Arial" w:eastAsia="Arial" w:hAnsi="Arial"/>
                <w:sz w:val="10"/>
                <w:szCs w:val="10"/>
                <w:color w:val="54585A"/>
              </w:rPr>
              <w:t>40,008</w:t>
            </w:r>
          </w:p>
        </w:tc>
        <w:tc>
          <w:tcPr>
            <w:tcW w:w="1220" w:type="dxa"/>
            <w:vAlign w:val="bottom"/>
          </w:tcPr>
          <w:p>
            <w:pPr>
              <w:jc w:val="right"/>
              <w:spacing w:after="0"/>
              <w:rPr>
                <w:sz w:val="20"/>
                <w:szCs w:val="20"/>
                <w:color w:val="auto"/>
              </w:rPr>
            </w:pPr>
            <w:r>
              <w:rPr>
                <w:rFonts w:ascii="Arial" w:cs="Arial" w:eastAsia="Arial" w:hAnsi="Arial"/>
                <w:sz w:val="10"/>
                <w:szCs w:val="10"/>
                <w:color w:val="54585A"/>
              </w:rPr>
              <w:t>53,211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920" w:type="dxa"/>
            <w:vAlign w:val="bottom"/>
          </w:tcPr>
          <w:p>
            <w:pPr>
              <w:spacing w:after="0"/>
              <w:rPr>
                <w:sz w:val="5"/>
                <w:szCs w:val="5"/>
                <w:color w:val="auto"/>
              </w:rPr>
            </w:pPr>
          </w:p>
        </w:tc>
        <w:tc>
          <w:tcPr>
            <w:tcW w:w="1060" w:type="dxa"/>
            <w:vAlign w:val="bottom"/>
            <w:tcBorders>
              <w:bottom w:val="single" w:sz="8" w:color="54585A"/>
            </w:tcBorders>
          </w:tcPr>
          <w:p>
            <w:pPr>
              <w:spacing w:after="0"/>
              <w:rPr>
                <w:sz w:val="5"/>
                <w:szCs w:val="5"/>
                <w:color w:val="auto"/>
              </w:rPr>
            </w:pPr>
          </w:p>
        </w:tc>
        <w:tc>
          <w:tcPr>
            <w:tcW w:w="1300" w:type="dxa"/>
            <w:vAlign w:val="bottom"/>
            <w:tcBorders>
              <w:bottom w:val="single" w:sz="8" w:color="54585A"/>
            </w:tcBorders>
          </w:tcPr>
          <w:p>
            <w:pPr>
              <w:spacing w:after="0"/>
              <w:rPr>
                <w:sz w:val="5"/>
                <w:szCs w:val="5"/>
                <w:color w:val="auto"/>
              </w:rPr>
            </w:pPr>
          </w:p>
        </w:tc>
        <w:tc>
          <w:tcPr>
            <w:tcW w:w="1600" w:type="dxa"/>
            <w:vAlign w:val="bottom"/>
            <w:tcBorders>
              <w:bottom w:val="single" w:sz="8" w:color="54585A"/>
            </w:tcBorders>
          </w:tcPr>
          <w:p>
            <w:pPr>
              <w:spacing w:after="0"/>
              <w:rPr>
                <w:sz w:val="5"/>
                <w:szCs w:val="5"/>
                <w:color w:val="auto"/>
              </w:rPr>
            </w:pPr>
          </w:p>
        </w:tc>
        <w:tc>
          <w:tcPr>
            <w:tcW w:w="720" w:type="dxa"/>
            <w:vAlign w:val="bottom"/>
            <w:tcBorders>
              <w:bottom w:val="single" w:sz="8" w:color="54585A"/>
            </w:tcBorders>
          </w:tcPr>
          <w:p>
            <w:pPr>
              <w:spacing w:after="0"/>
              <w:rPr>
                <w:sz w:val="5"/>
                <w:szCs w:val="5"/>
                <w:color w:val="auto"/>
              </w:rPr>
            </w:pPr>
          </w:p>
        </w:tc>
        <w:tc>
          <w:tcPr>
            <w:tcW w:w="1020" w:type="dxa"/>
            <w:vAlign w:val="bottom"/>
            <w:tcBorders>
              <w:bottom w:val="single" w:sz="8" w:color="54585A"/>
              <w:right w:val="single" w:sz="8" w:color="54585A"/>
            </w:tcBorders>
          </w:tcPr>
          <w:p>
            <w:pPr>
              <w:spacing w:after="0"/>
              <w:rPr>
                <w:sz w:val="5"/>
                <w:szCs w:val="5"/>
                <w:color w:val="auto"/>
              </w:rPr>
            </w:pPr>
          </w:p>
        </w:tc>
        <w:tc>
          <w:tcPr>
            <w:tcW w:w="940" w:type="dxa"/>
            <w:vAlign w:val="bottom"/>
            <w:tcBorders>
              <w:bottom w:val="single" w:sz="8" w:color="54585A"/>
            </w:tcBorders>
          </w:tcPr>
          <w:p>
            <w:pPr>
              <w:spacing w:after="0"/>
              <w:rPr>
                <w:sz w:val="5"/>
                <w:szCs w:val="5"/>
                <w:color w:val="auto"/>
              </w:rPr>
            </w:pPr>
          </w:p>
        </w:tc>
        <w:tc>
          <w:tcPr>
            <w:tcW w:w="1380" w:type="dxa"/>
            <w:vAlign w:val="bottom"/>
            <w:tcBorders>
              <w:bottom w:val="single" w:sz="8" w:color="54585A"/>
            </w:tcBorders>
          </w:tcPr>
          <w:p>
            <w:pPr>
              <w:spacing w:after="0"/>
              <w:rPr>
                <w:sz w:val="5"/>
                <w:szCs w:val="5"/>
                <w:color w:val="auto"/>
              </w:rPr>
            </w:pPr>
          </w:p>
        </w:tc>
        <w:tc>
          <w:tcPr>
            <w:tcW w:w="1220" w:type="dxa"/>
            <w:vAlign w:val="bottom"/>
            <w:tcBorders>
              <w:bottom w:val="single" w:sz="8" w:color="54585A"/>
            </w:tcBorders>
          </w:tcPr>
          <w:p>
            <w:pPr>
              <w:spacing w:after="0"/>
              <w:rPr>
                <w:sz w:val="5"/>
                <w:szCs w:val="5"/>
                <w:color w:val="auto"/>
              </w:rPr>
            </w:pPr>
          </w:p>
        </w:tc>
        <w:tc>
          <w:tcPr>
            <w:tcW w:w="140" w:type="dxa"/>
            <w:vAlign w:val="bottom"/>
            <w:tcBorders>
              <w:bottom w:val="single" w:sz="8" w:color="54585A"/>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920" w:type="dxa"/>
            <w:vAlign w:val="bottom"/>
            <w:vMerge w:val="restart"/>
          </w:tcPr>
          <w:p>
            <w:pPr>
              <w:ind w:left="60"/>
              <w:spacing w:after="0"/>
              <w:rPr>
                <w:sz w:val="20"/>
                <w:szCs w:val="20"/>
                <w:color w:val="auto"/>
              </w:rPr>
            </w:pPr>
            <w:r>
              <w:rPr>
                <w:rFonts w:ascii="Arial" w:cs="Arial" w:eastAsia="Arial" w:hAnsi="Arial"/>
                <w:sz w:val="10"/>
                <w:szCs w:val="10"/>
                <w:b w:val="1"/>
                <w:bCs w:val="1"/>
                <w:color w:val="EB6C10"/>
              </w:rPr>
              <w:t>Rebecca S. Clary</w:t>
            </w:r>
          </w:p>
        </w:tc>
        <w:tc>
          <w:tcPr>
            <w:tcW w:w="1060" w:type="dxa"/>
            <w:vAlign w:val="bottom"/>
          </w:tcPr>
          <w:p>
            <w:pPr>
              <w:jc w:val="center"/>
              <w:spacing w:after="0"/>
              <w:rPr>
                <w:sz w:val="20"/>
                <w:szCs w:val="20"/>
                <w:color w:val="auto"/>
              </w:rPr>
            </w:pPr>
            <w:r>
              <w:rPr>
                <w:rFonts w:ascii="Arial" w:cs="Arial" w:eastAsia="Arial" w:hAnsi="Arial"/>
                <w:sz w:val="10"/>
                <w:szCs w:val="10"/>
                <w:color w:val="54585A"/>
                <w:w w:val="94"/>
              </w:rPr>
              <w:t>8/27/2014</w:t>
            </w:r>
          </w:p>
        </w:tc>
        <w:tc>
          <w:tcPr>
            <w:tcW w:w="1300" w:type="dxa"/>
            <w:vAlign w:val="bottom"/>
          </w:tcPr>
          <w:p>
            <w:pPr>
              <w:jc w:val="right"/>
              <w:ind w:right="92"/>
              <w:spacing w:after="0"/>
              <w:rPr>
                <w:sz w:val="20"/>
                <w:szCs w:val="20"/>
                <w:color w:val="auto"/>
              </w:rPr>
            </w:pPr>
            <w:r>
              <w:rPr>
                <w:rFonts w:ascii="Arial" w:cs="Arial" w:eastAsia="Arial" w:hAnsi="Arial"/>
                <w:sz w:val="10"/>
                <w:szCs w:val="10"/>
                <w:color w:val="54585A"/>
              </w:rPr>
              <w:t>40,000</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20" w:type="dxa"/>
            <w:vAlign w:val="bottom"/>
          </w:tcPr>
          <w:p>
            <w:pPr>
              <w:jc w:val="right"/>
              <w:ind w:right="12"/>
              <w:spacing w:after="0"/>
              <w:rPr>
                <w:sz w:val="20"/>
                <w:szCs w:val="20"/>
                <w:color w:val="auto"/>
              </w:rPr>
            </w:pPr>
            <w:r>
              <w:rPr>
                <w:rFonts w:ascii="Arial" w:cs="Arial" w:eastAsia="Arial" w:hAnsi="Arial"/>
                <w:sz w:val="10"/>
                <w:szCs w:val="10"/>
                <w:color w:val="54585A"/>
              </w:rPr>
              <w:t>3.99</w:t>
            </w:r>
          </w:p>
        </w:tc>
        <w:tc>
          <w:tcPr>
            <w:tcW w:w="1020" w:type="dxa"/>
            <w:vAlign w:val="bottom"/>
            <w:tcBorders>
              <w:right w:val="single" w:sz="8" w:color="54585A"/>
            </w:tcBorders>
          </w:tcPr>
          <w:p>
            <w:pPr>
              <w:jc w:val="center"/>
              <w:ind w:right="12"/>
              <w:spacing w:after="0"/>
              <w:rPr>
                <w:sz w:val="20"/>
                <w:szCs w:val="20"/>
                <w:color w:val="auto"/>
              </w:rPr>
            </w:pPr>
            <w:r>
              <w:rPr>
                <w:rFonts w:ascii="Arial" w:cs="Arial" w:eastAsia="Arial" w:hAnsi="Arial"/>
                <w:sz w:val="10"/>
                <w:szCs w:val="10"/>
                <w:color w:val="54585A"/>
                <w:w w:val="98"/>
              </w:rPr>
              <w:t>8/27/2024</w:t>
            </w:r>
          </w:p>
        </w:tc>
        <w:tc>
          <w:tcPr>
            <w:tcW w:w="940" w:type="dxa"/>
            <w:vAlign w:val="bottom"/>
          </w:tcPr>
          <w:p>
            <w:pPr>
              <w:jc w:val="center"/>
              <w:ind w:left="52"/>
              <w:spacing w:after="0"/>
              <w:rPr>
                <w:sz w:val="20"/>
                <w:szCs w:val="20"/>
                <w:color w:val="auto"/>
              </w:rPr>
            </w:pPr>
            <w:r>
              <w:rPr>
                <w:rFonts w:ascii="Arial" w:cs="Arial" w:eastAsia="Arial" w:hAnsi="Arial"/>
                <w:sz w:val="10"/>
                <w:szCs w:val="10"/>
                <w:color w:val="54585A"/>
                <w:w w:val="95"/>
              </w:rPr>
              <w:t>11/15/2022</w:t>
            </w:r>
          </w:p>
        </w:tc>
        <w:tc>
          <w:tcPr>
            <w:tcW w:w="1380" w:type="dxa"/>
            <w:vAlign w:val="bottom"/>
          </w:tcPr>
          <w:p>
            <w:pPr>
              <w:jc w:val="right"/>
              <w:ind w:right="32"/>
              <w:spacing w:after="0"/>
              <w:rPr>
                <w:sz w:val="20"/>
                <w:szCs w:val="20"/>
                <w:color w:val="auto"/>
              </w:rPr>
            </w:pPr>
            <w:r>
              <w:rPr>
                <w:rFonts w:ascii="Arial" w:cs="Arial" w:eastAsia="Arial" w:hAnsi="Arial"/>
                <w:sz w:val="10"/>
                <w:szCs w:val="10"/>
                <w:color w:val="54585A"/>
              </w:rPr>
              <w:t>56,667</w:t>
            </w:r>
          </w:p>
        </w:tc>
        <w:tc>
          <w:tcPr>
            <w:tcW w:w="1220" w:type="dxa"/>
            <w:vAlign w:val="bottom"/>
          </w:tcPr>
          <w:p>
            <w:pPr>
              <w:jc w:val="right"/>
              <w:spacing w:after="0"/>
              <w:rPr>
                <w:sz w:val="20"/>
                <w:szCs w:val="20"/>
                <w:color w:val="auto"/>
              </w:rPr>
            </w:pPr>
            <w:r>
              <w:rPr>
                <w:rFonts w:ascii="Arial" w:cs="Arial" w:eastAsia="Arial" w:hAnsi="Arial"/>
                <w:sz w:val="10"/>
                <w:szCs w:val="10"/>
                <w:color w:val="54585A"/>
              </w:rPr>
              <w:t>75,367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920" w:type="dxa"/>
            <w:vAlign w:val="bottom"/>
            <w:vMerge w:val="continue"/>
          </w:tcPr>
          <w:p>
            <w:pPr>
              <w:spacing w:after="0"/>
              <w:rPr>
                <w:sz w:val="5"/>
                <w:szCs w:val="5"/>
                <w:color w:val="auto"/>
              </w:rPr>
            </w:pPr>
          </w:p>
        </w:tc>
        <w:tc>
          <w:tcPr>
            <w:tcW w:w="1060" w:type="dxa"/>
            <w:vAlign w:val="bottom"/>
            <w:tcBorders>
              <w:bottom w:val="single" w:sz="8" w:color="54585A"/>
            </w:tcBorders>
          </w:tcPr>
          <w:p>
            <w:pPr>
              <w:spacing w:after="0"/>
              <w:rPr>
                <w:sz w:val="5"/>
                <w:szCs w:val="5"/>
                <w:color w:val="auto"/>
              </w:rPr>
            </w:pPr>
          </w:p>
        </w:tc>
        <w:tc>
          <w:tcPr>
            <w:tcW w:w="1300" w:type="dxa"/>
            <w:vAlign w:val="bottom"/>
            <w:tcBorders>
              <w:bottom w:val="single" w:sz="8" w:color="54585A"/>
            </w:tcBorders>
          </w:tcPr>
          <w:p>
            <w:pPr>
              <w:spacing w:after="0"/>
              <w:rPr>
                <w:sz w:val="5"/>
                <w:szCs w:val="5"/>
                <w:color w:val="auto"/>
              </w:rPr>
            </w:pPr>
          </w:p>
        </w:tc>
        <w:tc>
          <w:tcPr>
            <w:tcW w:w="1600" w:type="dxa"/>
            <w:vAlign w:val="bottom"/>
            <w:tcBorders>
              <w:bottom w:val="single" w:sz="8" w:color="54585A"/>
            </w:tcBorders>
          </w:tcPr>
          <w:p>
            <w:pPr>
              <w:spacing w:after="0"/>
              <w:rPr>
                <w:sz w:val="5"/>
                <w:szCs w:val="5"/>
                <w:color w:val="auto"/>
              </w:rPr>
            </w:pPr>
          </w:p>
        </w:tc>
        <w:tc>
          <w:tcPr>
            <w:tcW w:w="720" w:type="dxa"/>
            <w:vAlign w:val="bottom"/>
            <w:tcBorders>
              <w:bottom w:val="single" w:sz="8" w:color="54585A"/>
            </w:tcBorders>
          </w:tcPr>
          <w:p>
            <w:pPr>
              <w:spacing w:after="0"/>
              <w:rPr>
                <w:sz w:val="5"/>
                <w:szCs w:val="5"/>
                <w:color w:val="auto"/>
              </w:rPr>
            </w:pPr>
          </w:p>
        </w:tc>
        <w:tc>
          <w:tcPr>
            <w:tcW w:w="1020" w:type="dxa"/>
            <w:vAlign w:val="bottom"/>
            <w:tcBorders>
              <w:bottom w:val="single" w:sz="8" w:color="54585A"/>
              <w:right w:val="single" w:sz="8" w:color="54585A"/>
            </w:tcBorders>
          </w:tcPr>
          <w:p>
            <w:pPr>
              <w:spacing w:after="0"/>
              <w:rPr>
                <w:sz w:val="5"/>
                <w:szCs w:val="5"/>
                <w:color w:val="auto"/>
              </w:rPr>
            </w:pPr>
          </w:p>
        </w:tc>
        <w:tc>
          <w:tcPr>
            <w:tcW w:w="940" w:type="dxa"/>
            <w:vAlign w:val="bottom"/>
            <w:tcBorders>
              <w:bottom w:val="single" w:sz="8" w:color="54585A"/>
            </w:tcBorders>
          </w:tcPr>
          <w:p>
            <w:pPr>
              <w:spacing w:after="0"/>
              <w:rPr>
                <w:sz w:val="5"/>
                <w:szCs w:val="5"/>
                <w:color w:val="auto"/>
              </w:rPr>
            </w:pPr>
          </w:p>
        </w:tc>
        <w:tc>
          <w:tcPr>
            <w:tcW w:w="1380" w:type="dxa"/>
            <w:vAlign w:val="bottom"/>
            <w:tcBorders>
              <w:bottom w:val="single" w:sz="8" w:color="54585A"/>
            </w:tcBorders>
          </w:tcPr>
          <w:p>
            <w:pPr>
              <w:spacing w:after="0"/>
              <w:rPr>
                <w:sz w:val="5"/>
                <w:szCs w:val="5"/>
                <w:color w:val="auto"/>
              </w:rPr>
            </w:pPr>
          </w:p>
        </w:tc>
        <w:tc>
          <w:tcPr>
            <w:tcW w:w="1220" w:type="dxa"/>
            <w:vAlign w:val="bottom"/>
            <w:tcBorders>
              <w:bottom w:val="single" w:sz="8" w:color="54585A"/>
            </w:tcBorders>
          </w:tcPr>
          <w:p>
            <w:pPr>
              <w:spacing w:after="0"/>
              <w:rPr>
                <w:sz w:val="5"/>
                <w:szCs w:val="5"/>
                <w:color w:val="auto"/>
              </w:rPr>
            </w:pPr>
          </w:p>
        </w:tc>
        <w:tc>
          <w:tcPr>
            <w:tcW w:w="140" w:type="dxa"/>
            <w:vAlign w:val="bottom"/>
            <w:tcBorders>
              <w:bottom w:val="single" w:sz="8" w:color="54585A"/>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920" w:type="dxa"/>
            <w:vAlign w:val="bottom"/>
            <w:vMerge w:val="continue"/>
          </w:tcPr>
          <w:p>
            <w:pPr>
              <w:spacing w:after="0"/>
              <w:rPr>
                <w:sz w:val="3"/>
                <w:szCs w:val="3"/>
                <w:color w:val="auto"/>
              </w:rPr>
            </w:pPr>
          </w:p>
        </w:tc>
        <w:tc>
          <w:tcPr>
            <w:tcW w:w="1060" w:type="dxa"/>
            <w:vAlign w:val="bottom"/>
            <w:vMerge w:val="restart"/>
          </w:tcPr>
          <w:p>
            <w:pPr>
              <w:jc w:val="center"/>
              <w:spacing w:after="0"/>
              <w:rPr>
                <w:sz w:val="20"/>
                <w:szCs w:val="20"/>
                <w:color w:val="auto"/>
              </w:rPr>
            </w:pPr>
            <w:r>
              <w:rPr>
                <w:rFonts w:ascii="Arial" w:cs="Arial" w:eastAsia="Arial" w:hAnsi="Arial"/>
                <w:sz w:val="10"/>
                <w:szCs w:val="10"/>
                <w:color w:val="54585A"/>
                <w:w w:val="95"/>
              </w:rPr>
              <w:t>12/12/2014</w:t>
            </w:r>
          </w:p>
        </w:tc>
        <w:tc>
          <w:tcPr>
            <w:tcW w:w="1300" w:type="dxa"/>
            <w:vAlign w:val="bottom"/>
            <w:vMerge w:val="restart"/>
          </w:tcPr>
          <w:p>
            <w:pPr>
              <w:jc w:val="right"/>
              <w:ind w:right="92"/>
              <w:spacing w:after="0"/>
              <w:rPr>
                <w:sz w:val="20"/>
                <w:szCs w:val="20"/>
                <w:color w:val="auto"/>
              </w:rPr>
            </w:pPr>
            <w:r>
              <w:rPr>
                <w:rFonts w:ascii="Arial" w:cs="Arial" w:eastAsia="Arial" w:hAnsi="Arial"/>
                <w:sz w:val="10"/>
                <w:szCs w:val="10"/>
                <w:color w:val="54585A"/>
              </w:rPr>
              <w:t>40,000</w:t>
            </w:r>
          </w:p>
        </w:tc>
        <w:tc>
          <w:tcPr>
            <w:tcW w:w="1600" w:type="dxa"/>
            <w:vAlign w:val="bottom"/>
            <w:vMerge w:val="restart"/>
          </w:tcPr>
          <w:p>
            <w:pPr>
              <w:ind w:left="1200"/>
              <w:spacing w:after="0"/>
              <w:rPr>
                <w:sz w:val="20"/>
                <w:szCs w:val="20"/>
                <w:color w:val="auto"/>
              </w:rPr>
            </w:pPr>
            <w:r>
              <w:rPr>
                <w:rFonts w:ascii="Arial" w:cs="Arial" w:eastAsia="Arial" w:hAnsi="Arial"/>
                <w:sz w:val="10"/>
                <w:szCs w:val="10"/>
                <w:color w:val="54585A"/>
              </w:rPr>
              <w:t>—</w:t>
            </w:r>
          </w:p>
        </w:tc>
        <w:tc>
          <w:tcPr>
            <w:tcW w:w="720" w:type="dxa"/>
            <w:vAlign w:val="bottom"/>
            <w:vMerge w:val="restart"/>
          </w:tcPr>
          <w:p>
            <w:pPr>
              <w:jc w:val="right"/>
              <w:ind w:right="12"/>
              <w:spacing w:after="0"/>
              <w:rPr>
                <w:sz w:val="20"/>
                <w:szCs w:val="20"/>
                <w:color w:val="auto"/>
              </w:rPr>
            </w:pPr>
            <w:r>
              <w:rPr>
                <w:rFonts w:ascii="Arial" w:cs="Arial" w:eastAsia="Arial" w:hAnsi="Arial"/>
                <w:sz w:val="10"/>
                <w:szCs w:val="10"/>
                <w:color w:val="54585A"/>
              </w:rPr>
              <w:t>2.58</w:t>
            </w:r>
          </w:p>
        </w:tc>
        <w:tc>
          <w:tcPr>
            <w:tcW w:w="1020" w:type="dxa"/>
            <w:vAlign w:val="bottom"/>
            <w:tcBorders>
              <w:right w:val="single" w:sz="8" w:color="54585A"/>
            </w:tcBorders>
            <w:vMerge w:val="restart"/>
          </w:tcPr>
          <w:p>
            <w:pPr>
              <w:jc w:val="center"/>
              <w:ind w:right="12"/>
              <w:spacing w:after="0"/>
              <w:rPr>
                <w:sz w:val="20"/>
                <w:szCs w:val="20"/>
                <w:color w:val="auto"/>
              </w:rPr>
            </w:pPr>
            <w:r>
              <w:rPr>
                <w:rFonts w:ascii="Arial" w:cs="Arial" w:eastAsia="Arial" w:hAnsi="Arial"/>
                <w:sz w:val="10"/>
                <w:szCs w:val="10"/>
                <w:color w:val="54585A"/>
                <w:w w:val="95"/>
              </w:rPr>
              <w:t>12/12/2024</w:t>
            </w:r>
          </w:p>
        </w:tc>
        <w:tc>
          <w:tcPr>
            <w:tcW w:w="940" w:type="dxa"/>
            <w:vAlign w:val="bottom"/>
            <w:vMerge w:val="restart"/>
          </w:tcPr>
          <w:p>
            <w:pPr>
              <w:jc w:val="center"/>
              <w:ind w:left="52"/>
              <w:spacing w:after="0"/>
              <w:rPr>
                <w:sz w:val="20"/>
                <w:szCs w:val="20"/>
                <w:color w:val="auto"/>
              </w:rPr>
            </w:pPr>
            <w:r>
              <w:rPr>
                <w:rFonts w:ascii="Arial" w:cs="Arial" w:eastAsia="Arial" w:hAnsi="Arial"/>
                <w:sz w:val="10"/>
                <w:szCs w:val="10"/>
                <w:color w:val="54585A"/>
                <w:w w:val="95"/>
              </w:rPr>
              <w:t>11/15/2022</w:t>
            </w:r>
          </w:p>
        </w:tc>
        <w:tc>
          <w:tcPr>
            <w:tcW w:w="1380" w:type="dxa"/>
            <w:vAlign w:val="bottom"/>
            <w:vMerge w:val="restart"/>
          </w:tcPr>
          <w:p>
            <w:pPr>
              <w:jc w:val="right"/>
              <w:ind w:right="32"/>
              <w:spacing w:after="0"/>
              <w:rPr>
                <w:sz w:val="20"/>
                <w:szCs w:val="20"/>
                <w:color w:val="auto"/>
              </w:rPr>
            </w:pPr>
            <w:r>
              <w:rPr>
                <w:rFonts w:ascii="Arial" w:cs="Arial" w:eastAsia="Arial" w:hAnsi="Arial"/>
                <w:sz w:val="10"/>
                <w:szCs w:val="10"/>
                <w:color w:val="54585A"/>
              </w:rPr>
              <w:t>500,000</w:t>
            </w:r>
          </w:p>
        </w:tc>
        <w:tc>
          <w:tcPr>
            <w:tcW w:w="1220" w:type="dxa"/>
            <w:vAlign w:val="bottom"/>
            <w:vMerge w:val="restart"/>
          </w:tcPr>
          <w:p>
            <w:pPr>
              <w:jc w:val="right"/>
              <w:spacing w:after="0"/>
              <w:rPr>
                <w:sz w:val="20"/>
                <w:szCs w:val="20"/>
                <w:color w:val="auto"/>
              </w:rPr>
            </w:pPr>
            <w:r>
              <w:rPr>
                <w:rFonts w:ascii="Arial" w:cs="Arial" w:eastAsia="Arial" w:hAnsi="Arial"/>
                <w:sz w:val="10"/>
                <w:szCs w:val="10"/>
                <w:color w:val="54585A"/>
              </w:rPr>
              <w:t>665,000</w:t>
            </w: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19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20" w:type="dxa"/>
            <w:vAlign w:val="bottom"/>
            <w:tcBorders>
              <w:right w:val="single" w:sz="8" w:color="54585A"/>
            </w:tcBorders>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920" w:type="dxa"/>
            <w:vAlign w:val="bottom"/>
          </w:tcPr>
          <w:p>
            <w:pPr>
              <w:spacing w:after="0"/>
              <w:rPr>
                <w:sz w:val="5"/>
                <w:szCs w:val="5"/>
                <w:color w:val="auto"/>
              </w:rPr>
            </w:pPr>
          </w:p>
        </w:tc>
        <w:tc>
          <w:tcPr>
            <w:tcW w:w="1060" w:type="dxa"/>
            <w:vAlign w:val="bottom"/>
            <w:tcBorders>
              <w:bottom w:val="single" w:sz="8" w:color="54585A"/>
            </w:tcBorders>
          </w:tcPr>
          <w:p>
            <w:pPr>
              <w:spacing w:after="0"/>
              <w:rPr>
                <w:sz w:val="5"/>
                <w:szCs w:val="5"/>
                <w:color w:val="auto"/>
              </w:rPr>
            </w:pPr>
          </w:p>
        </w:tc>
        <w:tc>
          <w:tcPr>
            <w:tcW w:w="1300" w:type="dxa"/>
            <w:vAlign w:val="bottom"/>
            <w:tcBorders>
              <w:bottom w:val="single" w:sz="8" w:color="54585A"/>
            </w:tcBorders>
          </w:tcPr>
          <w:p>
            <w:pPr>
              <w:spacing w:after="0"/>
              <w:rPr>
                <w:sz w:val="5"/>
                <w:szCs w:val="5"/>
                <w:color w:val="auto"/>
              </w:rPr>
            </w:pPr>
          </w:p>
        </w:tc>
        <w:tc>
          <w:tcPr>
            <w:tcW w:w="1600" w:type="dxa"/>
            <w:vAlign w:val="bottom"/>
            <w:tcBorders>
              <w:bottom w:val="single" w:sz="8" w:color="54585A"/>
            </w:tcBorders>
          </w:tcPr>
          <w:p>
            <w:pPr>
              <w:spacing w:after="0"/>
              <w:rPr>
                <w:sz w:val="5"/>
                <w:szCs w:val="5"/>
                <w:color w:val="auto"/>
              </w:rPr>
            </w:pPr>
          </w:p>
        </w:tc>
        <w:tc>
          <w:tcPr>
            <w:tcW w:w="720" w:type="dxa"/>
            <w:vAlign w:val="bottom"/>
            <w:tcBorders>
              <w:bottom w:val="single" w:sz="8" w:color="54585A"/>
            </w:tcBorders>
          </w:tcPr>
          <w:p>
            <w:pPr>
              <w:spacing w:after="0"/>
              <w:rPr>
                <w:sz w:val="5"/>
                <w:szCs w:val="5"/>
                <w:color w:val="auto"/>
              </w:rPr>
            </w:pPr>
          </w:p>
        </w:tc>
        <w:tc>
          <w:tcPr>
            <w:tcW w:w="1020" w:type="dxa"/>
            <w:vAlign w:val="bottom"/>
            <w:tcBorders>
              <w:bottom w:val="single" w:sz="8" w:color="54585A"/>
              <w:right w:val="single" w:sz="8" w:color="54585A"/>
            </w:tcBorders>
          </w:tcPr>
          <w:p>
            <w:pPr>
              <w:spacing w:after="0"/>
              <w:rPr>
                <w:sz w:val="5"/>
                <w:szCs w:val="5"/>
                <w:color w:val="auto"/>
              </w:rPr>
            </w:pPr>
          </w:p>
        </w:tc>
        <w:tc>
          <w:tcPr>
            <w:tcW w:w="940" w:type="dxa"/>
            <w:vAlign w:val="bottom"/>
            <w:tcBorders>
              <w:bottom w:val="single" w:sz="8" w:color="54585A"/>
            </w:tcBorders>
          </w:tcPr>
          <w:p>
            <w:pPr>
              <w:spacing w:after="0"/>
              <w:rPr>
                <w:sz w:val="5"/>
                <w:szCs w:val="5"/>
                <w:color w:val="auto"/>
              </w:rPr>
            </w:pPr>
          </w:p>
        </w:tc>
        <w:tc>
          <w:tcPr>
            <w:tcW w:w="1380" w:type="dxa"/>
            <w:vAlign w:val="bottom"/>
            <w:tcBorders>
              <w:bottom w:val="single" w:sz="8" w:color="54585A"/>
            </w:tcBorders>
          </w:tcPr>
          <w:p>
            <w:pPr>
              <w:spacing w:after="0"/>
              <w:rPr>
                <w:sz w:val="5"/>
                <w:szCs w:val="5"/>
                <w:color w:val="auto"/>
              </w:rPr>
            </w:pPr>
          </w:p>
        </w:tc>
        <w:tc>
          <w:tcPr>
            <w:tcW w:w="1220" w:type="dxa"/>
            <w:vAlign w:val="bottom"/>
            <w:tcBorders>
              <w:bottom w:val="single" w:sz="8" w:color="54585A"/>
            </w:tcBorders>
          </w:tcPr>
          <w:p>
            <w:pPr>
              <w:spacing w:after="0"/>
              <w:rPr>
                <w:sz w:val="5"/>
                <w:szCs w:val="5"/>
                <w:color w:val="auto"/>
              </w:rPr>
            </w:pPr>
          </w:p>
        </w:tc>
        <w:tc>
          <w:tcPr>
            <w:tcW w:w="140" w:type="dxa"/>
            <w:vAlign w:val="bottom"/>
            <w:tcBorders>
              <w:bottom w:val="single" w:sz="8" w:color="54585A"/>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0"/>
                <w:szCs w:val="10"/>
                <w:color w:val="54585A"/>
                <w:w w:val="99"/>
              </w:rPr>
              <w:t>—</w:t>
            </w:r>
          </w:p>
        </w:tc>
        <w:tc>
          <w:tcPr>
            <w:tcW w:w="1300" w:type="dxa"/>
            <w:vAlign w:val="bottom"/>
          </w:tcPr>
          <w:p>
            <w:pPr>
              <w:jc w:val="right"/>
              <w:ind w:right="132"/>
              <w:spacing w:after="0"/>
              <w:rPr>
                <w:sz w:val="20"/>
                <w:szCs w:val="20"/>
                <w:color w:val="auto"/>
              </w:rPr>
            </w:pPr>
            <w:r>
              <w:rPr>
                <w:rFonts w:ascii="Arial" w:cs="Arial" w:eastAsia="Arial" w:hAnsi="Arial"/>
                <w:sz w:val="10"/>
                <w:szCs w:val="10"/>
                <w:color w:val="54585A"/>
              </w:rPr>
              <w:t>—</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20" w:type="dxa"/>
            <w:vAlign w:val="bottom"/>
          </w:tcPr>
          <w:p>
            <w:pPr>
              <w:jc w:val="right"/>
              <w:ind w:right="52"/>
              <w:spacing w:after="0"/>
              <w:rPr>
                <w:sz w:val="20"/>
                <w:szCs w:val="20"/>
                <w:color w:val="auto"/>
              </w:rPr>
            </w:pPr>
            <w:r>
              <w:rPr>
                <w:rFonts w:ascii="Arial" w:cs="Arial" w:eastAsia="Arial" w:hAnsi="Arial"/>
                <w:sz w:val="10"/>
                <w:szCs w:val="10"/>
                <w:color w:val="54585A"/>
              </w:rPr>
              <w:t>—</w:t>
            </w:r>
          </w:p>
        </w:tc>
        <w:tc>
          <w:tcPr>
            <w:tcW w:w="1020" w:type="dxa"/>
            <w:vAlign w:val="bottom"/>
            <w:tcBorders>
              <w:right w:val="single" w:sz="8" w:color="54585A"/>
            </w:tcBorders>
          </w:tcPr>
          <w:p>
            <w:pPr>
              <w:jc w:val="center"/>
              <w:ind w:right="12"/>
              <w:spacing w:after="0"/>
              <w:rPr>
                <w:sz w:val="20"/>
                <w:szCs w:val="20"/>
                <w:color w:val="auto"/>
              </w:rPr>
            </w:pPr>
            <w:r>
              <w:rPr>
                <w:rFonts w:ascii="Arial" w:cs="Arial" w:eastAsia="Arial" w:hAnsi="Arial"/>
                <w:sz w:val="10"/>
                <w:szCs w:val="10"/>
                <w:color w:val="54585A"/>
                <w:w w:val="79"/>
              </w:rPr>
              <w:t>—</w:t>
            </w:r>
          </w:p>
        </w:tc>
        <w:tc>
          <w:tcPr>
            <w:tcW w:w="940" w:type="dxa"/>
            <w:vAlign w:val="bottom"/>
          </w:tcPr>
          <w:p>
            <w:pPr>
              <w:jc w:val="center"/>
              <w:ind w:left="52"/>
              <w:spacing w:after="0"/>
              <w:rPr>
                <w:sz w:val="20"/>
                <w:szCs w:val="20"/>
                <w:color w:val="auto"/>
              </w:rPr>
            </w:pPr>
            <w:r>
              <w:rPr>
                <w:rFonts w:ascii="Arial" w:cs="Arial" w:eastAsia="Arial" w:hAnsi="Arial"/>
                <w:sz w:val="10"/>
                <w:szCs w:val="10"/>
                <w:color w:val="54585A"/>
                <w:w w:val="98"/>
              </w:rPr>
              <w:t>12/6/2022</w:t>
            </w:r>
          </w:p>
        </w:tc>
        <w:tc>
          <w:tcPr>
            <w:tcW w:w="1380" w:type="dxa"/>
            <w:vAlign w:val="bottom"/>
          </w:tcPr>
          <w:p>
            <w:pPr>
              <w:jc w:val="right"/>
              <w:ind w:right="32"/>
              <w:spacing w:after="0"/>
              <w:rPr>
                <w:sz w:val="20"/>
                <w:szCs w:val="20"/>
                <w:color w:val="auto"/>
              </w:rPr>
            </w:pPr>
            <w:r>
              <w:rPr>
                <w:rFonts w:ascii="Arial" w:cs="Arial" w:eastAsia="Arial" w:hAnsi="Arial"/>
                <w:sz w:val="10"/>
                <w:szCs w:val="10"/>
                <w:color w:val="54585A"/>
              </w:rPr>
              <w:t>80,004</w:t>
            </w:r>
          </w:p>
        </w:tc>
        <w:tc>
          <w:tcPr>
            <w:tcW w:w="1220" w:type="dxa"/>
            <w:vAlign w:val="bottom"/>
          </w:tcPr>
          <w:p>
            <w:pPr>
              <w:jc w:val="right"/>
              <w:spacing w:after="0"/>
              <w:rPr>
                <w:sz w:val="20"/>
                <w:szCs w:val="20"/>
                <w:color w:val="auto"/>
              </w:rPr>
            </w:pPr>
            <w:r>
              <w:rPr>
                <w:rFonts w:ascii="Arial" w:cs="Arial" w:eastAsia="Arial" w:hAnsi="Arial"/>
                <w:sz w:val="10"/>
                <w:szCs w:val="10"/>
                <w:color w:val="54585A"/>
              </w:rPr>
              <w:t>106,405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920" w:type="dxa"/>
            <w:vAlign w:val="bottom"/>
            <w:tcBorders>
              <w:bottom w:val="single" w:sz="8" w:color="54585A"/>
            </w:tcBorders>
          </w:tcPr>
          <w:p>
            <w:pPr>
              <w:spacing w:after="0"/>
              <w:rPr>
                <w:sz w:val="5"/>
                <w:szCs w:val="5"/>
                <w:color w:val="auto"/>
              </w:rPr>
            </w:pPr>
          </w:p>
        </w:tc>
        <w:tc>
          <w:tcPr>
            <w:tcW w:w="1060" w:type="dxa"/>
            <w:vAlign w:val="bottom"/>
            <w:tcBorders>
              <w:bottom w:val="single" w:sz="8" w:color="54585A"/>
            </w:tcBorders>
          </w:tcPr>
          <w:p>
            <w:pPr>
              <w:spacing w:after="0"/>
              <w:rPr>
                <w:sz w:val="5"/>
                <w:szCs w:val="5"/>
                <w:color w:val="auto"/>
              </w:rPr>
            </w:pPr>
          </w:p>
        </w:tc>
        <w:tc>
          <w:tcPr>
            <w:tcW w:w="1300" w:type="dxa"/>
            <w:vAlign w:val="bottom"/>
            <w:tcBorders>
              <w:bottom w:val="single" w:sz="8" w:color="54585A"/>
            </w:tcBorders>
          </w:tcPr>
          <w:p>
            <w:pPr>
              <w:spacing w:after="0"/>
              <w:rPr>
                <w:sz w:val="5"/>
                <w:szCs w:val="5"/>
                <w:color w:val="auto"/>
              </w:rPr>
            </w:pPr>
          </w:p>
        </w:tc>
        <w:tc>
          <w:tcPr>
            <w:tcW w:w="1600" w:type="dxa"/>
            <w:vAlign w:val="bottom"/>
            <w:tcBorders>
              <w:bottom w:val="single" w:sz="8" w:color="54585A"/>
            </w:tcBorders>
          </w:tcPr>
          <w:p>
            <w:pPr>
              <w:spacing w:after="0"/>
              <w:rPr>
                <w:sz w:val="5"/>
                <w:szCs w:val="5"/>
                <w:color w:val="auto"/>
              </w:rPr>
            </w:pPr>
          </w:p>
        </w:tc>
        <w:tc>
          <w:tcPr>
            <w:tcW w:w="720" w:type="dxa"/>
            <w:vAlign w:val="bottom"/>
            <w:tcBorders>
              <w:bottom w:val="single" w:sz="8" w:color="54585A"/>
            </w:tcBorders>
          </w:tcPr>
          <w:p>
            <w:pPr>
              <w:spacing w:after="0"/>
              <w:rPr>
                <w:sz w:val="5"/>
                <w:szCs w:val="5"/>
                <w:color w:val="auto"/>
              </w:rPr>
            </w:pPr>
          </w:p>
        </w:tc>
        <w:tc>
          <w:tcPr>
            <w:tcW w:w="1020" w:type="dxa"/>
            <w:vAlign w:val="bottom"/>
            <w:tcBorders>
              <w:bottom w:val="single" w:sz="8" w:color="54585A"/>
              <w:right w:val="single" w:sz="8" w:color="54585A"/>
            </w:tcBorders>
          </w:tcPr>
          <w:p>
            <w:pPr>
              <w:spacing w:after="0"/>
              <w:rPr>
                <w:sz w:val="5"/>
                <w:szCs w:val="5"/>
                <w:color w:val="auto"/>
              </w:rPr>
            </w:pPr>
          </w:p>
        </w:tc>
        <w:tc>
          <w:tcPr>
            <w:tcW w:w="940" w:type="dxa"/>
            <w:vAlign w:val="bottom"/>
            <w:tcBorders>
              <w:bottom w:val="single" w:sz="8" w:color="54585A"/>
            </w:tcBorders>
          </w:tcPr>
          <w:p>
            <w:pPr>
              <w:spacing w:after="0"/>
              <w:rPr>
                <w:sz w:val="5"/>
                <w:szCs w:val="5"/>
                <w:color w:val="auto"/>
              </w:rPr>
            </w:pPr>
          </w:p>
        </w:tc>
        <w:tc>
          <w:tcPr>
            <w:tcW w:w="1380" w:type="dxa"/>
            <w:vAlign w:val="bottom"/>
            <w:tcBorders>
              <w:bottom w:val="single" w:sz="8" w:color="54585A"/>
            </w:tcBorders>
          </w:tcPr>
          <w:p>
            <w:pPr>
              <w:spacing w:after="0"/>
              <w:rPr>
                <w:sz w:val="5"/>
                <w:szCs w:val="5"/>
                <w:color w:val="auto"/>
              </w:rPr>
            </w:pPr>
          </w:p>
        </w:tc>
        <w:tc>
          <w:tcPr>
            <w:tcW w:w="1220" w:type="dxa"/>
            <w:vAlign w:val="bottom"/>
            <w:tcBorders>
              <w:bottom w:val="single" w:sz="8" w:color="54585A"/>
            </w:tcBorders>
          </w:tcPr>
          <w:p>
            <w:pPr>
              <w:spacing w:after="0"/>
              <w:rPr>
                <w:sz w:val="5"/>
                <w:szCs w:val="5"/>
                <w:color w:val="auto"/>
              </w:rPr>
            </w:pPr>
          </w:p>
        </w:tc>
        <w:tc>
          <w:tcPr>
            <w:tcW w:w="140" w:type="dxa"/>
            <w:vAlign w:val="bottom"/>
            <w:tcBorders>
              <w:bottom w:val="single" w:sz="8" w:color="54585A"/>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0"/>
                <w:szCs w:val="10"/>
                <w:color w:val="54585A"/>
                <w:w w:val="95"/>
              </w:rPr>
              <w:t>12/13/2013</w:t>
            </w:r>
          </w:p>
        </w:tc>
        <w:tc>
          <w:tcPr>
            <w:tcW w:w="1300" w:type="dxa"/>
            <w:vAlign w:val="bottom"/>
          </w:tcPr>
          <w:p>
            <w:pPr>
              <w:jc w:val="right"/>
              <w:ind w:right="92"/>
              <w:spacing w:after="0"/>
              <w:rPr>
                <w:sz w:val="20"/>
                <w:szCs w:val="20"/>
                <w:color w:val="auto"/>
              </w:rPr>
            </w:pPr>
            <w:r>
              <w:rPr>
                <w:rFonts w:ascii="Arial" w:cs="Arial" w:eastAsia="Arial" w:hAnsi="Arial"/>
                <w:sz w:val="10"/>
                <w:szCs w:val="10"/>
                <w:color w:val="54585A"/>
              </w:rPr>
              <w:t>40,000</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20" w:type="dxa"/>
            <w:vAlign w:val="bottom"/>
          </w:tcPr>
          <w:p>
            <w:pPr>
              <w:jc w:val="right"/>
              <w:ind w:right="12"/>
              <w:spacing w:after="0"/>
              <w:rPr>
                <w:sz w:val="20"/>
                <w:szCs w:val="20"/>
                <w:color w:val="auto"/>
              </w:rPr>
            </w:pPr>
            <w:r>
              <w:rPr>
                <w:rFonts w:ascii="Arial" w:cs="Arial" w:eastAsia="Arial" w:hAnsi="Arial"/>
                <w:sz w:val="10"/>
                <w:szCs w:val="10"/>
                <w:color w:val="54585A"/>
              </w:rPr>
              <w:t>1.97</w:t>
            </w:r>
          </w:p>
        </w:tc>
        <w:tc>
          <w:tcPr>
            <w:tcW w:w="1020" w:type="dxa"/>
            <w:vAlign w:val="bottom"/>
            <w:tcBorders>
              <w:right w:val="single" w:sz="8" w:color="54585A"/>
            </w:tcBorders>
          </w:tcPr>
          <w:p>
            <w:pPr>
              <w:jc w:val="center"/>
              <w:ind w:right="12"/>
              <w:spacing w:after="0"/>
              <w:rPr>
                <w:sz w:val="20"/>
                <w:szCs w:val="20"/>
                <w:color w:val="auto"/>
              </w:rPr>
            </w:pPr>
            <w:r>
              <w:rPr>
                <w:rFonts w:ascii="Arial" w:cs="Arial" w:eastAsia="Arial" w:hAnsi="Arial"/>
                <w:sz w:val="10"/>
                <w:szCs w:val="10"/>
                <w:color w:val="54585A"/>
                <w:w w:val="95"/>
              </w:rPr>
              <w:t>12/13/2023</w:t>
            </w:r>
          </w:p>
        </w:tc>
        <w:tc>
          <w:tcPr>
            <w:tcW w:w="940" w:type="dxa"/>
            <w:vAlign w:val="bottom"/>
          </w:tcPr>
          <w:p>
            <w:pPr>
              <w:jc w:val="center"/>
              <w:ind w:left="52"/>
              <w:spacing w:after="0"/>
              <w:rPr>
                <w:sz w:val="20"/>
                <w:szCs w:val="20"/>
                <w:color w:val="auto"/>
              </w:rPr>
            </w:pPr>
            <w:r>
              <w:rPr>
                <w:rFonts w:ascii="Arial" w:cs="Arial" w:eastAsia="Arial" w:hAnsi="Arial"/>
                <w:sz w:val="10"/>
                <w:szCs w:val="10"/>
                <w:color w:val="54585A"/>
                <w:w w:val="98"/>
              </w:rPr>
              <w:t>12/8/2021</w:t>
            </w:r>
          </w:p>
        </w:tc>
        <w:tc>
          <w:tcPr>
            <w:tcW w:w="1380" w:type="dxa"/>
            <w:vAlign w:val="bottom"/>
          </w:tcPr>
          <w:p>
            <w:pPr>
              <w:jc w:val="right"/>
              <w:ind w:right="32"/>
              <w:spacing w:after="0"/>
              <w:rPr>
                <w:sz w:val="20"/>
                <w:szCs w:val="20"/>
                <w:color w:val="auto"/>
              </w:rPr>
            </w:pPr>
            <w:r>
              <w:rPr>
                <w:rFonts w:ascii="Arial" w:cs="Arial" w:eastAsia="Arial" w:hAnsi="Arial"/>
                <w:sz w:val="10"/>
                <w:szCs w:val="10"/>
                <w:color w:val="54585A"/>
              </w:rPr>
              <w:t>40,008</w:t>
            </w:r>
          </w:p>
        </w:tc>
        <w:tc>
          <w:tcPr>
            <w:tcW w:w="1220" w:type="dxa"/>
            <w:vAlign w:val="bottom"/>
          </w:tcPr>
          <w:p>
            <w:pPr>
              <w:jc w:val="right"/>
              <w:spacing w:after="0"/>
              <w:rPr>
                <w:sz w:val="20"/>
                <w:szCs w:val="20"/>
                <w:color w:val="auto"/>
              </w:rPr>
            </w:pPr>
            <w:r>
              <w:rPr>
                <w:rFonts w:ascii="Arial" w:cs="Arial" w:eastAsia="Arial" w:hAnsi="Arial"/>
                <w:sz w:val="10"/>
                <w:szCs w:val="10"/>
                <w:color w:val="54585A"/>
              </w:rPr>
              <w:t>53,211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920" w:type="dxa"/>
            <w:vAlign w:val="bottom"/>
          </w:tcPr>
          <w:p>
            <w:pPr>
              <w:spacing w:after="0"/>
              <w:rPr>
                <w:sz w:val="5"/>
                <w:szCs w:val="5"/>
                <w:color w:val="auto"/>
              </w:rPr>
            </w:pPr>
          </w:p>
        </w:tc>
        <w:tc>
          <w:tcPr>
            <w:tcW w:w="1060" w:type="dxa"/>
            <w:vAlign w:val="bottom"/>
            <w:tcBorders>
              <w:bottom w:val="single" w:sz="8" w:color="54585A"/>
            </w:tcBorders>
          </w:tcPr>
          <w:p>
            <w:pPr>
              <w:spacing w:after="0"/>
              <w:rPr>
                <w:sz w:val="5"/>
                <w:szCs w:val="5"/>
                <w:color w:val="auto"/>
              </w:rPr>
            </w:pPr>
          </w:p>
        </w:tc>
        <w:tc>
          <w:tcPr>
            <w:tcW w:w="1300" w:type="dxa"/>
            <w:vAlign w:val="bottom"/>
            <w:tcBorders>
              <w:bottom w:val="single" w:sz="8" w:color="54585A"/>
            </w:tcBorders>
          </w:tcPr>
          <w:p>
            <w:pPr>
              <w:spacing w:after="0"/>
              <w:rPr>
                <w:sz w:val="5"/>
                <w:szCs w:val="5"/>
                <w:color w:val="auto"/>
              </w:rPr>
            </w:pPr>
          </w:p>
        </w:tc>
        <w:tc>
          <w:tcPr>
            <w:tcW w:w="1600" w:type="dxa"/>
            <w:vAlign w:val="bottom"/>
            <w:tcBorders>
              <w:bottom w:val="single" w:sz="8" w:color="54585A"/>
            </w:tcBorders>
          </w:tcPr>
          <w:p>
            <w:pPr>
              <w:spacing w:after="0"/>
              <w:rPr>
                <w:sz w:val="5"/>
                <w:szCs w:val="5"/>
                <w:color w:val="auto"/>
              </w:rPr>
            </w:pPr>
          </w:p>
        </w:tc>
        <w:tc>
          <w:tcPr>
            <w:tcW w:w="720" w:type="dxa"/>
            <w:vAlign w:val="bottom"/>
            <w:tcBorders>
              <w:bottom w:val="single" w:sz="8" w:color="54585A"/>
            </w:tcBorders>
          </w:tcPr>
          <w:p>
            <w:pPr>
              <w:spacing w:after="0"/>
              <w:rPr>
                <w:sz w:val="5"/>
                <w:szCs w:val="5"/>
                <w:color w:val="auto"/>
              </w:rPr>
            </w:pPr>
          </w:p>
        </w:tc>
        <w:tc>
          <w:tcPr>
            <w:tcW w:w="1020" w:type="dxa"/>
            <w:vAlign w:val="bottom"/>
            <w:tcBorders>
              <w:bottom w:val="single" w:sz="8" w:color="54585A"/>
              <w:right w:val="single" w:sz="8" w:color="54585A"/>
            </w:tcBorders>
          </w:tcPr>
          <w:p>
            <w:pPr>
              <w:spacing w:after="0"/>
              <w:rPr>
                <w:sz w:val="5"/>
                <w:szCs w:val="5"/>
                <w:color w:val="auto"/>
              </w:rPr>
            </w:pPr>
          </w:p>
        </w:tc>
        <w:tc>
          <w:tcPr>
            <w:tcW w:w="940" w:type="dxa"/>
            <w:vAlign w:val="bottom"/>
            <w:tcBorders>
              <w:bottom w:val="single" w:sz="8" w:color="54585A"/>
            </w:tcBorders>
          </w:tcPr>
          <w:p>
            <w:pPr>
              <w:spacing w:after="0"/>
              <w:rPr>
                <w:sz w:val="5"/>
                <w:szCs w:val="5"/>
                <w:color w:val="auto"/>
              </w:rPr>
            </w:pPr>
          </w:p>
        </w:tc>
        <w:tc>
          <w:tcPr>
            <w:tcW w:w="1380" w:type="dxa"/>
            <w:vAlign w:val="bottom"/>
            <w:tcBorders>
              <w:bottom w:val="single" w:sz="8" w:color="54585A"/>
            </w:tcBorders>
          </w:tcPr>
          <w:p>
            <w:pPr>
              <w:spacing w:after="0"/>
              <w:rPr>
                <w:sz w:val="5"/>
                <w:szCs w:val="5"/>
                <w:color w:val="auto"/>
              </w:rPr>
            </w:pPr>
          </w:p>
        </w:tc>
        <w:tc>
          <w:tcPr>
            <w:tcW w:w="1220" w:type="dxa"/>
            <w:vAlign w:val="bottom"/>
            <w:tcBorders>
              <w:bottom w:val="single" w:sz="8" w:color="54585A"/>
            </w:tcBorders>
          </w:tcPr>
          <w:p>
            <w:pPr>
              <w:spacing w:after="0"/>
              <w:rPr>
                <w:sz w:val="5"/>
                <w:szCs w:val="5"/>
                <w:color w:val="auto"/>
              </w:rPr>
            </w:pPr>
          </w:p>
        </w:tc>
        <w:tc>
          <w:tcPr>
            <w:tcW w:w="140" w:type="dxa"/>
            <w:vAlign w:val="bottom"/>
            <w:tcBorders>
              <w:bottom w:val="single" w:sz="8" w:color="54585A"/>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920" w:type="dxa"/>
            <w:vAlign w:val="bottom"/>
            <w:vMerge w:val="restart"/>
          </w:tcPr>
          <w:p>
            <w:pPr>
              <w:ind w:left="60"/>
              <w:spacing w:after="0"/>
              <w:rPr>
                <w:sz w:val="20"/>
                <w:szCs w:val="20"/>
                <w:color w:val="auto"/>
              </w:rPr>
            </w:pPr>
            <w:r>
              <w:rPr>
                <w:rFonts w:ascii="Arial" w:cs="Arial" w:eastAsia="Arial" w:hAnsi="Arial"/>
                <w:sz w:val="10"/>
                <w:szCs w:val="10"/>
                <w:b w:val="1"/>
                <w:bCs w:val="1"/>
                <w:color w:val="EB6C10"/>
              </w:rPr>
              <w:t>L. Barbee Ponder IV</w:t>
            </w:r>
          </w:p>
        </w:tc>
        <w:tc>
          <w:tcPr>
            <w:tcW w:w="1060" w:type="dxa"/>
            <w:vAlign w:val="bottom"/>
          </w:tcPr>
          <w:p>
            <w:pPr>
              <w:jc w:val="center"/>
              <w:spacing w:after="0"/>
              <w:rPr>
                <w:sz w:val="20"/>
                <w:szCs w:val="20"/>
                <w:color w:val="auto"/>
              </w:rPr>
            </w:pPr>
            <w:r>
              <w:rPr>
                <w:rFonts w:ascii="Arial" w:cs="Arial" w:eastAsia="Arial" w:hAnsi="Arial"/>
                <w:sz w:val="10"/>
                <w:szCs w:val="10"/>
                <w:color w:val="54585A"/>
                <w:w w:val="95"/>
              </w:rPr>
              <w:t>12/12/2014</w:t>
            </w:r>
          </w:p>
        </w:tc>
        <w:tc>
          <w:tcPr>
            <w:tcW w:w="1300" w:type="dxa"/>
            <w:vAlign w:val="bottom"/>
          </w:tcPr>
          <w:p>
            <w:pPr>
              <w:jc w:val="right"/>
              <w:ind w:right="92"/>
              <w:spacing w:after="0"/>
              <w:rPr>
                <w:sz w:val="20"/>
                <w:szCs w:val="20"/>
                <w:color w:val="auto"/>
              </w:rPr>
            </w:pPr>
            <w:r>
              <w:rPr>
                <w:rFonts w:ascii="Arial" w:cs="Arial" w:eastAsia="Arial" w:hAnsi="Arial"/>
                <w:sz w:val="10"/>
                <w:szCs w:val="10"/>
                <w:color w:val="54585A"/>
              </w:rPr>
              <w:t>40,000</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20" w:type="dxa"/>
            <w:vAlign w:val="bottom"/>
          </w:tcPr>
          <w:p>
            <w:pPr>
              <w:jc w:val="right"/>
              <w:ind w:right="12"/>
              <w:spacing w:after="0"/>
              <w:rPr>
                <w:sz w:val="20"/>
                <w:szCs w:val="20"/>
                <w:color w:val="auto"/>
              </w:rPr>
            </w:pPr>
            <w:r>
              <w:rPr>
                <w:rFonts w:ascii="Arial" w:cs="Arial" w:eastAsia="Arial" w:hAnsi="Arial"/>
                <w:sz w:val="10"/>
                <w:szCs w:val="10"/>
                <w:color w:val="54585A"/>
              </w:rPr>
              <w:t>2.58</w:t>
            </w:r>
          </w:p>
        </w:tc>
        <w:tc>
          <w:tcPr>
            <w:tcW w:w="1020" w:type="dxa"/>
            <w:vAlign w:val="bottom"/>
            <w:tcBorders>
              <w:right w:val="single" w:sz="8" w:color="54585A"/>
            </w:tcBorders>
          </w:tcPr>
          <w:p>
            <w:pPr>
              <w:jc w:val="center"/>
              <w:ind w:right="12"/>
              <w:spacing w:after="0"/>
              <w:rPr>
                <w:sz w:val="20"/>
                <w:szCs w:val="20"/>
                <w:color w:val="auto"/>
              </w:rPr>
            </w:pPr>
            <w:r>
              <w:rPr>
                <w:rFonts w:ascii="Arial" w:cs="Arial" w:eastAsia="Arial" w:hAnsi="Arial"/>
                <w:sz w:val="10"/>
                <w:szCs w:val="10"/>
                <w:color w:val="54585A"/>
                <w:w w:val="95"/>
              </w:rPr>
              <w:t>12/12/2024</w:t>
            </w:r>
          </w:p>
        </w:tc>
        <w:tc>
          <w:tcPr>
            <w:tcW w:w="940" w:type="dxa"/>
            <w:vAlign w:val="bottom"/>
          </w:tcPr>
          <w:p>
            <w:pPr>
              <w:jc w:val="center"/>
              <w:ind w:left="52"/>
              <w:spacing w:after="0"/>
              <w:rPr>
                <w:sz w:val="20"/>
                <w:szCs w:val="20"/>
                <w:color w:val="auto"/>
              </w:rPr>
            </w:pPr>
            <w:r>
              <w:rPr>
                <w:rFonts w:ascii="Arial" w:cs="Arial" w:eastAsia="Arial" w:hAnsi="Arial"/>
                <w:sz w:val="10"/>
                <w:szCs w:val="10"/>
                <w:color w:val="54585A"/>
                <w:w w:val="95"/>
              </w:rPr>
              <w:t>11/15/2022</w:t>
            </w:r>
          </w:p>
        </w:tc>
        <w:tc>
          <w:tcPr>
            <w:tcW w:w="1380" w:type="dxa"/>
            <w:vAlign w:val="bottom"/>
          </w:tcPr>
          <w:p>
            <w:pPr>
              <w:jc w:val="right"/>
              <w:ind w:right="32"/>
              <w:spacing w:after="0"/>
              <w:rPr>
                <w:sz w:val="20"/>
                <w:szCs w:val="20"/>
                <w:color w:val="auto"/>
              </w:rPr>
            </w:pPr>
            <w:r>
              <w:rPr>
                <w:rFonts w:ascii="Arial" w:cs="Arial" w:eastAsia="Arial" w:hAnsi="Arial"/>
                <w:sz w:val="10"/>
                <w:szCs w:val="10"/>
                <w:color w:val="54585A"/>
              </w:rPr>
              <w:t>73,334</w:t>
            </w:r>
          </w:p>
        </w:tc>
        <w:tc>
          <w:tcPr>
            <w:tcW w:w="1220" w:type="dxa"/>
            <w:vAlign w:val="bottom"/>
          </w:tcPr>
          <w:p>
            <w:pPr>
              <w:jc w:val="right"/>
              <w:spacing w:after="0"/>
              <w:rPr>
                <w:sz w:val="20"/>
                <w:szCs w:val="20"/>
                <w:color w:val="auto"/>
              </w:rPr>
            </w:pPr>
            <w:r>
              <w:rPr>
                <w:rFonts w:ascii="Arial" w:cs="Arial" w:eastAsia="Arial" w:hAnsi="Arial"/>
                <w:sz w:val="10"/>
                <w:szCs w:val="10"/>
                <w:color w:val="54585A"/>
              </w:rPr>
              <w:t>97,534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920" w:type="dxa"/>
            <w:vAlign w:val="bottom"/>
            <w:vMerge w:val="continue"/>
          </w:tcPr>
          <w:p>
            <w:pPr>
              <w:spacing w:after="0"/>
              <w:rPr>
                <w:sz w:val="5"/>
                <w:szCs w:val="5"/>
                <w:color w:val="auto"/>
              </w:rPr>
            </w:pPr>
          </w:p>
        </w:tc>
        <w:tc>
          <w:tcPr>
            <w:tcW w:w="1060" w:type="dxa"/>
            <w:vAlign w:val="bottom"/>
            <w:tcBorders>
              <w:bottom w:val="single" w:sz="8" w:color="54585A"/>
            </w:tcBorders>
          </w:tcPr>
          <w:p>
            <w:pPr>
              <w:spacing w:after="0"/>
              <w:rPr>
                <w:sz w:val="5"/>
                <w:szCs w:val="5"/>
                <w:color w:val="auto"/>
              </w:rPr>
            </w:pPr>
          </w:p>
        </w:tc>
        <w:tc>
          <w:tcPr>
            <w:tcW w:w="1300" w:type="dxa"/>
            <w:vAlign w:val="bottom"/>
            <w:tcBorders>
              <w:bottom w:val="single" w:sz="8" w:color="54585A"/>
            </w:tcBorders>
          </w:tcPr>
          <w:p>
            <w:pPr>
              <w:spacing w:after="0"/>
              <w:rPr>
                <w:sz w:val="5"/>
                <w:szCs w:val="5"/>
                <w:color w:val="auto"/>
              </w:rPr>
            </w:pPr>
          </w:p>
        </w:tc>
        <w:tc>
          <w:tcPr>
            <w:tcW w:w="1600" w:type="dxa"/>
            <w:vAlign w:val="bottom"/>
            <w:tcBorders>
              <w:bottom w:val="single" w:sz="8" w:color="54585A"/>
            </w:tcBorders>
          </w:tcPr>
          <w:p>
            <w:pPr>
              <w:spacing w:after="0"/>
              <w:rPr>
                <w:sz w:val="5"/>
                <w:szCs w:val="5"/>
                <w:color w:val="auto"/>
              </w:rPr>
            </w:pPr>
          </w:p>
        </w:tc>
        <w:tc>
          <w:tcPr>
            <w:tcW w:w="720" w:type="dxa"/>
            <w:vAlign w:val="bottom"/>
            <w:tcBorders>
              <w:bottom w:val="single" w:sz="8" w:color="54585A"/>
            </w:tcBorders>
          </w:tcPr>
          <w:p>
            <w:pPr>
              <w:spacing w:after="0"/>
              <w:rPr>
                <w:sz w:val="5"/>
                <w:szCs w:val="5"/>
                <w:color w:val="auto"/>
              </w:rPr>
            </w:pPr>
          </w:p>
        </w:tc>
        <w:tc>
          <w:tcPr>
            <w:tcW w:w="1020" w:type="dxa"/>
            <w:vAlign w:val="bottom"/>
            <w:tcBorders>
              <w:bottom w:val="single" w:sz="8" w:color="54585A"/>
              <w:right w:val="single" w:sz="8" w:color="54585A"/>
            </w:tcBorders>
          </w:tcPr>
          <w:p>
            <w:pPr>
              <w:spacing w:after="0"/>
              <w:rPr>
                <w:sz w:val="5"/>
                <w:szCs w:val="5"/>
                <w:color w:val="auto"/>
              </w:rPr>
            </w:pPr>
          </w:p>
        </w:tc>
        <w:tc>
          <w:tcPr>
            <w:tcW w:w="940" w:type="dxa"/>
            <w:vAlign w:val="bottom"/>
            <w:tcBorders>
              <w:bottom w:val="single" w:sz="8" w:color="54585A"/>
            </w:tcBorders>
          </w:tcPr>
          <w:p>
            <w:pPr>
              <w:spacing w:after="0"/>
              <w:rPr>
                <w:sz w:val="5"/>
                <w:szCs w:val="5"/>
                <w:color w:val="auto"/>
              </w:rPr>
            </w:pPr>
          </w:p>
        </w:tc>
        <w:tc>
          <w:tcPr>
            <w:tcW w:w="1380" w:type="dxa"/>
            <w:vAlign w:val="bottom"/>
            <w:tcBorders>
              <w:bottom w:val="single" w:sz="8" w:color="54585A"/>
            </w:tcBorders>
          </w:tcPr>
          <w:p>
            <w:pPr>
              <w:spacing w:after="0"/>
              <w:rPr>
                <w:sz w:val="5"/>
                <w:szCs w:val="5"/>
                <w:color w:val="auto"/>
              </w:rPr>
            </w:pPr>
          </w:p>
        </w:tc>
        <w:tc>
          <w:tcPr>
            <w:tcW w:w="1220" w:type="dxa"/>
            <w:vAlign w:val="bottom"/>
            <w:tcBorders>
              <w:bottom w:val="single" w:sz="8" w:color="54585A"/>
            </w:tcBorders>
          </w:tcPr>
          <w:p>
            <w:pPr>
              <w:spacing w:after="0"/>
              <w:rPr>
                <w:sz w:val="5"/>
                <w:szCs w:val="5"/>
                <w:color w:val="auto"/>
              </w:rPr>
            </w:pPr>
          </w:p>
        </w:tc>
        <w:tc>
          <w:tcPr>
            <w:tcW w:w="140" w:type="dxa"/>
            <w:vAlign w:val="bottom"/>
            <w:tcBorders>
              <w:bottom w:val="single" w:sz="8" w:color="54585A"/>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920" w:type="dxa"/>
            <w:vAlign w:val="bottom"/>
            <w:vMerge w:val="continue"/>
          </w:tcPr>
          <w:p>
            <w:pPr>
              <w:spacing w:after="0"/>
              <w:rPr>
                <w:sz w:val="3"/>
                <w:szCs w:val="3"/>
                <w:color w:val="auto"/>
              </w:rPr>
            </w:pPr>
          </w:p>
        </w:tc>
        <w:tc>
          <w:tcPr>
            <w:tcW w:w="1060" w:type="dxa"/>
            <w:vAlign w:val="bottom"/>
            <w:vMerge w:val="restart"/>
          </w:tcPr>
          <w:p>
            <w:pPr>
              <w:jc w:val="center"/>
              <w:spacing w:after="0"/>
              <w:rPr>
                <w:sz w:val="20"/>
                <w:szCs w:val="20"/>
                <w:color w:val="auto"/>
              </w:rPr>
            </w:pPr>
            <w:r>
              <w:rPr>
                <w:rFonts w:ascii="Arial" w:cs="Arial" w:eastAsia="Arial" w:hAnsi="Arial"/>
                <w:sz w:val="10"/>
                <w:szCs w:val="10"/>
                <w:color w:val="54585A"/>
                <w:w w:val="99"/>
              </w:rPr>
              <w:t>—</w:t>
            </w:r>
          </w:p>
        </w:tc>
        <w:tc>
          <w:tcPr>
            <w:tcW w:w="1300" w:type="dxa"/>
            <w:vAlign w:val="bottom"/>
            <w:vMerge w:val="restart"/>
          </w:tcPr>
          <w:p>
            <w:pPr>
              <w:jc w:val="right"/>
              <w:ind w:right="132"/>
              <w:spacing w:after="0"/>
              <w:rPr>
                <w:sz w:val="20"/>
                <w:szCs w:val="20"/>
                <w:color w:val="auto"/>
              </w:rPr>
            </w:pPr>
            <w:r>
              <w:rPr>
                <w:rFonts w:ascii="Arial" w:cs="Arial" w:eastAsia="Arial" w:hAnsi="Arial"/>
                <w:sz w:val="10"/>
                <w:szCs w:val="10"/>
                <w:color w:val="54585A"/>
              </w:rPr>
              <w:t>—</w:t>
            </w:r>
          </w:p>
        </w:tc>
        <w:tc>
          <w:tcPr>
            <w:tcW w:w="1600" w:type="dxa"/>
            <w:vAlign w:val="bottom"/>
            <w:vMerge w:val="restart"/>
          </w:tcPr>
          <w:p>
            <w:pPr>
              <w:ind w:left="1200"/>
              <w:spacing w:after="0"/>
              <w:rPr>
                <w:sz w:val="20"/>
                <w:szCs w:val="20"/>
                <w:color w:val="auto"/>
              </w:rPr>
            </w:pPr>
            <w:r>
              <w:rPr>
                <w:rFonts w:ascii="Arial" w:cs="Arial" w:eastAsia="Arial" w:hAnsi="Arial"/>
                <w:sz w:val="10"/>
                <w:szCs w:val="10"/>
                <w:color w:val="54585A"/>
              </w:rPr>
              <w:t>—</w:t>
            </w:r>
          </w:p>
        </w:tc>
        <w:tc>
          <w:tcPr>
            <w:tcW w:w="720" w:type="dxa"/>
            <w:vAlign w:val="bottom"/>
            <w:vMerge w:val="restart"/>
          </w:tcPr>
          <w:p>
            <w:pPr>
              <w:jc w:val="right"/>
              <w:ind w:right="52"/>
              <w:spacing w:after="0"/>
              <w:rPr>
                <w:sz w:val="20"/>
                <w:szCs w:val="20"/>
                <w:color w:val="auto"/>
              </w:rPr>
            </w:pPr>
            <w:r>
              <w:rPr>
                <w:rFonts w:ascii="Arial" w:cs="Arial" w:eastAsia="Arial" w:hAnsi="Arial"/>
                <w:sz w:val="10"/>
                <w:szCs w:val="10"/>
                <w:color w:val="54585A"/>
              </w:rPr>
              <w:t>—</w:t>
            </w:r>
          </w:p>
        </w:tc>
        <w:tc>
          <w:tcPr>
            <w:tcW w:w="1020" w:type="dxa"/>
            <w:vAlign w:val="bottom"/>
            <w:tcBorders>
              <w:right w:val="single" w:sz="8" w:color="54585A"/>
            </w:tcBorders>
            <w:vMerge w:val="restart"/>
          </w:tcPr>
          <w:p>
            <w:pPr>
              <w:jc w:val="center"/>
              <w:ind w:right="12"/>
              <w:spacing w:after="0"/>
              <w:rPr>
                <w:sz w:val="20"/>
                <w:szCs w:val="20"/>
                <w:color w:val="auto"/>
              </w:rPr>
            </w:pPr>
            <w:r>
              <w:rPr>
                <w:rFonts w:ascii="Arial" w:cs="Arial" w:eastAsia="Arial" w:hAnsi="Arial"/>
                <w:sz w:val="10"/>
                <w:szCs w:val="10"/>
                <w:color w:val="54585A"/>
                <w:w w:val="79"/>
              </w:rPr>
              <w:t>—</w:t>
            </w:r>
          </w:p>
        </w:tc>
        <w:tc>
          <w:tcPr>
            <w:tcW w:w="940" w:type="dxa"/>
            <w:vAlign w:val="bottom"/>
            <w:vMerge w:val="restart"/>
          </w:tcPr>
          <w:p>
            <w:pPr>
              <w:jc w:val="center"/>
              <w:ind w:left="52"/>
              <w:spacing w:after="0"/>
              <w:rPr>
                <w:sz w:val="20"/>
                <w:szCs w:val="20"/>
                <w:color w:val="auto"/>
              </w:rPr>
            </w:pPr>
            <w:r>
              <w:rPr>
                <w:rFonts w:ascii="Arial" w:cs="Arial" w:eastAsia="Arial" w:hAnsi="Arial"/>
                <w:sz w:val="10"/>
                <w:szCs w:val="10"/>
                <w:color w:val="54585A"/>
                <w:w w:val="95"/>
              </w:rPr>
              <w:t>11/15/2022</w:t>
            </w:r>
          </w:p>
        </w:tc>
        <w:tc>
          <w:tcPr>
            <w:tcW w:w="1380" w:type="dxa"/>
            <w:vAlign w:val="bottom"/>
            <w:vMerge w:val="restart"/>
          </w:tcPr>
          <w:p>
            <w:pPr>
              <w:jc w:val="right"/>
              <w:ind w:right="32"/>
              <w:spacing w:after="0"/>
              <w:rPr>
                <w:sz w:val="20"/>
                <w:szCs w:val="20"/>
                <w:color w:val="auto"/>
              </w:rPr>
            </w:pPr>
            <w:r>
              <w:rPr>
                <w:rFonts w:ascii="Arial" w:cs="Arial" w:eastAsia="Arial" w:hAnsi="Arial"/>
                <w:sz w:val="10"/>
                <w:szCs w:val="10"/>
                <w:color w:val="54585A"/>
              </w:rPr>
              <w:t>300,000</w:t>
            </w:r>
          </w:p>
        </w:tc>
        <w:tc>
          <w:tcPr>
            <w:tcW w:w="1220" w:type="dxa"/>
            <w:vAlign w:val="bottom"/>
            <w:vMerge w:val="restart"/>
          </w:tcPr>
          <w:p>
            <w:pPr>
              <w:jc w:val="right"/>
              <w:spacing w:after="0"/>
              <w:rPr>
                <w:sz w:val="20"/>
                <w:szCs w:val="20"/>
                <w:color w:val="auto"/>
              </w:rPr>
            </w:pPr>
            <w:r>
              <w:rPr>
                <w:rFonts w:ascii="Arial" w:cs="Arial" w:eastAsia="Arial" w:hAnsi="Arial"/>
                <w:sz w:val="10"/>
                <w:szCs w:val="10"/>
                <w:color w:val="54585A"/>
              </w:rPr>
              <w:t>399,000</w:t>
            </w: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19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20" w:type="dxa"/>
            <w:vAlign w:val="bottom"/>
            <w:tcBorders>
              <w:right w:val="single" w:sz="8" w:color="54585A"/>
            </w:tcBorders>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920" w:type="dxa"/>
            <w:vAlign w:val="bottom"/>
          </w:tcPr>
          <w:p>
            <w:pPr>
              <w:spacing w:after="0"/>
              <w:rPr>
                <w:sz w:val="5"/>
                <w:szCs w:val="5"/>
                <w:color w:val="auto"/>
              </w:rPr>
            </w:pPr>
          </w:p>
        </w:tc>
        <w:tc>
          <w:tcPr>
            <w:tcW w:w="1060" w:type="dxa"/>
            <w:vAlign w:val="bottom"/>
            <w:tcBorders>
              <w:bottom w:val="single" w:sz="8" w:color="54585A"/>
            </w:tcBorders>
          </w:tcPr>
          <w:p>
            <w:pPr>
              <w:spacing w:after="0"/>
              <w:rPr>
                <w:sz w:val="5"/>
                <w:szCs w:val="5"/>
                <w:color w:val="auto"/>
              </w:rPr>
            </w:pPr>
          </w:p>
        </w:tc>
        <w:tc>
          <w:tcPr>
            <w:tcW w:w="1300" w:type="dxa"/>
            <w:vAlign w:val="bottom"/>
            <w:tcBorders>
              <w:bottom w:val="single" w:sz="8" w:color="54585A"/>
            </w:tcBorders>
          </w:tcPr>
          <w:p>
            <w:pPr>
              <w:spacing w:after="0"/>
              <w:rPr>
                <w:sz w:val="5"/>
                <w:szCs w:val="5"/>
                <w:color w:val="auto"/>
              </w:rPr>
            </w:pPr>
          </w:p>
        </w:tc>
        <w:tc>
          <w:tcPr>
            <w:tcW w:w="1600" w:type="dxa"/>
            <w:vAlign w:val="bottom"/>
            <w:tcBorders>
              <w:bottom w:val="single" w:sz="8" w:color="54585A"/>
            </w:tcBorders>
          </w:tcPr>
          <w:p>
            <w:pPr>
              <w:spacing w:after="0"/>
              <w:rPr>
                <w:sz w:val="5"/>
                <w:szCs w:val="5"/>
                <w:color w:val="auto"/>
              </w:rPr>
            </w:pPr>
          </w:p>
        </w:tc>
        <w:tc>
          <w:tcPr>
            <w:tcW w:w="720" w:type="dxa"/>
            <w:vAlign w:val="bottom"/>
            <w:tcBorders>
              <w:bottom w:val="single" w:sz="8" w:color="54585A"/>
            </w:tcBorders>
          </w:tcPr>
          <w:p>
            <w:pPr>
              <w:spacing w:after="0"/>
              <w:rPr>
                <w:sz w:val="5"/>
                <w:szCs w:val="5"/>
                <w:color w:val="auto"/>
              </w:rPr>
            </w:pPr>
          </w:p>
        </w:tc>
        <w:tc>
          <w:tcPr>
            <w:tcW w:w="1020" w:type="dxa"/>
            <w:vAlign w:val="bottom"/>
            <w:tcBorders>
              <w:bottom w:val="single" w:sz="8" w:color="54585A"/>
              <w:right w:val="single" w:sz="8" w:color="54585A"/>
            </w:tcBorders>
          </w:tcPr>
          <w:p>
            <w:pPr>
              <w:spacing w:after="0"/>
              <w:rPr>
                <w:sz w:val="5"/>
                <w:szCs w:val="5"/>
                <w:color w:val="auto"/>
              </w:rPr>
            </w:pPr>
          </w:p>
        </w:tc>
        <w:tc>
          <w:tcPr>
            <w:tcW w:w="940" w:type="dxa"/>
            <w:vAlign w:val="bottom"/>
            <w:tcBorders>
              <w:bottom w:val="single" w:sz="8" w:color="54585A"/>
            </w:tcBorders>
          </w:tcPr>
          <w:p>
            <w:pPr>
              <w:spacing w:after="0"/>
              <w:rPr>
                <w:sz w:val="5"/>
                <w:szCs w:val="5"/>
                <w:color w:val="auto"/>
              </w:rPr>
            </w:pPr>
          </w:p>
        </w:tc>
        <w:tc>
          <w:tcPr>
            <w:tcW w:w="1380" w:type="dxa"/>
            <w:vAlign w:val="bottom"/>
            <w:tcBorders>
              <w:bottom w:val="single" w:sz="8" w:color="54585A"/>
            </w:tcBorders>
          </w:tcPr>
          <w:p>
            <w:pPr>
              <w:spacing w:after="0"/>
              <w:rPr>
                <w:sz w:val="5"/>
                <w:szCs w:val="5"/>
                <w:color w:val="auto"/>
              </w:rPr>
            </w:pPr>
          </w:p>
        </w:tc>
        <w:tc>
          <w:tcPr>
            <w:tcW w:w="1220" w:type="dxa"/>
            <w:vAlign w:val="bottom"/>
            <w:tcBorders>
              <w:bottom w:val="single" w:sz="8" w:color="54585A"/>
            </w:tcBorders>
          </w:tcPr>
          <w:p>
            <w:pPr>
              <w:spacing w:after="0"/>
              <w:rPr>
                <w:sz w:val="5"/>
                <w:szCs w:val="5"/>
                <w:color w:val="auto"/>
              </w:rPr>
            </w:pPr>
          </w:p>
        </w:tc>
        <w:tc>
          <w:tcPr>
            <w:tcW w:w="140" w:type="dxa"/>
            <w:vAlign w:val="bottom"/>
            <w:tcBorders>
              <w:bottom w:val="single" w:sz="8" w:color="54585A"/>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0"/>
                <w:szCs w:val="10"/>
                <w:color w:val="54585A"/>
                <w:w w:val="99"/>
              </w:rPr>
              <w:t>—</w:t>
            </w:r>
          </w:p>
        </w:tc>
        <w:tc>
          <w:tcPr>
            <w:tcW w:w="1300" w:type="dxa"/>
            <w:vAlign w:val="bottom"/>
          </w:tcPr>
          <w:p>
            <w:pPr>
              <w:jc w:val="right"/>
              <w:ind w:right="132"/>
              <w:spacing w:after="0"/>
              <w:rPr>
                <w:sz w:val="20"/>
                <w:szCs w:val="20"/>
                <w:color w:val="auto"/>
              </w:rPr>
            </w:pPr>
            <w:r>
              <w:rPr>
                <w:rFonts w:ascii="Arial" w:cs="Arial" w:eastAsia="Arial" w:hAnsi="Arial"/>
                <w:sz w:val="10"/>
                <w:szCs w:val="10"/>
                <w:color w:val="54585A"/>
              </w:rPr>
              <w:t>—</w:t>
            </w:r>
          </w:p>
        </w:tc>
        <w:tc>
          <w:tcPr>
            <w:tcW w:w="1600" w:type="dxa"/>
            <w:vAlign w:val="bottom"/>
          </w:tcPr>
          <w:p>
            <w:pPr>
              <w:ind w:left="1200"/>
              <w:spacing w:after="0"/>
              <w:rPr>
                <w:sz w:val="20"/>
                <w:szCs w:val="20"/>
                <w:color w:val="auto"/>
              </w:rPr>
            </w:pPr>
            <w:r>
              <w:rPr>
                <w:rFonts w:ascii="Arial" w:cs="Arial" w:eastAsia="Arial" w:hAnsi="Arial"/>
                <w:sz w:val="10"/>
                <w:szCs w:val="10"/>
                <w:color w:val="54585A"/>
              </w:rPr>
              <w:t>—</w:t>
            </w:r>
          </w:p>
        </w:tc>
        <w:tc>
          <w:tcPr>
            <w:tcW w:w="720" w:type="dxa"/>
            <w:vAlign w:val="bottom"/>
          </w:tcPr>
          <w:p>
            <w:pPr>
              <w:jc w:val="right"/>
              <w:ind w:right="52"/>
              <w:spacing w:after="0"/>
              <w:rPr>
                <w:sz w:val="20"/>
                <w:szCs w:val="20"/>
                <w:color w:val="auto"/>
              </w:rPr>
            </w:pPr>
            <w:r>
              <w:rPr>
                <w:rFonts w:ascii="Arial" w:cs="Arial" w:eastAsia="Arial" w:hAnsi="Arial"/>
                <w:sz w:val="10"/>
                <w:szCs w:val="10"/>
                <w:color w:val="54585A"/>
              </w:rPr>
              <w:t>—</w:t>
            </w:r>
          </w:p>
        </w:tc>
        <w:tc>
          <w:tcPr>
            <w:tcW w:w="1020" w:type="dxa"/>
            <w:vAlign w:val="bottom"/>
            <w:tcBorders>
              <w:right w:val="single" w:sz="8" w:color="54585A"/>
            </w:tcBorders>
          </w:tcPr>
          <w:p>
            <w:pPr>
              <w:jc w:val="center"/>
              <w:ind w:right="12"/>
              <w:spacing w:after="0"/>
              <w:rPr>
                <w:sz w:val="20"/>
                <w:szCs w:val="20"/>
                <w:color w:val="auto"/>
              </w:rPr>
            </w:pPr>
            <w:r>
              <w:rPr>
                <w:rFonts w:ascii="Arial" w:cs="Arial" w:eastAsia="Arial" w:hAnsi="Arial"/>
                <w:sz w:val="10"/>
                <w:szCs w:val="10"/>
                <w:color w:val="54585A"/>
                <w:w w:val="79"/>
              </w:rPr>
              <w:t>—</w:t>
            </w:r>
          </w:p>
        </w:tc>
        <w:tc>
          <w:tcPr>
            <w:tcW w:w="940" w:type="dxa"/>
            <w:vAlign w:val="bottom"/>
          </w:tcPr>
          <w:p>
            <w:pPr>
              <w:jc w:val="center"/>
              <w:ind w:left="52"/>
              <w:spacing w:after="0"/>
              <w:rPr>
                <w:sz w:val="20"/>
                <w:szCs w:val="20"/>
                <w:color w:val="auto"/>
              </w:rPr>
            </w:pPr>
            <w:r>
              <w:rPr>
                <w:rFonts w:ascii="Arial" w:cs="Arial" w:eastAsia="Arial" w:hAnsi="Arial"/>
                <w:sz w:val="10"/>
                <w:szCs w:val="10"/>
                <w:color w:val="54585A"/>
                <w:w w:val="98"/>
              </w:rPr>
              <w:t>12/6/2022</w:t>
            </w:r>
          </w:p>
        </w:tc>
        <w:tc>
          <w:tcPr>
            <w:tcW w:w="1380" w:type="dxa"/>
            <w:vAlign w:val="bottom"/>
          </w:tcPr>
          <w:p>
            <w:pPr>
              <w:jc w:val="right"/>
              <w:ind w:right="32"/>
              <w:spacing w:after="0"/>
              <w:rPr>
                <w:sz w:val="20"/>
                <w:szCs w:val="20"/>
                <w:color w:val="auto"/>
              </w:rPr>
            </w:pPr>
            <w:r>
              <w:rPr>
                <w:rFonts w:ascii="Arial" w:cs="Arial" w:eastAsia="Arial" w:hAnsi="Arial"/>
                <w:sz w:val="10"/>
                <w:szCs w:val="10"/>
                <w:color w:val="54585A"/>
              </w:rPr>
              <w:t>80,008</w:t>
            </w:r>
          </w:p>
        </w:tc>
        <w:tc>
          <w:tcPr>
            <w:tcW w:w="1220" w:type="dxa"/>
            <w:vAlign w:val="bottom"/>
          </w:tcPr>
          <w:p>
            <w:pPr>
              <w:jc w:val="right"/>
              <w:spacing w:after="0"/>
              <w:rPr>
                <w:sz w:val="20"/>
                <w:szCs w:val="20"/>
                <w:color w:val="auto"/>
              </w:rPr>
            </w:pPr>
            <w:r>
              <w:rPr>
                <w:rFonts w:ascii="Arial" w:cs="Arial" w:eastAsia="Arial" w:hAnsi="Arial"/>
                <w:sz w:val="10"/>
                <w:szCs w:val="10"/>
                <w:color w:val="54585A"/>
              </w:rPr>
              <w:t>106,411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920" w:type="dxa"/>
            <w:vAlign w:val="bottom"/>
            <w:tcBorders>
              <w:bottom w:val="single" w:sz="8" w:color="54585A"/>
            </w:tcBorders>
          </w:tcPr>
          <w:p>
            <w:pPr>
              <w:spacing w:after="0"/>
              <w:rPr>
                <w:sz w:val="5"/>
                <w:szCs w:val="5"/>
                <w:color w:val="auto"/>
              </w:rPr>
            </w:pPr>
          </w:p>
        </w:tc>
        <w:tc>
          <w:tcPr>
            <w:tcW w:w="1060" w:type="dxa"/>
            <w:vAlign w:val="bottom"/>
            <w:tcBorders>
              <w:bottom w:val="single" w:sz="8" w:color="54585A"/>
            </w:tcBorders>
          </w:tcPr>
          <w:p>
            <w:pPr>
              <w:spacing w:after="0"/>
              <w:rPr>
                <w:sz w:val="5"/>
                <w:szCs w:val="5"/>
                <w:color w:val="auto"/>
              </w:rPr>
            </w:pPr>
          </w:p>
        </w:tc>
        <w:tc>
          <w:tcPr>
            <w:tcW w:w="1300" w:type="dxa"/>
            <w:vAlign w:val="bottom"/>
            <w:tcBorders>
              <w:bottom w:val="single" w:sz="8" w:color="54585A"/>
            </w:tcBorders>
          </w:tcPr>
          <w:p>
            <w:pPr>
              <w:spacing w:after="0"/>
              <w:rPr>
                <w:sz w:val="5"/>
                <w:szCs w:val="5"/>
                <w:color w:val="auto"/>
              </w:rPr>
            </w:pPr>
          </w:p>
        </w:tc>
        <w:tc>
          <w:tcPr>
            <w:tcW w:w="1600" w:type="dxa"/>
            <w:vAlign w:val="bottom"/>
            <w:tcBorders>
              <w:bottom w:val="single" w:sz="8" w:color="54585A"/>
            </w:tcBorders>
          </w:tcPr>
          <w:p>
            <w:pPr>
              <w:spacing w:after="0"/>
              <w:rPr>
                <w:sz w:val="5"/>
                <w:szCs w:val="5"/>
                <w:color w:val="auto"/>
              </w:rPr>
            </w:pPr>
          </w:p>
        </w:tc>
        <w:tc>
          <w:tcPr>
            <w:tcW w:w="720" w:type="dxa"/>
            <w:vAlign w:val="bottom"/>
            <w:tcBorders>
              <w:bottom w:val="single" w:sz="8" w:color="54585A"/>
            </w:tcBorders>
          </w:tcPr>
          <w:p>
            <w:pPr>
              <w:spacing w:after="0"/>
              <w:rPr>
                <w:sz w:val="5"/>
                <w:szCs w:val="5"/>
                <w:color w:val="auto"/>
              </w:rPr>
            </w:pPr>
          </w:p>
        </w:tc>
        <w:tc>
          <w:tcPr>
            <w:tcW w:w="1020" w:type="dxa"/>
            <w:vAlign w:val="bottom"/>
            <w:tcBorders>
              <w:bottom w:val="single" w:sz="8" w:color="54585A"/>
              <w:right w:val="single" w:sz="8" w:color="54585A"/>
            </w:tcBorders>
          </w:tcPr>
          <w:p>
            <w:pPr>
              <w:spacing w:after="0"/>
              <w:rPr>
                <w:sz w:val="5"/>
                <w:szCs w:val="5"/>
                <w:color w:val="auto"/>
              </w:rPr>
            </w:pPr>
          </w:p>
        </w:tc>
        <w:tc>
          <w:tcPr>
            <w:tcW w:w="940" w:type="dxa"/>
            <w:vAlign w:val="bottom"/>
            <w:tcBorders>
              <w:bottom w:val="single" w:sz="8" w:color="54585A"/>
            </w:tcBorders>
          </w:tcPr>
          <w:p>
            <w:pPr>
              <w:spacing w:after="0"/>
              <w:rPr>
                <w:sz w:val="5"/>
                <w:szCs w:val="5"/>
                <w:color w:val="auto"/>
              </w:rPr>
            </w:pPr>
          </w:p>
        </w:tc>
        <w:tc>
          <w:tcPr>
            <w:tcW w:w="1380" w:type="dxa"/>
            <w:vAlign w:val="bottom"/>
            <w:tcBorders>
              <w:bottom w:val="single" w:sz="8" w:color="54585A"/>
            </w:tcBorders>
          </w:tcPr>
          <w:p>
            <w:pPr>
              <w:spacing w:after="0"/>
              <w:rPr>
                <w:sz w:val="5"/>
                <w:szCs w:val="5"/>
                <w:color w:val="auto"/>
              </w:rPr>
            </w:pPr>
          </w:p>
        </w:tc>
        <w:tc>
          <w:tcPr>
            <w:tcW w:w="1220" w:type="dxa"/>
            <w:vAlign w:val="bottom"/>
            <w:tcBorders>
              <w:bottom w:val="single" w:sz="8" w:color="54585A"/>
            </w:tcBorders>
          </w:tcPr>
          <w:p>
            <w:pPr>
              <w:spacing w:after="0"/>
              <w:rPr>
                <w:sz w:val="5"/>
                <w:szCs w:val="5"/>
                <w:color w:val="auto"/>
              </w:rPr>
            </w:pPr>
          </w:p>
        </w:tc>
        <w:tc>
          <w:tcPr>
            <w:tcW w:w="140" w:type="dxa"/>
            <w:vAlign w:val="bottom"/>
            <w:tcBorders>
              <w:bottom w:val="single" w:sz="8" w:color="54585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8" w:right="140" w:hanging="208"/>
        <w:spacing w:after="0" w:line="243" w:lineRule="auto"/>
        <w:tabs>
          <w:tab w:leader="none" w:pos="207" w:val="left"/>
        </w:tabs>
        <w:numPr>
          <w:ilvl w:val="0"/>
          <w:numId w:val="54"/>
        </w:numPr>
        <w:rPr>
          <w:rFonts w:ascii="Arial" w:cs="Arial" w:eastAsia="Arial" w:hAnsi="Arial"/>
          <w:sz w:val="10"/>
          <w:szCs w:val="10"/>
          <w:color w:val="54585A"/>
        </w:rPr>
      </w:pPr>
      <w:r>
        <w:rPr>
          <w:rFonts w:ascii="Arial" w:cs="Arial" w:eastAsia="Arial" w:hAnsi="Arial"/>
          <w:sz w:val="10"/>
          <w:szCs w:val="10"/>
          <w:color w:val="54585A"/>
        </w:rPr>
        <w:t>Market value for shares of unvested restricted stock and unearned equity-based incentive plan holdings is equal to the product of the closing market price of the Company’s stock at December 31, 2022 of $1.33 and the number of unvested restricted shares or units of stock or the number of unearned equity-based incentive plan awards, as applicable.</w:t>
      </w:r>
    </w:p>
    <w:p>
      <w:pPr>
        <w:spacing w:after="0" w:line="73" w:lineRule="exact"/>
        <w:rPr>
          <w:rFonts w:ascii="Arial" w:cs="Arial" w:eastAsia="Arial" w:hAnsi="Arial"/>
          <w:sz w:val="10"/>
          <w:szCs w:val="10"/>
          <w:color w:val="54585A"/>
        </w:rPr>
      </w:pPr>
    </w:p>
    <w:p>
      <w:pPr>
        <w:ind w:left="208" w:right="1600" w:hanging="208"/>
        <w:spacing w:after="0" w:line="493" w:lineRule="auto"/>
        <w:tabs>
          <w:tab w:leader="none" w:pos="207" w:val="left"/>
        </w:tabs>
        <w:numPr>
          <w:ilvl w:val="0"/>
          <w:numId w:val="54"/>
        </w:numPr>
        <w:rPr>
          <w:rFonts w:ascii="Arial" w:cs="Arial" w:eastAsia="Arial" w:hAnsi="Arial"/>
          <w:sz w:val="8"/>
          <w:szCs w:val="8"/>
          <w:color w:val="54585A"/>
        </w:rPr>
      </w:pPr>
      <w:r>
        <w:rPr>
          <w:rFonts w:ascii="Arial" w:cs="Arial" w:eastAsia="Arial" w:hAnsi="Arial"/>
          <w:sz w:val="8"/>
          <w:szCs w:val="8"/>
          <w:color w:val="54585A"/>
        </w:rPr>
        <w:t>Awards are granted pursuant to our 2006 Equity Incentive Plan and vest over different periods. Refer to table above "2022 Grants of Plan-Based Awards" for vesting terms of all options and stock awards granted during 2022. The stock awards for Mr. Kagan in the table above include 500,000 restricted shares that vested in March 2023 when the Company reported Adjusted EBITDA in excess of $50 million for the year ended December 31, 2022.</w:t>
      </w:r>
    </w:p>
    <w:p>
      <w:pPr>
        <w:ind w:left="208" w:hanging="208"/>
        <w:spacing w:after="0"/>
        <w:tabs>
          <w:tab w:leader="none" w:pos="208" w:val="left"/>
        </w:tabs>
        <w:numPr>
          <w:ilvl w:val="0"/>
          <w:numId w:val="54"/>
        </w:numPr>
        <w:rPr>
          <w:rFonts w:ascii="Arial" w:cs="Arial" w:eastAsia="Arial" w:hAnsi="Arial"/>
          <w:sz w:val="10"/>
          <w:szCs w:val="10"/>
          <w:color w:val="54585A"/>
        </w:rPr>
      </w:pPr>
      <w:r>
        <w:rPr>
          <w:rFonts w:ascii="Arial" w:cs="Arial" w:eastAsia="Arial" w:hAnsi="Arial"/>
          <w:sz w:val="10"/>
          <w:szCs w:val="10"/>
          <w:color w:val="54585A"/>
        </w:rPr>
        <w:t>Included in the table above are two grants of restricted stock awards totaling 1,500,000 shares, which are contingent upon Mr. Kagan's achievement of certain performance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205105</wp:posOffset>
            </wp:positionV>
            <wp:extent cx="17145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78"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28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6" w:right="299" w:bottom="1440" w:gutter="0" w:footer="0" w:header="0"/>
        </w:sectPr>
      </w:pPr>
    </w:p>
    <w:bookmarkStart w:id="31" w:name="page32"/>
    <w:bookmarkEnd w:id="31"/>
    <w:p>
      <w:pPr>
        <w:jc w:val="right"/>
        <w:spacing w:after="0"/>
        <w:rPr>
          <w:sz w:val="20"/>
          <w:szCs w:val="20"/>
          <w:color w:val="auto"/>
        </w:rPr>
      </w:pPr>
      <w:r>
        <w:rPr>
          <w:rFonts w:ascii="Arial" w:cs="Arial" w:eastAsia="Arial" w:hAnsi="Arial"/>
          <w:sz w:val="10"/>
          <w:szCs w:val="10"/>
          <w:color w:val="54585A"/>
        </w:rPr>
        <w:t xml:space="preserve">Executive Officers and Compensation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2022 Option Exercises and Stock Vested</w:t>
      </w:r>
    </w:p>
    <w:p>
      <w:pPr>
        <w:spacing w:after="0" w:line="76" w:lineRule="exact"/>
        <w:rPr>
          <w:sz w:val="20"/>
          <w:szCs w:val="20"/>
          <w:color w:val="auto"/>
        </w:rPr>
      </w:pPr>
    </w:p>
    <w:p>
      <w:pPr>
        <w:ind w:left="8" w:right="200"/>
        <w:spacing w:after="0" w:line="330" w:lineRule="auto"/>
        <w:rPr>
          <w:sz w:val="20"/>
          <w:szCs w:val="20"/>
          <w:color w:val="auto"/>
        </w:rPr>
      </w:pPr>
      <w:r>
        <w:rPr>
          <w:rFonts w:ascii="Arial" w:cs="Arial" w:eastAsia="Arial" w:hAnsi="Arial"/>
          <w:sz w:val="11"/>
          <w:szCs w:val="11"/>
          <w:color w:val="54585A"/>
        </w:rPr>
        <w:t>The following table sets forth certain information regarding stock awards that vested during 2022 for the named executive officers. In connection with his service as an executive officer of the Company, Mr. Monroe did not exercise any options or have any restricted stock vest during 2022; therefore, he is not included in the table below.</w:t>
      </w:r>
    </w:p>
    <w:p>
      <w:pPr>
        <w:spacing w:after="0" w:line="92"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4280" w:type="dxa"/>
            <w:vAlign w:val="bottom"/>
            <w:tcBorders>
              <w:bottom w:val="single" w:sz="8" w:color="EEEDED"/>
            </w:tcBorders>
            <w:shd w:val="clear" w:color="auto" w:fill="EEEDED"/>
          </w:tcPr>
          <w:p>
            <w:pPr>
              <w:spacing w:after="0"/>
              <w:rPr>
                <w:sz w:val="13"/>
                <w:szCs w:val="13"/>
                <w:color w:val="auto"/>
              </w:rPr>
            </w:pPr>
          </w:p>
        </w:tc>
        <w:tc>
          <w:tcPr>
            <w:tcW w:w="2140" w:type="dxa"/>
            <w:vAlign w:val="bottom"/>
            <w:tcBorders>
              <w:bottom w:val="single" w:sz="8" w:color="54585A"/>
            </w:tcBorders>
            <w:shd w:val="clear" w:color="auto" w:fill="EEEDED"/>
          </w:tcPr>
          <w:p>
            <w:pPr>
              <w:ind w:left="1380"/>
              <w:spacing w:after="0"/>
              <w:rPr>
                <w:sz w:val="20"/>
                <w:szCs w:val="20"/>
                <w:color w:val="auto"/>
              </w:rPr>
            </w:pPr>
            <w:r>
              <w:rPr>
                <w:rFonts w:ascii="Arial" w:cs="Arial" w:eastAsia="Arial" w:hAnsi="Arial"/>
                <w:sz w:val="10"/>
                <w:szCs w:val="10"/>
                <w:b w:val="1"/>
                <w:bCs w:val="1"/>
                <w:color w:val="54585A"/>
              </w:rPr>
              <w:t>Option Awards</w:t>
            </w:r>
          </w:p>
        </w:tc>
        <w:tc>
          <w:tcPr>
            <w:tcW w:w="1340" w:type="dxa"/>
            <w:vAlign w:val="bottom"/>
            <w:tcBorders>
              <w:bottom w:val="single" w:sz="8" w:color="54585A"/>
              <w:right w:val="single" w:sz="8" w:color="54585A"/>
            </w:tcBorders>
            <w:shd w:val="clear" w:color="auto" w:fill="EEEDED"/>
          </w:tcPr>
          <w:p>
            <w:pPr>
              <w:spacing w:after="0"/>
              <w:rPr>
                <w:sz w:val="13"/>
                <w:szCs w:val="13"/>
                <w:color w:val="auto"/>
              </w:rPr>
            </w:pPr>
          </w:p>
        </w:tc>
        <w:tc>
          <w:tcPr>
            <w:tcW w:w="2160" w:type="dxa"/>
            <w:vAlign w:val="bottom"/>
            <w:tcBorders>
              <w:bottom w:val="single" w:sz="8" w:color="54585A"/>
            </w:tcBorders>
            <w:shd w:val="clear" w:color="auto" w:fill="EEEDED"/>
          </w:tcPr>
          <w:p>
            <w:pPr>
              <w:jc w:val="right"/>
              <w:ind w:right="32"/>
              <w:spacing w:after="0"/>
              <w:rPr>
                <w:sz w:val="20"/>
                <w:szCs w:val="20"/>
                <w:color w:val="auto"/>
              </w:rPr>
            </w:pPr>
            <w:r>
              <w:rPr>
                <w:rFonts w:ascii="Arial" w:cs="Arial" w:eastAsia="Arial" w:hAnsi="Arial"/>
                <w:sz w:val="10"/>
                <w:szCs w:val="10"/>
                <w:b w:val="1"/>
                <w:bCs w:val="1"/>
                <w:color w:val="54585A"/>
              </w:rPr>
              <w:t>Stock Awards</w:t>
            </w:r>
          </w:p>
        </w:tc>
        <w:tc>
          <w:tcPr>
            <w:tcW w:w="1380" w:type="dxa"/>
            <w:vAlign w:val="bottom"/>
            <w:tcBorders>
              <w:bottom w:val="single" w:sz="8" w:color="54585A"/>
            </w:tcBorders>
            <w:shd w:val="clear" w:color="auto" w:fill="EEEDED"/>
          </w:tcPr>
          <w:p>
            <w:pPr>
              <w:spacing w:after="0"/>
              <w:rPr>
                <w:sz w:val="13"/>
                <w:szCs w:val="13"/>
                <w:color w:val="auto"/>
              </w:rPr>
            </w:pPr>
          </w:p>
        </w:tc>
      </w:tr>
      <w:tr>
        <w:trPr>
          <w:trHeight w:val="118"/>
        </w:trPr>
        <w:tc>
          <w:tcPr>
            <w:tcW w:w="4280" w:type="dxa"/>
            <w:vAlign w:val="bottom"/>
            <w:shd w:val="clear" w:color="auto" w:fill="EEEDED"/>
          </w:tcPr>
          <w:p>
            <w:pPr>
              <w:spacing w:after="0"/>
              <w:rPr>
                <w:sz w:val="10"/>
                <w:szCs w:val="10"/>
                <w:color w:val="auto"/>
              </w:rPr>
            </w:pPr>
          </w:p>
        </w:tc>
        <w:tc>
          <w:tcPr>
            <w:tcW w:w="2140" w:type="dxa"/>
            <w:vAlign w:val="bottom"/>
            <w:shd w:val="clear" w:color="auto" w:fill="EEEDED"/>
          </w:tcPr>
          <w:p>
            <w:pPr>
              <w:spacing w:after="0"/>
              <w:rPr>
                <w:sz w:val="10"/>
                <w:szCs w:val="10"/>
                <w:color w:val="auto"/>
              </w:rPr>
            </w:pPr>
          </w:p>
        </w:tc>
        <w:tc>
          <w:tcPr>
            <w:tcW w:w="1340" w:type="dxa"/>
            <w:vAlign w:val="bottom"/>
            <w:tcBorders>
              <w:right w:val="single" w:sz="8" w:color="54585A"/>
            </w:tcBorders>
            <w:shd w:val="clear" w:color="auto" w:fill="EEEDED"/>
          </w:tcPr>
          <w:p>
            <w:pPr>
              <w:ind w:left="60"/>
              <w:spacing w:after="0"/>
              <w:rPr>
                <w:sz w:val="20"/>
                <w:szCs w:val="20"/>
                <w:color w:val="auto"/>
              </w:rPr>
            </w:pPr>
            <w:r>
              <w:rPr>
                <w:rFonts w:ascii="Arial" w:cs="Arial" w:eastAsia="Arial" w:hAnsi="Arial"/>
                <w:sz w:val="10"/>
                <w:szCs w:val="10"/>
                <w:b w:val="1"/>
                <w:bCs w:val="1"/>
                <w:color w:val="54585A"/>
                <w:w w:val="96"/>
              </w:rPr>
              <w:t>Value Realized on Exercise</w:t>
            </w:r>
          </w:p>
        </w:tc>
        <w:tc>
          <w:tcPr>
            <w:tcW w:w="2160" w:type="dxa"/>
            <w:vAlign w:val="bottom"/>
            <w:shd w:val="clear" w:color="auto" w:fill="EEEDED"/>
          </w:tcPr>
          <w:p>
            <w:pPr>
              <w:spacing w:after="0"/>
              <w:rPr>
                <w:sz w:val="10"/>
                <w:szCs w:val="10"/>
                <w:color w:val="auto"/>
              </w:rPr>
            </w:pPr>
          </w:p>
        </w:tc>
        <w:tc>
          <w:tcPr>
            <w:tcW w:w="1380" w:type="dxa"/>
            <w:vAlign w:val="bottom"/>
            <w:shd w:val="clear" w:color="auto" w:fill="EEEDED"/>
          </w:tcPr>
          <w:p>
            <w:pPr>
              <w:jc w:val="right"/>
              <w:ind w:right="72"/>
              <w:spacing w:after="0"/>
              <w:rPr>
                <w:sz w:val="20"/>
                <w:szCs w:val="20"/>
                <w:color w:val="auto"/>
              </w:rPr>
            </w:pPr>
            <w:r>
              <w:rPr>
                <w:rFonts w:ascii="Arial" w:cs="Arial" w:eastAsia="Arial" w:hAnsi="Arial"/>
                <w:sz w:val="10"/>
                <w:szCs w:val="10"/>
                <w:b w:val="1"/>
                <w:bCs w:val="1"/>
                <w:color w:val="54585A"/>
              </w:rPr>
              <w:t>Value Realized on Vesting</w:t>
            </w:r>
          </w:p>
        </w:tc>
      </w:tr>
      <w:tr>
        <w:trPr>
          <w:trHeight w:val="144"/>
        </w:trPr>
        <w:tc>
          <w:tcPr>
            <w:tcW w:w="4280" w:type="dxa"/>
            <w:vAlign w:val="bottom"/>
            <w:shd w:val="clear" w:color="auto" w:fill="EEEDED"/>
          </w:tcPr>
          <w:p>
            <w:pPr>
              <w:ind w:left="60"/>
              <w:spacing w:after="0"/>
              <w:rPr>
                <w:sz w:val="20"/>
                <w:szCs w:val="20"/>
                <w:color w:val="auto"/>
              </w:rPr>
            </w:pPr>
            <w:r>
              <w:rPr>
                <w:rFonts w:ascii="Arial" w:cs="Arial" w:eastAsia="Arial" w:hAnsi="Arial"/>
                <w:sz w:val="10"/>
                <w:szCs w:val="10"/>
                <w:b w:val="1"/>
                <w:bCs w:val="1"/>
                <w:color w:val="54585A"/>
              </w:rPr>
              <w:t>Name</w:t>
            </w:r>
          </w:p>
        </w:tc>
        <w:tc>
          <w:tcPr>
            <w:tcW w:w="2140" w:type="dxa"/>
            <w:vAlign w:val="bottom"/>
            <w:shd w:val="clear" w:color="auto" w:fill="EEEDED"/>
          </w:tcPr>
          <w:p>
            <w:pPr>
              <w:ind w:left="100"/>
              <w:spacing w:after="0"/>
              <w:rPr>
                <w:sz w:val="20"/>
                <w:szCs w:val="20"/>
                <w:color w:val="auto"/>
              </w:rPr>
            </w:pPr>
            <w:r>
              <w:rPr>
                <w:rFonts w:ascii="Arial" w:cs="Arial" w:eastAsia="Arial" w:hAnsi="Arial"/>
                <w:sz w:val="10"/>
                <w:szCs w:val="10"/>
                <w:b w:val="1"/>
                <w:bCs w:val="1"/>
                <w:color w:val="54585A"/>
              </w:rPr>
              <w:t>Number of Shares Acquired on Exercise</w:t>
            </w:r>
          </w:p>
        </w:tc>
        <w:tc>
          <w:tcPr>
            <w:tcW w:w="1340" w:type="dxa"/>
            <w:vAlign w:val="bottom"/>
            <w:tcBorders>
              <w:right w:val="single" w:sz="8" w:color="54585A"/>
            </w:tcBorders>
            <w:shd w:val="clear" w:color="auto" w:fill="EEEDED"/>
          </w:tcPr>
          <w:p>
            <w:pPr>
              <w:ind w:left="1180"/>
              <w:spacing w:after="0"/>
              <w:rPr>
                <w:sz w:val="20"/>
                <w:szCs w:val="20"/>
                <w:color w:val="auto"/>
              </w:rPr>
            </w:pPr>
            <w:r>
              <w:rPr>
                <w:rFonts w:ascii="Arial" w:cs="Arial" w:eastAsia="Arial" w:hAnsi="Arial"/>
                <w:sz w:val="10"/>
                <w:szCs w:val="10"/>
                <w:b w:val="1"/>
                <w:bCs w:val="1"/>
                <w:color w:val="54585A"/>
                <w:w w:val="97"/>
              </w:rPr>
              <w:t>($)</w:t>
            </w:r>
          </w:p>
        </w:tc>
        <w:tc>
          <w:tcPr>
            <w:tcW w:w="2160" w:type="dxa"/>
            <w:vAlign w:val="bottom"/>
            <w:shd w:val="clear" w:color="auto" w:fill="EEEDED"/>
          </w:tcPr>
          <w:p>
            <w:pPr>
              <w:jc w:val="right"/>
              <w:ind w:right="212"/>
              <w:spacing w:after="0"/>
              <w:rPr>
                <w:sz w:val="20"/>
                <w:szCs w:val="20"/>
                <w:color w:val="auto"/>
              </w:rPr>
            </w:pPr>
            <w:r>
              <w:rPr>
                <w:rFonts w:ascii="Arial" w:cs="Arial" w:eastAsia="Arial" w:hAnsi="Arial"/>
                <w:sz w:val="10"/>
                <w:szCs w:val="10"/>
                <w:b w:val="1"/>
                <w:bCs w:val="1"/>
                <w:color w:val="54585A"/>
              </w:rPr>
              <w:t>Number of Shares Acquired on Vesting</w:t>
            </w:r>
          </w:p>
        </w:tc>
        <w:tc>
          <w:tcPr>
            <w:tcW w:w="1380" w:type="dxa"/>
            <w:vAlign w:val="bottom"/>
            <w:shd w:val="clear" w:color="auto" w:fill="EEEDED"/>
          </w:tcPr>
          <w:p>
            <w:pPr>
              <w:jc w:val="right"/>
              <w:ind w:right="72"/>
              <w:spacing w:after="0"/>
              <w:rPr>
                <w:sz w:val="20"/>
                <w:szCs w:val="20"/>
                <w:color w:val="auto"/>
              </w:rPr>
            </w:pPr>
            <w:r>
              <w:rPr>
                <w:rFonts w:ascii="Arial" w:cs="Arial" w:eastAsia="Arial" w:hAnsi="Arial"/>
                <w:sz w:val="10"/>
                <w:szCs w:val="10"/>
                <w:b w:val="1"/>
                <w:bCs w:val="1"/>
                <w:color w:val="54585A"/>
              </w:rPr>
              <w:t>($)</w:t>
            </w:r>
            <w:r>
              <w:rPr>
                <w:rFonts w:ascii="Arial" w:cs="Arial" w:eastAsia="Arial" w:hAnsi="Arial"/>
                <w:sz w:val="12"/>
                <w:szCs w:val="12"/>
                <w:b w:val="1"/>
                <w:bCs w:val="1"/>
                <w:color w:val="54585A"/>
                <w:vertAlign w:val="superscript"/>
              </w:rPr>
              <w:t>(2)</w:t>
            </w:r>
          </w:p>
        </w:tc>
      </w:tr>
      <w:tr>
        <w:trPr>
          <w:trHeight w:val="63"/>
        </w:trPr>
        <w:tc>
          <w:tcPr>
            <w:tcW w:w="4280" w:type="dxa"/>
            <w:vAlign w:val="bottom"/>
            <w:shd w:val="clear" w:color="auto" w:fill="EEEDED"/>
          </w:tcPr>
          <w:p>
            <w:pPr>
              <w:spacing w:after="0"/>
              <w:rPr>
                <w:sz w:val="5"/>
                <w:szCs w:val="5"/>
                <w:color w:val="auto"/>
              </w:rPr>
            </w:pPr>
          </w:p>
        </w:tc>
        <w:tc>
          <w:tcPr>
            <w:tcW w:w="2140" w:type="dxa"/>
            <w:vAlign w:val="bottom"/>
            <w:shd w:val="clear" w:color="auto" w:fill="EEEDED"/>
          </w:tcPr>
          <w:p>
            <w:pPr>
              <w:spacing w:after="0"/>
              <w:rPr>
                <w:sz w:val="5"/>
                <w:szCs w:val="5"/>
                <w:color w:val="auto"/>
              </w:rPr>
            </w:pPr>
          </w:p>
        </w:tc>
        <w:tc>
          <w:tcPr>
            <w:tcW w:w="1340" w:type="dxa"/>
            <w:vAlign w:val="bottom"/>
            <w:tcBorders>
              <w:right w:val="single" w:sz="8" w:color="54585A"/>
            </w:tcBorders>
            <w:shd w:val="clear" w:color="auto" w:fill="EEEDED"/>
          </w:tcPr>
          <w:p>
            <w:pPr>
              <w:spacing w:after="0"/>
              <w:rPr>
                <w:sz w:val="5"/>
                <w:szCs w:val="5"/>
                <w:color w:val="auto"/>
              </w:rPr>
            </w:pPr>
          </w:p>
        </w:tc>
        <w:tc>
          <w:tcPr>
            <w:tcW w:w="2160" w:type="dxa"/>
            <w:vAlign w:val="bottom"/>
            <w:shd w:val="clear" w:color="auto" w:fill="EEEDED"/>
          </w:tcPr>
          <w:p>
            <w:pPr>
              <w:spacing w:after="0"/>
              <w:rPr>
                <w:sz w:val="5"/>
                <w:szCs w:val="5"/>
                <w:color w:val="auto"/>
              </w:rPr>
            </w:pPr>
          </w:p>
        </w:tc>
        <w:tc>
          <w:tcPr>
            <w:tcW w:w="1380" w:type="dxa"/>
            <w:vAlign w:val="bottom"/>
            <w:shd w:val="clear" w:color="auto" w:fill="EEEDED"/>
          </w:tcPr>
          <w:p>
            <w:pPr>
              <w:spacing w:after="0"/>
              <w:rPr>
                <w:sz w:val="5"/>
                <w:szCs w:val="5"/>
                <w:color w:val="auto"/>
              </w:rPr>
            </w:pPr>
          </w:p>
        </w:tc>
      </w:tr>
      <w:tr>
        <w:trPr>
          <w:trHeight w:val="145"/>
        </w:trPr>
        <w:tc>
          <w:tcPr>
            <w:tcW w:w="428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David B. Kagan</w:t>
            </w:r>
          </w:p>
        </w:tc>
        <w:tc>
          <w:tcPr>
            <w:tcW w:w="2140" w:type="dxa"/>
            <w:vAlign w:val="bottom"/>
            <w:tcBorders>
              <w:bottom w:val="single" w:sz="8" w:color="54585A"/>
            </w:tcBorders>
          </w:tcPr>
          <w:p>
            <w:pPr>
              <w:ind w:left="1800"/>
              <w:spacing w:after="0"/>
              <w:rPr>
                <w:sz w:val="20"/>
                <w:szCs w:val="20"/>
                <w:color w:val="auto"/>
              </w:rPr>
            </w:pPr>
            <w:r>
              <w:rPr>
                <w:rFonts w:ascii="Arial" w:cs="Arial" w:eastAsia="Arial" w:hAnsi="Arial"/>
                <w:sz w:val="10"/>
                <w:szCs w:val="10"/>
                <w:color w:val="54585A"/>
              </w:rPr>
              <w:t>—</w:t>
            </w:r>
          </w:p>
        </w:tc>
        <w:tc>
          <w:tcPr>
            <w:tcW w:w="1340" w:type="dxa"/>
            <w:vAlign w:val="bottom"/>
            <w:tcBorders>
              <w:bottom w:val="single" w:sz="8" w:color="54585A"/>
              <w:right w:val="single" w:sz="8" w:color="54585A"/>
            </w:tcBorders>
          </w:tcPr>
          <w:p>
            <w:pPr>
              <w:ind w:left="1180"/>
              <w:spacing w:after="0"/>
              <w:rPr>
                <w:sz w:val="20"/>
                <w:szCs w:val="20"/>
                <w:color w:val="auto"/>
              </w:rPr>
            </w:pPr>
            <w:r>
              <w:rPr>
                <w:rFonts w:ascii="Arial" w:cs="Arial" w:eastAsia="Arial" w:hAnsi="Arial"/>
                <w:sz w:val="10"/>
                <w:szCs w:val="10"/>
                <w:color w:val="54585A"/>
              </w:rPr>
              <w:t>—</w:t>
            </w:r>
          </w:p>
        </w:tc>
        <w:tc>
          <w:tcPr>
            <w:tcW w:w="2160" w:type="dxa"/>
            <w:vAlign w:val="bottom"/>
            <w:tcBorders>
              <w:bottom w:val="single" w:sz="8" w:color="54585A"/>
            </w:tcBorders>
          </w:tcPr>
          <w:p>
            <w:pPr>
              <w:jc w:val="right"/>
              <w:ind w:right="232"/>
              <w:spacing w:after="0"/>
              <w:rPr>
                <w:sz w:val="20"/>
                <w:szCs w:val="20"/>
                <w:color w:val="auto"/>
              </w:rPr>
            </w:pPr>
            <w:r>
              <w:rPr>
                <w:rFonts w:ascii="Arial" w:cs="Arial" w:eastAsia="Arial" w:hAnsi="Arial"/>
                <w:sz w:val="10"/>
                <w:szCs w:val="10"/>
                <w:color w:val="54585A"/>
              </w:rPr>
              <w:t>306,662</w:t>
            </w:r>
          </w:p>
        </w:tc>
        <w:tc>
          <w:tcPr>
            <w:tcW w:w="138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530,261</w:t>
            </w:r>
          </w:p>
        </w:tc>
      </w:tr>
      <w:tr>
        <w:trPr>
          <w:trHeight w:val="142"/>
        </w:trPr>
        <w:tc>
          <w:tcPr>
            <w:tcW w:w="428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Rebecca S. Clary</w:t>
            </w:r>
          </w:p>
        </w:tc>
        <w:tc>
          <w:tcPr>
            <w:tcW w:w="2140" w:type="dxa"/>
            <w:vAlign w:val="bottom"/>
            <w:tcBorders>
              <w:bottom w:val="single" w:sz="8" w:color="54585A"/>
            </w:tcBorders>
          </w:tcPr>
          <w:p>
            <w:pPr>
              <w:ind w:left="1800"/>
              <w:spacing w:after="0"/>
              <w:rPr>
                <w:sz w:val="20"/>
                <w:szCs w:val="20"/>
                <w:color w:val="auto"/>
              </w:rPr>
            </w:pPr>
            <w:r>
              <w:rPr>
                <w:rFonts w:ascii="Arial" w:cs="Arial" w:eastAsia="Arial" w:hAnsi="Arial"/>
                <w:sz w:val="10"/>
                <w:szCs w:val="10"/>
                <w:color w:val="54585A"/>
              </w:rPr>
              <w:t>—</w:t>
            </w:r>
          </w:p>
        </w:tc>
        <w:tc>
          <w:tcPr>
            <w:tcW w:w="1340" w:type="dxa"/>
            <w:vAlign w:val="bottom"/>
            <w:tcBorders>
              <w:bottom w:val="single" w:sz="8" w:color="54585A"/>
              <w:right w:val="single" w:sz="8" w:color="54585A"/>
            </w:tcBorders>
          </w:tcPr>
          <w:p>
            <w:pPr>
              <w:ind w:left="1180"/>
              <w:spacing w:after="0"/>
              <w:rPr>
                <w:sz w:val="20"/>
                <w:szCs w:val="20"/>
                <w:color w:val="auto"/>
              </w:rPr>
            </w:pPr>
            <w:r>
              <w:rPr>
                <w:rFonts w:ascii="Arial" w:cs="Arial" w:eastAsia="Arial" w:hAnsi="Arial"/>
                <w:sz w:val="10"/>
                <w:szCs w:val="10"/>
                <w:color w:val="54585A"/>
              </w:rPr>
              <w:t>—</w:t>
            </w:r>
          </w:p>
        </w:tc>
        <w:tc>
          <w:tcPr>
            <w:tcW w:w="2160" w:type="dxa"/>
            <w:vAlign w:val="bottom"/>
            <w:tcBorders>
              <w:bottom w:val="single" w:sz="8" w:color="54585A"/>
            </w:tcBorders>
          </w:tcPr>
          <w:p>
            <w:pPr>
              <w:jc w:val="right"/>
              <w:ind w:right="232"/>
              <w:spacing w:after="0"/>
              <w:rPr>
                <w:sz w:val="20"/>
                <w:szCs w:val="20"/>
                <w:color w:val="auto"/>
              </w:rPr>
            </w:pPr>
            <w:r>
              <w:rPr>
                <w:rFonts w:ascii="Arial" w:cs="Arial" w:eastAsia="Arial" w:hAnsi="Arial"/>
                <w:sz w:val="10"/>
                <w:szCs w:val="10"/>
                <w:color w:val="54585A"/>
              </w:rPr>
              <w:t>356,679</w:t>
            </w:r>
          </w:p>
        </w:tc>
        <w:tc>
          <w:tcPr>
            <w:tcW w:w="138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574,450</w:t>
            </w:r>
          </w:p>
        </w:tc>
      </w:tr>
      <w:tr>
        <w:trPr>
          <w:trHeight w:val="142"/>
        </w:trPr>
        <w:tc>
          <w:tcPr>
            <w:tcW w:w="428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L. Barbee Ponder IV</w:t>
            </w:r>
          </w:p>
        </w:tc>
        <w:tc>
          <w:tcPr>
            <w:tcW w:w="2140" w:type="dxa"/>
            <w:vAlign w:val="bottom"/>
            <w:tcBorders>
              <w:bottom w:val="single" w:sz="8" w:color="54585A"/>
            </w:tcBorders>
          </w:tcPr>
          <w:p>
            <w:pPr>
              <w:ind w:left="1800"/>
              <w:spacing w:after="0"/>
              <w:rPr>
                <w:sz w:val="20"/>
                <w:szCs w:val="20"/>
                <w:color w:val="auto"/>
              </w:rPr>
            </w:pPr>
            <w:r>
              <w:rPr>
                <w:rFonts w:ascii="Arial" w:cs="Arial" w:eastAsia="Arial" w:hAnsi="Arial"/>
                <w:sz w:val="10"/>
                <w:szCs w:val="10"/>
                <w:color w:val="54585A"/>
              </w:rPr>
              <w:t>—</w:t>
            </w:r>
          </w:p>
        </w:tc>
        <w:tc>
          <w:tcPr>
            <w:tcW w:w="1340" w:type="dxa"/>
            <w:vAlign w:val="bottom"/>
            <w:tcBorders>
              <w:bottom w:val="single" w:sz="8" w:color="54585A"/>
              <w:right w:val="single" w:sz="8" w:color="54585A"/>
            </w:tcBorders>
          </w:tcPr>
          <w:p>
            <w:pPr>
              <w:ind w:left="1180"/>
              <w:spacing w:after="0"/>
              <w:rPr>
                <w:sz w:val="20"/>
                <w:szCs w:val="20"/>
                <w:color w:val="auto"/>
              </w:rPr>
            </w:pPr>
            <w:r>
              <w:rPr>
                <w:rFonts w:ascii="Arial" w:cs="Arial" w:eastAsia="Arial" w:hAnsi="Arial"/>
                <w:sz w:val="10"/>
                <w:szCs w:val="10"/>
                <w:color w:val="54585A"/>
              </w:rPr>
              <w:t>—</w:t>
            </w:r>
          </w:p>
        </w:tc>
        <w:tc>
          <w:tcPr>
            <w:tcW w:w="2160" w:type="dxa"/>
            <w:vAlign w:val="bottom"/>
            <w:tcBorders>
              <w:bottom w:val="single" w:sz="8" w:color="54585A"/>
            </w:tcBorders>
          </w:tcPr>
          <w:p>
            <w:pPr>
              <w:jc w:val="right"/>
              <w:ind w:right="232"/>
              <w:spacing w:after="0"/>
              <w:rPr>
                <w:sz w:val="20"/>
                <w:szCs w:val="20"/>
                <w:color w:val="auto"/>
              </w:rPr>
            </w:pPr>
            <w:r>
              <w:rPr>
                <w:rFonts w:ascii="Arial" w:cs="Arial" w:eastAsia="Arial" w:hAnsi="Arial"/>
                <w:sz w:val="10"/>
                <w:szCs w:val="10"/>
                <w:color w:val="54585A"/>
              </w:rPr>
              <w:t>369,654</w:t>
            </w:r>
          </w:p>
        </w:tc>
        <w:tc>
          <w:tcPr>
            <w:tcW w:w="138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610,261</w:t>
            </w:r>
          </w:p>
        </w:tc>
      </w:tr>
    </w:tbl>
    <w:p>
      <w:pPr>
        <w:spacing w:after="0" w:line="129" w:lineRule="exact"/>
        <w:rPr>
          <w:sz w:val="20"/>
          <w:szCs w:val="20"/>
          <w:color w:val="auto"/>
        </w:rPr>
      </w:pPr>
    </w:p>
    <w:p>
      <w:pPr>
        <w:ind w:left="208" w:hanging="208"/>
        <w:spacing w:after="0"/>
        <w:tabs>
          <w:tab w:leader="none" w:pos="208" w:val="left"/>
        </w:tabs>
        <w:numPr>
          <w:ilvl w:val="0"/>
          <w:numId w:val="55"/>
        </w:numPr>
        <w:rPr>
          <w:rFonts w:ascii="Arial" w:cs="Arial" w:eastAsia="Arial" w:hAnsi="Arial"/>
          <w:sz w:val="10"/>
          <w:szCs w:val="10"/>
          <w:color w:val="54585A"/>
        </w:rPr>
      </w:pPr>
      <w:r>
        <w:rPr>
          <w:rFonts w:ascii="Arial" w:cs="Arial" w:eastAsia="Arial" w:hAnsi="Arial"/>
          <w:sz w:val="10"/>
          <w:szCs w:val="10"/>
          <w:color w:val="54585A"/>
        </w:rPr>
        <w:t>The value realized upon exercise represents the excess of the market price of the underlying securities on the date of exercise and the exercise price of the options.</w:t>
      </w:r>
    </w:p>
    <w:p>
      <w:pPr>
        <w:spacing w:after="0" w:line="74" w:lineRule="exact"/>
        <w:rPr>
          <w:rFonts w:ascii="Arial" w:cs="Arial" w:eastAsia="Arial" w:hAnsi="Arial"/>
          <w:sz w:val="10"/>
          <w:szCs w:val="10"/>
          <w:color w:val="54585A"/>
        </w:rPr>
      </w:pPr>
    </w:p>
    <w:p>
      <w:pPr>
        <w:ind w:left="208" w:right="340" w:hanging="208"/>
        <w:spacing w:after="0" w:line="232" w:lineRule="auto"/>
        <w:tabs>
          <w:tab w:leader="none" w:pos="207" w:val="left"/>
        </w:tabs>
        <w:numPr>
          <w:ilvl w:val="0"/>
          <w:numId w:val="55"/>
        </w:numPr>
        <w:rPr>
          <w:rFonts w:ascii="Arial" w:cs="Arial" w:eastAsia="Arial" w:hAnsi="Arial"/>
          <w:sz w:val="10"/>
          <w:szCs w:val="10"/>
          <w:color w:val="54585A"/>
        </w:rPr>
      </w:pPr>
      <w:r>
        <w:rPr>
          <w:rFonts w:ascii="Arial" w:cs="Arial" w:eastAsia="Arial" w:hAnsi="Arial"/>
          <w:sz w:val="10"/>
          <w:szCs w:val="10"/>
          <w:color w:val="54585A"/>
        </w:rPr>
        <w:t>The aggregate market value realized upon the vesting of restricted stock awards represents the aggregate market value of Globalstar common stock on the vesting date, which was determined using the closing price on the vesting date, or if such day is a weekend or holiday, on the immediately preceding trading day.</w:t>
      </w:r>
    </w:p>
    <w:p>
      <w:pPr>
        <w:spacing w:after="0" w:line="27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Payments Upon Termination or Change in Control</w:t>
      </w:r>
    </w:p>
    <w:p>
      <w:pPr>
        <w:spacing w:after="0" w:line="76" w:lineRule="exact"/>
        <w:rPr>
          <w:sz w:val="20"/>
          <w:szCs w:val="20"/>
          <w:color w:val="auto"/>
        </w:rPr>
      </w:pPr>
    </w:p>
    <w:p>
      <w:pPr>
        <w:ind w:left="8" w:right="20"/>
        <w:spacing w:after="0" w:line="319" w:lineRule="auto"/>
        <w:rPr>
          <w:sz w:val="20"/>
          <w:szCs w:val="20"/>
          <w:color w:val="auto"/>
        </w:rPr>
      </w:pPr>
      <w:r>
        <w:rPr>
          <w:rFonts w:ascii="Arial" w:cs="Arial" w:eastAsia="Arial" w:hAnsi="Arial"/>
          <w:sz w:val="11"/>
          <w:szCs w:val="11"/>
          <w:color w:val="54585A"/>
        </w:rPr>
        <w:t>Other than agreements with respect to compensation, we have not entered into employment agreements with our current executive officers, including the named executive officers. Voluntary termination of employment or retirement would not result in any payments to the named executive officers beyond the amounts each would be entitled to receive under our retirement plan. We pay life insurance premiums for all U.S.-based employees that will be paid (based on a multiple of salary) to the employee’s beneficiary upon death.</w:t>
      </w:r>
    </w:p>
    <w:p>
      <w:pPr>
        <w:spacing w:after="0" w:line="108" w:lineRule="exact"/>
        <w:rPr>
          <w:sz w:val="20"/>
          <w:szCs w:val="20"/>
          <w:color w:val="auto"/>
        </w:rPr>
      </w:pPr>
    </w:p>
    <w:p>
      <w:pPr>
        <w:ind w:left="8" w:right="180"/>
        <w:spacing w:after="0" w:line="330" w:lineRule="auto"/>
        <w:rPr>
          <w:sz w:val="20"/>
          <w:szCs w:val="20"/>
          <w:color w:val="auto"/>
        </w:rPr>
      </w:pPr>
      <w:r>
        <w:rPr>
          <w:rFonts w:ascii="Arial" w:cs="Arial" w:eastAsia="Arial" w:hAnsi="Arial"/>
          <w:sz w:val="11"/>
          <w:szCs w:val="11"/>
          <w:color w:val="54585A"/>
        </w:rPr>
        <w:t>Severance payments may be paid to eligible U.S.-based employees if an employee is terminated due to a reduction in workforce and upon the employee’s execution of a release of claims. Under this plan, the named executive officers would receive a lump sum payment equal to six to eight weeks' base salary. Other severance, if any, is determined at the time of dismissal and is subject to negotiation.</w:t>
      </w:r>
    </w:p>
    <w:p>
      <w:pPr>
        <w:spacing w:after="0" w:line="93" w:lineRule="exact"/>
        <w:rPr>
          <w:sz w:val="20"/>
          <w:szCs w:val="20"/>
          <w:color w:val="auto"/>
        </w:rPr>
      </w:pPr>
    </w:p>
    <w:p>
      <w:pPr>
        <w:ind w:left="8" w:right="60"/>
        <w:spacing w:after="0" w:line="318" w:lineRule="auto"/>
        <w:rPr>
          <w:sz w:val="20"/>
          <w:szCs w:val="20"/>
          <w:color w:val="auto"/>
        </w:rPr>
      </w:pPr>
      <w:r>
        <w:rPr>
          <w:rFonts w:ascii="Arial" w:cs="Arial" w:eastAsia="Arial" w:hAnsi="Arial"/>
          <w:sz w:val="11"/>
          <w:szCs w:val="11"/>
          <w:color w:val="54585A"/>
        </w:rPr>
        <w:t>Under the Plan, if a participant dies, becomes disabled or is terminated for cause, unvested awards are forfeited. For vested option awards, the participant or his survivor generally has 12 months to exercise. If a participant is terminated for cause, all unexercised vested options also are forfeited. If a change in control occurs, any unvested options or restricted shares outstanding would vest immediately. A change in control occurs upon: (1) a person or group (other than us, an existing controlling stockholder, or a trustee for an employee benefit plan) acquiring beneficial ownership of 50% or more of the voting power in the election of directors; (2) upon merger or consolidation; (3) a sale of all or substantially all of our assets; or (4) the sale or exchange by the stockholders of more than 50% of our voting stock; provided however, that a change in control is not deemed to have occurred if the majority of the board of directors of the surviving company is comprised of our directors. The Compensation Committee, in its discretion, also may take other actions to provide for the acceleration of the exercisability or vesting of other awards under the Plan prior to, upon or following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217805</wp:posOffset>
            </wp:positionV>
            <wp:extent cx="17145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99" w:lineRule="exact"/>
        <w:rPr>
          <w:sz w:val="20"/>
          <w:szCs w:val="20"/>
          <w:color w:val="auto"/>
        </w:rPr>
      </w:pPr>
    </w:p>
    <w:p>
      <w:pPr>
        <w:ind w:left="9668"/>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32" w:name="page33"/>
    <w:bookmarkEnd w:id="32"/>
    <w:p>
      <w:pPr>
        <w:ind w:left="68" w:hanging="68"/>
        <w:spacing w:after="0"/>
        <w:tabs>
          <w:tab w:leader="none" w:pos="68" w:val="left"/>
        </w:tabs>
        <w:numPr>
          <w:ilvl w:val="0"/>
          <w:numId w:val="56"/>
        </w:numPr>
        <w:rPr>
          <w:rFonts w:ascii="Arial" w:cs="Arial" w:eastAsia="Arial" w:hAnsi="Arial"/>
          <w:sz w:val="12"/>
          <w:szCs w:val="12"/>
          <w:b w:val="1"/>
          <w:bCs w:val="1"/>
          <w:color w:val="EB6C10"/>
        </w:rPr>
      </w:pPr>
      <w:r>
        <w:rPr>
          <w:rFonts w:ascii="Arial" w:cs="Arial" w:eastAsia="Arial" w:hAnsi="Arial"/>
          <w:sz w:val="10"/>
          <w:szCs w:val="10"/>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8" w:right="260"/>
        <w:spacing w:after="0" w:line="319" w:lineRule="auto"/>
        <w:rPr>
          <w:sz w:val="20"/>
          <w:szCs w:val="20"/>
          <w:color w:val="auto"/>
        </w:rPr>
      </w:pPr>
      <w:r>
        <w:rPr>
          <w:rFonts w:ascii="Arial" w:cs="Arial" w:eastAsia="Arial" w:hAnsi="Arial"/>
          <w:sz w:val="11"/>
          <w:szCs w:val="11"/>
          <w:color w:val="54585A"/>
        </w:rPr>
        <w:t>The following table shows the amount of potential payments to the current named executive officers under the listed events, based on the assumption that the triggering event took place on December 31, 2022. In connection with his service as an executive officer of the Company, Mr. Monroe did not receive any compensation nor does Mr. Monroe does not have any outstanding equity awards at 2022 fiscal year-end and therefore not reflected in the table below. There are no unvested stock options for Messrs. Kagan and Ponder or Ms. Clary and therefore amounts are not reflected in the table below.</w:t>
      </w:r>
    </w:p>
    <w:p>
      <w:pPr>
        <w:spacing w:after="0" w:line="106"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6420" w:type="dxa"/>
            <w:vAlign w:val="bottom"/>
            <w:shd w:val="clear" w:color="auto" w:fill="EEEDED"/>
          </w:tcPr>
          <w:p>
            <w:pPr>
              <w:spacing w:after="0"/>
              <w:rPr>
                <w:sz w:val="12"/>
                <w:szCs w:val="12"/>
                <w:color w:val="auto"/>
              </w:rPr>
            </w:pPr>
          </w:p>
        </w:tc>
        <w:tc>
          <w:tcPr>
            <w:tcW w:w="340" w:type="dxa"/>
            <w:vAlign w:val="bottom"/>
            <w:shd w:val="clear" w:color="auto" w:fill="EEEDED"/>
          </w:tcPr>
          <w:p>
            <w:pPr>
              <w:spacing w:after="0"/>
              <w:rPr>
                <w:sz w:val="12"/>
                <w:szCs w:val="12"/>
                <w:color w:val="auto"/>
              </w:rPr>
            </w:pPr>
          </w:p>
        </w:tc>
        <w:tc>
          <w:tcPr>
            <w:tcW w:w="1280" w:type="dxa"/>
            <w:vAlign w:val="bottom"/>
            <w:shd w:val="clear" w:color="auto" w:fill="EEEDED"/>
          </w:tcPr>
          <w:p>
            <w:pPr>
              <w:jc w:val="right"/>
              <w:ind w:right="532"/>
              <w:spacing w:after="0"/>
              <w:rPr>
                <w:sz w:val="20"/>
                <w:szCs w:val="20"/>
                <w:color w:val="auto"/>
              </w:rPr>
            </w:pPr>
            <w:r>
              <w:rPr>
                <w:rFonts w:ascii="Arial" w:cs="Arial" w:eastAsia="Arial" w:hAnsi="Arial"/>
                <w:sz w:val="10"/>
                <w:szCs w:val="10"/>
                <w:b w:val="1"/>
                <w:bCs w:val="1"/>
                <w:color w:val="54585A"/>
              </w:rPr>
              <w:t>Mr. Kagan</w:t>
            </w:r>
          </w:p>
        </w:tc>
        <w:tc>
          <w:tcPr>
            <w:tcW w:w="340" w:type="dxa"/>
            <w:vAlign w:val="bottom"/>
            <w:shd w:val="clear" w:color="auto" w:fill="EEEDED"/>
          </w:tcPr>
          <w:p>
            <w:pPr>
              <w:spacing w:after="0"/>
              <w:rPr>
                <w:sz w:val="12"/>
                <w:szCs w:val="12"/>
                <w:color w:val="auto"/>
              </w:rPr>
            </w:pPr>
          </w:p>
        </w:tc>
        <w:tc>
          <w:tcPr>
            <w:tcW w:w="1280" w:type="dxa"/>
            <w:vAlign w:val="bottom"/>
            <w:shd w:val="clear" w:color="auto" w:fill="EEEDED"/>
          </w:tcPr>
          <w:p>
            <w:pPr>
              <w:jc w:val="right"/>
              <w:ind w:right="532"/>
              <w:spacing w:after="0"/>
              <w:rPr>
                <w:sz w:val="20"/>
                <w:szCs w:val="20"/>
                <w:color w:val="auto"/>
              </w:rPr>
            </w:pPr>
            <w:r>
              <w:rPr>
                <w:rFonts w:ascii="Arial" w:cs="Arial" w:eastAsia="Arial" w:hAnsi="Arial"/>
                <w:sz w:val="10"/>
                <w:szCs w:val="10"/>
                <w:b w:val="1"/>
                <w:bCs w:val="1"/>
                <w:color w:val="54585A"/>
              </w:rPr>
              <w:t>Ms. Clary</w:t>
            </w:r>
          </w:p>
        </w:tc>
        <w:tc>
          <w:tcPr>
            <w:tcW w:w="320" w:type="dxa"/>
            <w:vAlign w:val="bottom"/>
            <w:shd w:val="clear" w:color="auto" w:fill="EEEDED"/>
          </w:tcPr>
          <w:p>
            <w:pPr>
              <w:spacing w:after="0"/>
              <w:rPr>
                <w:sz w:val="12"/>
                <w:szCs w:val="12"/>
                <w:color w:val="auto"/>
              </w:rPr>
            </w:pPr>
          </w:p>
        </w:tc>
        <w:tc>
          <w:tcPr>
            <w:tcW w:w="1320" w:type="dxa"/>
            <w:vAlign w:val="bottom"/>
            <w:shd w:val="clear" w:color="auto" w:fill="EEEDED"/>
          </w:tcPr>
          <w:p>
            <w:pPr>
              <w:jc w:val="right"/>
              <w:ind w:right="532"/>
              <w:spacing w:after="0"/>
              <w:rPr>
                <w:sz w:val="20"/>
                <w:szCs w:val="20"/>
                <w:color w:val="auto"/>
              </w:rPr>
            </w:pPr>
            <w:r>
              <w:rPr>
                <w:rFonts w:ascii="Arial" w:cs="Arial" w:eastAsia="Arial" w:hAnsi="Arial"/>
                <w:sz w:val="10"/>
                <w:szCs w:val="10"/>
                <w:b w:val="1"/>
                <w:bCs w:val="1"/>
                <w:color w:val="54585A"/>
              </w:rPr>
              <w:t>Mr. Ponder</w:t>
            </w:r>
          </w:p>
        </w:tc>
      </w:tr>
      <w:tr>
        <w:trPr>
          <w:trHeight w:val="69"/>
        </w:trPr>
        <w:tc>
          <w:tcPr>
            <w:tcW w:w="6420" w:type="dxa"/>
            <w:vAlign w:val="bottom"/>
            <w:shd w:val="clear" w:color="auto" w:fill="EEEDED"/>
          </w:tcPr>
          <w:p>
            <w:pPr>
              <w:spacing w:after="0"/>
              <w:rPr>
                <w:sz w:val="6"/>
                <w:szCs w:val="6"/>
                <w:color w:val="auto"/>
              </w:rPr>
            </w:pPr>
          </w:p>
        </w:tc>
        <w:tc>
          <w:tcPr>
            <w:tcW w:w="340" w:type="dxa"/>
            <w:vAlign w:val="bottom"/>
            <w:shd w:val="clear" w:color="auto" w:fill="EEEDED"/>
          </w:tcPr>
          <w:p>
            <w:pPr>
              <w:spacing w:after="0"/>
              <w:rPr>
                <w:sz w:val="6"/>
                <w:szCs w:val="6"/>
                <w:color w:val="auto"/>
              </w:rPr>
            </w:pPr>
          </w:p>
        </w:tc>
        <w:tc>
          <w:tcPr>
            <w:tcW w:w="1280" w:type="dxa"/>
            <w:vAlign w:val="bottom"/>
            <w:shd w:val="clear" w:color="auto" w:fill="EEEDED"/>
          </w:tcPr>
          <w:p>
            <w:pPr>
              <w:spacing w:after="0"/>
              <w:rPr>
                <w:sz w:val="6"/>
                <w:szCs w:val="6"/>
                <w:color w:val="auto"/>
              </w:rPr>
            </w:pPr>
          </w:p>
        </w:tc>
        <w:tc>
          <w:tcPr>
            <w:tcW w:w="340" w:type="dxa"/>
            <w:vAlign w:val="bottom"/>
            <w:shd w:val="clear" w:color="auto" w:fill="EEEDED"/>
          </w:tcPr>
          <w:p>
            <w:pPr>
              <w:spacing w:after="0"/>
              <w:rPr>
                <w:sz w:val="6"/>
                <w:szCs w:val="6"/>
                <w:color w:val="auto"/>
              </w:rPr>
            </w:pPr>
          </w:p>
        </w:tc>
        <w:tc>
          <w:tcPr>
            <w:tcW w:w="1280" w:type="dxa"/>
            <w:vAlign w:val="bottom"/>
            <w:shd w:val="clear" w:color="auto" w:fill="EEEDED"/>
          </w:tcPr>
          <w:p>
            <w:pPr>
              <w:spacing w:after="0"/>
              <w:rPr>
                <w:sz w:val="6"/>
                <w:szCs w:val="6"/>
                <w:color w:val="auto"/>
              </w:rPr>
            </w:pPr>
          </w:p>
        </w:tc>
        <w:tc>
          <w:tcPr>
            <w:tcW w:w="320" w:type="dxa"/>
            <w:vAlign w:val="bottom"/>
            <w:shd w:val="clear" w:color="auto" w:fill="EEEDED"/>
          </w:tcPr>
          <w:p>
            <w:pPr>
              <w:spacing w:after="0"/>
              <w:rPr>
                <w:sz w:val="6"/>
                <w:szCs w:val="6"/>
                <w:color w:val="auto"/>
              </w:rPr>
            </w:pPr>
          </w:p>
        </w:tc>
        <w:tc>
          <w:tcPr>
            <w:tcW w:w="1320" w:type="dxa"/>
            <w:vAlign w:val="bottom"/>
            <w:shd w:val="clear" w:color="auto" w:fill="EEEDED"/>
          </w:tcPr>
          <w:p>
            <w:pPr>
              <w:spacing w:after="0"/>
              <w:rPr>
                <w:sz w:val="6"/>
                <w:szCs w:val="6"/>
                <w:color w:val="auto"/>
              </w:rPr>
            </w:pPr>
          </w:p>
        </w:tc>
      </w:tr>
      <w:tr>
        <w:trPr>
          <w:trHeight w:val="145"/>
        </w:trPr>
        <w:tc>
          <w:tcPr>
            <w:tcW w:w="64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Death</w:t>
            </w:r>
          </w:p>
        </w:tc>
        <w:tc>
          <w:tcPr>
            <w:tcW w:w="340" w:type="dxa"/>
            <w:vAlign w:val="bottom"/>
            <w:tcBorders>
              <w:bottom w:val="single" w:sz="8" w:color="54585A"/>
            </w:tcBorders>
          </w:tcPr>
          <w:p>
            <w:pPr>
              <w:spacing w:after="0"/>
              <w:rPr>
                <w:sz w:val="12"/>
                <w:szCs w:val="12"/>
                <w:color w:val="auto"/>
              </w:rPr>
            </w:pPr>
          </w:p>
        </w:tc>
        <w:tc>
          <w:tcPr>
            <w:tcW w:w="1280" w:type="dxa"/>
            <w:vAlign w:val="bottom"/>
            <w:tcBorders>
              <w:bottom w:val="single" w:sz="8" w:color="54585A"/>
            </w:tcBorders>
          </w:tcPr>
          <w:p>
            <w:pPr>
              <w:spacing w:after="0"/>
              <w:rPr>
                <w:sz w:val="12"/>
                <w:szCs w:val="12"/>
                <w:color w:val="auto"/>
              </w:rPr>
            </w:pPr>
          </w:p>
        </w:tc>
        <w:tc>
          <w:tcPr>
            <w:tcW w:w="340" w:type="dxa"/>
            <w:vAlign w:val="bottom"/>
            <w:tcBorders>
              <w:bottom w:val="single" w:sz="8" w:color="54585A"/>
            </w:tcBorders>
          </w:tcPr>
          <w:p>
            <w:pPr>
              <w:spacing w:after="0"/>
              <w:rPr>
                <w:sz w:val="12"/>
                <w:szCs w:val="12"/>
                <w:color w:val="auto"/>
              </w:rPr>
            </w:pPr>
          </w:p>
        </w:tc>
        <w:tc>
          <w:tcPr>
            <w:tcW w:w="1280" w:type="dxa"/>
            <w:vAlign w:val="bottom"/>
            <w:tcBorders>
              <w:bottom w:val="single" w:sz="8" w:color="54585A"/>
            </w:tcBorders>
          </w:tcPr>
          <w:p>
            <w:pPr>
              <w:spacing w:after="0"/>
              <w:rPr>
                <w:sz w:val="12"/>
                <w:szCs w:val="12"/>
                <w:color w:val="auto"/>
              </w:rPr>
            </w:pPr>
          </w:p>
        </w:tc>
        <w:tc>
          <w:tcPr>
            <w:tcW w:w="320" w:type="dxa"/>
            <w:vAlign w:val="bottom"/>
            <w:tcBorders>
              <w:bottom w:val="single" w:sz="8" w:color="54585A"/>
            </w:tcBorders>
          </w:tcPr>
          <w:p>
            <w:pPr>
              <w:spacing w:after="0"/>
              <w:rPr>
                <w:sz w:val="12"/>
                <w:szCs w:val="12"/>
                <w:color w:val="auto"/>
              </w:rPr>
            </w:pPr>
          </w:p>
        </w:tc>
        <w:tc>
          <w:tcPr>
            <w:tcW w:w="1320" w:type="dxa"/>
            <w:vAlign w:val="bottom"/>
            <w:tcBorders>
              <w:bottom w:val="single" w:sz="8" w:color="54585A"/>
            </w:tcBorders>
          </w:tcPr>
          <w:p>
            <w:pPr>
              <w:spacing w:after="0"/>
              <w:rPr>
                <w:sz w:val="12"/>
                <w:szCs w:val="12"/>
                <w:color w:val="auto"/>
              </w:rPr>
            </w:pPr>
          </w:p>
        </w:tc>
      </w:tr>
      <w:tr>
        <w:trPr>
          <w:trHeight w:val="142"/>
        </w:trPr>
        <w:tc>
          <w:tcPr>
            <w:tcW w:w="6420" w:type="dxa"/>
            <w:vAlign w:val="bottom"/>
            <w:tcBorders>
              <w:bottom w:val="single" w:sz="8" w:color="54585A"/>
            </w:tcBorders>
          </w:tcPr>
          <w:p>
            <w:pPr>
              <w:ind w:left="160"/>
              <w:spacing w:after="0"/>
              <w:rPr>
                <w:sz w:val="20"/>
                <w:szCs w:val="20"/>
                <w:color w:val="auto"/>
              </w:rPr>
            </w:pPr>
            <w:r>
              <w:rPr>
                <w:rFonts w:ascii="Arial" w:cs="Arial" w:eastAsia="Arial" w:hAnsi="Arial"/>
                <w:sz w:val="10"/>
                <w:szCs w:val="10"/>
                <w:color w:val="54585A"/>
              </w:rPr>
              <w:t>Insurance proceeds</w:t>
            </w:r>
          </w:p>
        </w:tc>
        <w:tc>
          <w:tcPr>
            <w:tcW w:w="340" w:type="dxa"/>
            <w:vAlign w:val="bottom"/>
            <w:tcBorders>
              <w:bottom w:val="single" w:sz="8" w:color="54585A"/>
            </w:tcBorders>
          </w:tcPr>
          <w:p>
            <w:pPr>
              <w:jc w:val="right"/>
              <w:ind w:right="212"/>
              <w:spacing w:after="0"/>
              <w:rPr>
                <w:sz w:val="20"/>
                <w:szCs w:val="20"/>
                <w:color w:val="auto"/>
              </w:rPr>
            </w:pPr>
            <w:r>
              <w:rPr>
                <w:rFonts w:ascii="Arial" w:cs="Arial" w:eastAsia="Arial" w:hAnsi="Arial"/>
                <w:sz w:val="10"/>
                <w:szCs w:val="10"/>
                <w:color w:val="54585A"/>
              </w:rPr>
              <w:t>$</w:t>
            </w:r>
          </w:p>
        </w:tc>
        <w:tc>
          <w:tcPr>
            <w:tcW w:w="12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700,000</w:t>
            </w:r>
          </w:p>
        </w:tc>
        <w:tc>
          <w:tcPr>
            <w:tcW w:w="340" w:type="dxa"/>
            <w:vAlign w:val="bottom"/>
            <w:tcBorders>
              <w:bottom w:val="single" w:sz="8" w:color="54585A"/>
            </w:tcBorders>
          </w:tcPr>
          <w:p>
            <w:pPr>
              <w:jc w:val="right"/>
              <w:ind w:right="212"/>
              <w:spacing w:after="0"/>
              <w:rPr>
                <w:sz w:val="20"/>
                <w:szCs w:val="20"/>
                <w:color w:val="auto"/>
              </w:rPr>
            </w:pPr>
            <w:r>
              <w:rPr>
                <w:rFonts w:ascii="Arial" w:cs="Arial" w:eastAsia="Arial" w:hAnsi="Arial"/>
                <w:sz w:val="10"/>
                <w:szCs w:val="10"/>
                <w:color w:val="54585A"/>
              </w:rPr>
              <w:t>$</w:t>
            </w:r>
          </w:p>
        </w:tc>
        <w:tc>
          <w:tcPr>
            <w:tcW w:w="12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574,000</w:t>
            </w:r>
          </w:p>
        </w:tc>
        <w:tc>
          <w:tcPr>
            <w:tcW w:w="320" w:type="dxa"/>
            <w:vAlign w:val="bottom"/>
            <w:tcBorders>
              <w:bottom w:val="single" w:sz="8" w:color="54585A"/>
            </w:tcBorders>
          </w:tcPr>
          <w:p>
            <w:pPr>
              <w:jc w:val="right"/>
              <w:ind w:right="192"/>
              <w:spacing w:after="0"/>
              <w:rPr>
                <w:sz w:val="20"/>
                <w:szCs w:val="20"/>
                <w:color w:val="auto"/>
              </w:rPr>
            </w:pPr>
            <w:r>
              <w:rPr>
                <w:rFonts w:ascii="Arial" w:cs="Arial" w:eastAsia="Arial" w:hAnsi="Arial"/>
                <w:sz w:val="10"/>
                <w:szCs w:val="10"/>
                <w:color w:val="54585A"/>
              </w:rPr>
              <w:t>$</w:t>
            </w:r>
          </w:p>
        </w:tc>
        <w:tc>
          <w:tcPr>
            <w:tcW w:w="132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594,000</w:t>
            </w:r>
          </w:p>
        </w:tc>
      </w:tr>
      <w:tr>
        <w:trPr>
          <w:trHeight w:val="142"/>
        </w:trPr>
        <w:tc>
          <w:tcPr>
            <w:tcW w:w="64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Termination – Reduction in Workforce</w:t>
            </w:r>
          </w:p>
        </w:tc>
        <w:tc>
          <w:tcPr>
            <w:tcW w:w="340" w:type="dxa"/>
            <w:vAlign w:val="bottom"/>
            <w:tcBorders>
              <w:bottom w:val="single" w:sz="8" w:color="54585A"/>
            </w:tcBorders>
          </w:tcPr>
          <w:p>
            <w:pPr>
              <w:spacing w:after="0"/>
              <w:rPr>
                <w:sz w:val="12"/>
                <w:szCs w:val="12"/>
                <w:color w:val="auto"/>
              </w:rPr>
            </w:pPr>
          </w:p>
        </w:tc>
        <w:tc>
          <w:tcPr>
            <w:tcW w:w="1280" w:type="dxa"/>
            <w:vAlign w:val="bottom"/>
            <w:tcBorders>
              <w:bottom w:val="single" w:sz="8" w:color="54585A"/>
            </w:tcBorders>
          </w:tcPr>
          <w:p>
            <w:pPr>
              <w:spacing w:after="0"/>
              <w:rPr>
                <w:sz w:val="12"/>
                <w:szCs w:val="12"/>
                <w:color w:val="auto"/>
              </w:rPr>
            </w:pPr>
          </w:p>
        </w:tc>
        <w:tc>
          <w:tcPr>
            <w:tcW w:w="340" w:type="dxa"/>
            <w:vAlign w:val="bottom"/>
            <w:tcBorders>
              <w:bottom w:val="single" w:sz="8" w:color="54585A"/>
            </w:tcBorders>
          </w:tcPr>
          <w:p>
            <w:pPr>
              <w:spacing w:after="0"/>
              <w:rPr>
                <w:sz w:val="12"/>
                <w:szCs w:val="12"/>
                <w:color w:val="auto"/>
              </w:rPr>
            </w:pPr>
          </w:p>
        </w:tc>
        <w:tc>
          <w:tcPr>
            <w:tcW w:w="1280" w:type="dxa"/>
            <w:vAlign w:val="bottom"/>
            <w:tcBorders>
              <w:bottom w:val="single" w:sz="8" w:color="54585A"/>
            </w:tcBorders>
          </w:tcPr>
          <w:p>
            <w:pPr>
              <w:spacing w:after="0"/>
              <w:rPr>
                <w:sz w:val="12"/>
                <w:szCs w:val="12"/>
                <w:color w:val="auto"/>
              </w:rPr>
            </w:pPr>
          </w:p>
        </w:tc>
        <w:tc>
          <w:tcPr>
            <w:tcW w:w="320" w:type="dxa"/>
            <w:vAlign w:val="bottom"/>
            <w:tcBorders>
              <w:bottom w:val="single" w:sz="8" w:color="54585A"/>
            </w:tcBorders>
          </w:tcPr>
          <w:p>
            <w:pPr>
              <w:spacing w:after="0"/>
              <w:rPr>
                <w:sz w:val="12"/>
                <w:szCs w:val="12"/>
                <w:color w:val="auto"/>
              </w:rPr>
            </w:pPr>
          </w:p>
        </w:tc>
        <w:tc>
          <w:tcPr>
            <w:tcW w:w="1320" w:type="dxa"/>
            <w:vAlign w:val="bottom"/>
            <w:tcBorders>
              <w:bottom w:val="single" w:sz="8" w:color="54585A"/>
            </w:tcBorders>
          </w:tcPr>
          <w:p>
            <w:pPr>
              <w:spacing w:after="0"/>
              <w:rPr>
                <w:sz w:val="12"/>
                <w:szCs w:val="12"/>
                <w:color w:val="auto"/>
              </w:rPr>
            </w:pPr>
          </w:p>
        </w:tc>
      </w:tr>
      <w:tr>
        <w:trPr>
          <w:trHeight w:val="142"/>
        </w:trPr>
        <w:tc>
          <w:tcPr>
            <w:tcW w:w="6420" w:type="dxa"/>
            <w:vAlign w:val="bottom"/>
            <w:tcBorders>
              <w:bottom w:val="single" w:sz="8" w:color="54585A"/>
            </w:tcBorders>
          </w:tcPr>
          <w:p>
            <w:pPr>
              <w:ind w:left="160"/>
              <w:spacing w:after="0"/>
              <w:rPr>
                <w:sz w:val="20"/>
                <w:szCs w:val="20"/>
                <w:color w:val="auto"/>
              </w:rPr>
            </w:pPr>
            <w:r>
              <w:rPr>
                <w:rFonts w:ascii="Arial" w:cs="Arial" w:eastAsia="Arial" w:hAnsi="Arial"/>
                <w:sz w:val="10"/>
                <w:szCs w:val="10"/>
                <w:color w:val="54585A"/>
              </w:rPr>
              <w:t>Severance</w:t>
            </w:r>
          </w:p>
        </w:tc>
        <w:tc>
          <w:tcPr>
            <w:tcW w:w="340" w:type="dxa"/>
            <w:vAlign w:val="bottom"/>
            <w:tcBorders>
              <w:bottom w:val="single" w:sz="8" w:color="54585A"/>
            </w:tcBorders>
          </w:tcPr>
          <w:p>
            <w:pPr>
              <w:jc w:val="right"/>
              <w:ind w:right="212"/>
              <w:spacing w:after="0"/>
              <w:rPr>
                <w:sz w:val="20"/>
                <w:szCs w:val="20"/>
                <w:color w:val="auto"/>
              </w:rPr>
            </w:pPr>
            <w:r>
              <w:rPr>
                <w:rFonts w:ascii="Arial" w:cs="Arial" w:eastAsia="Arial" w:hAnsi="Arial"/>
                <w:sz w:val="10"/>
                <w:szCs w:val="10"/>
                <w:color w:val="54585A"/>
              </w:rPr>
              <w:t>$</w:t>
            </w:r>
          </w:p>
        </w:tc>
        <w:tc>
          <w:tcPr>
            <w:tcW w:w="12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55,085</w:t>
            </w:r>
          </w:p>
        </w:tc>
        <w:tc>
          <w:tcPr>
            <w:tcW w:w="340" w:type="dxa"/>
            <w:vAlign w:val="bottom"/>
            <w:tcBorders>
              <w:bottom w:val="single" w:sz="8" w:color="54585A"/>
            </w:tcBorders>
          </w:tcPr>
          <w:p>
            <w:pPr>
              <w:jc w:val="right"/>
              <w:ind w:right="212"/>
              <w:spacing w:after="0"/>
              <w:rPr>
                <w:sz w:val="20"/>
                <w:szCs w:val="20"/>
                <w:color w:val="auto"/>
              </w:rPr>
            </w:pPr>
            <w:r>
              <w:rPr>
                <w:rFonts w:ascii="Arial" w:cs="Arial" w:eastAsia="Arial" w:hAnsi="Arial"/>
                <w:sz w:val="10"/>
                <w:szCs w:val="10"/>
                <w:color w:val="54585A"/>
              </w:rPr>
              <w:t>$</w:t>
            </w:r>
          </w:p>
        </w:tc>
        <w:tc>
          <w:tcPr>
            <w:tcW w:w="12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31,494</w:t>
            </w:r>
          </w:p>
        </w:tc>
        <w:tc>
          <w:tcPr>
            <w:tcW w:w="320" w:type="dxa"/>
            <w:vAlign w:val="bottom"/>
            <w:tcBorders>
              <w:bottom w:val="single" w:sz="8" w:color="54585A"/>
            </w:tcBorders>
          </w:tcPr>
          <w:p>
            <w:pPr>
              <w:jc w:val="right"/>
              <w:ind w:right="192"/>
              <w:spacing w:after="0"/>
              <w:rPr>
                <w:sz w:val="20"/>
                <w:szCs w:val="20"/>
                <w:color w:val="auto"/>
              </w:rPr>
            </w:pPr>
            <w:r>
              <w:rPr>
                <w:rFonts w:ascii="Arial" w:cs="Arial" w:eastAsia="Arial" w:hAnsi="Arial"/>
                <w:sz w:val="10"/>
                <w:szCs w:val="10"/>
                <w:color w:val="54585A"/>
              </w:rPr>
              <w:t>$</w:t>
            </w:r>
          </w:p>
        </w:tc>
        <w:tc>
          <w:tcPr>
            <w:tcW w:w="132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33,090</w:t>
            </w:r>
          </w:p>
        </w:tc>
      </w:tr>
      <w:tr>
        <w:trPr>
          <w:trHeight w:val="142"/>
        </w:trPr>
        <w:tc>
          <w:tcPr>
            <w:tcW w:w="64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Change in Control</w:t>
            </w:r>
          </w:p>
        </w:tc>
        <w:tc>
          <w:tcPr>
            <w:tcW w:w="340" w:type="dxa"/>
            <w:vAlign w:val="bottom"/>
            <w:tcBorders>
              <w:bottom w:val="single" w:sz="8" w:color="54585A"/>
            </w:tcBorders>
          </w:tcPr>
          <w:p>
            <w:pPr>
              <w:spacing w:after="0"/>
              <w:rPr>
                <w:sz w:val="12"/>
                <w:szCs w:val="12"/>
                <w:color w:val="auto"/>
              </w:rPr>
            </w:pPr>
          </w:p>
        </w:tc>
        <w:tc>
          <w:tcPr>
            <w:tcW w:w="1280" w:type="dxa"/>
            <w:vAlign w:val="bottom"/>
            <w:tcBorders>
              <w:bottom w:val="single" w:sz="8" w:color="54585A"/>
            </w:tcBorders>
          </w:tcPr>
          <w:p>
            <w:pPr>
              <w:spacing w:after="0"/>
              <w:rPr>
                <w:sz w:val="12"/>
                <w:szCs w:val="12"/>
                <w:color w:val="auto"/>
              </w:rPr>
            </w:pPr>
          </w:p>
        </w:tc>
        <w:tc>
          <w:tcPr>
            <w:tcW w:w="340" w:type="dxa"/>
            <w:vAlign w:val="bottom"/>
            <w:tcBorders>
              <w:bottom w:val="single" w:sz="8" w:color="54585A"/>
            </w:tcBorders>
          </w:tcPr>
          <w:p>
            <w:pPr>
              <w:spacing w:after="0"/>
              <w:rPr>
                <w:sz w:val="12"/>
                <w:szCs w:val="12"/>
                <w:color w:val="auto"/>
              </w:rPr>
            </w:pPr>
          </w:p>
        </w:tc>
        <w:tc>
          <w:tcPr>
            <w:tcW w:w="1280" w:type="dxa"/>
            <w:vAlign w:val="bottom"/>
            <w:tcBorders>
              <w:bottom w:val="single" w:sz="8" w:color="54585A"/>
            </w:tcBorders>
          </w:tcPr>
          <w:p>
            <w:pPr>
              <w:spacing w:after="0"/>
              <w:rPr>
                <w:sz w:val="12"/>
                <w:szCs w:val="12"/>
                <w:color w:val="auto"/>
              </w:rPr>
            </w:pPr>
          </w:p>
        </w:tc>
        <w:tc>
          <w:tcPr>
            <w:tcW w:w="320" w:type="dxa"/>
            <w:vAlign w:val="bottom"/>
            <w:tcBorders>
              <w:bottom w:val="single" w:sz="8" w:color="54585A"/>
            </w:tcBorders>
          </w:tcPr>
          <w:p>
            <w:pPr>
              <w:spacing w:after="0"/>
              <w:rPr>
                <w:sz w:val="12"/>
                <w:szCs w:val="12"/>
                <w:color w:val="auto"/>
              </w:rPr>
            </w:pPr>
          </w:p>
        </w:tc>
        <w:tc>
          <w:tcPr>
            <w:tcW w:w="1320" w:type="dxa"/>
            <w:vAlign w:val="bottom"/>
            <w:tcBorders>
              <w:bottom w:val="single" w:sz="8" w:color="54585A"/>
            </w:tcBorders>
          </w:tcPr>
          <w:p>
            <w:pPr>
              <w:spacing w:after="0"/>
              <w:rPr>
                <w:sz w:val="12"/>
                <w:szCs w:val="12"/>
                <w:color w:val="auto"/>
              </w:rPr>
            </w:pPr>
          </w:p>
        </w:tc>
      </w:tr>
      <w:tr>
        <w:trPr>
          <w:trHeight w:val="142"/>
        </w:trPr>
        <w:tc>
          <w:tcPr>
            <w:tcW w:w="6420" w:type="dxa"/>
            <w:vAlign w:val="bottom"/>
            <w:tcBorders>
              <w:bottom w:val="single" w:sz="8" w:color="54585A"/>
            </w:tcBorders>
          </w:tcPr>
          <w:p>
            <w:pPr>
              <w:ind w:left="160"/>
              <w:spacing w:after="0"/>
              <w:rPr>
                <w:sz w:val="20"/>
                <w:szCs w:val="20"/>
                <w:color w:val="auto"/>
              </w:rPr>
            </w:pPr>
            <w:r>
              <w:rPr>
                <w:rFonts w:ascii="Arial" w:cs="Arial" w:eastAsia="Arial" w:hAnsi="Arial"/>
                <w:sz w:val="10"/>
                <w:szCs w:val="10"/>
                <w:color w:val="54585A"/>
              </w:rPr>
              <w:t>Immediate Vesting of Unvested Restricted Stock Awards</w:t>
            </w:r>
          </w:p>
        </w:tc>
        <w:tc>
          <w:tcPr>
            <w:tcW w:w="340" w:type="dxa"/>
            <w:vAlign w:val="bottom"/>
            <w:tcBorders>
              <w:bottom w:val="single" w:sz="8" w:color="54585A"/>
            </w:tcBorders>
          </w:tcPr>
          <w:p>
            <w:pPr>
              <w:jc w:val="right"/>
              <w:ind w:right="212"/>
              <w:spacing w:after="0"/>
              <w:rPr>
                <w:sz w:val="20"/>
                <w:szCs w:val="20"/>
                <w:color w:val="auto"/>
              </w:rPr>
            </w:pPr>
            <w:r>
              <w:rPr>
                <w:rFonts w:ascii="Arial" w:cs="Arial" w:eastAsia="Arial" w:hAnsi="Arial"/>
                <w:sz w:val="10"/>
                <w:szCs w:val="10"/>
                <w:color w:val="54585A"/>
              </w:rPr>
              <w:t>$</w:t>
            </w:r>
          </w:p>
        </w:tc>
        <w:tc>
          <w:tcPr>
            <w:tcW w:w="12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2,252,150</w:t>
            </w:r>
          </w:p>
        </w:tc>
        <w:tc>
          <w:tcPr>
            <w:tcW w:w="340" w:type="dxa"/>
            <w:vAlign w:val="bottom"/>
            <w:tcBorders>
              <w:bottom w:val="single" w:sz="8" w:color="54585A"/>
            </w:tcBorders>
          </w:tcPr>
          <w:p>
            <w:pPr>
              <w:jc w:val="right"/>
              <w:ind w:right="212"/>
              <w:spacing w:after="0"/>
              <w:rPr>
                <w:sz w:val="20"/>
                <w:szCs w:val="20"/>
                <w:color w:val="auto"/>
              </w:rPr>
            </w:pPr>
            <w:r>
              <w:rPr>
                <w:rFonts w:ascii="Arial" w:cs="Arial" w:eastAsia="Arial" w:hAnsi="Arial"/>
                <w:sz w:val="10"/>
                <w:szCs w:val="10"/>
                <w:color w:val="54585A"/>
              </w:rPr>
              <w:t>$</w:t>
            </w:r>
          </w:p>
        </w:tc>
        <w:tc>
          <w:tcPr>
            <w:tcW w:w="12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899,983</w:t>
            </w:r>
          </w:p>
        </w:tc>
        <w:tc>
          <w:tcPr>
            <w:tcW w:w="320" w:type="dxa"/>
            <w:vAlign w:val="bottom"/>
            <w:tcBorders>
              <w:bottom w:val="single" w:sz="8" w:color="54585A"/>
            </w:tcBorders>
          </w:tcPr>
          <w:p>
            <w:pPr>
              <w:jc w:val="right"/>
              <w:ind w:right="192"/>
              <w:spacing w:after="0"/>
              <w:rPr>
                <w:sz w:val="20"/>
                <w:szCs w:val="20"/>
                <w:color w:val="auto"/>
              </w:rPr>
            </w:pPr>
            <w:r>
              <w:rPr>
                <w:rFonts w:ascii="Arial" w:cs="Arial" w:eastAsia="Arial" w:hAnsi="Arial"/>
                <w:sz w:val="10"/>
                <w:szCs w:val="10"/>
                <w:color w:val="54585A"/>
              </w:rPr>
              <w:t>$</w:t>
            </w:r>
          </w:p>
        </w:tc>
        <w:tc>
          <w:tcPr>
            <w:tcW w:w="132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656,156</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8"/>
        <w:spacing w:after="0"/>
        <w:rPr>
          <w:sz w:val="20"/>
          <w:szCs w:val="20"/>
          <w:color w:val="auto"/>
        </w:rPr>
      </w:pPr>
      <w:r>
        <w:rPr>
          <w:rFonts w:ascii="Arial" w:cs="Arial" w:eastAsia="Arial" w:hAnsi="Arial"/>
          <w:sz w:val="19"/>
          <w:szCs w:val="19"/>
          <w:color w:val="54585A"/>
        </w:rPr>
        <w:t>Equity Compensation Plan Information</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1"/>
          <w:szCs w:val="11"/>
          <w:color w:val="54585A"/>
        </w:rPr>
        <w:t>The following table provides information as of December 31, 2022 regarding the number of shares of Common Stock that may be issued under our equity compensation plans.</w:t>
      </w:r>
    </w:p>
    <w:p>
      <w:pPr>
        <w:spacing w:after="0" w:line="151"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3680" w:type="dxa"/>
            <w:vAlign w:val="bottom"/>
            <w:shd w:val="clear" w:color="auto" w:fill="EEEDED"/>
          </w:tcPr>
          <w:p>
            <w:pPr>
              <w:spacing w:after="0"/>
              <w:rPr>
                <w:sz w:val="10"/>
                <w:szCs w:val="10"/>
                <w:color w:val="auto"/>
              </w:rPr>
            </w:pPr>
          </w:p>
        </w:tc>
        <w:tc>
          <w:tcPr>
            <w:tcW w:w="2220" w:type="dxa"/>
            <w:vAlign w:val="bottom"/>
            <w:shd w:val="clear" w:color="auto" w:fill="EEEDED"/>
          </w:tcPr>
          <w:p>
            <w:pPr>
              <w:jc w:val="center"/>
              <w:ind w:right="12"/>
              <w:spacing w:after="0"/>
              <w:rPr>
                <w:sz w:val="20"/>
                <w:szCs w:val="20"/>
                <w:color w:val="auto"/>
              </w:rPr>
            </w:pPr>
            <w:r>
              <w:rPr>
                <w:rFonts w:ascii="Arial" w:cs="Arial" w:eastAsia="Arial" w:hAnsi="Arial"/>
                <w:sz w:val="10"/>
                <w:szCs w:val="10"/>
                <w:b w:val="1"/>
                <w:bCs w:val="1"/>
                <w:color w:val="54585A"/>
                <w:w w:val="95"/>
              </w:rPr>
              <w:t>Number of securities to be issued upon</w:t>
            </w:r>
          </w:p>
        </w:tc>
        <w:tc>
          <w:tcPr>
            <w:tcW w:w="280" w:type="dxa"/>
            <w:vAlign w:val="bottom"/>
            <w:shd w:val="clear" w:color="auto" w:fill="EEEDED"/>
          </w:tcPr>
          <w:p>
            <w:pPr>
              <w:spacing w:after="0"/>
              <w:rPr>
                <w:sz w:val="10"/>
                <w:szCs w:val="10"/>
                <w:color w:val="auto"/>
              </w:rPr>
            </w:pPr>
          </w:p>
        </w:tc>
        <w:tc>
          <w:tcPr>
            <w:tcW w:w="1800" w:type="dxa"/>
            <w:vAlign w:val="bottom"/>
            <w:shd w:val="clear" w:color="auto" w:fill="EEEDED"/>
          </w:tcPr>
          <w:p>
            <w:pPr>
              <w:spacing w:after="0"/>
              <w:rPr>
                <w:sz w:val="10"/>
                <w:szCs w:val="10"/>
                <w:color w:val="auto"/>
              </w:rPr>
            </w:pPr>
          </w:p>
        </w:tc>
        <w:tc>
          <w:tcPr>
            <w:tcW w:w="320" w:type="dxa"/>
            <w:vAlign w:val="bottom"/>
            <w:shd w:val="clear" w:color="auto" w:fill="EEEDED"/>
          </w:tcPr>
          <w:p>
            <w:pPr>
              <w:spacing w:after="0"/>
              <w:rPr>
                <w:sz w:val="10"/>
                <w:szCs w:val="10"/>
                <w:color w:val="auto"/>
              </w:rPr>
            </w:pPr>
          </w:p>
        </w:tc>
        <w:tc>
          <w:tcPr>
            <w:tcW w:w="2640" w:type="dxa"/>
            <w:vAlign w:val="bottom"/>
            <w:shd w:val="clear" w:color="auto" w:fill="EEEDED"/>
          </w:tcPr>
          <w:p>
            <w:pPr>
              <w:spacing w:after="0"/>
              <w:rPr>
                <w:sz w:val="10"/>
                <w:szCs w:val="10"/>
                <w:color w:val="auto"/>
              </w:rPr>
            </w:pPr>
          </w:p>
        </w:tc>
        <w:tc>
          <w:tcPr>
            <w:tcW w:w="360" w:type="dxa"/>
            <w:vAlign w:val="bottom"/>
            <w:shd w:val="clear" w:color="auto" w:fill="EEEDED"/>
          </w:tcPr>
          <w:p>
            <w:pPr>
              <w:spacing w:after="0"/>
              <w:rPr>
                <w:sz w:val="10"/>
                <w:szCs w:val="10"/>
                <w:color w:val="auto"/>
              </w:rPr>
            </w:pPr>
          </w:p>
        </w:tc>
      </w:tr>
      <w:tr>
        <w:trPr>
          <w:trHeight w:val="117"/>
        </w:trPr>
        <w:tc>
          <w:tcPr>
            <w:tcW w:w="3680" w:type="dxa"/>
            <w:vAlign w:val="bottom"/>
            <w:shd w:val="clear" w:color="auto" w:fill="EEEDED"/>
          </w:tcPr>
          <w:p>
            <w:pPr>
              <w:spacing w:after="0"/>
              <w:rPr>
                <w:sz w:val="10"/>
                <w:szCs w:val="10"/>
                <w:color w:val="auto"/>
              </w:rPr>
            </w:pPr>
          </w:p>
        </w:tc>
        <w:tc>
          <w:tcPr>
            <w:tcW w:w="222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5"/>
              </w:rPr>
              <w:t>exercise of outstanding options, warrants and</w:t>
            </w:r>
          </w:p>
        </w:tc>
        <w:tc>
          <w:tcPr>
            <w:tcW w:w="280" w:type="dxa"/>
            <w:vAlign w:val="bottom"/>
            <w:shd w:val="clear" w:color="auto" w:fill="EEEDED"/>
          </w:tcPr>
          <w:p>
            <w:pPr>
              <w:spacing w:after="0"/>
              <w:rPr>
                <w:sz w:val="10"/>
                <w:szCs w:val="10"/>
                <w:color w:val="auto"/>
              </w:rPr>
            </w:pPr>
          </w:p>
        </w:tc>
        <w:tc>
          <w:tcPr>
            <w:tcW w:w="180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5"/>
              </w:rPr>
              <w:t>Weighted-average exercise price of</w:t>
            </w:r>
          </w:p>
        </w:tc>
        <w:tc>
          <w:tcPr>
            <w:tcW w:w="320" w:type="dxa"/>
            <w:vAlign w:val="bottom"/>
            <w:shd w:val="clear" w:color="auto" w:fill="EEEDED"/>
          </w:tcPr>
          <w:p>
            <w:pPr>
              <w:spacing w:after="0"/>
              <w:rPr>
                <w:sz w:val="10"/>
                <w:szCs w:val="10"/>
                <w:color w:val="auto"/>
              </w:rPr>
            </w:pPr>
          </w:p>
        </w:tc>
        <w:tc>
          <w:tcPr>
            <w:tcW w:w="264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5"/>
              </w:rPr>
              <w:t>Number of securities remaining available for future</w:t>
            </w:r>
          </w:p>
        </w:tc>
        <w:tc>
          <w:tcPr>
            <w:tcW w:w="360" w:type="dxa"/>
            <w:vAlign w:val="bottom"/>
            <w:shd w:val="clear" w:color="auto" w:fill="EEEDED"/>
          </w:tcPr>
          <w:p>
            <w:pPr>
              <w:spacing w:after="0"/>
              <w:rPr>
                <w:sz w:val="10"/>
                <w:szCs w:val="10"/>
                <w:color w:val="auto"/>
              </w:rPr>
            </w:pPr>
          </w:p>
        </w:tc>
      </w:tr>
      <w:tr>
        <w:trPr>
          <w:trHeight w:val="117"/>
        </w:trPr>
        <w:tc>
          <w:tcPr>
            <w:tcW w:w="3680" w:type="dxa"/>
            <w:vAlign w:val="bottom"/>
            <w:shd w:val="clear" w:color="auto" w:fill="EEEDED"/>
          </w:tcPr>
          <w:p>
            <w:pPr>
              <w:spacing w:after="0"/>
              <w:rPr>
                <w:sz w:val="10"/>
                <w:szCs w:val="10"/>
                <w:color w:val="auto"/>
              </w:rPr>
            </w:pPr>
          </w:p>
        </w:tc>
        <w:tc>
          <w:tcPr>
            <w:tcW w:w="222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3"/>
              </w:rPr>
              <w:t>rights</w:t>
            </w:r>
          </w:p>
        </w:tc>
        <w:tc>
          <w:tcPr>
            <w:tcW w:w="280" w:type="dxa"/>
            <w:vAlign w:val="bottom"/>
            <w:shd w:val="clear" w:color="auto" w:fill="EEEDED"/>
          </w:tcPr>
          <w:p>
            <w:pPr>
              <w:spacing w:after="0"/>
              <w:rPr>
                <w:sz w:val="10"/>
                <w:szCs w:val="10"/>
                <w:color w:val="auto"/>
              </w:rPr>
            </w:pPr>
          </w:p>
        </w:tc>
        <w:tc>
          <w:tcPr>
            <w:tcW w:w="180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5"/>
              </w:rPr>
              <w:t>outstanding options, warrants and</w:t>
            </w:r>
          </w:p>
        </w:tc>
        <w:tc>
          <w:tcPr>
            <w:tcW w:w="320" w:type="dxa"/>
            <w:vAlign w:val="bottom"/>
            <w:shd w:val="clear" w:color="auto" w:fill="EEEDED"/>
          </w:tcPr>
          <w:p>
            <w:pPr>
              <w:spacing w:after="0"/>
              <w:rPr>
                <w:sz w:val="10"/>
                <w:szCs w:val="10"/>
                <w:color w:val="auto"/>
              </w:rPr>
            </w:pPr>
          </w:p>
        </w:tc>
        <w:tc>
          <w:tcPr>
            <w:tcW w:w="264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6"/>
              </w:rPr>
              <w:t>issuance under equity compensation plans (excluding</w:t>
            </w:r>
          </w:p>
        </w:tc>
        <w:tc>
          <w:tcPr>
            <w:tcW w:w="360" w:type="dxa"/>
            <w:vAlign w:val="bottom"/>
            <w:shd w:val="clear" w:color="auto" w:fill="EEEDED"/>
          </w:tcPr>
          <w:p>
            <w:pPr>
              <w:spacing w:after="0"/>
              <w:rPr>
                <w:sz w:val="10"/>
                <w:szCs w:val="10"/>
                <w:color w:val="auto"/>
              </w:rPr>
            </w:pPr>
          </w:p>
        </w:tc>
      </w:tr>
      <w:tr>
        <w:trPr>
          <w:trHeight w:val="127"/>
        </w:trPr>
        <w:tc>
          <w:tcPr>
            <w:tcW w:w="3680" w:type="dxa"/>
            <w:vAlign w:val="bottom"/>
            <w:shd w:val="clear" w:color="auto" w:fill="EEEDED"/>
          </w:tcPr>
          <w:p>
            <w:pPr>
              <w:ind w:left="60"/>
              <w:spacing w:after="0"/>
              <w:rPr>
                <w:sz w:val="20"/>
                <w:szCs w:val="20"/>
                <w:color w:val="auto"/>
              </w:rPr>
            </w:pPr>
            <w:r>
              <w:rPr>
                <w:rFonts w:ascii="Arial" w:cs="Arial" w:eastAsia="Arial" w:hAnsi="Arial"/>
                <w:sz w:val="10"/>
                <w:szCs w:val="10"/>
                <w:b w:val="1"/>
                <w:bCs w:val="1"/>
                <w:color w:val="54585A"/>
              </w:rPr>
              <w:t>Plan category</w:t>
            </w:r>
          </w:p>
        </w:tc>
        <w:tc>
          <w:tcPr>
            <w:tcW w:w="2220" w:type="dxa"/>
            <w:vAlign w:val="bottom"/>
            <w:shd w:val="clear" w:color="auto" w:fill="EEEDED"/>
          </w:tcPr>
          <w:p>
            <w:pPr>
              <w:jc w:val="center"/>
              <w:ind w:right="12"/>
              <w:spacing w:after="0"/>
              <w:rPr>
                <w:sz w:val="20"/>
                <w:szCs w:val="20"/>
                <w:color w:val="auto"/>
              </w:rPr>
            </w:pPr>
            <w:r>
              <w:rPr>
                <w:rFonts w:ascii="Arial" w:cs="Arial" w:eastAsia="Arial" w:hAnsi="Arial"/>
                <w:sz w:val="10"/>
                <w:szCs w:val="10"/>
                <w:b w:val="1"/>
                <w:bCs w:val="1"/>
                <w:color w:val="54585A"/>
                <w:w w:val="97"/>
              </w:rPr>
              <w:t>(a)</w:t>
            </w:r>
          </w:p>
        </w:tc>
        <w:tc>
          <w:tcPr>
            <w:tcW w:w="280" w:type="dxa"/>
            <w:vAlign w:val="bottom"/>
            <w:shd w:val="clear" w:color="auto" w:fill="EEEDED"/>
          </w:tcPr>
          <w:p>
            <w:pPr>
              <w:spacing w:after="0"/>
              <w:rPr>
                <w:sz w:val="11"/>
                <w:szCs w:val="11"/>
                <w:color w:val="auto"/>
              </w:rPr>
            </w:pPr>
          </w:p>
        </w:tc>
        <w:tc>
          <w:tcPr>
            <w:tcW w:w="180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rPr>
              <w:t>rights</w:t>
            </w:r>
          </w:p>
        </w:tc>
        <w:tc>
          <w:tcPr>
            <w:tcW w:w="320" w:type="dxa"/>
            <w:vAlign w:val="bottom"/>
            <w:shd w:val="clear" w:color="auto" w:fill="EEEDED"/>
          </w:tcPr>
          <w:p>
            <w:pPr>
              <w:spacing w:after="0"/>
              <w:rPr>
                <w:sz w:val="11"/>
                <w:szCs w:val="11"/>
                <w:color w:val="auto"/>
              </w:rPr>
            </w:pPr>
          </w:p>
        </w:tc>
        <w:tc>
          <w:tcPr>
            <w:tcW w:w="264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5"/>
              </w:rPr>
              <w:t>securities reflected in column (a))</w:t>
            </w:r>
          </w:p>
        </w:tc>
        <w:tc>
          <w:tcPr>
            <w:tcW w:w="360" w:type="dxa"/>
            <w:vAlign w:val="bottom"/>
            <w:shd w:val="clear" w:color="auto" w:fill="EEEDED"/>
          </w:tcPr>
          <w:p>
            <w:pPr>
              <w:spacing w:after="0"/>
              <w:rPr>
                <w:sz w:val="11"/>
                <w:szCs w:val="11"/>
                <w:color w:val="auto"/>
              </w:rPr>
            </w:pPr>
          </w:p>
        </w:tc>
      </w:tr>
      <w:tr>
        <w:trPr>
          <w:trHeight w:val="80"/>
        </w:trPr>
        <w:tc>
          <w:tcPr>
            <w:tcW w:w="3680" w:type="dxa"/>
            <w:vAlign w:val="bottom"/>
            <w:shd w:val="clear" w:color="auto" w:fill="EEEDED"/>
          </w:tcPr>
          <w:p>
            <w:pPr>
              <w:spacing w:after="0"/>
              <w:rPr>
                <w:sz w:val="6"/>
                <w:szCs w:val="6"/>
                <w:color w:val="auto"/>
              </w:rPr>
            </w:pPr>
          </w:p>
        </w:tc>
        <w:tc>
          <w:tcPr>
            <w:tcW w:w="2220" w:type="dxa"/>
            <w:vAlign w:val="bottom"/>
            <w:shd w:val="clear" w:color="auto" w:fill="EEEDED"/>
          </w:tcPr>
          <w:p>
            <w:pPr>
              <w:spacing w:after="0"/>
              <w:rPr>
                <w:sz w:val="6"/>
                <w:szCs w:val="6"/>
                <w:color w:val="auto"/>
              </w:rPr>
            </w:pPr>
          </w:p>
        </w:tc>
        <w:tc>
          <w:tcPr>
            <w:tcW w:w="280" w:type="dxa"/>
            <w:vAlign w:val="bottom"/>
            <w:shd w:val="clear" w:color="auto" w:fill="EEEDED"/>
          </w:tcPr>
          <w:p>
            <w:pPr>
              <w:spacing w:after="0"/>
              <w:rPr>
                <w:sz w:val="6"/>
                <w:szCs w:val="6"/>
                <w:color w:val="auto"/>
              </w:rPr>
            </w:pPr>
          </w:p>
        </w:tc>
        <w:tc>
          <w:tcPr>
            <w:tcW w:w="1800" w:type="dxa"/>
            <w:vAlign w:val="bottom"/>
            <w:shd w:val="clear" w:color="auto" w:fill="EEEDED"/>
          </w:tcPr>
          <w:p>
            <w:pPr>
              <w:spacing w:after="0"/>
              <w:rPr>
                <w:sz w:val="6"/>
                <w:szCs w:val="6"/>
                <w:color w:val="auto"/>
              </w:rPr>
            </w:pPr>
          </w:p>
        </w:tc>
        <w:tc>
          <w:tcPr>
            <w:tcW w:w="320" w:type="dxa"/>
            <w:vAlign w:val="bottom"/>
            <w:shd w:val="clear" w:color="auto" w:fill="EEEDED"/>
          </w:tcPr>
          <w:p>
            <w:pPr>
              <w:spacing w:after="0"/>
              <w:rPr>
                <w:sz w:val="6"/>
                <w:szCs w:val="6"/>
                <w:color w:val="auto"/>
              </w:rPr>
            </w:pPr>
          </w:p>
        </w:tc>
        <w:tc>
          <w:tcPr>
            <w:tcW w:w="2640" w:type="dxa"/>
            <w:vAlign w:val="bottom"/>
            <w:tcBorders>
              <w:bottom w:val="single" w:sz="8" w:color="54585A"/>
            </w:tcBorders>
            <w:shd w:val="clear" w:color="auto" w:fill="EEEDED"/>
          </w:tcPr>
          <w:p>
            <w:pPr>
              <w:spacing w:after="0"/>
              <w:rPr>
                <w:sz w:val="6"/>
                <w:szCs w:val="6"/>
                <w:color w:val="auto"/>
              </w:rPr>
            </w:pPr>
          </w:p>
        </w:tc>
        <w:tc>
          <w:tcPr>
            <w:tcW w:w="360" w:type="dxa"/>
            <w:vAlign w:val="bottom"/>
            <w:shd w:val="clear" w:color="auto" w:fill="EEEDED"/>
          </w:tcPr>
          <w:p>
            <w:pPr>
              <w:spacing w:after="0"/>
              <w:rPr>
                <w:sz w:val="6"/>
                <w:szCs w:val="6"/>
                <w:color w:val="auto"/>
              </w:rPr>
            </w:pPr>
          </w:p>
        </w:tc>
      </w:tr>
      <w:tr>
        <w:trPr>
          <w:trHeight w:val="134"/>
        </w:trPr>
        <w:tc>
          <w:tcPr>
            <w:tcW w:w="3680" w:type="dxa"/>
            <w:vAlign w:val="bottom"/>
            <w:tcBorders>
              <w:bottom w:val="single" w:sz="8" w:color="54585A"/>
            </w:tcBorders>
          </w:tcPr>
          <w:p>
            <w:pPr>
              <w:ind w:left="60"/>
              <w:spacing w:after="0"/>
              <w:rPr>
                <w:sz w:val="20"/>
                <w:szCs w:val="20"/>
                <w:color w:val="auto"/>
              </w:rPr>
            </w:pPr>
            <w:r>
              <w:rPr>
                <w:rFonts w:ascii="Arial" w:cs="Arial" w:eastAsia="Arial" w:hAnsi="Arial"/>
                <w:sz w:val="10"/>
                <w:szCs w:val="10"/>
                <w:color w:val="54585A"/>
              </w:rPr>
              <w:t>Equity compensation plans approved by security holders</w:t>
            </w:r>
          </w:p>
        </w:tc>
        <w:tc>
          <w:tcPr>
            <w:tcW w:w="2220" w:type="dxa"/>
            <w:vAlign w:val="bottom"/>
            <w:tcBorders>
              <w:bottom w:val="single" w:sz="8" w:color="54585A"/>
            </w:tcBorders>
          </w:tcPr>
          <w:p>
            <w:pPr>
              <w:jc w:val="center"/>
              <w:ind w:right="12"/>
              <w:spacing w:after="0"/>
              <w:rPr>
                <w:sz w:val="20"/>
                <w:szCs w:val="20"/>
                <w:color w:val="auto"/>
              </w:rPr>
            </w:pPr>
            <w:r>
              <w:rPr>
                <w:rFonts w:ascii="Arial" w:cs="Arial" w:eastAsia="Arial" w:hAnsi="Arial"/>
                <w:sz w:val="10"/>
                <w:szCs w:val="10"/>
                <w:color w:val="54585A"/>
                <w:w w:val="95"/>
              </w:rPr>
              <w:t>18,053,751</w:t>
            </w:r>
          </w:p>
        </w:tc>
        <w:tc>
          <w:tcPr>
            <w:tcW w:w="280" w:type="dxa"/>
            <w:vAlign w:val="bottom"/>
            <w:tcBorders>
              <w:bottom w:val="single" w:sz="8" w:color="54585A"/>
            </w:tcBorders>
          </w:tcPr>
          <w:p>
            <w:pPr>
              <w:jc w:val="right"/>
              <w:ind w:right="52"/>
              <w:spacing w:after="0"/>
              <w:rPr>
                <w:sz w:val="20"/>
                <w:szCs w:val="20"/>
                <w:color w:val="auto"/>
              </w:rPr>
            </w:pPr>
            <w:r>
              <w:rPr>
                <w:rFonts w:ascii="Arial" w:cs="Arial" w:eastAsia="Arial" w:hAnsi="Arial"/>
                <w:sz w:val="10"/>
                <w:szCs w:val="10"/>
                <w:color w:val="54585A"/>
              </w:rPr>
              <w:t>(1)</w:t>
            </w:r>
          </w:p>
        </w:tc>
        <w:tc>
          <w:tcPr>
            <w:tcW w:w="180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w w:val="95"/>
              </w:rPr>
              <w:t>$1.29</w:t>
            </w:r>
          </w:p>
        </w:tc>
        <w:tc>
          <w:tcPr>
            <w:tcW w:w="320" w:type="dxa"/>
            <w:vAlign w:val="bottom"/>
            <w:tcBorders>
              <w:bottom w:val="single" w:sz="8" w:color="54585A"/>
            </w:tcBorders>
          </w:tcPr>
          <w:p>
            <w:pPr>
              <w:jc w:val="right"/>
              <w:ind w:right="72"/>
              <w:spacing w:after="0"/>
              <w:rPr>
                <w:sz w:val="20"/>
                <w:szCs w:val="20"/>
                <w:color w:val="auto"/>
              </w:rPr>
            </w:pPr>
            <w:r>
              <w:rPr>
                <w:rFonts w:ascii="Arial" w:cs="Arial" w:eastAsia="Arial" w:hAnsi="Arial"/>
                <w:sz w:val="10"/>
                <w:szCs w:val="10"/>
                <w:color w:val="54585A"/>
              </w:rPr>
              <w:t>(2)</w:t>
            </w:r>
          </w:p>
        </w:tc>
        <w:tc>
          <w:tcPr>
            <w:tcW w:w="264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w w:val="99"/>
              </w:rPr>
              <w:t>—</w:t>
            </w:r>
          </w:p>
        </w:tc>
        <w:tc>
          <w:tcPr>
            <w:tcW w:w="360" w:type="dxa"/>
            <w:vAlign w:val="bottom"/>
            <w:tcBorders>
              <w:bottom w:val="single" w:sz="8" w:color="54585A"/>
            </w:tcBorders>
          </w:tcPr>
          <w:p>
            <w:pPr>
              <w:jc w:val="right"/>
              <w:ind w:right="72"/>
              <w:spacing w:after="0"/>
              <w:rPr>
                <w:sz w:val="20"/>
                <w:szCs w:val="20"/>
                <w:color w:val="auto"/>
              </w:rPr>
            </w:pPr>
            <w:r>
              <w:rPr>
                <w:rFonts w:ascii="Arial" w:cs="Arial" w:eastAsia="Arial" w:hAnsi="Arial"/>
                <w:sz w:val="10"/>
                <w:szCs w:val="10"/>
                <w:color w:val="54585A"/>
              </w:rPr>
              <w:t>(3)</w:t>
            </w:r>
          </w:p>
        </w:tc>
      </w:tr>
      <w:tr>
        <w:trPr>
          <w:trHeight w:val="142"/>
        </w:trPr>
        <w:tc>
          <w:tcPr>
            <w:tcW w:w="3680" w:type="dxa"/>
            <w:vAlign w:val="bottom"/>
            <w:tcBorders>
              <w:bottom w:val="single" w:sz="8" w:color="54585A"/>
            </w:tcBorders>
          </w:tcPr>
          <w:p>
            <w:pPr>
              <w:ind w:left="60"/>
              <w:spacing w:after="0"/>
              <w:rPr>
                <w:sz w:val="20"/>
                <w:szCs w:val="20"/>
                <w:color w:val="auto"/>
              </w:rPr>
            </w:pPr>
            <w:r>
              <w:rPr>
                <w:rFonts w:ascii="Arial" w:cs="Arial" w:eastAsia="Arial" w:hAnsi="Arial"/>
                <w:sz w:val="10"/>
                <w:szCs w:val="10"/>
                <w:color w:val="54585A"/>
              </w:rPr>
              <w:t>Equity compensation plans not approved by security holders</w:t>
            </w:r>
          </w:p>
        </w:tc>
        <w:tc>
          <w:tcPr>
            <w:tcW w:w="22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w w:val="99"/>
              </w:rPr>
              <w:t>—</w:t>
            </w:r>
          </w:p>
        </w:tc>
        <w:tc>
          <w:tcPr>
            <w:tcW w:w="280" w:type="dxa"/>
            <w:vAlign w:val="bottom"/>
            <w:tcBorders>
              <w:bottom w:val="single" w:sz="8" w:color="54585A"/>
            </w:tcBorders>
          </w:tcPr>
          <w:p>
            <w:pPr>
              <w:spacing w:after="0"/>
              <w:rPr>
                <w:sz w:val="12"/>
                <w:szCs w:val="12"/>
                <w:color w:val="auto"/>
              </w:rPr>
            </w:pPr>
          </w:p>
        </w:tc>
        <w:tc>
          <w:tcPr>
            <w:tcW w:w="180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w w:val="79"/>
              </w:rPr>
              <w:t>—</w:t>
            </w:r>
          </w:p>
        </w:tc>
        <w:tc>
          <w:tcPr>
            <w:tcW w:w="320" w:type="dxa"/>
            <w:vAlign w:val="bottom"/>
            <w:tcBorders>
              <w:bottom w:val="single" w:sz="8" w:color="54585A"/>
            </w:tcBorders>
          </w:tcPr>
          <w:p>
            <w:pPr>
              <w:spacing w:after="0"/>
              <w:rPr>
                <w:sz w:val="12"/>
                <w:szCs w:val="12"/>
                <w:color w:val="auto"/>
              </w:rPr>
            </w:pPr>
          </w:p>
        </w:tc>
        <w:tc>
          <w:tcPr>
            <w:tcW w:w="264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w w:val="99"/>
              </w:rPr>
              <w:t>—</w:t>
            </w:r>
          </w:p>
        </w:tc>
        <w:tc>
          <w:tcPr>
            <w:tcW w:w="360" w:type="dxa"/>
            <w:vAlign w:val="bottom"/>
            <w:tcBorders>
              <w:bottom w:val="single" w:sz="8" w:color="54585A"/>
            </w:tcBorders>
          </w:tcPr>
          <w:p>
            <w:pPr>
              <w:spacing w:after="0"/>
              <w:rPr>
                <w:sz w:val="12"/>
                <w:szCs w:val="12"/>
                <w:color w:val="auto"/>
              </w:rPr>
            </w:pPr>
          </w:p>
        </w:tc>
      </w:tr>
      <w:tr>
        <w:trPr>
          <w:trHeight w:val="142"/>
        </w:trPr>
        <w:tc>
          <w:tcPr>
            <w:tcW w:w="368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Total</w:t>
            </w:r>
          </w:p>
        </w:tc>
        <w:tc>
          <w:tcPr>
            <w:tcW w:w="2220" w:type="dxa"/>
            <w:vAlign w:val="bottom"/>
            <w:tcBorders>
              <w:bottom w:val="single" w:sz="8" w:color="54585A"/>
            </w:tcBorders>
          </w:tcPr>
          <w:p>
            <w:pPr>
              <w:jc w:val="center"/>
              <w:ind w:right="12"/>
              <w:spacing w:after="0"/>
              <w:rPr>
                <w:sz w:val="20"/>
                <w:szCs w:val="20"/>
                <w:color w:val="auto"/>
              </w:rPr>
            </w:pPr>
            <w:r>
              <w:rPr>
                <w:rFonts w:ascii="Arial" w:cs="Arial" w:eastAsia="Arial" w:hAnsi="Arial"/>
                <w:sz w:val="10"/>
                <w:szCs w:val="10"/>
                <w:color w:val="54585A"/>
                <w:w w:val="95"/>
              </w:rPr>
              <w:t>18,053,751</w:t>
            </w:r>
          </w:p>
        </w:tc>
        <w:tc>
          <w:tcPr>
            <w:tcW w:w="280" w:type="dxa"/>
            <w:vAlign w:val="bottom"/>
            <w:tcBorders>
              <w:bottom w:val="single" w:sz="8" w:color="54585A"/>
            </w:tcBorders>
          </w:tcPr>
          <w:p>
            <w:pPr>
              <w:jc w:val="right"/>
              <w:ind w:right="52"/>
              <w:spacing w:after="0"/>
              <w:rPr>
                <w:sz w:val="20"/>
                <w:szCs w:val="20"/>
                <w:color w:val="auto"/>
              </w:rPr>
            </w:pPr>
            <w:r>
              <w:rPr>
                <w:rFonts w:ascii="Arial" w:cs="Arial" w:eastAsia="Arial" w:hAnsi="Arial"/>
                <w:sz w:val="10"/>
                <w:szCs w:val="10"/>
                <w:color w:val="54585A"/>
              </w:rPr>
              <w:t>(1)</w:t>
            </w:r>
          </w:p>
        </w:tc>
        <w:tc>
          <w:tcPr>
            <w:tcW w:w="180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w w:val="95"/>
              </w:rPr>
              <w:t>$1.29</w:t>
            </w:r>
          </w:p>
        </w:tc>
        <w:tc>
          <w:tcPr>
            <w:tcW w:w="320" w:type="dxa"/>
            <w:vAlign w:val="bottom"/>
            <w:tcBorders>
              <w:bottom w:val="single" w:sz="8" w:color="54585A"/>
            </w:tcBorders>
          </w:tcPr>
          <w:p>
            <w:pPr>
              <w:jc w:val="right"/>
              <w:ind w:right="72"/>
              <w:spacing w:after="0"/>
              <w:rPr>
                <w:sz w:val="20"/>
                <w:szCs w:val="20"/>
                <w:color w:val="auto"/>
              </w:rPr>
            </w:pPr>
            <w:r>
              <w:rPr>
                <w:rFonts w:ascii="Arial" w:cs="Arial" w:eastAsia="Arial" w:hAnsi="Arial"/>
                <w:sz w:val="10"/>
                <w:szCs w:val="10"/>
                <w:color w:val="54585A"/>
              </w:rPr>
              <w:t>(2)</w:t>
            </w:r>
          </w:p>
        </w:tc>
        <w:tc>
          <w:tcPr>
            <w:tcW w:w="264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w w:val="99"/>
              </w:rPr>
              <w:t>—</w:t>
            </w:r>
          </w:p>
        </w:tc>
        <w:tc>
          <w:tcPr>
            <w:tcW w:w="360" w:type="dxa"/>
            <w:vAlign w:val="bottom"/>
            <w:tcBorders>
              <w:bottom w:val="single" w:sz="8" w:color="54585A"/>
            </w:tcBorders>
          </w:tcPr>
          <w:p>
            <w:pPr>
              <w:jc w:val="right"/>
              <w:ind w:right="72"/>
              <w:spacing w:after="0"/>
              <w:rPr>
                <w:sz w:val="20"/>
                <w:szCs w:val="20"/>
                <w:color w:val="auto"/>
              </w:rPr>
            </w:pPr>
            <w:r>
              <w:rPr>
                <w:rFonts w:ascii="Arial" w:cs="Arial" w:eastAsia="Arial" w:hAnsi="Arial"/>
                <w:sz w:val="10"/>
                <w:szCs w:val="10"/>
                <w:color w:val="54585A"/>
              </w:rPr>
              <w:t>(3)</w:t>
            </w:r>
          </w:p>
        </w:tc>
      </w:tr>
    </w:tbl>
    <w:p>
      <w:pPr>
        <w:spacing w:after="0" w:line="129" w:lineRule="exact"/>
        <w:rPr>
          <w:sz w:val="20"/>
          <w:szCs w:val="20"/>
          <w:color w:val="auto"/>
        </w:rPr>
      </w:pPr>
    </w:p>
    <w:p>
      <w:pPr>
        <w:ind w:left="208" w:hanging="208"/>
        <w:spacing w:after="0"/>
        <w:tabs>
          <w:tab w:leader="none" w:pos="208" w:val="left"/>
        </w:tabs>
        <w:numPr>
          <w:ilvl w:val="0"/>
          <w:numId w:val="57"/>
        </w:numPr>
        <w:rPr>
          <w:rFonts w:ascii="Arial" w:cs="Arial" w:eastAsia="Arial" w:hAnsi="Arial"/>
          <w:sz w:val="10"/>
          <w:szCs w:val="10"/>
          <w:color w:val="54585A"/>
        </w:rPr>
      </w:pPr>
      <w:r>
        <w:rPr>
          <w:rFonts w:ascii="Arial" w:cs="Arial" w:eastAsia="Arial" w:hAnsi="Arial"/>
          <w:sz w:val="10"/>
          <w:szCs w:val="10"/>
          <w:color w:val="54585A"/>
        </w:rPr>
        <w:t>Consists of unvested restricted stock awards, unvested restricted stock units and unexercised stock options.</w:t>
      </w:r>
    </w:p>
    <w:p>
      <w:pPr>
        <w:spacing w:after="0" w:line="74" w:lineRule="exact"/>
        <w:rPr>
          <w:rFonts w:ascii="Arial" w:cs="Arial" w:eastAsia="Arial" w:hAnsi="Arial"/>
          <w:sz w:val="10"/>
          <w:szCs w:val="10"/>
          <w:color w:val="54585A"/>
        </w:rPr>
      </w:pPr>
    </w:p>
    <w:p>
      <w:pPr>
        <w:ind w:left="208" w:hanging="208"/>
        <w:spacing w:after="0"/>
        <w:tabs>
          <w:tab w:leader="none" w:pos="208" w:val="left"/>
        </w:tabs>
        <w:numPr>
          <w:ilvl w:val="0"/>
          <w:numId w:val="57"/>
        </w:numPr>
        <w:rPr>
          <w:rFonts w:ascii="Arial" w:cs="Arial" w:eastAsia="Arial" w:hAnsi="Arial"/>
          <w:sz w:val="10"/>
          <w:szCs w:val="10"/>
          <w:color w:val="54585A"/>
        </w:rPr>
      </w:pPr>
      <w:r>
        <w:rPr>
          <w:rFonts w:ascii="Arial" w:cs="Arial" w:eastAsia="Arial" w:hAnsi="Arial"/>
          <w:sz w:val="10"/>
          <w:szCs w:val="10"/>
          <w:color w:val="54585A"/>
        </w:rPr>
        <w:t>Restricted stock awards and restricted stock units do not have an exercise price; therefore, this column only reflects the weighted-average exercise price of outstanding stock options.</w:t>
      </w:r>
    </w:p>
    <w:p>
      <w:pPr>
        <w:spacing w:after="0" w:line="74" w:lineRule="exact"/>
        <w:rPr>
          <w:rFonts w:ascii="Arial" w:cs="Arial" w:eastAsia="Arial" w:hAnsi="Arial"/>
          <w:sz w:val="10"/>
          <w:szCs w:val="10"/>
          <w:color w:val="54585A"/>
        </w:rPr>
      </w:pPr>
    </w:p>
    <w:p>
      <w:pPr>
        <w:ind w:left="208" w:right="40" w:hanging="208"/>
        <w:spacing w:after="0" w:line="243" w:lineRule="auto"/>
        <w:tabs>
          <w:tab w:leader="none" w:pos="207" w:val="left"/>
        </w:tabs>
        <w:numPr>
          <w:ilvl w:val="0"/>
          <w:numId w:val="57"/>
        </w:numPr>
        <w:rPr>
          <w:rFonts w:ascii="Arial" w:cs="Arial" w:eastAsia="Arial" w:hAnsi="Arial"/>
          <w:sz w:val="10"/>
          <w:szCs w:val="10"/>
          <w:color w:val="54585A"/>
        </w:rPr>
      </w:pPr>
      <w:r>
        <w:rPr>
          <w:rFonts w:ascii="Arial" w:cs="Arial" w:eastAsia="Arial" w:hAnsi="Arial"/>
          <w:sz w:val="10"/>
          <w:szCs w:val="10"/>
          <w:color w:val="54585A"/>
        </w:rPr>
        <w:t>As of December 31, 2022, there were no remaining shares of common stock reserved for future issuance under our 2006 Equity Incentive Plan. In February 2023, our board of directors authorized an additional 20 million shares to be reserved for future issuance under our 2006 Equity Incentive Plan. 7.3 million shares remain available for issuance under our ESPP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444500</wp:posOffset>
            </wp:positionV>
            <wp:extent cx="17145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30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6" w:right="299" w:bottom="1440" w:gutter="0" w:footer="0" w:header="0"/>
        </w:sectPr>
      </w:pPr>
    </w:p>
    <w:bookmarkStart w:id="33" w:name="page34"/>
    <w:bookmarkEnd w:id="33"/>
    <w:p>
      <w:pPr>
        <w:jc w:val="right"/>
        <w:spacing w:after="0"/>
        <w:rPr>
          <w:sz w:val="20"/>
          <w:szCs w:val="20"/>
          <w:color w:val="auto"/>
        </w:rPr>
      </w:pPr>
      <w:r>
        <w:rPr>
          <w:rFonts w:ascii="Arial" w:cs="Arial" w:eastAsia="Arial" w:hAnsi="Arial"/>
          <w:sz w:val="10"/>
          <w:szCs w:val="10"/>
          <w:color w:val="54585A"/>
        </w:rPr>
        <w:t xml:space="preserve">Executive Officers and Compensation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
        <w:spacing w:after="0"/>
        <w:rPr>
          <w:sz w:val="20"/>
          <w:szCs w:val="20"/>
          <w:color w:val="auto"/>
        </w:rPr>
      </w:pPr>
      <w:r>
        <w:rPr>
          <w:rFonts w:ascii="Arial" w:cs="Arial" w:eastAsia="Arial" w:hAnsi="Arial"/>
          <w:sz w:val="19"/>
          <w:szCs w:val="19"/>
          <w:color w:val="54585A"/>
        </w:rPr>
        <w:t>Pay Versus Performance</w:t>
      </w:r>
    </w:p>
    <w:p>
      <w:pPr>
        <w:spacing w:after="0" w:line="146" w:lineRule="exact"/>
        <w:rPr>
          <w:sz w:val="20"/>
          <w:szCs w:val="20"/>
          <w:color w:val="auto"/>
        </w:rPr>
      </w:pPr>
    </w:p>
    <w:p>
      <w:pPr>
        <w:jc w:val="both"/>
        <w:ind w:left="8" w:right="200"/>
        <w:spacing w:after="0" w:line="319" w:lineRule="auto"/>
        <w:rPr>
          <w:sz w:val="20"/>
          <w:szCs w:val="20"/>
          <w:color w:val="auto"/>
        </w:rPr>
      </w:pPr>
      <w:r>
        <w:rPr>
          <w:rFonts w:ascii="Arial" w:cs="Arial" w:eastAsia="Arial" w:hAnsi="Arial"/>
          <w:sz w:val="11"/>
          <w:szCs w:val="11"/>
          <w:color w:val="54585A"/>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variable pay-for-performance philosophy and how we align executive compensation with the Company's performance, refer to "Executive Officers and Compensation - Compensation Discussion and Analysis."</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71"/>
        </w:trPr>
        <w:tc>
          <w:tcPr>
            <w:tcW w:w="480" w:type="dxa"/>
            <w:vAlign w:val="bottom"/>
            <w:shd w:val="clear" w:color="auto" w:fill="EEEDED"/>
          </w:tcPr>
          <w:p>
            <w:pPr>
              <w:spacing w:after="0"/>
              <w:rPr>
                <w:sz w:val="14"/>
                <w:szCs w:val="14"/>
                <w:color w:val="auto"/>
              </w:rPr>
            </w:pPr>
          </w:p>
        </w:tc>
        <w:tc>
          <w:tcPr>
            <w:tcW w:w="100" w:type="dxa"/>
            <w:vAlign w:val="bottom"/>
            <w:shd w:val="clear" w:color="auto" w:fill="EEEDED"/>
          </w:tcPr>
          <w:p>
            <w:pPr>
              <w:spacing w:after="0"/>
              <w:rPr>
                <w:sz w:val="14"/>
                <w:szCs w:val="14"/>
                <w:color w:val="auto"/>
              </w:rPr>
            </w:pPr>
          </w:p>
        </w:tc>
        <w:tc>
          <w:tcPr>
            <w:tcW w:w="1260" w:type="dxa"/>
            <w:vAlign w:val="bottom"/>
            <w:shd w:val="clear" w:color="auto" w:fill="EEEDED"/>
          </w:tcPr>
          <w:p>
            <w:pPr>
              <w:spacing w:after="0"/>
              <w:rPr>
                <w:sz w:val="14"/>
                <w:szCs w:val="14"/>
                <w:color w:val="auto"/>
              </w:rPr>
            </w:pPr>
          </w:p>
        </w:tc>
        <w:tc>
          <w:tcPr>
            <w:tcW w:w="300" w:type="dxa"/>
            <w:vAlign w:val="bottom"/>
            <w:shd w:val="clear" w:color="auto" w:fill="EEEDED"/>
          </w:tcPr>
          <w:p>
            <w:pPr>
              <w:spacing w:after="0"/>
              <w:rPr>
                <w:sz w:val="14"/>
                <w:szCs w:val="14"/>
                <w:color w:val="auto"/>
              </w:rPr>
            </w:pPr>
          </w:p>
        </w:tc>
        <w:tc>
          <w:tcPr>
            <w:tcW w:w="1060" w:type="dxa"/>
            <w:vAlign w:val="bottom"/>
            <w:shd w:val="clear" w:color="auto" w:fill="EEEDED"/>
          </w:tcPr>
          <w:p>
            <w:pPr>
              <w:spacing w:after="0"/>
              <w:rPr>
                <w:sz w:val="14"/>
                <w:szCs w:val="14"/>
                <w:color w:val="auto"/>
              </w:rPr>
            </w:pPr>
          </w:p>
        </w:tc>
        <w:tc>
          <w:tcPr>
            <w:tcW w:w="200" w:type="dxa"/>
            <w:vAlign w:val="bottom"/>
            <w:shd w:val="clear" w:color="auto" w:fill="EEEDED"/>
          </w:tcPr>
          <w:p>
            <w:pPr>
              <w:spacing w:after="0"/>
              <w:rPr>
                <w:sz w:val="14"/>
                <w:szCs w:val="14"/>
                <w:color w:val="auto"/>
              </w:rPr>
            </w:pPr>
          </w:p>
        </w:tc>
        <w:tc>
          <w:tcPr>
            <w:tcW w:w="1180" w:type="dxa"/>
            <w:vAlign w:val="bottom"/>
            <w:shd w:val="clear" w:color="auto" w:fill="EEEDED"/>
          </w:tcPr>
          <w:p>
            <w:pPr>
              <w:jc w:val="center"/>
              <w:ind w:right="115"/>
              <w:spacing w:after="0"/>
              <w:rPr>
                <w:sz w:val="20"/>
                <w:szCs w:val="20"/>
                <w:color w:val="auto"/>
              </w:rPr>
            </w:pPr>
            <w:r>
              <w:rPr>
                <w:rFonts w:ascii="Arial" w:cs="Arial" w:eastAsia="Arial" w:hAnsi="Arial"/>
                <w:sz w:val="10"/>
                <w:szCs w:val="10"/>
                <w:b w:val="1"/>
                <w:bCs w:val="1"/>
                <w:color w:val="54585A"/>
                <w:w w:val="96"/>
              </w:rPr>
              <w:t>Average</w:t>
            </w:r>
          </w:p>
        </w:tc>
        <w:tc>
          <w:tcPr>
            <w:tcW w:w="220" w:type="dxa"/>
            <w:vAlign w:val="bottom"/>
            <w:shd w:val="clear" w:color="auto" w:fill="EEEDED"/>
          </w:tcPr>
          <w:p>
            <w:pPr>
              <w:spacing w:after="0"/>
              <w:rPr>
                <w:sz w:val="14"/>
                <w:szCs w:val="14"/>
                <w:color w:val="auto"/>
              </w:rPr>
            </w:pPr>
          </w:p>
        </w:tc>
        <w:tc>
          <w:tcPr>
            <w:tcW w:w="1160" w:type="dxa"/>
            <w:vAlign w:val="bottom"/>
            <w:shd w:val="clear" w:color="auto" w:fill="EEEDED"/>
          </w:tcPr>
          <w:p>
            <w:pPr>
              <w:jc w:val="center"/>
              <w:ind w:right="175"/>
              <w:spacing w:after="0"/>
              <w:rPr>
                <w:sz w:val="20"/>
                <w:szCs w:val="20"/>
                <w:color w:val="auto"/>
              </w:rPr>
            </w:pPr>
            <w:r>
              <w:rPr>
                <w:rFonts w:ascii="Arial" w:cs="Arial" w:eastAsia="Arial" w:hAnsi="Arial"/>
                <w:sz w:val="10"/>
                <w:szCs w:val="10"/>
                <w:b w:val="1"/>
                <w:bCs w:val="1"/>
                <w:color w:val="54585A"/>
                <w:w w:val="96"/>
              </w:rPr>
              <w:t>Average</w:t>
            </w:r>
          </w:p>
        </w:tc>
        <w:tc>
          <w:tcPr>
            <w:tcW w:w="100" w:type="dxa"/>
            <w:vAlign w:val="bottom"/>
            <w:shd w:val="clear" w:color="auto" w:fill="EEEDED"/>
          </w:tcPr>
          <w:p>
            <w:pPr>
              <w:spacing w:after="0"/>
              <w:rPr>
                <w:sz w:val="14"/>
                <w:szCs w:val="14"/>
                <w:color w:val="auto"/>
              </w:rPr>
            </w:pPr>
          </w:p>
        </w:tc>
        <w:tc>
          <w:tcPr>
            <w:tcW w:w="2540" w:type="dxa"/>
            <w:vAlign w:val="bottom"/>
            <w:gridSpan w:val="3"/>
            <w:shd w:val="clear" w:color="auto" w:fill="EEEDED"/>
          </w:tcPr>
          <w:p>
            <w:pPr>
              <w:jc w:val="right"/>
              <w:ind w:right="712"/>
              <w:spacing w:after="0"/>
              <w:rPr>
                <w:sz w:val="20"/>
                <w:szCs w:val="20"/>
                <w:color w:val="auto"/>
              </w:rPr>
            </w:pPr>
            <w:r>
              <w:rPr>
                <w:rFonts w:ascii="Arial" w:cs="Arial" w:eastAsia="Arial" w:hAnsi="Arial"/>
                <w:sz w:val="10"/>
                <w:szCs w:val="10"/>
                <w:b w:val="1"/>
                <w:bCs w:val="1"/>
                <w:color w:val="54585A"/>
              </w:rPr>
              <w:t>Value of initial fixed $100</w:t>
            </w:r>
          </w:p>
        </w:tc>
        <w:tc>
          <w:tcPr>
            <w:tcW w:w="240" w:type="dxa"/>
            <w:vAlign w:val="bottom"/>
            <w:shd w:val="clear" w:color="auto" w:fill="EEEDED"/>
          </w:tcPr>
          <w:p>
            <w:pPr>
              <w:spacing w:after="0"/>
              <w:rPr>
                <w:sz w:val="14"/>
                <w:szCs w:val="14"/>
                <w:color w:val="auto"/>
              </w:rPr>
            </w:pPr>
          </w:p>
        </w:tc>
        <w:tc>
          <w:tcPr>
            <w:tcW w:w="1040" w:type="dxa"/>
            <w:vAlign w:val="bottom"/>
            <w:shd w:val="clear" w:color="auto" w:fill="EEEDED"/>
          </w:tcPr>
          <w:p>
            <w:pPr>
              <w:spacing w:after="0"/>
              <w:rPr>
                <w:sz w:val="14"/>
                <w:szCs w:val="14"/>
                <w:color w:val="auto"/>
              </w:rPr>
            </w:pPr>
          </w:p>
        </w:tc>
        <w:tc>
          <w:tcPr>
            <w:tcW w:w="140" w:type="dxa"/>
            <w:vAlign w:val="bottom"/>
            <w:shd w:val="clear" w:color="auto" w:fill="EEEDED"/>
          </w:tcPr>
          <w:p>
            <w:pPr>
              <w:spacing w:after="0"/>
              <w:rPr>
                <w:sz w:val="14"/>
                <w:szCs w:val="14"/>
                <w:color w:val="auto"/>
              </w:rPr>
            </w:pPr>
          </w:p>
        </w:tc>
        <w:tc>
          <w:tcPr>
            <w:tcW w:w="1140" w:type="dxa"/>
            <w:vAlign w:val="bottom"/>
            <w:shd w:val="clear" w:color="auto" w:fill="EEEDED"/>
          </w:tcPr>
          <w:p>
            <w:pPr>
              <w:spacing w:after="0"/>
              <w:rPr>
                <w:sz w:val="14"/>
                <w:szCs w:val="14"/>
                <w:color w:val="auto"/>
              </w:rPr>
            </w:pPr>
          </w:p>
        </w:tc>
        <w:tc>
          <w:tcPr>
            <w:tcW w:w="140" w:type="dxa"/>
            <w:vAlign w:val="bottom"/>
            <w:shd w:val="clear" w:color="auto" w:fill="EEEDED"/>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80" w:type="dxa"/>
            <w:vAlign w:val="bottom"/>
            <w:tcBorders>
              <w:bottom w:val="single" w:sz="8" w:color="EEEDED"/>
            </w:tcBorders>
            <w:shd w:val="clear" w:color="auto" w:fill="EEEDED"/>
          </w:tcPr>
          <w:p>
            <w:pPr>
              <w:spacing w:after="0"/>
              <w:rPr>
                <w:sz w:val="16"/>
                <w:szCs w:val="16"/>
                <w:color w:val="auto"/>
              </w:rPr>
            </w:pPr>
          </w:p>
        </w:tc>
        <w:tc>
          <w:tcPr>
            <w:tcW w:w="100" w:type="dxa"/>
            <w:vAlign w:val="bottom"/>
            <w:tcBorders>
              <w:bottom w:val="single" w:sz="8" w:color="EEEDED"/>
            </w:tcBorders>
            <w:shd w:val="clear" w:color="auto" w:fill="EEEDED"/>
          </w:tcPr>
          <w:p>
            <w:pPr>
              <w:spacing w:after="0"/>
              <w:rPr>
                <w:sz w:val="16"/>
                <w:szCs w:val="16"/>
                <w:color w:val="auto"/>
              </w:rPr>
            </w:pPr>
          </w:p>
        </w:tc>
        <w:tc>
          <w:tcPr>
            <w:tcW w:w="1260" w:type="dxa"/>
            <w:vAlign w:val="bottom"/>
            <w:tcBorders>
              <w:bottom w:val="single" w:sz="8" w:color="EEEDED"/>
            </w:tcBorders>
            <w:shd w:val="clear" w:color="auto" w:fill="EEEDED"/>
          </w:tcPr>
          <w:p>
            <w:pPr>
              <w:jc w:val="right"/>
              <w:ind w:right="74"/>
              <w:spacing w:after="0"/>
              <w:rPr>
                <w:sz w:val="20"/>
                <w:szCs w:val="20"/>
                <w:color w:val="auto"/>
              </w:rPr>
            </w:pPr>
            <w:r>
              <w:rPr>
                <w:rFonts w:ascii="Arial" w:cs="Arial" w:eastAsia="Arial" w:hAnsi="Arial"/>
                <w:sz w:val="10"/>
                <w:szCs w:val="10"/>
                <w:b w:val="1"/>
                <w:bCs w:val="1"/>
                <w:color w:val="54585A"/>
                <w:w w:val="96"/>
              </w:rPr>
              <w:t>Summary compensation</w:t>
            </w:r>
          </w:p>
        </w:tc>
        <w:tc>
          <w:tcPr>
            <w:tcW w:w="1360" w:type="dxa"/>
            <w:vAlign w:val="bottom"/>
            <w:tcBorders>
              <w:bottom w:val="single" w:sz="8" w:color="EEEDED"/>
            </w:tcBorders>
            <w:gridSpan w:val="2"/>
            <w:shd w:val="clear" w:color="auto" w:fill="EEEDED"/>
          </w:tcPr>
          <w:p>
            <w:pPr>
              <w:jc w:val="right"/>
              <w:spacing w:after="0"/>
              <w:rPr>
                <w:sz w:val="20"/>
                <w:szCs w:val="20"/>
                <w:color w:val="auto"/>
              </w:rPr>
            </w:pPr>
            <w:r>
              <w:rPr>
                <w:rFonts w:ascii="Arial" w:cs="Arial" w:eastAsia="Arial" w:hAnsi="Arial"/>
                <w:sz w:val="10"/>
                <w:szCs w:val="10"/>
                <w:b w:val="1"/>
                <w:bCs w:val="1"/>
                <w:color w:val="54585A"/>
                <w:w w:val="99"/>
              </w:rPr>
              <w:t>Compensation actually paid</w:t>
            </w:r>
          </w:p>
        </w:tc>
        <w:tc>
          <w:tcPr>
            <w:tcW w:w="200" w:type="dxa"/>
            <w:vAlign w:val="bottom"/>
            <w:tcBorders>
              <w:bottom w:val="single" w:sz="8" w:color="EEEDED"/>
            </w:tcBorders>
            <w:shd w:val="clear" w:color="auto" w:fill="EEEDED"/>
          </w:tcPr>
          <w:p>
            <w:pPr>
              <w:spacing w:after="0"/>
              <w:rPr>
                <w:sz w:val="16"/>
                <w:szCs w:val="16"/>
                <w:color w:val="auto"/>
              </w:rPr>
            </w:pPr>
          </w:p>
        </w:tc>
        <w:tc>
          <w:tcPr>
            <w:tcW w:w="1180" w:type="dxa"/>
            <w:vAlign w:val="bottom"/>
            <w:tcBorders>
              <w:bottom w:val="single" w:sz="8" w:color="EEEDED"/>
            </w:tcBorders>
            <w:shd w:val="clear" w:color="auto" w:fill="EEEDED"/>
          </w:tcPr>
          <w:p>
            <w:pPr>
              <w:jc w:val="center"/>
              <w:ind w:right="115"/>
              <w:spacing w:after="0"/>
              <w:rPr>
                <w:sz w:val="20"/>
                <w:szCs w:val="20"/>
                <w:color w:val="auto"/>
              </w:rPr>
            </w:pPr>
            <w:r>
              <w:rPr>
                <w:rFonts w:ascii="Arial" w:cs="Arial" w:eastAsia="Arial" w:hAnsi="Arial"/>
                <w:sz w:val="10"/>
                <w:szCs w:val="10"/>
                <w:b w:val="1"/>
                <w:bCs w:val="1"/>
                <w:color w:val="54585A"/>
                <w:w w:val="94"/>
              </w:rPr>
              <w:t>summary</w:t>
            </w:r>
          </w:p>
        </w:tc>
        <w:tc>
          <w:tcPr>
            <w:tcW w:w="220" w:type="dxa"/>
            <w:vAlign w:val="bottom"/>
            <w:tcBorders>
              <w:bottom w:val="single" w:sz="8" w:color="EEEDED"/>
            </w:tcBorders>
            <w:shd w:val="clear" w:color="auto" w:fill="EEEDED"/>
          </w:tcPr>
          <w:p>
            <w:pPr>
              <w:spacing w:after="0"/>
              <w:rPr>
                <w:sz w:val="16"/>
                <w:szCs w:val="16"/>
                <w:color w:val="auto"/>
              </w:rPr>
            </w:pPr>
          </w:p>
        </w:tc>
        <w:tc>
          <w:tcPr>
            <w:tcW w:w="1160" w:type="dxa"/>
            <w:vAlign w:val="bottom"/>
            <w:tcBorders>
              <w:bottom w:val="single" w:sz="8" w:color="EEEDED"/>
            </w:tcBorders>
            <w:shd w:val="clear" w:color="auto" w:fill="EEEDED"/>
          </w:tcPr>
          <w:p>
            <w:pPr>
              <w:jc w:val="center"/>
              <w:ind w:right="175"/>
              <w:spacing w:after="0"/>
              <w:rPr>
                <w:sz w:val="20"/>
                <w:szCs w:val="20"/>
                <w:color w:val="auto"/>
              </w:rPr>
            </w:pPr>
            <w:r>
              <w:rPr>
                <w:rFonts w:ascii="Arial" w:cs="Arial" w:eastAsia="Arial" w:hAnsi="Arial"/>
                <w:sz w:val="10"/>
                <w:szCs w:val="10"/>
                <w:b w:val="1"/>
                <w:bCs w:val="1"/>
                <w:color w:val="54585A"/>
                <w:w w:val="97"/>
              </w:rPr>
              <w:t>compensation</w:t>
            </w:r>
          </w:p>
        </w:tc>
        <w:tc>
          <w:tcPr>
            <w:tcW w:w="100" w:type="dxa"/>
            <w:vAlign w:val="bottom"/>
            <w:tcBorders>
              <w:bottom w:val="single" w:sz="8" w:color="EEEDED"/>
            </w:tcBorders>
            <w:shd w:val="clear" w:color="auto" w:fill="EEEDED"/>
          </w:tcPr>
          <w:p>
            <w:pPr>
              <w:spacing w:after="0"/>
              <w:rPr>
                <w:sz w:val="16"/>
                <w:szCs w:val="16"/>
                <w:color w:val="auto"/>
              </w:rPr>
            </w:pPr>
          </w:p>
        </w:tc>
        <w:tc>
          <w:tcPr>
            <w:tcW w:w="2540" w:type="dxa"/>
            <w:vAlign w:val="bottom"/>
            <w:tcBorders>
              <w:bottom w:val="single" w:sz="8" w:color="EEEDED"/>
            </w:tcBorders>
            <w:gridSpan w:val="3"/>
            <w:shd w:val="clear" w:color="auto" w:fill="EEEDED"/>
          </w:tcPr>
          <w:p>
            <w:pPr>
              <w:jc w:val="right"/>
              <w:ind w:right="772"/>
              <w:spacing w:after="0"/>
              <w:rPr>
                <w:sz w:val="20"/>
                <w:szCs w:val="20"/>
                <w:color w:val="auto"/>
              </w:rPr>
            </w:pPr>
            <w:r>
              <w:rPr>
                <w:rFonts w:ascii="Arial" w:cs="Arial" w:eastAsia="Arial" w:hAnsi="Arial"/>
                <w:sz w:val="10"/>
                <w:szCs w:val="10"/>
                <w:b w:val="1"/>
                <w:bCs w:val="1"/>
                <w:color w:val="54585A"/>
              </w:rPr>
              <w:t>investment based on:</w:t>
            </w:r>
          </w:p>
        </w:tc>
        <w:tc>
          <w:tcPr>
            <w:tcW w:w="240" w:type="dxa"/>
            <w:vAlign w:val="bottom"/>
            <w:tcBorders>
              <w:bottom w:val="single" w:sz="8" w:color="EEEDED"/>
            </w:tcBorders>
            <w:shd w:val="clear" w:color="auto" w:fill="EEEDED"/>
          </w:tcPr>
          <w:p>
            <w:pPr>
              <w:spacing w:after="0"/>
              <w:rPr>
                <w:sz w:val="16"/>
                <w:szCs w:val="16"/>
                <w:color w:val="auto"/>
              </w:rPr>
            </w:pPr>
          </w:p>
        </w:tc>
        <w:tc>
          <w:tcPr>
            <w:tcW w:w="1040" w:type="dxa"/>
            <w:vAlign w:val="bottom"/>
            <w:tcBorders>
              <w:bottom w:val="single" w:sz="8" w:color="EEEDED"/>
            </w:tcBorders>
            <w:shd w:val="clear" w:color="auto" w:fill="EEEDED"/>
          </w:tcPr>
          <w:p>
            <w:pPr>
              <w:spacing w:after="0"/>
              <w:rPr>
                <w:sz w:val="16"/>
                <w:szCs w:val="16"/>
                <w:color w:val="auto"/>
              </w:rPr>
            </w:pPr>
          </w:p>
        </w:tc>
        <w:tc>
          <w:tcPr>
            <w:tcW w:w="140" w:type="dxa"/>
            <w:vAlign w:val="bottom"/>
            <w:tcBorders>
              <w:bottom w:val="single" w:sz="8" w:color="EEEDED"/>
            </w:tcBorders>
            <w:shd w:val="clear" w:color="auto" w:fill="EEEDED"/>
          </w:tcPr>
          <w:p>
            <w:pPr>
              <w:spacing w:after="0"/>
              <w:rPr>
                <w:sz w:val="16"/>
                <w:szCs w:val="16"/>
                <w:color w:val="auto"/>
              </w:rPr>
            </w:pPr>
          </w:p>
        </w:tc>
        <w:tc>
          <w:tcPr>
            <w:tcW w:w="1140" w:type="dxa"/>
            <w:vAlign w:val="bottom"/>
            <w:tcBorders>
              <w:bottom w:val="single" w:sz="8" w:color="EEEDED"/>
            </w:tcBorders>
            <w:shd w:val="clear" w:color="auto" w:fill="EEEDED"/>
          </w:tcPr>
          <w:p>
            <w:pPr>
              <w:spacing w:after="0"/>
              <w:rPr>
                <w:sz w:val="16"/>
                <w:szCs w:val="16"/>
                <w:color w:val="auto"/>
              </w:rPr>
            </w:pPr>
          </w:p>
        </w:tc>
        <w:tc>
          <w:tcPr>
            <w:tcW w:w="140" w:type="dxa"/>
            <w:vAlign w:val="bottom"/>
            <w:tcBorders>
              <w:bottom w:val="single" w:sz="8" w:color="EEEDED"/>
            </w:tcBorders>
            <w:shd w:val="clear" w:color="auto" w:fill="EEEDED"/>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480" w:type="dxa"/>
            <w:vAlign w:val="bottom"/>
            <w:tcBorders>
              <w:top w:val="single" w:sz="8" w:color="EEEDED"/>
            </w:tcBorders>
            <w:shd w:val="clear" w:color="auto" w:fill="EEEDED"/>
          </w:tcPr>
          <w:p>
            <w:pPr>
              <w:spacing w:after="0"/>
              <w:rPr>
                <w:sz w:val="6"/>
                <w:szCs w:val="6"/>
                <w:color w:val="auto"/>
              </w:rPr>
            </w:pPr>
          </w:p>
        </w:tc>
        <w:tc>
          <w:tcPr>
            <w:tcW w:w="100" w:type="dxa"/>
            <w:vAlign w:val="bottom"/>
            <w:tcBorders>
              <w:top w:val="single" w:sz="8" w:color="EEEDED"/>
            </w:tcBorders>
            <w:shd w:val="clear" w:color="auto" w:fill="EEEDED"/>
          </w:tcPr>
          <w:p>
            <w:pPr>
              <w:spacing w:after="0"/>
              <w:rPr>
                <w:sz w:val="6"/>
                <w:szCs w:val="6"/>
                <w:color w:val="auto"/>
              </w:rPr>
            </w:pPr>
          </w:p>
        </w:tc>
        <w:tc>
          <w:tcPr>
            <w:tcW w:w="1260" w:type="dxa"/>
            <w:vAlign w:val="bottom"/>
            <w:tcBorders>
              <w:top w:val="single" w:sz="8" w:color="EEEDED"/>
            </w:tcBorders>
            <w:shd w:val="clear" w:color="auto" w:fill="EEEDED"/>
          </w:tcPr>
          <w:p>
            <w:pPr>
              <w:jc w:val="right"/>
              <w:ind w:right="174"/>
              <w:spacing w:after="0" w:line="79" w:lineRule="exact"/>
              <w:rPr>
                <w:sz w:val="20"/>
                <w:szCs w:val="20"/>
                <w:color w:val="auto"/>
              </w:rPr>
            </w:pPr>
            <w:r>
              <w:rPr>
                <w:rFonts w:ascii="Arial" w:cs="Arial" w:eastAsia="Arial" w:hAnsi="Arial"/>
                <w:sz w:val="7"/>
                <w:szCs w:val="7"/>
                <w:b w:val="1"/>
                <w:bCs w:val="1"/>
                <w:color w:val="54585A"/>
              </w:rPr>
              <w:t>table total for PEO</w:t>
            </w:r>
            <w:r>
              <w:rPr>
                <w:rFonts w:ascii="Arial" w:cs="Arial" w:eastAsia="Arial" w:hAnsi="Arial"/>
                <w:sz w:val="9"/>
                <w:szCs w:val="9"/>
                <w:b w:val="1"/>
                <w:bCs w:val="1"/>
                <w:color w:val="54585A"/>
                <w:vertAlign w:val="superscript"/>
              </w:rPr>
              <w:t>(1)</w:t>
            </w:r>
          </w:p>
        </w:tc>
        <w:tc>
          <w:tcPr>
            <w:tcW w:w="300" w:type="dxa"/>
            <w:vAlign w:val="bottom"/>
            <w:tcBorders>
              <w:top w:val="single" w:sz="8" w:color="EEEDED"/>
            </w:tcBorders>
            <w:shd w:val="clear" w:color="auto" w:fill="EEEDED"/>
          </w:tcPr>
          <w:p>
            <w:pPr>
              <w:spacing w:after="0"/>
              <w:rPr>
                <w:sz w:val="6"/>
                <w:szCs w:val="6"/>
                <w:color w:val="auto"/>
              </w:rPr>
            </w:pPr>
          </w:p>
        </w:tc>
        <w:tc>
          <w:tcPr>
            <w:tcW w:w="1060" w:type="dxa"/>
            <w:vAlign w:val="bottom"/>
            <w:tcBorders>
              <w:top w:val="single" w:sz="8" w:color="EEEDED"/>
            </w:tcBorders>
            <w:shd w:val="clear" w:color="auto" w:fill="EEEDED"/>
          </w:tcPr>
          <w:p>
            <w:pPr>
              <w:jc w:val="right"/>
              <w:ind w:right="415"/>
              <w:spacing w:after="0" w:line="79" w:lineRule="exact"/>
              <w:rPr>
                <w:sz w:val="20"/>
                <w:szCs w:val="20"/>
                <w:color w:val="auto"/>
              </w:rPr>
            </w:pPr>
            <w:r>
              <w:rPr>
                <w:rFonts w:ascii="Arial" w:cs="Arial" w:eastAsia="Arial" w:hAnsi="Arial"/>
                <w:sz w:val="7"/>
                <w:szCs w:val="7"/>
                <w:b w:val="1"/>
                <w:bCs w:val="1"/>
                <w:color w:val="54585A"/>
              </w:rPr>
              <w:t>to PEO</w:t>
            </w:r>
            <w:r>
              <w:rPr>
                <w:rFonts w:ascii="Arial" w:cs="Arial" w:eastAsia="Arial" w:hAnsi="Arial"/>
                <w:sz w:val="9"/>
                <w:szCs w:val="9"/>
                <w:b w:val="1"/>
                <w:bCs w:val="1"/>
                <w:color w:val="54585A"/>
                <w:vertAlign w:val="superscript"/>
              </w:rPr>
              <w:t>(2)</w:t>
            </w:r>
          </w:p>
        </w:tc>
        <w:tc>
          <w:tcPr>
            <w:tcW w:w="200" w:type="dxa"/>
            <w:vAlign w:val="bottom"/>
            <w:tcBorders>
              <w:top w:val="single" w:sz="8" w:color="EEEDED"/>
            </w:tcBorders>
            <w:shd w:val="clear" w:color="auto" w:fill="EEEDED"/>
          </w:tcPr>
          <w:p>
            <w:pPr>
              <w:spacing w:after="0"/>
              <w:rPr>
                <w:sz w:val="6"/>
                <w:szCs w:val="6"/>
                <w:color w:val="auto"/>
              </w:rPr>
            </w:pPr>
          </w:p>
        </w:tc>
        <w:tc>
          <w:tcPr>
            <w:tcW w:w="1180" w:type="dxa"/>
            <w:vAlign w:val="bottom"/>
            <w:tcBorders>
              <w:top w:val="single" w:sz="8" w:color="EEEDED"/>
            </w:tcBorders>
            <w:shd w:val="clear" w:color="auto" w:fill="EEEDED"/>
          </w:tcPr>
          <w:p>
            <w:pPr>
              <w:jc w:val="center"/>
              <w:ind w:right="115"/>
              <w:spacing w:after="0" w:line="53" w:lineRule="exact"/>
              <w:rPr>
                <w:sz w:val="20"/>
                <w:szCs w:val="20"/>
                <w:color w:val="auto"/>
              </w:rPr>
            </w:pPr>
            <w:r>
              <w:rPr>
                <w:rFonts w:ascii="Arial" w:cs="Arial" w:eastAsia="Arial" w:hAnsi="Arial"/>
                <w:sz w:val="6"/>
                <w:szCs w:val="6"/>
                <w:b w:val="1"/>
                <w:bCs w:val="1"/>
                <w:color w:val="54585A"/>
              </w:rPr>
              <w:t>compensation</w:t>
            </w:r>
          </w:p>
        </w:tc>
        <w:tc>
          <w:tcPr>
            <w:tcW w:w="220" w:type="dxa"/>
            <w:vAlign w:val="bottom"/>
            <w:tcBorders>
              <w:top w:val="single" w:sz="8" w:color="EEEDED"/>
            </w:tcBorders>
            <w:shd w:val="clear" w:color="auto" w:fill="EEEDED"/>
          </w:tcPr>
          <w:p>
            <w:pPr>
              <w:spacing w:after="0"/>
              <w:rPr>
                <w:sz w:val="6"/>
                <w:szCs w:val="6"/>
                <w:color w:val="auto"/>
              </w:rPr>
            </w:pPr>
          </w:p>
        </w:tc>
        <w:tc>
          <w:tcPr>
            <w:tcW w:w="1160" w:type="dxa"/>
            <w:vAlign w:val="bottom"/>
            <w:tcBorders>
              <w:top w:val="single" w:sz="8" w:color="EEEDED"/>
            </w:tcBorders>
            <w:shd w:val="clear" w:color="auto" w:fill="EEEDED"/>
          </w:tcPr>
          <w:p>
            <w:pPr>
              <w:jc w:val="center"/>
              <w:ind w:right="175"/>
              <w:spacing w:after="0" w:line="53" w:lineRule="exact"/>
              <w:rPr>
                <w:sz w:val="20"/>
                <w:szCs w:val="20"/>
                <w:color w:val="auto"/>
              </w:rPr>
            </w:pPr>
            <w:r>
              <w:rPr>
                <w:rFonts w:ascii="Arial" w:cs="Arial" w:eastAsia="Arial" w:hAnsi="Arial"/>
                <w:sz w:val="6"/>
                <w:szCs w:val="6"/>
                <w:b w:val="1"/>
                <w:bCs w:val="1"/>
                <w:color w:val="54585A"/>
              </w:rPr>
              <w:t>actually paid</w:t>
            </w:r>
          </w:p>
        </w:tc>
        <w:tc>
          <w:tcPr>
            <w:tcW w:w="100" w:type="dxa"/>
            <w:vAlign w:val="bottom"/>
            <w:tcBorders>
              <w:top w:val="single" w:sz="8" w:color="54585A"/>
            </w:tcBorders>
            <w:shd w:val="clear" w:color="auto" w:fill="EEEDED"/>
          </w:tcPr>
          <w:p>
            <w:pPr>
              <w:spacing w:after="0"/>
              <w:rPr>
                <w:sz w:val="6"/>
                <w:szCs w:val="6"/>
                <w:color w:val="auto"/>
              </w:rPr>
            </w:pPr>
          </w:p>
        </w:tc>
        <w:tc>
          <w:tcPr>
            <w:tcW w:w="1260" w:type="dxa"/>
            <w:vAlign w:val="bottom"/>
            <w:tcBorders>
              <w:top w:val="single" w:sz="8" w:color="54585A"/>
            </w:tcBorders>
            <w:vMerge w:val="restart"/>
            <w:shd w:val="clear" w:color="auto" w:fill="EEEDED"/>
          </w:tcPr>
          <w:p>
            <w:pPr>
              <w:jc w:val="right"/>
              <w:ind w:right="72"/>
              <w:spacing w:after="0"/>
              <w:rPr>
                <w:sz w:val="20"/>
                <w:szCs w:val="20"/>
                <w:color w:val="auto"/>
              </w:rPr>
            </w:pPr>
            <w:r>
              <w:rPr>
                <w:rFonts w:ascii="Arial" w:cs="Arial" w:eastAsia="Arial" w:hAnsi="Arial"/>
                <w:sz w:val="10"/>
                <w:szCs w:val="10"/>
                <w:b w:val="1"/>
                <w:bCs w:val="1"/>
                <w:color w:val="54585A"/>
                <w:w w:val="96"/>
              </w:rPr>
              <w:t>Total shareholder return</w:t>
            </w:r>
          </w:p>
        </w:tc>
        <w:tc>
          <w:tcPr>
            <w:tcW w:w="240" w:type="dxa"/>
            <w:vAlign w:val="bottom"/>
            <w:tcBorders>
              <w:top w:val="single" w:sz="8" w:color="54585A"/>
            </w:tcBorders>
            <w:shd w:val="clear" w:color="auto" w:fill="EEEDED"/>
          </w:tcPr>
          <w:p>
            <w:pPr>
              <w:spacing w:after="0"/>
              <w:rPr>
                <w:sz w:val="6"/>
                <w:szCs w:val="6"/>
                <w:color w:val="auto"/>
              </w:rPr>
            </w:pPr>
          </w:p>
        </w:tc>
        <w:tc>
          <w:tcPr>
            <w:tcW w:w="1040" w:type="dxa"/>
            <w:vAlign w:val="bottom"/>
            <w:tcBorders>
              <w:top w:val="single" w:sz="8" w:color="54585A"/>
            </w:tcBorders>
            <w:vMerge w:val="restart"/>
            <w:shd w:val="clear" w:color="auto" w:fill="EEEDED"/>
          </w:tcPr>
          <w:p>
            <w:pPr>
              <w:jc w:val="right"/>
              <w:ind w:right="332"/>
              <w:spacing w:after="0"/>
              <w:rPr>
                <w:sz w:val="20"/>
                <w:szCs w:val="20"/>
                <w:color w:val="auto"/>
              </w:rPr>
            </w:pPr>
            <w:r>
              <w:rPr>
                <w:rFonts w:ascii="Arial" w:cs="Arial" w:eastAsia="Arial" w:hAnsi="Arial"/>
                <w:sz w:val="10"/>
                <w:szCs w:val="10"/>
                <w:b w:val="1"/>
                <w:bCs w:val="1"/>
                <w:color w:val="54585A"/>
              </w:rPr>
              <w:t>Peer group</w:t>
            </w:r>
          </w:p>
        </w:tc>
        <w:tc>
          <w:tcPr>
            <w:tcW w:w="240" w:type="dxa"/>
            <w:vAlign w:val="bottom"/>
            <w:tcBorders>
              <w:top w:val="single" w:sz="8" w:color="EEEDED"/>
            </w:tcBorders>
            <w:shd w:val="clear" w:color="auto" w:fill="EEEDED"/>
          </w:tcPr>
          <w:p>
            <w:pPr>
              <w:spacing w:after="0"/>
              <w:rPr>
                <w:sz w:val="6"/>
                <w:szCs w:val="6"/>
                <w:color w:val="auto"/>
              </w:rPr>
            </w:pPr>
          </w:p>
        </w:tc>
        <w:tc>
          <w:tcPr>
            <w:tcW w:w="1040" w:type="dxa"/>
            <w:vAlign w:val="bottom"/>
            <w:tcBorders>
              <w:top w:val="single" w:sz="8" w:color="EEEDED"/>
            </w:tcBorders>
            <w:shd w:val="clear" w:color="auto" w:fill="EEEDED"/>
          </w:tcPr>
          <w:p>
            <w:pPr>
              <w:jc w:val="right"/>
              <w:ind w:right="357"/>
              <w:spacing w:after="0" w:line="53" w:lineRule="exact"/>
              <w:rPr>
                <w:sz w:val="20"/>
                <w:szCs w:val="20"/>
                <w:color w:val="auto"/>
              </w:rPr>
            </w:pPr>
            <w:r>
              <w:rPr>
                <w:rFonts w:ascii="Arial" w:cs="Arial" w:eastAsia="Arial" w:hAnsi="Arial"/>
                <w:sz w:val="6"/>
                <w:szCs w:val="6"/>
                <w:b w:val="1"/>
                <w:bCs w:val="1"/>
                <w:color w:val="54585A"/>
              </w:rPr>
              <w:t>Net Loss</w:t>
            </w:r>
            <w:r>
              <w:rPr>
                <w:rFonts w:ascii="Arial" w:cs="Arial" w:eastAsia="Arial" w:hAnsi="Arial"/>
                <w:sz w:val="4"/>
                <w:szCs w:val="4"/>
                <w:b w:val="1"/>
                <w:bCs w:val="1"/>
                <w:color w:val="54585A"/>
              </w:rPr>
              <w:t>(7)</w:t>
            </w:r>
          </w:p>
        </w:tc>
        <w:tc>
          <w:tcPr>
            <w:tcW w:w="140" w:type="dxa"/>
            <w:vAlign w:val="bottom"/>
            <w:tcBorders>
              <w:top w:val="single" w:sz="8" w:color="EEEDED"/>
            </w:tcBorders>
            <w:shd w:val="clear" w:color="auto" w:fill="EEEDED"/>
          </w:tcPr>
          <w:p>
            <w:pPr>
              <w:spacing w:after="0"/>
              <w:rPr>
                <w:sz w:val="6"/>
                <w:szCs w:val="6"/>
                <w:color w:val="auto"/>
              </w:rPr>
            </w:pPr>
          </w:p>
        </w:tc>
        <w:tc>
          <w:tcPr>
            <w:tcW w:w="1140" w:type="dxa"/>
            <w:vAlign w:val="bottom"/>
            <w:tcBorders>
              <w:top w:val="single" w:sz="8" w:color="EEEDED"/>
            </w:tcBorders>
            <w:shd w:val="clear" w:color="auto" w:fill="EEEDED"/>
          </w:tcPr>
          <w:p>
            <w:pPr>
              <w:jc w:val="right"/>
              <w:ind w:right="157"/>
              <w:spacing w:after="0" w:line="53" w:lineRule="exact"/>
              <w:rPr>
                <w:sz w:val="20"/>
                <w:szCs w:val="20"/>
                <w:color w:val="auto"/>
              </w:rPr>
            </w:pPr>
            <w:r>
              <w:rPr>
                <w:rFonts w:ascii="Arial" w:cs="Arial" w:eastAsia="Arial" w:hAnsi="Arial"/>
                <w:sz w:val="6"/>
                <w:szCs w:val="6"/>
                <w:b w:val="1"/>
                <w:bCs w:val="1"/>
                <w:color w:val="54585A"/>
              </w:rPr>
              <w:t>Adjusted EBITDA</w:t>
            </w:r>
            <w:r>
              <w:rPr>
                <w:rFonts w:ascii="Arial" w:cs="Arial" w:eastAsia="Arial" w:hAnsi="Arial"/>
                <w:sz w:val="4"/>
                <w:szCs w:val="4"/>
                <w:b w:val="1"/>
                <w:bCs w:val="1"/>
                <w:color w:val="54585A"/>
              </w:rPr>
              <w:t>(8)</w:t>
            </w:r>
          </w:p>
        </w:tc>
        <w:tc>
          <w:tcPr>
            <w:tcW w:w="140" w:type="dxa"/>
            <w:vAlign w:val="bottom"/>
            <w:tcBorders>
              <w:top w:val="single" w:sz="8" w:color="EEEDED"/>
            </w:tcBorders>
            <w:shd w:val="clear" w:color="auto" w:fill="EEEDED"/>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480" w:type="dxa"/>
            <w:vAlign w:val="bottom"/>
            <w:shd w:val="clear" w:color="auto" w:fill="EEEDED"/>
          </w:tcPr>
          <w:p>
            <w:pPr>
              <w:spacing w:after="0"/>
              <w:rPr>
                <w:sz w:val="7"/>
                <w:szCs w:val="7"/>
                <w:color w:val="auto"/>
              </w:rPr>
            </w:pPr>
          </w:p>
        </w:tc>
        <w:tc>
          <w:tcPr>
            <w:tcW w:w="100" w:type="dxa"/>
            <w:vAlign w:val="bottom"/>
            <w:shd w:val="clear" w:color="auto" w:fill="EEEDED"/>
          </w:tcPr>
          <w:p>
            <w:pPr>
              <w:spacing w:after="0"/>
              <w:rPr>
                <w:sz w:val="7"/>
                <w:szCs w:val="7"/>
                <w:color w:val="auto"/>
              </w:rPr>
            </w:pPr>
          </w:p>
        </w:tc>
        <w:tc>
          <w:tcPr>
            <w:tcW w:w="1260" w:type="dxa"/>
            <w:vAlign w:val="bottom"/>
            <w:shd w:val="clear" w:color="auto" w:fill="EEEDED"/>
          </w:tcPr>
          <w:p>
            <w:pPr>
              <w:spacing w:after="0"/>
              <w:rPr>
                <w:sz w:val="7"/>
                <w:szCs w:val="7"/>
                <w:color w:val="auto"/>
              </w:rPr>
            </w:pPr>
          </w:p>
        </w:tc>
        <w:tc>
          <w:tcPr>
            <w:tcW w:w="300" w:type="dxa"/>
            <w:vAlign w:val="bottom"/>
            <w:shd w:val="clear" w:color="auto" w:fill="EEEDED"/>
          </w:tcPr>
          <w:p>
            <w:pPr>
              <w:spacing w:after="0"/>
              <w:rPr>
                <w:sz w:val="7"/>
                <w:szCs w:val="7"/>
                <w:color w:val="auto"/>
              </w:rPr>
            </w:pPr>
          </w:p>
        </w:tc>
        <w:tc>
          <w:tcPr>
            <w:tcW w:w="1060" w:type="dxa"/>
            <w:vAlign w:val="bottom"/>
            <w:shd w:val="clear" w:color="auto" w:fill="EEEDED"/>
          </w:tcPr>
          <w:p>
            <w:pPr>
              <w:spacing w:after="0"/>
              <w:rPr>
                <w:sz w:val="7"/>
                <w:szCs w:val="7"/>
                <w:color w:val="auto"/>
              </w:rPr>
            </w:pPr>
          </w:p>
        </w:tc>
        <w:tc>
          <w:tcPr>
            <w:tcW w:w="200" w:type="dxa"/>
            <w:vAlign w:val="bottom"/>
            <w:shd w:val="clear" w:color="auto" w:fill="EEEDED"/>
          </w:tcPr>
          <w:p>
            <w:pPr>
              <w:spacing w:after="0"/>
              <w:rPr>
                <w:sz w:val="7"/>
                <w:szCs w:val="7"/>
                <w:color w:val="auto"/>
              </w:rPr>
            </w:pPr>
          </w:p>
        </w:tc>
        <w:tc>
          <w:tcPr>
            <w:tcW w:w="1180" w:type="dxa"/>
            <w:vAlign w:val="bottom"/>
            <w:shd w:val="clear" w:color="auto" w:fill="EEEDED"/>
          </w:tcPr>
          <w:p>
            <w:pPr>
              <w:jc w:val="center"/>
              <w:ind w:right="115"/>
              <w:spacing w:after="0" w:line="81" w:lineRule="exact"/>
              <w:rPr>
                <w:sz w:val="20"/>
                <w:szCs w:val="20"/>
                <w:color w:val="auto"/>
              </w:rPr>
            </w:pPr>
            <w:r>
              <w:rPr>
                <w:rFonts w:ascii="Arial" w:cs="Arial" w:eastAsia="Arial" w:hAnsi="Arial"/>
                <w:sz w:val="8"/>
                <w:szCs w:val="8"/>
                <w:b w:val="1"/>
                <w:bCs w:val="1"/>
                <w:color w:val="54585A"/>
              </w:rPr>
              <w:t>table total for</w:t>
            </w:r>
          </w:p>
        </w:tc>
        <w:tc>
          <w:tcPr>
            <w:tcW w:w="220" w:type="dxa"/>
            <w:vAlign w:val="bottom"/>
            <w:shd w:val="clear" w:color="auto" w:fill="EEEDED"/>
          </w:tcPr>
          <w:p>
            <w:pPr>
              <w:spacing w:after="0"/>
              <w:rPr>
                <w:sz w:val="7"/>
                <w:szCs w:val="7"/>
                <w:color w:val="auto"/>
              </w:rPr>
            </w:pPr>
          </w:p>
        </w:tc>
        <w:tc>
          <w:tcPr>
            <w:tcW w:w="1160" w:type="dxa"/>
            <w:vAlign w:val="bottom"/>
            <w:shd w:val="clear" w:color="auto" w:fill="EEEDED"/>
          </w:tcPr>
          <w:p>
            <w:pPr>
              <w:jc w:val="center"/>
              <w:ind w:right="155"/>
              <w:spacing w:after="0" w:line="81" w:lineRule="exact"/>
              <w:rPr>
                <w:sz w:val="20"/>
                <w:szCs w:val="20"/>
                <w:color w:val="auto"/>
              </w:rPr>
            </w:pPr>
            <w:r>
              <w:rPr>
                <w:rFonts w:ascii="Arial" w:cs="Arial" w:eastAsia="Arial" w:hAnsi="Arial"/>
                <w:sz w:val="8"/>
                <w:szCs w:val="8"/>
                <w:b w:val="1"/>
                <w:bCs w:val="1"/>
                <w:color w:val="54585A"/>
              </w:rPr>
              <w:t>to non-PEO</w:t>
            </w:r>
          </w:p>
        </w:tc>
        <w:tc>
          <w:tcPr>
            <w:tcW w:w="100" w:type="dxa"/>
            <w:vAlign w:val="bottom"/>
            <w:shd w:val="clear" w:color="auto" w:fill="EEEDED"/>
          </w:tcPr>
          <w:p>
            <w:pPr>
              <w:spacing w:after="0"/>
              <w:rPr>
                <w:sz w:val="7"/>
                <w:szCs w:val="7"/>
                <w:color w:val="auto"/>
              </w:rPr>
            </w:pPr>
          </w:p>
        </w:tc>
        <w:tc>
          <w:tcPr>
            <w:tcW w:w="1260" w:type="dxa"/>
            <w:vAlign w:val="bottom"/>
            <w:vMerge w:val="continue"/>
            <w:shd w:val="clear" w:color="auto" w:fill="EEEDED"/>
          </w:tcPr>
          <w:p>
            <w:pPr>
              <w:spacing w:after="0"/>
              <w:rPr>
                <w:sz w:val="7"/>
                <w:szCs w:val="7"/>
                <w:color w:val="auto"/>
              </w:rPr>
            </w:pPr>
          </w:p>
        </w:tc>
        <w:tc>
          <w:tcPr>
            <w:tcW w:w="240" w:type="dxa"/>
            <w:vAlign w:val="bottom"/>
            <w:shd w:val="clear" w:color="auto" w:fill="EEEDED"/>
          </w:tcPr>
          <w:p>
            <w:pPr>
              <w:spacing w:after="0"/>
              <w:rPr>
                <w:sz w:val="7"/>
                <w:szCs w:val="7"/>
                <w:color w:val="auto"/>
              </w:rPr>
            </w:pPr>
          </w:p>
        </w:tc>
        <w:tc>
          <w:tcPr>
            <w:tcW w:w="1040" w:type="dxa"/>
            <w:vAlign w:val="bottom"/>
            <w:vMerge w:val="continue"/>
            <w:shd w:val="clear" w:color="auto" w:fill="EEEDED"/>
          </w:tcPr>
          <w:p>
            <w:pPr>
              <w:spacing w:after="0"/>
              <w:rPr>
                <w:sz w:val="7"/>
                <w:szCs w:val="7"/>
                <w:color w:val="auto"/>
              </w:rPr>
            </w:pPr>
          </w:p>
        </w:tc>
        <w:tc>
          <w:tcPr>
            <w:tcW w:w="240" w:type="dxa"/>
            <w:vAlign w:val="bottom"/>
            <w:shd w:val="clear" w:color="auto" w:fill="EEEDED"/>
          </w:tcPr>
          <w:p>
            <w:pPr>
              <w:spacing w:after="0"/>
              <w:rPr>
                <w:sz w:val="7"/>
                <w:szCs w:val="7"/>
                <w:color w:val="auto"/>
              </w:rPr>
            </w:pPr>
          </w:p>
        </w:tc>
        <w:tc>
          <w:tcPr>
            <w:tcW w:w="1040" w:type="dxa"/>
            <w:vAlign w:val="bottom"/>
            <w:shd w:val="clear" w:color="auto" w:fill="EEEDED"/>
          </w:tcPr>
          <w:p>
            <w:pPr>
              <w:spacing w:after="0"/>
              <w:rPr>
                <w:sz w:val="7"/>
                <w:szCs w:val="7"/>
                <w:color w:val="auto"/>
              </w:rPr>
            </w:pPr>
          </w:p>
        </w:tc>
        <w:tc>
          <w:tcPr>
            <w:tcW w:w="140" w:type="dxa"/>
            <w:vAlign w:val="bottom"/>
            <w:shd w:val="clear" w:color="auto" w:fill="EEEDED"/>
          </w:tcPr>
          <w:p>
            <w:pPr>
              <w:spacing w:after="0"/>
              <w:rPr>
                <w:sz w:val="7"/>
                <w:szCs w:val="7"/>
                <w:color w:val="auto"/>
              </w:rPr>
            </w:pPr>
          </w:p>
        </w:tc>
        <w:tc>
          <w:tcPr>
            <w:tcW w:w="1140" w:type="dxa"/>
            <w:vAlign w:val="bottom"/>
            <w:shd w:val="clear" w:color="auto" w:fill="EEEDED"/>
          </w:tcPr>
          <w:p>
            <w:pPr>
              <w:spacing w:after="0"/>
              <w:rPr>
                <w:sz w:val="7"/>
                <w:szCs w:val="7"/>
                <w:color w:val="auto"/>
              </w:rPr>
            </w:pPr>
          </w:p>
        </w:tc>
        <w:tc>
          <w:tcPr>
            <w:tcW w:w="140" w:type="dxa"/>
            <w:vAlign w:val="bottom"/>
            <w:shd w:val="clear" w:color="auto" w:fill="EEEDED"/>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0" w:type="dxa"/>
            <w:vAlign w:val="bottom"/>
            <w:vMerge w:val="restart"/>
            <w:shd w:val="clear" w:color="auto" w:fill="EEEDED"/>
          </w:tcPr>
          <w:p>
            <w:pPr>
              <w:ind w:left="140"/>
              <w:spacing w:after="0"/>
              <w:rPr>
                <w:sz w:val="20"/>
                <w:szCs w:val="20"/>
                <w:color w:val="auto"/>
              </w:rPr>
            </w:pPr>
            <w:r>
              <w:rPr>
                <w:rFonts w:ascii="Arial" w:cs="Arial" w:eastAsia="Arial" w:hAnsi="Arial"/>
                <w:sz w:val="10"/>
                <w:szCs w:val="10"/>
                <w:b w:val="1"/>
                <w:bCs w:val="1"/>
                <w:color w:val="54585A"/>
              </w:rPr>
              <w:t>Year</w:t>
            </w:r>
          </w:p>
        </w:tc>
        <w:tc>
          <w:tcPr>
            <w:tcW w:w="100" w:type="dxa"/>
            <w:vAlign w:val="bottom"/>
            <w:shd w:val="clear" w:color="auto" w:fill="EEEDED"/>
          </w:tcPr>
          <w:p>
            <w:pPr>
              <w:spacing w:after="0"/>
              <w:rPr>
                <w:sz w:val="14"/>
                <w:szCs w:val="14"/>
                <w:color w:val="auto"/>
              </w:rPr>
            </w:pPr>
          </w:p>
        </w:tc>
        <w:tc>
          <w:tcPr>
            <w:tcW w:w="1260" w:type="dxa"/>
            <w:vAlign w:val="bottom"/>
            <w:shd w:val="clear" w:color="auto" w:fill="EEEDED"/>
          </w:tcPr>
          <w:p>
            <w:pPr>
              <w:spacing w:after="0"/>
              <w:rPr>
                <w:sz w:val="14"/>
                <w:szCs w:val="14"/>
                <w:color w:val="auto"/>
              </w:rPr>
            </w:pPr>
          </w:p>
        </w:tc>
        <w:tc>
          <w:tcPr>
            <w:tcW w:w="300" w:type="dxa"/>
            <w:vAlign w:val="bottom"/>
            <w:shd w:val="clear" w:color="auto" w:fill="EEEDED"/>
          </w:tcPr>
          <w:p>
            <w:pPr>
              <w:spacing w:after="0"/>
              <w:rPr>
                <w:sz w:val="14"/>
                <w:szCs w:val="14"/>
                <w:color w:val="auto"/>
              </w:rPr>
            </w:pPr>
          </w:p>
        </w:tc>
        <w:tc>
          <w:tcPr>
            <w:tcW w:w="1060" w:type="dxa"/>
            <w:vAlign w:val="bottom"/>
            <w:shd w:val="clear" w:color="auto" w:fill="EEEDED"/>
          </w:tcPr>
          <w:p>
            <w:pPr>
              <w:spacing w:after="0"/>
              <w:rPr>
                <w:sz w:val="14"/>
                <w:szCs w:val="14"/>
                <w:color w:val="auto"/>
              </w:rPr>
            </w:pPr>
          </w:p>
        </w:tc>
        <w:tc>
          <w:tcPr>
            <w:tcW w:w="200" w:type="dxa"/>
            <w:vAlign w:val="bottom"/>
            <w:shd w:val="clear" w:color="auto" w:fill="EEEDED"/>
          </w:tcPr>
          <w:p>
            <w:pPr>
              <w:spacing w:after="0"/>
              <w:rPr>
                <w:sz w:val="14"/>
                <w:szCs w:val="14"/>
                <w:color w:val="auto"/>
              </w:rPr>
            </w:pPr>
          </w:p>
        </w:tc>
        <w:tc>
          <w:tcPr>
            <w:tcW w:w="1180" w:type="dxa"/>
            <w:vAlign w:val="bottom"/>
            <w:shd w:val="clear" w:color="auto" w:fill="EEEDED"/>
          </w:tcPr>
          <w:p>
            <w:pPr>
              <w:jc w:val="center"/>
              <w:ind w:right="115"/>
              <w:spacing w:after="0"/>
              <w:rPr>
                <w:sz w:val="20"/>
                <w:szCs w:val="20"/>
                <w:color w:val="auto"/>
              </w:rPr>
            </w:pPr>
            <w:r>
              <w:rPr>
                <w:rFonts w:ascii="Arial" w:cs="Arial" w:eastAsia="Arial" w:hAnsi="Arial"/>
                <w:sz w:val="10"/>
                <w:szCs w:val="10"/>
                <w:b w:val="1"/>
                <w:bCs w:val="1"/>
                <w:color w:val="54585A"/>
                <w:w w:val="94"/>
              </w:rPr>
              <w:t>non-PEO NEOs</w:t>
            </w:r>
            <w:r>
              <w:rPr>
                <w:rFonts w:ascii="Arial" w:cs="Arial" w:eastAsia="Arial" w:hAnsi="Arial"/>
                <w:sz w:val="12"/>
                <w:szCs w:val="12"/>
                <w:b w:val="1"/>
                <w:bCs w:val="1"/>
                <w:color w:val="54585A"/>
                <w:w w:val="94"/>
                <w:vertAlign w:val="superscript"/>
              </w:rPr>
              <w:t>(3)</w:t>
            </w:r>
          </w:p>
        </w:tc>
        <w:tc>
          <w:tcPr>
            <w:tcW w:w="220" w:type="dxa"/>
            <w:vAlign w:val="bottom"/>
            <w:shd w:val="clear" w:color="auto" w:fill="EEEDED"/>
          </w:tcPr>
          <w:p>
            <w:pPr>
              <w:spacing w:after="0"/>
              <w:rPr>
                <w:sz w:val="14"/>
                <w:szCs w:val="14"/>
                <w:color w:val="auto"/>
              </w:rPr>
            </w:pPr>
          </w:p>
        </w:tc>
        <w:tc>
          <w:tcPr>
            <w:tcW w:w="1160" w:type="dxa"/>
            <w:vAlign w:val="bottom"/>
            <w:shd w:val="clear" w:color="auto" w:fill="EEEDED"/>
          </w:tcPr>
          <w:p>
            <w:pPr>
              <w:jc w:val="center"/>
              <w:ind w:right="175"/>
              <w:spacing w:after="0"/>
              <w:rPr>
                <w:sz w:val="20"/>
                <w:szCs w:val="20"/>
                <w:color w:val="auto"/>
              </w:rPr>
            </w:pPr>
            <w:r>
              <w:rPr>
                <w:rFonts w:ascii="Arial" w:cs="Arial" w:eastAsia="Arial" w:hAnsi="Arial"/>
                <w:sz w:val="10"/>
                <w:szCs w:val="10"/>
                <w:b w:val="1"/>
                <w:bCs w:val="1"/>
                <w:color w:val="54585A"/>
                <w:w w:val="91"/>
              </w:rPr>
              <w:t>NEOs</w:t>
            </w:r>
            <w:r>
              <w:rPr>
                <w:rFonts w:ascii="Arial" w:cs="Arial" w:eastAsia="Arial" w:hAnsi="Arial"/>
                <w:sz w:val="12"/>
                <w:szCs w:val="12"/>
                <w:b w:val="1"/>
                <w:bCs w:val="1"/>
                <w:color w:val="54585A"/>
                <w:w w:val="91"/>
                <w:vertAlign w:val="superscript"/>
              </w:rPr>
              <w:t>(4)</w:t>
            </w:r>
          </w:p>
        </w:tc>
        <w:tc>
          <w:tcPr>
            <w:tcW w:w="100" w:type="dxa"/>
            <w:vAlign w:val="bottom"/>
            <w:shd w:val="clear" w:color="auto" w:fill="EEEDED"/>
          </w:tcPr>
          <w:p>
            <w:pPr>
              <w:spacing w:after="0"/>
              <w:rPr>
                <w:sz w:val="14"/>
                <w:szCs w:val="14"/>
                <w:color w:val="auto"/>
              </w:rPr>
            </w:pPr>
          </w:p>
        </w:tc>
        <w:tc>
          <w:tcPr>
            <w:tcW w:w="1260" w:type="dxa"/>
            <w:vAlign w:val="bottom"/>
            <w:shd w:val="clear" w:color="auto" w:fill="EEEDED"/>
          </w:tcPr>
          <w:p>
            <w:pPr>
              <w:jc w:val="right"/>
              <w:ind w:right="472"/>
              <w:spacing w:after="0"/>
              <w:rPr>
                <w:sz w:val="20"/>
                <w:szCs w:val="20"/>
                <w:color w:val="auto"/>
              </w:rPr>
            </w:pPr>
            <w:r>
              <w:rPr>
                <w:rFonts w:ascii="Arial" w:cs="Arial" w:eastAsia="Arial" w:hAnsi="Arial"/>
                <w:sz w:val="10"/>
                <w:szCs w:val="10"/>
                <w:b w:val="1"/>
                <w:bCs w:val="1"/>
                <w:color w:val="54585A"/>
              </w:rPr>
              <w:t>(TSR)</w:t>
            </w:r>
            <w:r>
              <w:rPr>
                <w:rFonts w:ascii="Arial" w:cs="Arial" w:eastAsia="Arial" w:hAnsi="Arial"/>
                <w:sz w:val="12"/>
                <w:szCs w:val="12"/>
                <w:b w:val="1"/>
                <w:bCs w:val="1"/>
                <w:color w:val="54585A"/>
                <w:vertAlign w:val="superscript"/>
              </w:rPr>
              <w:t>(5)</w:t>
            </w:r>
          </w:p>
        </w:tc>
        <w:tc>
          <w:tcPr>
            <w:tcW w:w="240" w:type="dxa"/>
            <w:vAlign w:val="bottom"/>
            <w:shd w:val="clear" w:color="auto" w:fill="EEEDED"/>
          </w:tcPr>
          <w:p>
            <w:pPr>
              <w:spacing w:after="0"/>
              <w:rPr>
                <w:sz w:val="14"/>
                <w:szCs w:val="14"/>
                <w:color w:val="auto"/>
              </w:rPr>
            </w:pPr>
          </w:p>
        </w:tc>
        <w:tc>
          <w:tcPr>
            <w:tcW w:w="1040" w:type="dxa"/>
            <w:vAlign w:val="bottom"/>
            <w:shd w:val="clear" w:color="auto" w:fill="EEEDED"/>
          </w:tcPr>
          <w:p>
            <w:pPr>
              <w:jc w:val="right"/>
              <w:ind w:right="452"/>
              <w:spacing w:after="0"/>
              <w:rPr>
                <w:sz w:val="20"/>
                <w:szCs w:val="20"/>
                <w:color w:val="auto"/>
              </w:rPr>
            </w:pPr>
            <w:r>
              <w:rPr>
                <w:rFonts w:ascii="Arial" w:cs="Arial" w:eastAsia="Arial" w:hAnsi="Arial"/>
                <w:sz w:val="10"/>
                <w:szCs w:val="10"/>
                <w:b w:val="1"/>
                <w:bCs w:val="1"/>
                <w:color w:val="54585A"/>
              </w:rPr>
              <w:t>TSR</w:t>
            </w:r>
            <w:r>
              <w:rPr>
                <w:rFonts w:ascii="Arial" w:cs="Arial" w:eastAsia="Arial" w:hAnsi="Arial"/>
                <w:sz w:val="12"/>
                <w:szCs w:val="12"/>
                <w:b w:val="1"/>
                <w:bCs w:val="1"/>
                <w:color w:val="54585A"/>
                <w:vertAlign w:val="superscript"/>
              </w:rPr>
              <w:t>(6)</w:t>
            </w:r>
          </w:p>
        </w:tc>
        <w:tc>
          <w:tcPr>
            <w:tcW w:w="240" w:type="dxa"/>
            <w:vAlign w:val="bottom"/>
            <w:shd w:val="clear" w:color="auto" w:fill="EEEDED"/>
          </w:tcPr>
          <w:p>
            <w:pPr>
              <w:spacing w:after="0"/>
              <w:rPr>
                <w:sz w:val="14"/>
                <w:szCs w:val="14"/>
                <w:color w:val="auto"/>
              </w:rPr>
            </w:pPr>
          </w:p>
        </w:tc>
        <w:tc>
          <w:tcPr>
            <w:tcW w:w="1040" w:type="dxa"/>
            <w:vAlign w:val="bottom"/>
            <w:shd w:val="clear" w:color="auto" w:fill="EEEDED"/>
          </w:tcPr>
          <w:p>
            <w:pPr>
              <w:spacing w:after="0"/>
              <w:rPr>
                <w:sz w:val="14"/>
                <w:szCs w:val="14"/>
                <w:color w:val="auto"/>
              </w:rPr>
            </w:pPr>
          </w:p>
        </w:tc>
        <w:tc>
          <w:tcPr>
            <w:tcW w:w="140" w:type="dxa"/>
            <w:vAlign w:val="bottom"/>
            <w:shd w:val="clear" w:color="auto" w:fill="EEEDED"/>
          </w:tcPr>
          <w:p>
            <w:pPr>
              <w:spacing w:after="0"/>
              <w:rPr>
                <w:sz w:val="14"/>
                <w:szCs w:val="14"/>
                <w:color w:val="auto"/>
              </w:rPr>
            </w:pPr>
          </w:p>
        </w:tc>
        <w:tc>
          <w:tcPr>
            <w:tcW w:w="1140" w:type="dxa"/>
            <w:vAlign w:val="bottom"/>
            <w:shd w:val="clear" w:color="auto" w:fill="EEEDED"/>
          </w:tcPr>
          <w:p>
            <w:pPr>
              <w:spacing w:after="0"/>
              <w:rPr>
                <w:sz w:val="14"/>
                <w:szCs w:val="14"/>
                <w:color w:val="auto"/>
              </w:rPr>
            </w:pPr>
          </w:p>
        </w:tc>
        <w:tc>
          <w:tcPr>
            <w:tcW w:w="140" w:type="dxa"/>
            <w:vAlign w:val="bottom"/>
            <w:shd w:val="clear" w:color="auto" w:fill="EEEDED"/>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80" w:type="dxa"/>
            <w:vAlign w:val="bottom"/>
            <w:tcBorders>
              <w:bottom w:val="single" w:sz="8" w:color="EEEDED"/>
            </w:tcBorders>
            <w:vMerge w:val="continue"/>
            <w:shd w:val="clear" w:color="auto" w:fill="EEEDED"/>
          </w:tcPr>
          <w:p>
            <w:pPr>
              <w:spacing w:after="0"/>
              <w:rPr>
                <w:sz w:val="5"/>
                <w:szCs w:val="5"/>
                <w:color w:val="auto"/>
              </w:rPr>
            </w:pPr>
          </w:p>
        </w:tc>
        <w:tc>
          <w:tcPr>
            <w:tcW w:w="100" w:type="dxa"/>
            <w:vAlign w:val="bottom"/>
            <w:tcBorders>
              <w:bottom w:val="single" w:sz="8" w:color="EEEDED"/>
            </w:tcBorders>
            <w:shd w:val="clear" w:color="auto" w:fill="EEEDED"/>
          </w:tcPr>
          <w:p>
            <w:pPr>
              <w:spacing w:after="0"/>
              <w:rPr>
                <w:sz w:val="5"/>
                <w:szCs w:val="5"/>
                <w:color w:val="auto"/>
              </w:rPr>
            </w:pPr>
          </w:p>
        </w:tc>
        <w:tc>
          <w:tcPr>
            <w:tcW w:w="1260" w:type="dxa"/>
            <w:vAlign w:val="bottom"/>
            <w:tcBorders>
              <w:bottom w:val="single" w:sz="8" w:color="EEEDED"/>
            </w:tcBorders>
            <w:shd w:val="clear" w:color="auto" w:fill="EEEDED"/>
          </w:tcPr>
          <w:p>
            <w:pPr>
              <w:spacing w:after="0"/>
              <w:rPr>
                <w:sz w:val="5"/>
                <w:szCs w:val="5"/>
                <w:color w:val="auto"/>
              </w:rPr>
            </w:pPr>
          </w:p>
        </w:tc>
        <w:tc>
          <w:tcPr>
            <w:tcW w:w="300" w:type="dxa"/>
            <w:vAlign w:val="bottom"/>
            <w:tcBorders>
              <w:bottom w:val="single" w:sz="8" w:color="EEEDED"/>
            </w:tcBorders>
            <w:shd w:val="clear" w:color="auto" w:fill="EEEDED"/>
          </w:tcPr>
          <w:p>
            <w:pPr>
              <w:spacing w:after="0"/>
              <w:rPr>
                <w:sz w:val="5"/>
                <w:szCs w:val="5"/>
                <w:color w:val="auto"/>
              </w:rPr>
            </w:pPr>
          </w:p>
        </w:tc>
        <w:tc>
          <w:tcPr>
            <w:tcW w:w="1060" w:type="dxa"/>
            <w:vAlign w:val="bottom"/>
            <w:tcBorders>
              <w:bottom w:val="single" w:sz="8" w:color="EEEDED"/>
            </w:tcBorders>
            <w:shd w:val="clear" w:color="auto" w:fill="EEEDED"/>
          </w:tcPr>
          <w:p>
            <w:pPr>
              <w:spacing w:after="0"/>
              <w:rPr>
                <w:sz w:val="5"/>
                <w:szCs w:val="5"/>
                <w:color w:val="auto"/>
              </w:rPr>
            </w:pPr>
          </w:p>
        </w:tc>
        <w:tc>
          <w:tcPr>
            <w:tcW w:w="200" w:type="dxa"/>
            <w:vAlign w:val="bottom"/>
            <w:tcBorders>
              <w:bottom w:val="single" w:sz="8" w:color="EEEDED"/>
            </w:tcBorders>
            <w:shd w:val="clear" w:color="auto" w:fill="EEEDED"/>
          </w:tcPr>
          <w:p>
            <w:pPr>
              <w:spacing w:after="0"/>
              <w:rPr>
                <w:sz w:val="5"/>
                <w:szCs w:val="5"/>
                <w:color w:val="auto"/>
              </w:rPr>
            </w:pPr>
          </w:p>
        </w:tc>
        <w:tc>
          <w:tcPr>
            <w:tcW w:w="1180" w:type="dxa"/>
            <w:vAlign w:val="bottom"/>
            <w:tcBorders>
              <w:bottom w:val="single" w:sz="8" w:color="EEEDED"/>
            </w:tcBorders>
            <w:shd w:val="clear" w:color="auto" w:fill="EEEDED"/>
          </w:tcPr>
          <w:p>
            <w:pPr>
              <w:spacing w:after="0"/>
              <w:rPr>
                <w:sz w:val="5"/>
                <w:szCs w:val="5"/>
                <w:color w:val="auto"/>
              </w:rPr>
            </w:pPr>
          </w:p>
        </w:tc>
        <w:tc>
          <w:tcPr>
            <w:tcW w:w="220" w:type="dxa"/>
            <w:vAlign w:val="bottom"/>
            <w:tcBorders>
              <w:bottom w:val="single" w:sz="8" w:color="EEEDED"/>
            </w:tcBorders>
            <w:shd w:val="clear" w:color="auto" w:fill="EEEDED"/>
          </w:tcPr>
          <w:p>
            <w:pPr>
              <w:spacing w:after="0"/>
              <w:rPr>
                <w:sz w:val="5"/>
                <w:szCs w:val="5"/>
                <w:color w:val="auto"/>
              </w:rPr>
            </w:pPr>
          </w:p>
        </w:tc>
        <w:tc>
          <w:tcPr>
            <w:tcW w:w="1160" w:type="dxa"/>
            <w:vAlign w:val="bottom"/>
            <w:tcBorders>
              <w:bottom w:val="single" w:sz="8" w:color="EEEDED"/>
            </w:tcBorders>
            <w:shd w:val="clear" w:color="auto" w:fill="EEEDED"/>
          </w:tcPr>
          <w:p>
            <w:pPr>
              <w:spacing w:after="0"/>
              <w:rPr>
                <w:sz w:val="5"/>
                <w:szCs w:val="5"/>
                <w:color w:val="auto"/>
              </w:rPr>
            </w:pPr>
          </w:p>
        </w:tc>
        <w:tc>
          <w:tcPr>
            <w:tcW w:w="100" w:type="dxa"/>
            <w:vAlign w:val="bottom"/>
            <w:tcBorders>
              <w:bottom w:val="single" w:sz="8" w:color="EEEDED"/>
            </w:tcBorders>
            <w:shd w:val="clear" w:color="auto" w:fill="EEEDED"/>
          </w:tcPr>
          <w:p>
            <w:pPr>
              <w:spacing w:after="0"/>
              <w:rPr>
                <w:sz w:val="5"/>
                <w:szCs w:val="5"/>
                <w:color w:val="auto"/>
              </w:rPr>
            </w:pPr>
          </w:p>
        </w:tc>
        <w:tc>
          <w:tcPr>
            <w:tcW w:w="1260" w:type="dxa"/>
            <w:vAlign w:val="bottom"/>
            <w:tcBorders>
              <w:bottom w:val="single" w:sz="8" w:color="EEEDED"/>
            </w:tcBorders>
            <w:shd w:val="clear" w:color="auto" w:fill="EEEDED"/>
          </w:tcPr>
          <w:p>
            <w:pPr>
              <w:spacing w:after="0"/>
              <w:rPr>
                <w:sz w:val="5"/>
                <w:szCs w:val="5"/>
                <w:color w:val="auto"/>
              </w:rPr>
            </w:pPr>
          </w:p>
        </w:tc>
        <w:tc>
          <w:tcPr>
            <w:tcW w:w="240" w:type="dxa"/>
            <w:vAlign w:val="bottom"/>
            <w:tcBorders>
              <w:bottom w:val="single" w:sz="8" w:color="EEEDED"/>
            </w:tcBorders>
            <w:shd w:val="clear" w:color="auto" w:fill="EEEDED"/>
          </w:tcPr>
          <w:p>
            <w:pPr>
              <w:spacing w:after="0"/>
              <w:rPr>
                <w:sz w:val="5"/>
                <w:szCs w:val="5"/>
                <w:color w:val="auto"/>
              </w:rPr>
            </w:pPr>
          </w:p>
        </w:tc>
        <w:tc>
          <w:tcPr>
            <w:tcW w:w="1040" w:type="dxa"/>
            <w:vAlign w:val="bottom"/>
            <w:tcBorders>
              <w:bottom w:val="single" w:sz="8" w:color="EEEDED"/>
            </w:tcBorders>
            <w:shd w:val="clear" w:color="auto" w:fill="EEEDED"/>
          </w:tcPr>
          <w:p>
            <w:pPr>
              <w:spacing w:after="0"/>
              <w:rPr>
                <w:sz w:val="5"/>
                <w:szCs w:val="5"/>
                <w:color w:val="auto"/>
              </w:rPr>
            </w:pPr>
          </w:p>
        </w:tc>
        <w:tc>
          <w:tcPr>
            <w:tcW w:w="240" w:type="dxa"/>
            <w:vAlign w:val="bottom"/>
            <w:tcBorders>
              <w:bottom w:val="single" w:sz="8" w:color="EEEDED"/>
            </w:tcBorders>
            <w:shd w:val="clear" w:color="auto" w:fill="EEEDED"/>
          </w:tcPr>
          <w:p>
            <w:pPr>
              <w:spacing w:after="0"/>
              <w:rPr>
                <w:sz w:val="5"/>
                <w:szCs w:val="5"/>
                <w:color w:val="auto"/>
              </w:rPr>
            </w:pPr>
          </w:p>
        </w:tc>
        <w:tc>
          <w:tcPr>
            <w:tcW w:w="1040" w:type="dxa"/>
            <w:vAlign w:val="bottom"/>
            <w:tcBorders>
              <w:bottom w:val="single" w:sz="8" w:color="EEEDED"/>
            </w:tcBorders>
            <w:shd w:val="clear" w:color="auto" w:fill="EEEDED"/>
          </w:tcPr>
          <w:p>
            <w:pPr>
              <w:spacing w:after="0"/>
              <w:rPr>
                <w:sz w:val="5"/>
                <w:szCs w:val="5"/>
                <w:color w:val="auto"/>
              </w:rPr>
            </w:pPr>
          </w:p>
        </w:tc>
        <w:tc>
          <w:tcPr>
            <w:tcW w:w="140" w:type="dxa"/>
            <w:vAlign w:val="bottom"/>
            <w:tcBorders>
              <w:bottom w:val="single" w:sz="8" w:color="EEEDED"/>
            </w:tcBorders>
            <w:shd w:val="clear" w:color="auto" w:fill="EEEDED"/>
          </w:tcPr>
          <w:p>
            <w:pPr>
              <w:spacing w:after="0"/>
              <w:rPr>
                <w:sz w:val="5"/>
                <w:szCs w:val="5"/>
                <w:color w:val="auto"/>
              </w:rPr>
            </w:pPr>
          </w:p>
        </w:tc>
        <w:tc>
          <w:tcPr>
            <w:tcW w:w="1140" w:type="dxa"/>
            <w:vAlign w:val="bottom"/>
            <w:tcBorders>
              <w:bottom w:val="single" w:sz="8" w:color="EEEDED"/>
            </w:tcBorders>
            <w:shd w:val="clear" w:color="auto" w:fill="EEEDED"/>
          </w:tcPr>
          <w:p>
            <w:pPr>
              <w:spacing w:after="0"/>
              <w:rPr>
                <w:sz w:val="5"/>
                <w:szCs w:val="5"/>
                <w:color w:val="auto"/>
              </w:rPr>
            </w:pPr>
          </w:p>
        </w:tc>
        <w:tc>
          <w:tcPr>
            <w:tcW w:w="140" w:type="dxa"/>
            <w:vAlign w:val="bottom"/>
            <w:tcBorders>
              <w:bottom w:val="single" w:sz="8" w:color="EEEDED"/>
            </w:tcBorders>
            <w:shd w:val="clear" w:color="auto" w:fill="EEEDED"/>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480" w:type="dxa"/>
            <w:vAlign w:val="bottom"/>
            <w:tcBorders>
              <w:bottom w:val="single" w:sz="8" w:color="54585A"/>
            </w:tcBorders>
          </w:tcPr>
          <w:p>
            <w:pPr>
              <w:ind w:left="140"/>
              <w:spacing w:after="0"/>
              <w:rPr>
                <w:sz w:val="20"/>
                <w:szCs w:val="20"/>
                <w:color w:val="auto"/>
              </w:rPr>
            </w:pPr>
            <w:r>
              <w:rPr>
                <w:rFonts w:ascii="Arial" w:cs="Arial" w:eastAsia="Arial" w:hAnsi="Arial"/>
                <w:sz w:val="10"/>
                <w:szCs w:val="10"/>
                <w:color w:val="54585A"/>
              </w:rPr>
              <w:t>2022</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w:t>
            </w:r>
          </w:p>
        </w:tc>
        <w:tc>
          <w:tcPr>
            <w:tcW w:w="12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1,892,166</w:t>
            </w:r>
          </w:p>
        </w:tc>
        <w:tc>
          <w:tcPr>
            <w:tcW w:w="300" w:type="dxa"/>
            <w:vAlign w:val="bottom"/>
            <w:tcBorders>
              <w:bottom w:val="single" w:sz="8" w:color="54585A"/>
            </w:tcBorders>
          </w:tcPr>
          <w:p>
            <w:pPr>
              <w:jc w:val="right"/>
              <w:ind w:right="172"/>
              <w:spacing w:after="0"/>
              <w:rPr>
                <w:sz w:val="20"/>
                <w:szCs w:val="20"/>
                <w:color w:val="auto"/>
              </w:rPr>
            </w:pPr>
            <w:r>
              <w:rPr>
                <w:rFonts w:ascii="Arial" w:cs="Arial" w:eastAsia="Arial" w:hAnsi="Arial"/>
                <w:sz w:val="10"/>
                <w:szCs w:val="10"/>
                <w:color w:val="54585A"/>
              </w:rPr>
              <w:t>$</w:t>
            </w:r>
          </w:p>
        </w:tc>
        <w:tc>
          <w:tcPr>
            <w:tcW w:w="10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1,250,965</w:t>
            </w:r>
          </w:p>
        </w:tc>
        <w:tc>
          <w:tcPr>
            <w:tcW w:w="200" w:type="dxa"/>
            <w:vAlign w:val="bottom"/>
            <w:tcBorders>
              <w:bottom w:val="single" w:sz="8" w:color="54585A"/>
            </w:tcBorders>
          </w:tcPr>
          <w:p>
            <w:pPr>
              <w:jc w:val="right"/>
              <w:ind w:right="72"/>
              <w:spacing w:after="0"/>
              <w:rPr>
                <w:sz w:val="20"/>
                <w:szCs w:val="20"/>
                <w:color w:val="auto"/>
              </w:rPr>
            </w:pPr>
            <w:r>
              <w:rPr>
                <w:rFonts w:ascii="Arial" w:cs="Arial" w:eastAsia="Arial" w:hAnsi="Arial"/>
                <w:sz w:val="10"/>
                <w:szCs w:val="10"/>
                <w:color w:val="54585A"/>
              </w:rPr>
              <w:t>$</w:t>
            </w:r>
          </w:p>
        </w:tc>
        <w:tc>
          <w:tcPr>
            <w:tcW w:w="11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1,764,537</w:t>
            </w:r>
          </w:p>
        </w:tc>
        <w:tc>
          <w:tcPr>
            <w:tcW w:w="220" w:type="dxa"/>
            <w:vAlign w:val="bottom"/>
            <w:tcBorders>
              <w:bottom w:val="single" w:sz="8" w:color="54585A"/>
            </w:tcBorders>
          </w:tcPr>
          <w:p>
            <w:pPr>
              <w:jc w:val="right"/>
              <w:ind w:right="92"/>
              <w:spacing w:after="0"/>
              <w:rPr>
                <w:sz w:val="20"/>
                <w:szCs w:val="20"/>
                <w:color w:val="auto"/>
              </w:rPr>
            </w:pPr>
            <w:r>
              <w:rPr>
                <w:rFonts w:ascii="Arial" w:cs="Arial" w:eastAsia="Arial" w:hAnsi="Arial"/>
                <w:sz w:val="10"/>
                <w:szCs w:val="10"/>
                <w:color w:val="54585A"/>
              </w:rPr>
              <w:t>$</w:t>
            </w:r>
          </w:p>
        </w:tc>
        <w:tc>
          <w:tcPr>
            <w:tcW w:w="11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1,277,946</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2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255.77</w:t>
            </w:r>
          </w:p>
        </w:tc>
        <w:tc>
          <w:tcPr>
            <w:tcW w:w="24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w:t>
            </w:r>
          </w:p>
        </w:tc>
        <w:tc>
          <w:tcPr>
            <w:tcW w:w="10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95.61</w:t>
            </w:r>
          </w:p>
        </w:tc>
        <w:tc>
          <w:tcPr>
            <w:tcW w:w="24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w:t>
            </w:r>
          </w:p>
        </w:tc>
        <w:tc>
          <w:tcPr>
            <w:tcW w:w="10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(256,915,000)</w:t>
            </w:r>
          </w:p>
        </w:tc>
        <w:tc>
          <w:tcPr>
            <w:tcW w:w="140" w:type="dxa"/>
            <w:vAlign w:val="bottom"/>
            <w:tcBorders>
              <w:bottom w:val="single" w:sz="8" w:color="54585A"/>
            </w:tcBorders>
          </w:tcPr>
          <w:p>
            <w:pPr>
              <w:jc w:val="right"/>
              <w:ind w:right="32"/>
              <w:spacing w:after="0"/>
              <w:rPr>
                <w:sz w:val="20"/>
                <w:szCs w:val="20"/>
                <w:color w:val="auto"/>
              </w:rPr>
            </w:pPr>
            <w:r>
              <w:rPr>
                <w:rFonts w:ascii="Arial" w:cs="Arial" w:eastAsia="Arial" w:hAnsi="Arial"/>
                <w:sz w:val="10"/>
                <w:szCs w:val="10"/>
                <w:color w:val="54585A"/>
                <w:w w:val="71"/>
              </w:rPr>
              <w:t>$</w:t>
            </w:r>
          </w:p>
        </w:tc>
        <w:tc>
          <w:tcPr>
            <w:tcW w:w="11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57,396,000</w:t>
            </w:r>
          </w:p>
        </w:tc>
        <w:tc>
          <w:tcPr>
            <w:tcW w:w="140" w:type="dxa"/>
            <w:vAlign w:val="bottom"/>
            <w:tcBorders>
              <w:bottom w:val="single" w:sz="8" w:color="54585A"/>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 w:type="dxa"/>
            <w:vAlign w:val="bottom"/>
            <w:tcBorders>
              <w:bottom w:val="single" w:sz="8" w:color="54585A"/>
            </w:tcBorders>
          </w:tcPr>
          <w:p>
            <w:pPr>
              <w:ind w:left="140"/>
              <w:spacing w:after="0"/>
              <w:rPr>
                <w:sz w:val="20"/>
                <w:szCs w:val="20"/>
                <w:color w:val="auto"/>
              </w:rPr>
            </w:pPr>
            <w:r>
              <w:rPr>
                <w:rFonts w:ascii="Arial" w:cs="Arial" w:eastAsia="Arial" w:hAnsi="Arial"/>
                <w:sz w:val="10"/>
                <w:szCs w:val="10"/>
                <w:color w:val="54585A"/>
              </w:rPr>
              <w:t>2021</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w:t>
            </w:r>
          </w:p>
        </w:tc>
        <w:tc>
          <w:tcPr>
            <w:tcW w:w="12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871,997</w:t>
            </w:r>
          </w:p>
        </w:tc>
        <w:tc>
          <w:tcPr>
            <w:tcW w:w="300" w:type="dxa"/>
            <w:vAlign w:val="bottom"/>
            <w:tcBorders>
              <w:bottom w:val="single" w:sz="8" w:color="54585A"/>
            </w:tcBorders>
          </w:tcPr>
          <w:p>
            <w:pPr>
              <w:jc w:val="right"/>
              <w:ind w:right="172"/>
              <w:spacing w:after="0"/>
              <w:rPr>
                <w:sz w:val="20"/>
                <w:szCs w:val="20"/>
                <w:color w:val="auto"/>
              </w:rPr>
            </w:pPr>
            <w:r>
              <w:rPr>
                <w:rFonts w:ascii="Arial" w:cs="Arial" w:eastAsia="Arial" w:hAnsi="Arial"/>
                <w:sz w:val="10"/>
                <w:szCs w:val="10"/>
                <w:color w:val="54585A"/>
              </w:rPr>
              <w:t>$</w:t>
            </w:r>
          </w:p>
        </w:tc>
        <w:tc>
          <w:tcPr>
            <w:tcW w:w="10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4,318,956</w:t>
            </w:r>
          </w:p>
        </w:tc>
        <w:tc>
          <w:tcPr>
            <w:tcW w:w="200" w:type="dxa"/>
            <w:vAlign w:val="bottom"/>
            <w:tcBorders>
              <w:bottom w:val="single" w:sz="8" w:color="54585A"/>
            </w:tcBorders>
          </w:tcPr>
          <w:p>
            <w:pPr>
              <w:jc w:val="right"/>
              <w:ind w:right="72"/>
              <w:spacing w:after="0"/>
              <w:rPr>
                <w:sz w:val="20"/>
                <w:szCs w:val="20"/>
                <w:color w:val="auto"/>
              </w:rPr>
            </w:pPr>
            <w:r>
              <w:rPr>
                <w:rFonts w:ascii="Arial" w:cs="Arial" w:eastAsia="Arial" w:hAnsi="Arial"/>
                <w:sz w:val="10"/>
                <w:szCs w:val="10"/>
                <w:color w:val="54585A"/>
              </w:rPr>
              <w:t>$</w:t>
            </w:r>
          </w:p>
        </w:tc>
        <w:tc>
          <w:tcPr>
            <w:tcW w:w="11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595,857</w:t>
            </w:r>
          </w:p>
        </w:tc>
        <w:tc>
          <w:tcPr>
            <w:tcW w:w="220" w:type="dxa"/>
            <w:vAlign w:val="bottom"/>
            <w:tcBorders>
              <w:bottom w:val="single" w:sz="8" w:color="54585A"/>
            </w:tcBorders>
          </w:tcPr>
          <w:p>
            <w:pPr>
              <w:jc w:val="right"/>
              <w:ind w:right="92"/>
              <w:spacing w:after="0"/>
              <w:rPr>
                <w:sz w:val="20"/>
                <w:szCs w:val="20"/>
                <w:color w:val="auto"/>
              </w:rPr>
            </w:pPr>
            <w:r>
              <w:rPr>
                <w:rFonts w:ascii="Arial" w:cs="Arial" w:eastAsia="Arial" w:hAnsi="Arial"/>
                <w:sz w:val="10"/>
                <w:szCs w:val="10"/>
                <w:color w:val="54585A"/>
              </w:rPr>
              <w:t>$</w:t>
            </w:r>
          </w:p>
        </w:tc>
        <w:tc>
          <w:tcPr>
            <w:tcW w:w="11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952,036</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2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223.08</w:t>
            </w:r>
          </w:p>
        </w:tc>
        <w:tc>
          <w:tcPr>
            <w:tcW w:w="24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w:t>
            </w:r>
          </w:p>
        </w:tc>
        <w:tc>
          <w:tcPr>
            <w:tcW w:w="10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127.87</w:t>
            </w:r>
          </w:p>
        </w:tc>
        <w:tc>
          <w:tcPr>
            <w:tcW w:w="24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w:t>
            </w:r>
          </w:p>
        </w:tc>
        <w:tc>
          <w:tcPr>
            <w:tcW w:w="10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(112,625,000)</w:t>
            </w:r>
          </w:p>
        </w:tc>
        <w:tc>
          <w:tcPr>
            <w:tcW w:w="140" w:type="dxa"/>
            <w:vAlign w:val="bottom"/>
            <w:tcBorders>
              <w:bottom w:val="single" w:sz="8" w:color="54585A"/>
            </w:tcBorders>
          </w:tcPr>
          <w:p>
            <w:pPr>
              <w:jc w:val="right"/>
              <w:ind w:right="32"/>
              <w:spacing w:after="0"/>
              <w:rPr>
                <w:sz w:val="20"/>
                <w:szCs w:val="20"/>
                <w:color w:val="auto"/>
              </w:rPr>
            </w:pPr>
            <w:r>
              <w:rPr>
                <w:rFonts w:ascii="Arial" w:cs="Arial" w:eastAsia="Arial" w:hAnsi="Arial"/>
                <w:sz w:val="10"/>
                <w:szCs w:val="10"/>
                <w:color w:val="54585A"/>
                <w:w w:val="71"/>
              </w:rPr>
              <w:t>$</w:t>
            </w:r>
          </w:p>
        </w:tc>
        <w:tc>
          <w:tcPr>
            <w:tcW w:w="11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38,711,000</w:t>
            </w:r>
          </w:p>
        </w:tc>
        <w:tc>
          <w:tcPr>
            <w:tcW w:w="140" w:type="dxa"/>
            <w:vAlign w:val="bottom"/>
            <w:tcBorders>
              <w:bottom w:val="single" w:sz="8" w:color="54585A"/>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 w:type="dxa"/>
            <w:vAlign w:val="bottom"/>
            <w:tcBorders>
              <w:bottom w:val="single" w:sz="8" w:color="54585A"/>
            </w:tcBorders>
          </w:tcPr>
          <w:p>
            <w:pPr>
              <w:ind w:left="140"/>
              <w:spacing w:after="0"/>
              <w:rPr>
                <w:sz w:val="20"/>
                <w:szCs w:val="20"/>
                <w:color w:val="auto"/>
              </w:rPr>
            </w:pPr>
            <w:r>
              <w:rPr>
                <w:rFonts w:ascii="Arial" w:cs="Arial" w:eastAsia="Arial" w:hAnsi="Arial"/>
                <w:sz w:val="10"/>
                <w:szCs w:val="10"/>
                <w:color w:val="54585A"/>
              </w:rPr>
              <w:t>2020</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w:t>
            </w:r>
          </w:p>
        </w:tc>
        <w:tc>
          <w:tcPr>
            <w:tcW w:w="12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727,937</w:t>
            </w:r>
          </w:p>
        </w:tc>
        <w:tc>
          <w:tcPr>
            <w:tcW w:w="300" w:type="dxa"/>
            <w:vAlign w:val="bottom"/>
            <w:tcBorders>
              <w:bottom w:val="single" w:sz="8" w:color="54585A"/>
            </w:tcBorders>
          </w:tcPr>
          <w:p>
            <w:pPr>
              <w:jc w:val="right"/>
              <w:ind w:right="172"/>
              <w:spacing w:after="0"/>
              <w:rPr>
                <w:sz w:val="20"/>
                <w:szCs w:val="20"/>
                <w:color w:val="auto"/>
              </w:rPr>
            </w:pPr>
            <w:r>
              <w:rPr>
                <w:rFonts w:ascii="Arial" w:cs="Arial" w:eastAsia="Arial" w:hAnsi="Arial"/>
                <w:sz w:val="10"/>
                <w:szCs w:val="10"/>
                <w:color w:val="54585A"/>
              </w:rPr>
              <w:t>$</w:t>
            </w:r>
          </w:p>
        </w:tc>
        <w:tc>
          <w:tcPr>
            <w:tcW w:w="10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145,209</w:t>
            </w:r>
          </w:p>
        </w:tc>
        <w:tc>
          <w:tcPr>
            <w:tcW w:w="200" w:type="dxa"/>
            <w:vAlign w:val="bottom"/>
            <w:tcBorders>
              <w:bottom w:val="single" w:sz="8" w:color="54585A"/>
            </w:tcBorders>
          </w:tcPr>
          <w:p>
            <w:pPr>
              <w:jc w:val="right"/>
              <w:ind w:right="72"/>
              <w:spacing w:after="0"/>
              <w:rPr>
                <w:sz w:val="20"/>
                <w:szCs w:val="20"/>
                <w:color w:val="auto"/>
              </w:rPr>
            </w:pPr>
            <w:r>
              <w:rPr>
                <w:rFonts w:ascii="Arial" w:cs="Arial" w:eastAsia="Arial" w:hAnsi="Arial"/>
                <w:sz w:val="10"/>
                <w:szCs w:val="10"/>
                <w:color w:val="54585A"/>
              </w:rPr>
              <w:t>$</w:t>
            </w:r>
          </w:p>
        </w:tc>
        <w:tc>
          <w:tcPr>
            <w:tcW w:w="11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580,343</w:t>
            </w:r>
          </w:p>
        </w:tc>
        <w:tc>
          <w:tcPr>
            <w:tcW w:w="220" w:type="dxa"/>
            <w:vAlign w:val="bottom"/>
            <w:tcBorders>
              <w:bottom w:val="single" w:sz="8" w:color="54585A"/>
            </w:tcBorders>
          </w:tcPr>
          <w:p>
            <w:pPr>
              <w:jc w:val="right"/>
              <w:ind w:right="92"/>
              <w:spacing w:after="0"/>
              <w:rPr>
                <w:sz w:val="20"/>
                <w:szCs w:val="20"/>
                <w:color w:val="auto"/>
              </w:rPr>
            </w:pPr>
            <w:r>
              <w:rPr>
                <w:rFonts w:ascii="Arial" w:cs="Arial" w:eastAsia="Arial" w:hAnsi="Arial"/>
                <w:sz w:val="10"/>
                <w:szCs w:val="10"/>
                <w:color w:val="54585A"/>
              </w:rPr>
              <w:t>$</w:t>
            </w:r>
          </w:p>
        </w:tc>
        <w:tc>
          <w:tcPr>
            <w:tcW w:w="11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375,332</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2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65.38</w:t>
            </w:r>
          </w:p>
        </w:tc>
        <w:tc>
          <w:tcPr>
            <w:tcW w:w="24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w:t>
            </w:r>
          </w:p>
        </w:tc>
        <w:tc>
          <w:tcPr>
            <w:tcW w:w="10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122.04</w:t>
            </w:r>
          </w:p>
        </w:tc>
        <w:tc>
          <w:tcPr>
            <w:tcW w:w="24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w:t>
            </w:r>
          </w:p>
        </w:tc>
        <w:tc>
          <w:tcPr>
            <w:tcW w:w="10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(109,639,000)</w:t>
            </w:r>
          </w:p>
        </w:tc>
        <w:tc>
          <w:tcPr>
            <w:tcW w:w="140" w:type="dxa"/>
            <w:vAlign w:val="bottom"/>
            <w:tcBorders>
              <w:bottom w:val="single" w:sz="8" w:color="54585A"/>
            </w:tcBorders>
          </w:tcPr>
          <w:p>
            <w:pPr>
              <w:jc w:val="right"/>
              <w:ind w:right="32"/>
              <w:spacing w:after="0"/>
              <w:rPr>
                <w:sz w:val="20"/>
                <w:szCs w:val="20"/>
                <w:color w:val="auto"/>
              </w:rPr>
            </w:pPr>
            <w:r>
              <w:rPr>
                <w:rFonts w:ascii="Arial" w:cs="Arial" w:eastAsia="Arial" w:hAnsi="Arial"/>
                <w:sz w:val="10"/>
                <w:szCs w:val="10"/>
                <w:color w:val="54585A"/>
                <w:w w:val="71"/>
              </w:rPr>
              <w:t>$</w:t>
            </w:r>
          </w:p>
        </w:tc>
        <w:tc>
          <w:tcPr>
            <w:tcW w:w="11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42,158,000</w:t>
            </w:r>
          </w:p>
        </w:tc>
        <w:tc>
          <w:tcPr>
            <w:tcW w:w="140" w:type="dxa"/>
            <w:vAlign w:val="bottom"/>
            <w:tcBorders>
              <w:bottom w:val="single" w:sz="8" w:color="54585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8" w:right="220" w:hanging="208"/>
        <w:spacing w:after="0" w:line="243" w:lineRule="auto"/>
        <w:tabs>
          <w:tab w:leader="none" w:pos="207" w:val="left"/>
        </w:tabs>
        <w:numPr>
          <w:ilvl w:val="0"/>
          <w:numId w:val="58"/>
        </w:numPr>
        <w:rPr>
          <w:rFonts w:ascii="Arial" w:cs="Arial" w:eastAsia="Arial" w:hAnsi="Arial"/>
          <w:sz w:val="10"/>
          <w:szCs w:val="10"/>
          <w:color w:val="54585A"/>
        </w:rPr>
      </w:pPr>
      <w:r>
        <w:rPr>
          <w:rFonts w:ascii="Arial" w:cs="Arial" w:eastAsia="Arial" w:hAnsi="Arial"/>
          <w:sz w:val="10"/>
          <w:szCs w:val="10"/>
          <w:color w:val="54585A"/>
        </w:rPr>
        <w:t>David B. Kagan, our Chief Executive Officer, was our PEO for each year presented. The dollar amounts reported are the amounts of total compensation reported for Mr. Kagan for each corresponding year in the “Total” column of the Summary Compensation Table. Refer to Executive Compensation – Summary Compensation Table.</w:t>
      </w:r>
    </w:p>
    <w:p>
      <w:pPr>
        <w:spacing w:after="0" w:line="73" w:lineRule="exact"/>
        <w:rPr>
          <w:rFonts w:ascii="Arial" w:cs="Arial" w:eastAsia="Arial" w:hAnsi="Arial"/>
          <w:sz w:val="10"/>
          <w:szCs w:val="10"/>
          <w:color w:val="54585A"/>
        </w:rPr>
      </w:pPr>
    </w:p>
    <w:p>
      <w:pPr>
        <w:jc w:val="both"/>
        <w:ind w:left="208" w:right="100" w:hanging="208"/>
        <w:spacing w:after="0" w:line="236" w:lineRule="auto"/>
        <w:tabs>
          <w:tab w:leader="none" w:pos="207" w:val="left"/>
        </w:tabs>
        <w:numPr>
          <w:ilvl w:val="0"/>
          <w:numId w:val="58"/>
        </w:numPr>
        <w:rPr>
          <w:rFonts w:ascii="Arial" w:cs="Arial" w:eastAsia="Arial" w:hAnsi="Arial"/>
          <w:sz w:val="10"/>
          <w:szCs w:val="10"/>
          <w:color w:val="54585A"/>
        </w:rPr>
      </w:pPr>
      <w:r>
        <w:rPr>
          <w:rFonts w:ascii="Arial" w:cs="Arial" w:eastAsia="Arial" w:hAnsi="Arial"/>
          <w:sz w:val="10"/>
          <w:szCs w:val="10"/>
          <w:color w:val="54585A"/>
        </w:rPr>
        <w:t>The dollar amounts reported represent the amount of “compensation actually paid” to Mr. Kagan, as calculated in accordance with Item 402(v) of Regulation S-K. The dollar amounts do not reflect the actual amount of compensation earned or paid to Mr. Kagan during the applicable year. These amounts reflect the Summary Compensation Table Total with certain adjustments as described below. Mr. Kagan does not have pension benefits; therefore, columns reporting Change in Actuarial Value of Pension Benefits and Pension Benefit Adjustments are omitted.</w:t>
      </w:r>
    </w:p>
    <w:p>
      <w:pPr>
        <w:spacing w:after="0" w:line="126" w:lineRule="exact"/>
        <w:rPr>
          <w:sz w:val="20"/>
          <w:szCs w:val="20"/>
          <w:color w:val="auto"/>
        </w:rPr>
      </w:pPr>
    </w:p>
    <w:tbl>
      <w:tblPr>
        <w:tblLayout w:type="fixed"/>
        <w:tblInd w:w="168" w:type="dxa"/>
        <w:tblCellMar>
          <w:top w:w="0" w:type="dxa"/>
          <w:left w:w="0" w:type="dxa"/>
          <w:bottom w:w="0" w:type="dxa"/>
          <w:right w:w="0" w:type="dxa"/>
        </w:tblCellMar>
      </w:tblPr>
      <w:tr>
        <w:trPr>
          <w:trHeight w:val="153"/>
        </w:trPr>
        <w:tc>
          <w:tcPr>
            <w:tcW w:w="920" w:type="dxa"/>
            <w:vAlign w:val="bottom"/>
            <w:shd w:val="clear" w:color="auto" w:fill="EEEDED"/>
          </w:tcPr>
          <w:p>
            <w:pPr>
              <w:ind w:left="360"/>
              <w:spacing w:after="0"/>
              <w:rPr>
                <w:sz w:val="20"/>
                <w:szCs w:val="20"/>
                <w:color w:val="auto"/>
              </w:rPr>
            </w:pPr>
            <w:r>
              <w:rPr>
                <w:rFonts w:ascii="Arial" w:cs="Arial" w:eastAsia="Arial" w:hAnsi="Arial"/>
                <w:sz w:val="10"/>
                <w:szCs w:val="10"/>
                <w:b w:val="1"/>
                <w:bCs w:val="1"/>
                <w:color w:val="54585A"/>
              </w:rPr>
              <w:t>Year</w:t>
            </w:r>
          </w:p>
        </w:tc>
        <w:tc>
          <w:tcPr>
            <w:tcW w:w="180" w:type="dxa"/>
            <w:vAlign w:val="bottom"/>
            <w:shd w:val="clear" w:color="auto" w:fill="EEEDED"/>
          </w:tcPr>
          <w:p>
            <w:pPr>
              <w:spacing w:after="0"/>
              <w:rPr>
                <w:sz w:val="13"/>
                <w:szCs w:val="13"/>
                <w:color w:val="auto"/>
              </w:rPr>
            </w:pPr>
          </w:p>
        </w:tc>
        <w:tc>
          <w:tcPr>
            <w:tcW w:w="2340" w:type="dxa"/>
            <w:vAlign w:val="bottom"/>
            <w:shd w:val="clear" w:color="auto" w:fill="EEEDED"/>
          </w:tcPr>
          <w:p>
            <w:pPr>
              <w:jc w:val="right"/>
              <w:ind w:right="212"/>
              <w:spacing w:after="0"/>
              <w:rPr>
                <w:sz w:val="20"/>
                <w:szCs w:val="20"/>
                <w:color w:val="auto"/>
              </w:rPr>
            </w:pPr>
            <w:r>
              <w:rPr>
                <w:rFonts w:ascii="Arial" w:cs="Arial" w:eastAsia="Arial" w:hAnsi="Arial"/>
                <w:sz w:val="10"/>
                <w:szCs w:val="10"/>
                <w:b w:val="1"/>
                <w:bCs w:val="1"/>
                <w:color w:val="54585A"/>
                <w:w w:val="99"/>
              </w:rPr>
              <w:t>Summary compensation table total for PEO</w:t>
            </w:r>
          </w:p>
        </w:tc>
        <w:tc>
          <w:tcPr>
            <w:tcW w:w="180" w:type="dxa"/>
            <w:vAlign w:val="bottom"/>
            <w:shd w:val="clear" w:color="auto" w:fill="EEEDED"/>
          </w:tcPr>
          <w:p>
            <w:pPr>
              <w:spacing w:after="0"/>
              <w:rPr>
                <w:sz w:val="13"/>
                <w:szCs w:val="13"/>
                <w:color w:val="auto"/>
              </w:rPr>
            </w:pPr>
          </w:p>
        </w:tc>
        <w:tc>
          <w:tcPr>
            <w:tcW w:w="2300" w:type="dxa"/>
            <w:vAlign w:val="bottom"/>
            <w:shd w:val="clear" w:color="auto" w:fill="EEEDED"/>
          </w:tcPr>
          <w:p>
            <w:pPr>
              <w:jc w:val="right"/>
              <w:ind w:right="192"/>
              <w:spacing w:after="0"/>
              <w:rPr>
                <w:sz w:val="20"/>
                <w:szCs w:val="20"/>
                <w:color w:val="auto"/>
              </w:rPr>
            </w:pPr>
            <w:r>
              <w:rPr>
                <w:rFonts w:ascii="Arial" w:cs="Arial" w:eastAsia="Arial" w:hAnsi="Arial"/>
                <w:sz w:val="10"/>
                <w:szCs w:val="10"/>
                <w:b w:val="1"/>
                <w:bCs w:val="1"/>
                <w:color w:val="54585A"/>
                <w:w w:val="98"/>
              </w:rPr>
              <w:t>Reported Value of Equity Awards for PEO</w:t>
            </w:r>
            <w:r>
              <w:rPr>
                <w:rFonts w:ascii="Arial" w:cs="Arial" w:eastAsia="Arial" w:hAnsi="Arial"/>
                <w:sz w:val="12"/>
                <w:szCs w:val="12"/>
                <w:b w:val="1"/>
                <w:bCs w:val="1"/>
                <w:color w:val="54585A"/>
                <w:w w:val="98"/>
                <w:vertAlign w:val="superscript"/>
              </w:rPr>
              <w:t>(a)</w:t>
            </w:r>
          </w:p>
        </w:tc>
        <w:tc>
          <w:tcPr>
            <w:tcW w:w="220" w:type="dxa"/>
            <w:vAlign w:val="bottom"/>
            <w:shd w:val="clear" w:color="auto" w:fill="EEEDED"/>
          </w:tcPr>
          <w:p>
            <w:pPr>
              <w:spacing w:after="0"/>
              <w:rPr>
                <w:sz w:val="13"/>
                <w:szCs w:val="13"/>
                <w:color w:val="auto"/>
              </w:rPr>
            </w:pPr>
          </w:p>
        </w:tc>
        <w:tc>
          <w:tcPr>
            <w:tcW w:w="2100" w:type="dxa"/>
            <w:vAlign w:val="bottom"/>
            <w:shd w:val="clear" w:color="auto" w:fill="EEEDED"/>
          </w:tcPr>
          <w:p>
            <w:pPr>
              <w:jc w:val="right"/>
              <w:ind w:right="252"/>
              <w:spacing w:after="0"/>
              <w:rPr>
                <w:sz w:val="20"/>
                <w:szCs w:val="20"/>
                <w:color w:val="auto"/>
              </w:rPr>
            </w:pPr>
            <w:r>
              <w:rPr>
                <w:rFonts w:ascii="Arial" w:cs="Arial" w:eastAsia="Arial" w:hAnsi="Arial"/>
                <w:sz w:val="10"/>
                <w:szCs w:val="10"/>
                <w:b w:val="1"/>
                <w:bCs w:val="1"/>
                <w:color w:val="54585A"/>
              </w:rPr>
              <w:t>Equity Award Adjustments for PEO</w:t>
            </w:r>
            <w:r>
              <w:rPr>
                <w:rFonts w:ascii="Arial" w:cs="Arial" w:eastAsia="Arial" w:hAnsi="Arial"/>
                <w:sz w:val="12"/>
                <w:szCs w:val="12"/>
                <w:b w:val="1"/>
                <w:bCs w:val="1"/>
                <w:color w:val="54585A"/>
                <w:vertAlign w:val="superscript"/>
              </w:rPr>
              <w:t>(b)</w:t>
            </w:r>
          </w:p>
        </w:tc>
        <w:tc>
          <w:tcPr>
            <w:tcW w:w="260" w:type="dxa"/>
            <w:vAlign w:val="bottom"/>
            <w:shd w:val="clear" w:color="auto" w:fill="EEEDED"/>
          </w:tcPr>
          <w:p>
            <w:pPr>
              <w:spacing w:after="0"/>
              <w:rPr>
                <w:sz w:val="13"/>
                <w:szCs w:val="13"/>
                <w:color w:val="auto"/>
              </w:rPr>
            </w:pPr>
          </w:p>
        </w:tc>
        <w:tc>
          <w:tcPr>
            <w:tcW w:w="2340" w:type="dxa"/>
            <w:vAlign w:val="bottom"/>
            <w:shd w:val="clear" w:color="auto" w:fill="EEEDED"/>
          </w:tcPr>
          <w:p>
            <w:pPr>
              <w:jc w:val="right"/>
              <w:ind w:right="492"/>
              <w:spacing w:after="0"/>
              <w:rPr>
                <w:sz w:val="20"/>
                <w:szCs w:val="20"/>
                <w:color w:val="auto"/>
              </w:rPr>
            </w:pPr>
            <w:r>
              <w:rPr>
                <w:rFonts w:ascii="Arial" w:cs="Arial" w:eastAsia="Arial" w:hAnsi="Arial"/>
                <w:sz w:val="10"/>
                <w:szCs w:val="10"/>
                <w:b w:val="1"/>
                <w:bCs w:val="1"/>
                <w:color w:val="54585A"/>
              </w:rPr>
              <w:t>Compensation actually paid to PEO</w:t>
            </w:r>
          </w:p>
        </w:tc>
      </w:tr>
      <w:tr>
        <w:trPr>
          <w:trHeight w:val="63"/>
        </w:trPr>
        <w:tc>
          <w:tcPr>
            <w:tcW w:w="920" w:type="dxa"/>
            <w:vAlign w:val="bottom"/>
            <w:shd w:val="clear" w:color="auto" w:fill="EEEDED"/>
          </w:tcPr>
          <w:p>
            <w:pPr>
              <w:spacing w:after="0"/>
              <w:rPr>
                <w:sz w:val="5"/>
                <w:szCs w:val="5"/>
                <w:color w:val="auto"/>
              </w:rPr>
            </w:pPr>
          </w:p>
        </w:tc>
        <w:tc>
          <w:tcPr>
            <w:tcW w:w="180" w:type="dxa"/>
            <w:vAlign w:val="bottom"/>
            <w:shd w:val="clear" w:color="auto" w:fill="EEEDED"/>
          </w:tcPr>
          <w:p>
            <w:pPr>
              <w:spacing w:after="0"/>
              <w:rPr>
                <w:sz w:val="5"/>
                <w:szCs w:val="5"/>
                <w:color w:val="auto"/>
              </w:rPr>
            </w:pPr>
          </w:p>
        </w:tc>
        <w:tc>
          <w:tcPr>
            <w:tcW w:w="2340" w:type="dxa"/>
            <w:vAlign w:val="bottom"/>
            <w:shd w:val="clear" w:color="auto" w:fill="EEEDED"/>
          </w:tcPr>
          <w:p>
            <w:pPr>
              <w:spacing w:after="0"/>
              <w:rPr>
                <w:sz w:val="5"/>
                <w:szCs w:val="5"/>
                <w:color w:val="auto"/>
              </w:rPr>
            </w:pPr>
          </w:p>
        </w:tc>
        <w:tc>
          <w:tcPr>
            <w:tcW w:w="180" w:type="dxa"/>
            <w:vAlign w:val="bottom"/>
            <w:shd w:val="clear" w:color="auto" w:fill="EEEDED"/>
          </w:tcPr>
          <w:p>
            <w:pPr>
              <w:spacing w:after="0"/>
              <w:rPr>
                <w:sz w:val="5"/>
                <w:szCs w:val="5"/>
                <w:color w:val="auto"/>
              </w:rPr>
            </w:pPr>
          </w:p>
        </w:tc>
        <w:tc>
          <w:tcPr>
            <w:tcW w:w="2300" w:type="dxa"/>
            <w:vAlign w:val="bottom"/>
            <w:shd w:val="clear" w:color="auto" w:fill="EEEDED"/>
          </w:tcPr>
          <w:p>
            <w:pPr>
              <w:spacing w:after="0"/>
              <w:rPr>
                <w:sz w:val="5"/>
                <w:szCs w:val="5"/>
                <w:color w:val="auto"/>
              </w:rPr>
            </w:pPr>
          </w:p>
        </w:tc>
        <w:tc>
          <w:tcPr>
            <w:tcW w:w="220" w:type="dxa"/>
            <w:vAlign w:val="bottom"/>
            <w:shd w:val="clear" w:color="auto" w:fill="EEEDED"/>
          </w:tcPr>
          <w:p>
            <w:pPr>
              <w:spacing w:after="0"/>
              <w:rPr>
                <w:sz w:val="5"/>
                <w:szCs w:val="5"/>
                <w:color w:val="auto"/>
              </w:rPr>
            </w:pPr>
          </w:p>
        </w:tc>
        <w:tc>
          <w:tcPr>
            <w:tcW w:w="2100" w:type="dxa"/>
            <w:vAlign w:val="bottom"/>
            <w:shd w:val="clear" w:color="auto" w:fill="EEEDED"/>
          </w:tcPr>
          <w:p>
            <w:pPr>
              <w:spacing w:after="0"/>
              <w:rPr>
                <w:sz w:val="5"/>
                <w:szCs w:val="5"/>
                <w:color w:val="auto"/>
              </w:rPr>
            </w:pPr>
          </w:p>
        </w:tc>
        <w:tc>
          <w:tcPr>
            <w:tcW w:w="260" w:type="dxa"/>
            <w:vAlign w:val="bottom"/>
            <w:shd w:val="clear" w:color="auto" w:fill="EEEDED"/>
          </w:tcPr>
          <w:p>
            <w:pPr>
              <w:spacing w:after="0"/>
              <w:rPr>
                <w:sz w:val="5"/>
                <w:szCs w:val="5"/>
                <w:color w:val="auto"/>
              </w:rPr>
            </w:pPr>
          </w:p>
        </w:tc>
        <w:tc>
          <w:tcPr>
            <w:tcW w:w="2340" w:type="dxa"/>
            <w:vAlign w:val="bottom"/>
            <w:shd w:val="clear" w:color="auto" w:fill="EEEDED"/>
          </w:tcPr>
          <w:p>
            <w:pPr>
              <w:spacing w:after="0"/>
              <w:rPr>
                <w:sz w:val="5"/>
                <w:szCs w:val="5"/>
                <w:color w:val="auto"/>
              </w:rPr>
            </w:pPr>
          </w:p>
        </w:tc>
      </w:tr>
      <w:tr>
        <w:trPr>
          <w:trHeight w:val="145"/>
        </w:trPr>
        <w:tc>
          <w:tcPr>
            <w:tcW w:w="920" w:type="dxa"/>
            <w:vAlign w:val="bottom"/>
            <w:tcBorders>
              <w:bottom w:val="single" w:sz="8" w:color="54585A"/>
            </w:tcBorders>
          </w:tcPr>
          <w:p>
            <w:pPr>
              <w:ind w:left="360"/>
              <w:spacing w:after="0"/>
              <w:rPr>
                <w:sz w:val="20"/>
                <w:szCs w:val="20"/>
                <w:color w:val="auto"/>
              </w:rPr>
            </w:pPr>
            <w:r>
              <w:rPr>
                <w:rFonts w:ascii="Arial" w:cs="Arial" w:eastAsia="Arial" w:hAnsi="Arial"/>
                <w:sz w:val="10"/>
                <w:szCs w:val="10"/>
                <w:color w:val="54585A"/>
              </w:rPr>
              <w:t>2022</w:t>
            </w:r>
          </w:p>
        </w:tc>
        <w:tc>
          <w:tcPr>
            <w:tcW w:w="180" w:type="dxa"/>
            <w:vAlign w:val="bottom"/>
            <w:tcBorders>
              <w:bottom w:val="single" w:sz="8" w:color="54585A"/>
            </w:tcBorders>
          </w:tcPr>
          <w:p>
            <w:pPr>
              <w:jc w:val="right"/>
              <w:ind w:right="52"/>
              <w:spacing w:after="0"/>
              <w:rPr>
                <w:sz w:val="20"/>
                <w:szCs w:val="20"/>
                <w:color w:val="auto"/>
              </w:rPr>
            </w:pPr>
            <w:r>
              <w:rPr>
                <w:rFonts w:ascii="Arial" w:cs="Arial" w:eastAsia="Arial" w:hAnsi="Arial"/>
                <w:sz w:val="10"/>
                <w:szCs w:val="10"/>
                <w:color w:val="54585A"/>
              </w:rPr>
              <w:t>$</w:t>
            </w:r>
          </w:p>
        </w:tc>
        <w:tc>
          <w:tcPr>
            <w:tcW w:w="23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1,892,166</w:t>
            </w:r>
          </w:p>
        </w:tc>
        <w:tc>
          <w:tcPr>
            <w:tcW w:w="180" w:type="dxa"/>
            <w:vAlign w:val="bottom"/>
            <w:tcBorders>
              <w:bottom w:val="single" w:sz="8" w:color="54585A"/>
            </w:tcBorders>
          </w:tcPr>
          <w:p>
            <w:pPr>
              <w:jc w:val="right"/>
              <w:ind w:right="52"/>
              <w:spacing w:after="0"/>
              <w:rPr>
                <w:sz w:val="20"/>
                <w:szCs w:val="20"/>
                <w:color w:val="auto"/>
              </w:rPr>
            </w:pPr>
            <w:r>
              <w:rPr>
                <w:rFonts w:ascii="Arial" w:cs="Arial" w:eastAsia="Arial" w:hAnsi="Arial"/>
                <w:sz w:val="10"/>
                <w:szCs w:val="10"/>
                <w:color w:val="54585A"/>
              </w:rPr>
              <w:t>$</w:t>
            </w:r>
          </w:p>
        </w:tc>
        <w:tc>
          <w:tcPr>
            <w:tcW w:w="23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1,330,400</w:t>
            </w:r>
          </w:p>
        </w:tc>
        <w:tc>
          <w:tcPr>
            <w:tcW w:w="220" w:type="dxa"/>
            <w:vAlign w:val="bottom"/>
            <w:tcBorders>
              <w:bottom w:val="single" w:sz="8" w:color="54585A"/>
            </w:tcBorders>
          </w:tcPr>
          <w:p>
            <w:pPr>
              <w:jc w:val="right"/>
              <w:ind w:right="92"/>
              <w:spacing w:after="0"/>
              <w:rPr>
                <w:sz w:val="20"/>
                <w:szCs w:val="20"/>
                <w:color w:val="auto"/>
              </w:rPr>
            </w:pPr>
            <w:r>
              <w:rPr>
                <w:rFonts w:ascii="Arial" w:cs="Arial" w:eastAsia="Arial" w:hAnsi="Arial"/>
                <w:sz w:val="10"/>
                <w:szCs w:val="10"/>
                <w:color w:val="54585A"/>
              </w:rPr>
              <w:t>$</w:t>
            </w:r>
          </w:p>
        </w:tc>
        <w:tc>
          <w:tcPr>
            <w:tcW w:w="2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689,199</w:t>
            </w:r>
          </w:p>
        </w:tc>
        <w:tc>
          <w:tcPr>
            <w:tcW w:w="26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rPr>
              <w:t>$</w:t>
            </w:r>
          </w:p>
        </w:tc>
        <w:tc>
          <w:tcPr>
            <w:tcW w:w="234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rPr>
              <w:t>1,250,965</w:t>
            </w:r>
          </w:p>
        </w:tc>
      </w:tr>
      <w:tr>
        <w:trPr>
          <w:trHeight w:val="142"/>
        </w:trPr>
        <w:tc>
          <w:tcPr>
            <w:tcW w:w="920" w:type="dxa"/>
            <w:vAlign w:val="bottom"/>
            <w:tcBorders>
              <w:bottom w:val="single" w:sz="8" w:color="54585A"/>
            </w:tcBorders>
          </w:tcPr>
          <w:p>
            <w:pPr>
              <w:ind w:left="360"/>
              <w:spacing w:after="0"/>
              <w:rPr>
                <w:sz w:val="20"/>
                <w:szCs w:val="20"/>
                <w:color w:val="auto"/>
              </w:rPr>
            </w:pPr>
            <w:r>
              <w:rPr>
                <w:rFonts w:ascii="Arial" w:cs="Arial" w:eastAsia="Arial" w:hAnsi="Arial"/>
                <w:sz w:val="10"/>
                <w:szCs w:val="10"/>
                <w:color w:val="54585A"/>
              </w:rPr>
              <w:t>2021</w:t>
            </w:r>
          </w:p>
        </w:tc>
        <w:tc>
          <w:tcPr>
            <w:tcW w:w="180" w:type="dxa"/>
            <w:vAlign w:val="bottom"/>
            <w:tcBorders>
              <w:bottom w:val="single" w:sz="8" w:color="54585A"/>
            </w:tcBorders>
          </w:tcPr>
          <w:p>
            <w:pPr>
              <w:jc w:val="right"/>
              <w:ind w:right="52"/>
              <w:spacing w:after="0"/>
              <w:rPr>
                <w:sz w:val="20"/>
                <w:szCs w:val="20"/>
                <w:color w:val="auto"/>
              </w:rPr>
            </w:pPr>
            <w:r>
              <w:rPr>
                <w:rFonts w:ascii="Arial" w:cs="Arial" w:eastAsia="Arial" w:hAnsi="Arial"/>
                <w:sz w:val="10"/>
                <w:szCs w:val="10"/>
                <w:color w:val="54585A"/>
              </w:rPr>
              <w:t>$</w:t>
            </w:r>
          </w:p>
        </w:tc>
        <w:tc>
          <w:tcPr>
            <w:tcW w:w="23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871,997</w:t>
            </w:r>
          </w:p>
        </w:tc>
        <w:tc>
          <w:tcPr>
            <w:tcW w:w="180" w:type="dxa"/>
            <w:vAlign w:val="bottom"/>
            <w:tcBorders>
              <w:bottom w:val="single" w:sz="8" w:color="54585A"/>
            </w:tcBorders>
          </w:tcPr>
          <w:p>
            <w:pPr>
              <w:jc w:val="right"/>
              <w:ind w:right="52"/>
              <w:spacing w:after="0"/>
              <w:rPr>
                <w:sz w:val="20"/>
                <w:szCs w:val="20"/>
                <w:color w:val="auto"/>
              </w:rPr>
            </w:pPr>
            <w:r>
              <w:rPr>
                <w:rFonts w:ascii="Arial" w:cs="Arial" w:eastAsia="Arial" w:hAnsi="Arial"/>
                <w:sz w:val="10"/>
                <w:szCs w:val="10"/>
                <w:color w:val="54585A"/>
              </w:rPr>
              <w:t>$</w:t>
            </w:r>
          </w:p>
        </w:tc>
        <w:tc>
          <w:tcPr>
            <w:tcW w:w="23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165,600</w:t>
            </w:r>
          </w:p>
        </w:tc>
        <w:tc>
          <w:tcPr>
            <w:tcW w:w="220" w:type="dxa"/>
            <w:vAlign w:val="bottom"/>
            <w:tcBorders>
              <w:bottom w:val="single" w:sz="8" w:color="54585A"/>
            </w:tcBorders>
          </w:tcPr>
          <w:p>
            <w:pPr>
              <w:jc w:val="right"/>
              <w:ind w:right="92"/>
              <w:spacing w:after="0"/>
              <w:rPr>
                <w:sz w:val="20"/>
                <w:szCs w:val="20"/>
                <w:color w:val="auto"/>
              </w:rPr>
            </w:pPr>
            <w:r>
              <w:rPr>
                <w:rFonts w:ascii="Arial" w:cs="Arial" w:eastAsia="Arial" w:hAnsi="Arial"/>
                <w:sz w:val="10"/>
                <w:szCs w:val="10"/>
                <w:color w:val="54585A"/>
              </w:rPr>
              <w:t>$</w:t>
            </w:r>
          </w:p>
        </w:tc>
        <w:tc>
          <w:tcPr>
            <w:tcW w:w="2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3,612,559</w:t>
            </w:r>
          </w:p>
        </w:tc>
        <w:tc>
          <w:tcPr>
            <w:tcW w:w="26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rPr>
              <w:t>$</w:t>
            </w:r>
          </w:p>
        </w:tc>
        <w:tc>
          <w:tcPr>
            <w:tcW w:w="234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rPr>
              <w:t>4,318,956</w:t>
            </w:r>
          </w:p>
        </w:tc>
      </w:tr>
      <w:tr>
        <w:trPr>
          <w:trHeight w:val="142"/>
        </w:trPr>
        <w:tc>
          <w:tcPr>
            <w:tcW w:w="920" w:type="dxa"/>
            <w:vAlign w:val="bottom"/>
            <w:tcBorders>
              <w:bottom w:val="single" w:sz="8" w:color="54585A"/>
            </w:tcBorders>
          </w:tcPr>
          <w:p>
            <w:pPr>
              <w:ind w:left="360"/>
              <w:spacing w:after="0"/>
              <w:rPr>
                <w:sz w:val="20"/>
                <w:szCs w:val="20"/>
                <w:color w:val="auto"/>
              </w:rPr>
            </w:pPr>
            <w:r>
              <w:rPr>
                <w:rFonts w:ascii="Arial" w:cs="Arial" w:eastAsia="Arial" w:hAnsi="Arial"/>
                <w:sz w:val="10"/>
                <w:szCs w:val="10"/>
                <w:color w:val="54585A"/>
              </w:rPr>
              <w:t>2020</w:t>
            </w:r>
          </w:p>
        </w:tc>
        <w:tc>
          <w:tcPr>
            <w:tcW w:w="180" w:type="dxa"/>
            <w:vAlign w:val="bottom"/>
            <w:tcBorders>
              <w:bottom w:val="single" w:sz="8" w:color="54585A"/>
            </w:tcBorders>
          </w:tcPr>
          <w:p>
            <w:pPr>
              <w:jc w:val="right"/>
              <w:ind w:right="52"/>
              <w:spacing w:after="0"/>
              <w:rPr>
                <w:sz w:val="20"/>
                <w:szCs w:val="20"/>
                <w:color w:val="auto"/>
              </w:rPr>
            </w:pPr>
            <w:r>
              <w:rPr>
                <w:rFonts w:ascii="Arial" w:cs="Arial" w:eastAsia="Arial" w:hAnsi="Arial"/>
                <w:sz w:val="10"/>
                <w:szCs w:val="10"/>
                <w:color w:val="54585A"/>
              </w:rPr>
              <w:t>$</w:t>
            </w:r>
          </w:p>
        </w:tc>
        <w:tc>
          <w:tcPr>
            <w:tcW w:w="23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727,937</w:t>
            </w:r>
          </w:p>
        </w:tc>
        <w:tc>
          <w:tcPr>
            <w:tcW w:w="180" w:type="dxa"/>
            <w:vAlign w:val="bottom"/>
            <w:tcBorders>
              <w:bottom w:val="single" w:sz="8" w:color="54585A"/>
            </w:tcBorders>
          </w:tcPr>
          <w:p>
            <w:pPr>
              <w:jc w:val="right"/>
              <w:ind w:right="52"/>
              <w:spacing w:after="0"/>
              <w:rPr>
                <w:sz w:val="20"/>
                <w:szCs w:val="20"/>
                <w:color w:val="auto"/>
              </w:rPr>
            </w:pPr>
            <w:r>
              <w:rPr>
                <w:rFonts w:ascii="Arial" w:cs="Arial" w:eastAsia="Arial" w:hAnsi="Arial"/>
                <w:sz w:val="10"/>
                <w:szCs w:val="10"/>
                <w:color w:val="54585A"/>
              </w:rPr>
              <w:t>$</w:t>
            </w:r>
          </w:p>
        </w:tc>
        <w:tc>
          <w:tcPr>
            <w:tcW w:w="23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182,359</w:t>
            </w:r>
          </w:p>
        </w:tc>
        <w:tc>
          <w:tcPr>
            <w:tcW w:w="220" w:type="dxa"/>
            <w:vAlign w:val="bottom"/>
            <w:tcBorders>
              <w:bottom w:val="single" w:sz="8" w:color="54585A"/>
            </w:tcBorders>
          </w:tcPr>
          <w:p>
            <w:pPr>
              <w:jc w:val="right"/>
              <w:ind w:right="92"/>
              <w:spacing w:after="0"/>
              <w:rPr>
                <w:sz w:val="20"/>
                <w:szCs w:val="20"/>
                <w:color w:val="auto"/>
              </w:rPr>
            </w:pPr>
            <w:r>
              <w:rPr>
                <w:rFonts w:ascii="Arial" w:cs="Arial" w:eastAsia="Arial" w:hAnsi="Arial"/>
                <w:sz w:val="10"/>
                <w:szCs w:val="10"/>
                <w:color w:val="54585A"/>
              </w:rPr>
              <w:t>$</w:t>
            </w:r>
          </w:p>
        </w:tc>
        <w:tc>
          <w:tcPr>
            <w:tcW w:w="2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(400,369)</w:t>
            </w:r>
          </w:p>
        </w:tc>
        <w:tc>
          <w:tcPr>
            <w:tcW w:w="26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rPr>
              <w:t>$</w:t>
            </w:r>
          </w:p>
        </w:tc>
        <w:tc>
          <w:tcPr>
            <w:tcW w:w="234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rPr>
              <w:t>145,209</w:t>
            </w:r>
          </w:p>
        </w:tc>
      </w:tr>
    </w:tbl>
    <w:p>
      <w:pPr>
        <w:spacing w:after="0" w:line="129" w:lineRule="exact"/>
        <w:rPr>
          <w:sz w:val="20"/>
          <w:szCs w:val="20"/>
          <w:color w:val="auto"/>
        </w:rPr>
      </w:pPr>
    </w:p>
    <w:p>
      <w:pPr>
        <w:ind w:left="428" w:hanging="212"/>
        <w:spacing w:after="0"/>
        <w:tabs>
          <w:tab w:leader="none" w:pos="428" w:val="left"/>
        </w:tabs>
        <w:numPr>
          <w:ilvl w:val="0"/>
          <w:numId w:val="59"/>
        </w:numPr>
        <w:rPr>
          <w:rFonts w:ascii="Arial" w:cs="Arial" w:eastAsia="Arial" w:hAnsi="Arial"/>
          <w:sz w:val="10"/>
          <w:szCs w:val="10"/>
          <w:color w:val="54585A"/>
        </w:rPr>
      </w:pPr>
      <w:r>
        <w:rPr>
          <w:rFonts w:ascii="Arial" w:cs="Arial" w:eastAsia="Arial" w:hAnsi="Arial"/>
          <w:sz w:val="10"/>
          <w:szCs w:val="10"/>
          <w:color w:val="54585A"/>
        </w:rPr>
        <w:t>The grant date fair value of equity awards represents the total of the amounts reported in the “Stock Awards” and “Option Awards” columns in the Summary Compensation Table for the applicable year.</w:t>
      </w:r>
    </w:p>
    <w:p>
      <w:pPr>
        <w:spacing w:after="0" w:line="65" w:lineRule="exact"/>
        <w:rPr>
          <w:rFonts w:ascii="Arial" w:cs="Arial" w:eastAsia="Arial" w:hAnsi="Arial"/>
          <w:sz w:val="10"/>
          <w:szCs w:val="10"/>
          <w:color w:val="54585A"/>
        </w:rPr>
      </w:pPr>
    </w:p>
    <w:p>
      <w:pPr>
        <w:ind w:left="428" w:right="100" w:hanging="212"/>
        <w:spacing w:after="0" w:line="244" w:lineRule="auto"/>
        <w:tabs>
          <w:tab w:leader="none" w:pos="427" w:val="left"/>
        </w:tabs>
        <w:numPr>
          <w:ilvl w:val="0"/>
          <w:numId w:val="59"/>
        </w:numPr>
        <w:rPr>
          <w:rFonts w:ascii="Arial" w:cs="Arial" w:eastAsia="Arial" w:hAnsi="Arial"/>
          <w:sz w:val="10"/>
          <w:szCs w:val="10"/>
          <w:color w:val="54585A"/>
        </w:rPr>
      </w:pPr>
      <w:r>
        <w:rPr>
          <w:rFonts w:ascii="Arial" w:cs="Arial" w:eastAsia="Arial" w:hAnsi="Arial"/>
          <w:sz w:val="10"/>
          <w:szCs w:val="10"/>
          <w:color w:val="54585A"/>
        </w:rPr>
        <w:t>The equity award adjustments for each applicable year include the addition (or subtraction, as applicable) of the following to the extent applicable: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and (iv) for awards granted in prior years that vest in the applicable year, the amount equal to the change as of the vesting date (from the end of the prior fiscal year) in fair value. The valuation assumptions used to calculate fair values did not materially differ from those disclosed at the time of grant.</w:t>
      </w:r>
    </w:p>
    <w:p>
      <w:pPr>
        <w:spacing w:after="0" w:line="196" w:lineRule="exact"/>
        <w:rPr>
          <w:sz w:val="20"/>
          <w:szCs w:val="20"/>
          <w:color w:val="auto"/>
        </w:rPr>
      </w:pPr>
    </w:p>
    <w:p>
      <w:pPr>
        <w:ind w:left="208" w:right="80"/>
        <w:spacing w:after="0" w:line="313" w:lineRule="auto"/>
        <w:rPr>
          <w:sz w:val="20"/>
          <w:szCs w:val="20"/>
          <w:color w:val="auto"/>
        </w:rPr>
      </w:pPr>
      <w:r>
        <w:rPr>
          <w:rFonts w:ascii="Arial" w:cs="Arial" w:eastAsia="Arial" w:hAnsi="Arial"/>
          <w:sz w:val="11"/>
          <w:szCs w:val="11"/>
          <w:color w:val="54585A"/>
        </w:rPr>
        <w:t>The amounts deducted or added in calculating the equity award adjustments are set forth below. Columns reporting fair value at the end of the prior year of equity awards that failed to meet vesting conditions in the year and value of dividends or other earnings paid on stock or option awards not otherwise reflected in fair value or total compensation are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218440</wp:posOffset>
            </wp:positionV>
            <wp:extent cx="17145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99" w:lineRule="exact"/>
        <w:rPr>
          <w:sz w:val="20"/>
          <w:szCs w:val="20"/>
          <w:color w:val="auto"/>
        </w:rPr>
      </w:pPr>
    </w:p>
    <w:p>
      <w:pPr>
        <w:ind w:left="9668"/>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34" w:name="page35"/>
    <w:bookmarkEnd w:id="34"/>
    <w:p>
      <w:pPr>
        <w:ind w:left="68" w:hanging="68"/>
        <w:spacing w:after="0"/>
        <w:tabs>
          <w:tab w:leader="none" w:pos="68" w:val="left"/>
        </w:tabs>
        <w:numPr>
          <w:ilvl w:val="0"/>
          <w:numId w:val="60"/>
        </w:numPr>
        <w:rPr>
          <w:rFonts w:ascii="Arial" w:cs="Arial" w:eastAsia="Arial" w:hAnsi="Arial"/>
          <w:sz w:val="12"/>
          <w:szCs w:val="12"/>
          <w:b w:val="1"/>
          <w:bCs w:val="1"/>
          <w:color w:val="EB6C10"/>
        </w:rPr>
      </w:pPr>
      <w:r>
        <w:rPr>
          <w:rFonts w:ascii="Arial" w:cs="Arial" w:eastAsia="Arial" w:hAnsi="Arial"/>
          <w:sz w:val="10"/>
          <w:szCs w:val="10"/>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8" w:type="dxa"/>
        <w:tblCellMar>
          <w:top w:w="0" w:type="dxa"/>
          <w:left w:w="0" w:type="dxa"/>
          <w:bottom w:w="0" w:type="dxa"/>
          <w:right w:w="0" w:type="dxa"/>
        </w:tblCellMar>
      </w:tblPr>
      <w:tr>
        <w:trPr>
          <w:trHeight w:val="126"/>
        </w:trPr>
        <w:tc>
          <w:tcPr>
            <w:tcW w:w="680" w:type="dxa"/>
            <w:vAlign w:val="bottom"/>
            <w:shd w:val="clear" w:color="auto" w:fill="EEEDED"/>
          </w:tcPr>
          <w:p>
            <w:pPr>
              <w:spacing w:after="0"/>
              <w:rPr>
                <w:sz w:val="10"/>
                <w:szCs w:val="10"/>
                <w:color w:val="auto"/>
              </w:rPr>
            </w:pPr>
          </w:p>
        </w:tc>
        <w:tc>
          <w:tcPr>
            <w:tcW w:w="60" w:type="dxa"/>
            <w:vAlign w:val="bottom"/>
            <w:shd w:val="clear" w:color="auto" w:fill="EEEDED"/>
          </w:tcPr>
          <w:p>
            <w:pPr>
              <w:spacing w:after="0"/>
              <w:rPr>
                <w:sz w:val="10"/>
                <w:szCs w:val="10"/>
                <w:color w:val="auto"/>
              </w:rPr>
            </w:pPr>
          </w:p>
        </w:tc>
        <w:tc>
          <w:tcPr>
            <w:tcW w:w="224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5"/>
              </w:rPr>
              <w:t>Year-End Fair Value of Equity Awards Granted</w:t>
            </w:r>
          </w:p>
        </w:tc>
        <w:tc>
          <w:tcPr>
            <w:tcW w:w="2100" w:type="dxa"/>
            <w:vAlign w:val="bottom"/>
            <w:gridSpan w:val="2"/>
            <w:shd w:val="clear" w:color="auto" w:fill="EEEDED"/>
          </w:tcPr>
          <w:p>
            <w:pPr>
              <w:jc w:val="center"/>
              <w:spacing w:after="0"/>
              <w:rPr>
                <w:sz w:val="20"/>
                <w:szCs w:val="20"/>
                <w:color w:val="auto"/>
              </w:rPr>
            </w:pPr>
            <w:r>
              <w:rPr>
                <w:rFonts w:ascii="Arial" w:cs="Arial" w:eastAsia="Arial" w:hAnsi="Arial"/>
                <w:sz w:val="10"/>
                <w:szCs w:val="10"/>
                <w:b w:val="1"/>
                <w:bCs w:val="1"/>
                <w:color w:val="54585A"/>
                <w:w w:val="95"/>
              </w:rPr>
              <w:t>Change in Fair Value from Last Day of Prior</w:t>
            </w:r>
          </w:p>
        </w:tc>
        <w:tc>
          <w:tcPr>
            <w:tcW w:w="100" w:type="dxa"/>
            <w:vAlign w:val="bottom"/>
            <w:shd w:val="clear" w:color="auto" w:fill="EEEDED"/>
          </w:tcPr>
          <w:p>
            <w:pPr>
              <w:spacing w:after="0"/>
              <w:rPr>
                <w:sz w:val="10"/>
                <w:szCs w:val="10"/>
                <w:color w:val="auto"/>
              </w:rPr>
            </w:pPr>
          </w:p>
        </w:tc>
        <w:tc>
          <w:tcPr>
            <w:tcW w:w="1960" w:type="dxa"/>
            <w:vAlign w:val="bottom"/>
            <w:shd w:val="clear" w:color="auto" w:fill="EEEDED"/>
          </w:tcPr>
          <w:p>
            <w:pPr>
              <w:jc w:val="center"/>
              <w:ind w:right="32"/>
              <w:spacing w:after="0"/>
              <w:rPr>
                <w:sz w:val="20"/>
                <w:szCs w:val="20"/>
                <w:color w:val="auto"/>
              </w:rPr>
            </w:pPr>
            <w:r>
              <w:rPr>
                <w:rFonts w:ascii="Arial" w:cs="Arial" w:eastAsia="Arial" w:hAnsi="Arial"/>
                <w:sz w:val="10"/>
                <w:szCs w:val="10"/>
                <w:b w:val="1"/>
                <w:bCs w:val="1"/>
                <w:color w:val="54585A"/>
                <w:w w:val="95"/>
              </w:rPr>
              <w:t>Change in Fair Value of Equity Awards</w:t>
            </w:r>
          </w:p>
        </w:tc>
        <w:tc>
          <w:tcPr>
            <w:tcW w:w="80" w:type="dxa"/>
            <w:vAlign w:val="bottom"/>
            <w:shd w:val="clear" w:color="auto" w:fill="EEEDED"/>
          </w:tcPr>
          <w:p>
            <w:pPr>
              <w:spacing w:after="0"/>
              <w:rPr>
                <w:sz w:val="10"/>
                <w:szCs w:val="10"/>
                <w:color w:val="auto"/>
              </w:rPr>
            </w:pPr>
          </w:p>
        </w:tc>
        <w:tc>
          <w:tcPr>
            <w:tcW w:w="2280" w:type="dxa"/>
            <w:vAlign w:val="bottom"/>
            <w:shd w:val="clear" w:color="auto" w:fill="EEEDED"/>
          </w:tcPr>
          <w:p>
            <w:pPr>
              <w:jc w:val="center"/>
              <w:ind w:right="12"/>
              <w:spacing w:after="0"/>
              <w:rPr>
                <w:sz w:val="20"/>
                <w:szCs w:val="20"/>
                <w:color w:val="auto"/>
              </w:rPr>
            </w:pPr>
            <w:r>
              <w:rPr>
                <w:rFonts w:ascii="Arial" w:cs="Arial" w:eastAsia="Arial" w:hAnsi="Arial"/>
                <w:sz w:val="10"/>
                <w:szCs w:val="10"/>
                <w:b w:val="1"/>
                <w:bCs w:val="1"/>
                <w:color w:val="54585A"/>
                <w:w w:val="96"/>
              </w:rPr>
              <w:t>Change in Fair Value from Last Day of Prior Year</w:t>
            </w:r>
          </w:p>
        </w:tc>
        <w:tc>
          <w:tcPr>
            <w:tcW w:w="100" w:type="dxa"/>
            <w:vAlign w:val="bottom"/>
            <w:shd w:val="clear" w:color="auto" w:fill="EEEDED"/>
          </w:tcPr>
          <w:p>
            <w:pPr>
              <w:spacing w:after="0"/>
              <w:rPr>
                <w:sz w:val="10"/>
                <w:szCs w:val="10"/>
                <w:color w:val="auto"/>
              </w:rPr>
            </w:pPr>
          </w:p>
        </w:tc>
        <w:tc>
          <w:tcPr>
            <w:tcW w:w="1100" w:type="dxa"/>
            <w:vAlign w:val="bottom"/>
            <w:vMerge w:val="restart"/>
            <w:shd w:val="clear" w:color="auto" w:fill="EEEDED"/>
          </w:tcPr>
          <w:p>
            <w:pPr>
              <w:jc w:val="right"/>
              <w:ind w:right="192"/>
              <w:spacing w:after="0"/>
              <w:rPr>
                <w:sz w:val="20"/>
                <w:szCs w:val="20"/>
                <w:color w:val="auto"/>
              </w:rPr>
            </w:pPr>
            <w:r>
              <w:rPr>
                <w:rFonts w:ascii="Arial" w:cs="Arial" w:eastAsia="Arial" w:hAnsi="Arial"/>
                <w:sz w:val="10"/>
                <w:szCs w:val="10"/>
                <w:b w:val="1"/>
                <w:bCs w:val="1"/>
                <w:color w:val="54585A"/>
                <w:w w:val="94"/>
              </w:rPr>
              <w:t>Total - Inclusion of</w:t>
            </w:r>
          </w:p>
        </w:tc>
        <w:tc>
          <w:tcPr>
            <w:tcW w:w="0" w:type="dxa"/>
            <w:vAlign w:val="bottom"/>
          </w:tcPr>
          <w:p>
            <w:pPr>
              <w:spacing w:after="0"/>
              <w:rPr>
                <w:sz w:val="1"/>
                <w:szCs w:val="1"/>
                <w:color w:val="auto"/>
              </w:rPr>
            </w:pPr>
          </w:p>
        </w:tc>
      </w:tr>
      <w:tr>
        <w:trPr>
          <w:trHeight w:val="54"/>
        </w:trPr>
        <w:tc>
          <w:tcPr>
            <w:tcW w:w="680" w:type="dxa"/>
            <w:vAlign w:val="bottom"/>
            <w:shd w:val="clear" w:color="auto" w:fill="EEEDED"/>
          </w:tcPr>
          <w:p>
            <w:pPr>
              <w:spacing w:after="0"/>
              <w:rPr>
                <w:sz w:val="4"/>
                <w:szCs w:val="4"/>
                <w:color w:val="auto"/>
              </w:rPr>
            </w:pPr>
          </w:p>
        </w:tc>
        <w:tc>
          <w:tcPr>
            <w:tcW w:w="60" w:type="dxa"/>
            <w:vAlign w:val="bottom"/>
            <w:shd w:val="clear" w:color="auto" w:fill="EEEDED"/>
          </w:tcPr>
          <w:p>
            <w:pPr>
              <w:spacing w:after="0"/>
              <w:rPr>
                <w:sz w:val="4"/>
                <w:szCs w:val="4"/>
                <w:color w:val="auto"/>
              </w:rPr>
            </w:pPr>
          </w:p>
        </w:tc>
        <w:tc>
          <w:tcPr>
            <w:tcW w:w="2240" w:type="dxa"/>
            <w:vAlign w:val="bottom"/>
            <w:vMerge w:val="restart"/>
            <w:shd w:val="clear" w:color="auto" w:fill="EEEDED"/>
          </w:tcPr>
          <w:p>
            <w:pPr>
              <w:jc w:val="center"/>
              <w:spacing w:after="0"/>
              <w:rPr>
                <w:sz w:val="20"/>
                <w:szCs w:val="20"/>
                <w:color w:val="auto"/>
              </w:rPr>
            </w:pPr>
            <w:r>
              <w:rPr>
                <w:rFonts w:ascii="Arial" w:cs="Arial" w:eastAsia="Arial" w:hAnsi="Arial"/>
                <w:sz w:val="10"/>
                <w:szCs w:val="10"/>
                <w:b w:val="1"/>
                <w:bCs w:val="1"/>
                <w:color w:val="54585A"/>
                <w:w w:val="95"/>
              </w:rPr>
              <w:t>During Year That Remained Unvested as of Last</w:t>
            </w:r>
          </w:p>
        </w:tc>
        <w:tc>
          <w:tcPr>
            <w:tcW w:w="2100" w:type="dxa"/>
            <w:vAlign w:val="bottom"/>
            <w:gridSpan w:val="2"/>
            <w:vMerge w:val="restart"/>
            <w:shd w:val="clear" w:color="auto" w:fill="EEEDED"/>
          </w:tcPr>
          <w:p>
            <w:pPr>
              <w:jc w:val="center"/>
              <w:spacing w:after="0"/>
              <w:rPr>
                <w:sz w:val="20"/>
                <w:szCs w:val="20"/>
                <w:color w:val="auto"/>
              </w:rPr>
            </w:pPr>
            <w:r>
              <w:rPr>
                <w:rFonts w:ascii="Arial" w:cs="Arial" w:eastAsia="Arial" w:hAnsi="Arial"/>
                <w:sz w:val="10"/>
                <w:szCs w:val="10"/>
                <w:b w:val="1"/>
                <w:bCs w:val="1"/>
                <w:color w:val="54585A"/>
                <w:w w:val="94"/>
              </w:rPr>
              <w:t>Year to Last Day of Year of Unvested Equity</w:t>
            </w:r>
          </w:p>
        </w:tc>
        <w:tc>
          <w:tcPr>
            <w:tcW w:w="100" w:type="dxa"/>
            <w:vAlign w:val="bottom"/>
            <w:shd w:val="clear" w:color="auto" w:fill="EEEDED"/>
          </w:tcPr>
          <w:p>
            <w:pPr>
              <w:spacing w:after="0"/>
              <w:rPr>
                <w:sz w:val="4"/>
                <w:szCs w:val="4"/>
                <w:color w:val="auto"/>
              </w:rPr>
            </w:pPr>
          </w:p>
        </w:tc>
        <w:tc>
          <w:tcPr>
            <w:tcW w:w="1960" w:type="dxa"/>
            <w:vAlign w:val="bottom"/>
            <w:vMerge w:val="restart"/>
            <w:shd w:val="clear" w:color="auto" w:fill="EEEDED"/>
          </w:tcPr>
          <w:p>
            <w:pPr>
              <w:jc w:val="center"/>
              <w:ind w:right="12"/>
              <w:spacing w:after="0"/>
              <w:rPr>
                <w:sz w:val="20"/>
                <w:szCs w:val="20"/>
                <w:color w:val="auto"/>
              </w:rPr>
            </w:pPr>
            <w:r>
              <w:rPr>
                <w:rFonts w:ascii="Arial" w:cs="Arial" w:eastAsia="Arial" w:hAnsi="Arial"/>
                <w:sz w:val="10"/>
                <w:szCs w:val="10"/>
                <w:b w:val="1"/>
                <w:bCs w:val="1"/>
                <w:color w:val="54585A"/>
                <w:w w:val="95"/>
              </w:rPr>
              <w:t>Granted and Vested in the same Covered</w:t>
            </w:r>
          </w:p>
        </w:tc>
        <w:tc>
          <w:tcPr>
            <w:tcW w:w="80" w:type="dxa"/>
            <w:vAlign w:val="bottom"/>
            <w:shd w:val="clear" w:color="auto" w:fill="EEEDED"/>
          </w:tcPr>
          <w:p>
            <w:pPr>
              <w:spacing w:after="0"/>
              <w:rPr>
                <w:sz w:val="4"/>
                <w:szCs w:val="4"/>
                <w:color w:val="auto"/>
              </w:rPr>
            </w:pPr>
          </w:p>
        </w:tc>
        <w:tc>
          <w:tcPr>
            <w:tcW w:w="2280" w:type="dxa"/>
            <w:vAlign w:val="bottom"/>
            <w:vMerge w:val="restart"/>
            <w:shd w:val="clear" w:color="auto" w:fill="EEEDED"/>
          </w:tcPr>
          <w:p>
            <w:pPr>
              <w:jc w:val="center"/>
              <w:spacing w:after="0"/>
              <w:rPr>
                <w:sz w:val="20"/>
                <w:szCs w:val="20"/>
                <w:color w:val="auto"/>
              </w:rPr>
            </w:pPr>
            <w:r>
              <w:rPr>
                <w:rFonts w:ascii="Arial" w:cs="Arial" w:eastAsia="Arial" w:hAnsi="Arial"/>
                <w:sz w:val="10"/>
                <w:szCs w:val="10"/>
                <w:b w:val="1"/>
                <w:bCs w:val="1"/>
                <w:color w:val="54585A"/>
                <w:w w:val="95"/>
              </w:rPr>
              <w:t>to Vesting Date of Unvested Equity Awards that</w:t>
            </w:r>
          </w:p>
        </w:tc>
        <w:tc>
          <w:tcPr>
            <w:tcW w:w="100" w:type="dxa"/>
            <w:vAlign w:val="bottom"/>
            <w:shd w:val="clear" w:color="auto" w:fill="EEEDED"/>
          </w:tcPr>
          <w:p>
            <w:pPr>
              <w:spacing w:after="0"/>
              <w:rPr>
                <w:sz w:val="4"/>
                <w:szCs w:val="4"/>
                <w:color w:val="auto"/>
              </w:rPr>
            </w:pPr>
          </w:p>
        </w:tc>
        <w:tc>
          <w:tcPr>
            <w:tcW w:w="1100" w:type="dxa"/>
            <w:vAlign w:val="bottom"/>
            <w:vMerge w:val="continue"/>
            <w:shd w:val="clear" w:color="auto" w:fill="EEEDED"/>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680" w:type="dxa"/>
            <w:vAlign w:val="bottom"/>
            <w:vMerge w:val="restart"/>
            <w:shd w:val="clear" w:color="auto" w:fill="EEEDED"/>
          </w:tcPr>
          <w:p>
            <w:pPr>
              <w:ind w:left="240"/>
              <w:spacing w:after="0"/>
              <w:rPr>
                <w:sz w:val="20"/>
                <w:szCs w:val="20"/>
                <w:color w:val="auto"/>
              </w:rPr>
            </w:pPr>
            <w:r>
              <w:rPr>
                <w:rFonts w:ascii="Arial" w:cs="Arial" w:eastAsia="Arial" w:hAnsi="Arial"/>
                <w:sz w:val="10"/>
                <w:szCs w:val="10"/>
                <w:b w:val="1"/>
                <w:bCs w:val="1"/>
                <w:color w:val="54585A"/>
              </w:rPr>
              <w:t>Year</w:t>
            </w:r>
          </w:p>
        </w:tc>
        <w:tc>
          <w:tcPr>
            <w:tcW w:w="60" w:type="dxa"/>
            <w:vAlign w:val="bottom"/>
            <w:shd w:val="clear" w:color="auto" w:fill="EEEDED"/>
          </w:tcPr>
          <w:p>
            <w:pPr>
              <w:spacing w:after="0"/>
              <w:rPr>
                <w:sz w:val="5"/>
                <w:szCs w:val="5"/>
                <w:color w:val="auto"/>
              </w:rPr>
            </w:pPr>
          </w:p>
        </w:tc>
        <w:tc>
          <w:tcPr>
            <w:tcW w:w="2240" w:type="dxa"/>
            <w:vAlign w:val="bottom"/>
            <w:vMerge w:val="continue"/>
            <w:shd w:val="clear" w:color="auto" w:fill="EEEDED"/>
          </w:tcPr>
          <w:p>
            <w:pPr>
              <w:spacing w:after="0"/>
              <w:rPr>
                <w:sz w:val="5"/>
                <w:szCs w:val="5"/>
                <w:color w:val="auto"/>
              </w:rPr>
            </w:pPr>
          </w:p>
        </w:tc>
        <w:tc>
          <w:tcPr>
            <w:tcW w:w="2100" w:type="dxa"/>
            <w:vAlign w:val="bottom"/>
            <w:gridSpan w:val="2"/>
            <w:vMerge w:val="continue"/>
            <w:shd w:val="clear" w:color="auto" w:fill="EEEDED"/>
          </w:tcPr>
          <w:p>
            <w:pPr>
              <w:spacing w:after="0"/>
              <w:rPr>
                <w:sz w:val="5"/>
                <w:szCs w:val="5"/>
                <w:color w:val="auto"/>
              </w:rPr>
            </w:pPr>
          </w:p>
        </w:tc>
        <w:tc>
          <w:tcPr>
            <w:tcW w:w="100" w:type="dxa"/>
            <w:vAlign w:val="bottom"/>
            <w:shd w:val="clear" w:color="auto" w:fill="EEEDED"/>
          </w:tcPr>
          <w:p>
            <w:pPr>
              <w:spacing w:after="0"/>
              <w:rPr>
                <w:sz w:val="5"/>
                <w:szCs w:val="5"/>
                <w:color w:val="auto"/>
              </w:rPr>
            </w:pPr>
          </w:p>
        </w:tc>
        <w:tc>
          <w:tcPr>
            <w:tcW w:w="1960" w:type="dxa"/>
            <w:vAlign w:val="bottom"/>
            <w:vMerge w:val="continue"/>
            <w:shd w:val="clear" w:color="auto" w:fill="EEEDED"/>
          </w:tcPr>
          <w:p>
            <w:pPr>
              <w:spacing w:after="0"/>
              <w:rPr>
                <w:sz w:val="5"/>
                <w:szCs w:val="5"/>
                <w:color w:val="auto"/>
              </w:rPr>
            </w:pPr>
          </w:p>
        </w:tc>
        <w:tc>
          <w:tcPr>
            <w:tcW w:w="80" w:type="dxa"/>
            <w:vAlign w:val="bottom"/>
            <w:shd w:val="clear" w:color="auto" w:fill="EEEDED"/>
          </w:tcPr>
          <w:p>
            <w:pPr>
              <w:spacing w:after="0"/>
              <w:rPr>
                <w:sz w:val="5"/>
                <w:szCs w:val="5"/>
                <w:color w:val="auto"/>
              </w:rPr>
            </w:pPr>
          </w:p>
        </w:tc>
        <w:tc>
          <w:tcPr>
            <w:tcW w:w="2280" w:type="dxa"/>
            <w:vAlign w:val="bottom"/>
            <w:vMerge w:val="continue"/>
            <w:shd w:val="clear" w:color="auto" w:fill="EEEDED"/>
          </w:tcPr>
          <w:p>
            <w:pPr>
              <w:spacing w:after="0"/>
              <w:rPr>
                <w:sz w:val="5"/>
                <w:szCs w:val="5"/>
                <w:color w:val="auto"/>
              </w:rPr>
            </w:pPr>
          </w:p>
        </w:tc>
        <w:tc>
          <w:tcPr>
            <w:tcW w:w="1200" w:type="dxa"/>
            <w:vAlign w:val="bottom"/>
            <w:gridSpan w:val="2"/>
            <w:vMerge w:val="restart"/>
            <w:shd w:val="clear" w:color="auto" w:fill="EEEDED"/>
          </w:tcPr>
          <w:p>
            <w:pPr>
              <w:jc w:val="right"/>
              <w:ind w:right="112"/>
              <w:spacing w:after="0"/>
              <w:rPr>
                <w:sz w:val="20"/>
                <w:szCs w:val="20"/>
                <w:color w:val="auto"/>
              </w:rPr>
            </w:pPr>
            <w:r>
              <w:rPr>
                <w:rFonts w:ascii="Arial" w:cs="Arial" w:eastAsia="Arial" w:hAnsi="Arial"/>
                <w:sz w:val="10"/>
                <w:szCs w:val="10"/>
                <w:b w:val="1"/>
                <w:bCs w:val="1"/>
                <w:color w:val="54585A"/>
                <w:w w:val="96"/>
              </w:rPr>
              <w:t>Equity Values for PEO</w:t>
            </w:r>
          </w:p>
        </w:tc>
        <w:tc>
          <w:tcPr>
            <w:tcW w:w="0" w:type="dxa"/>
            <w:vAlign w:val="bottom"/>
          </w:tcPr>
          <w:p>
            <w:pPr>
              <w:spacing w:after="0"/>
              <w:rPr>
                <w:sz w:val="1"/>
                <w:szCs w:val="1"/>
                <w:color w:val="auto"/>
              </w:rPr>
            </w:pPr>
          </w:p>
        </w:tc>
      </w:tr>
      <w:tr>
        <w:trPr>
          <w:trHeight w:val="64"/>
        </w:trPr>
        <w:tc>
          <w:tcPr>
            <w:tcW w:w="680" w:type="dxa"/>
            <w:vAlign w:val="bottom"/>
            <w:vMerge w:val="continue"/>
            <w:shd w:val="clear" w:color="auto" w:fill="EEEDED"/>
          </w:tcPr>
          <w:p>
            <w:pPr>
              <w:spacing w:after="0"/>
              <w:rPr>
                <w:sz w:val="5"/>
                <w:szCs w:val="5"/>
                <w:color w:val="auto"/>
              </w:rPr>
            </w:pPr>
          </w:p>
        </w:tc>
        <w:tc>
          <w:tcPr>
            <w:tcW w:w="60" w:type="dxa"/>
            <w:vAlign w:val="bottom"/>
            <w:shd w:val="clear" w:color="auto" w:fill="EEEDED"/>
          </w:tcPr>
          <w:p>
            <w:pPr>
              <w:spacing w:after="0"/>
              <w:rPr>
                <w:sz w:val="5"/>
                <w:szCs w:val="5"/>
                <w:color w:val="auto"/>
              </w:rPr>
            </w:pPr>
          </w:p>
        </w:tc>
        <w:tc>
          <w:tcPr>
            <w:tcW w:w="2240" w:type="dxa"/>
            <w:vAlign w:val="bottom"/>
            <w:vMerge w:val="restart"/>
            <w:shd w:val="clear" w:color="auto" w:fill="EEEDED"/>
          </w:tcPr>
          <w:p>
            <w:pPr>
              <w:jc w:val="center"/>
              <w:spacing w:after="0"/>
              <w:rPr>
                <w:sz w:val="20"/>
                <w:szCs w:val="20"/>
                <w:color w:val="auto"/>
              </w:rPr>
            </w:pPr>
            <w:r>
              <w:rPr>
                <w:rFonts w:ascii="Arial" w:cs="Arial" w:eastAsia="Arial" w:hAnsi="Arial"/>
                <w:sz w:val="10"/>
                <w:szCs w:val="10"/>
                <w:b w:val="1"/>
                <w:bCs w:val="1"/>
                <w:color w:val="54585A"/>
                <w:w w:val="94"/>
              </w:rPr>
              <w:t>Day of Year for PEO</w:t>
            </w:r>
          </w:p>
        </w:tc>
        <w:tc>
          <w:tcPr>
            <w:tcW w:w="400" w:type="dxa"/>
            <w:vAlign w:val="bottom"/>
            <w:shd w:val="clear" w:color="auto" w:fill="EEEDED"/>
          </w:tcPr>
          <w:p>
            <w:pPr>
              <w:spacing w:after="0"/>
              <w:rPr>
                <w:sz w:val="5"/>
                <w:szCs w:val="5"/>
                <w:color w:val="auto"/>
              </w:rPr>
            </w:pPr>
          </w:p>
        </w:tc>
        <w:tc>
          <w:tcPr>
            <w:tcW w:w="1700" w:type="dxa"/>
            <w:vAlign w:val="bottom"/>
            <w:vMerge w:val="restart"/>
            <w:shd w:val="clear" w:color="auto" w:fill="EEEDED"/>
          </w:tcPr>
          <w:p>
            <w:pPr>
              <w:jc w:val="center"/>
              <w:ind w:right="332"/>
              <w:spacing w:after="0"/>
              <w:rPr>
                <w:sz w:val="20"/>
                <w:szCs w:val="20"/>
                <w:color w:val="auto"/>
              </w:rPr>
            </w:pPr>
            <w:r>
              <w:rPr>
                <w:rFonts w:ascii="Arial" w:cs="Arial" w:eastAsia="Arial" w:hAnsi="Arial"/>
                <w:sz w:val="10"/>
                <w:szCs w:val="10"/>
                <w:b w:val="1"/>
                <w:bCs w:val="1"/>
                <w:color w:val="54585A"/>
                <w:w w:val="94"/>
              </w:rPr>
              <w:t>Awards for PEO</w:t>
            </w:r>
          </w:p>
        </w:tc>
        <w:tc>
          <w:tcPr>
            <w:tcW w:w="100" w:type="dxa"/>
            <w:vAlign w:val="bottom"/>
            <w:shd w:val="clear" w:color="auto" w:fill="EEEDED"/>
          </w:tcPr>
          <w:p>
            <w:pPr>
              <w:spacing w:after="0"/>
              <w:rPr>
                <w:sz w:val="5"/>
                <w:szCs w:val="5"/>
                <w:color w:val="auto"/>
              </w:rPr>
            </w:pPr>
          </w:p>
        </w:tc>
        <w:tc>
          <w:tcPr>
            <w:tcW w:w="1960" w:type="dxa"/>
            <w:vAlign w:val="bottom"/>
            <w:vMerge w:val="restart"/>
            <w:shd w:val="clear" w:color="auto" w:fill="EEEDED"/>
          </w:tcPr>
          <w:p>
            <w:pPr>
              <w:jc w:val="center"/>
              <w:ind w:right="12"/>
              <w:spacing w:after="0"/>
              <w:rPr>
                <w:sz w:val="20"/>
                <w:szCs w:val="20"/>
                <w:color w:val="auto"/>
              </w:rPr>
            </w:pPr>
            <w:r>
              <w:rPr>
                <w:rFonts w:ascii="Arial" w:cs="Arial" w:eastAsia="Arial" w:hAnsi="Arial"/>
                <w:sz w:val="10"/>
                <w:szCs w:val="10"/>
                <w:b w:val="1"/>
                <w:bCs w:val="1"/>
                <w:color w:val="54585A"/>
                <w:w w:val="93"/>
              </w:rPr>
              <w:t>Year for PEO</w:t>
            </w:r>
          </w:p>
        </w:tc>
        <w:tc>
          <w:tcPr>
            <w:tcW w:w="80" w:type="dxa"/>
            <w:vAlign w:val="bottom"/>
            <w:shd w:val="clear" w:color="auto" w:fill="EEEDED"/>
          </w:tcPr>
          <w:p>
            <w:pPr>
              <w:spacing w:after="0"/>
              <w:rPr>
                <w:sz w:val="5"/>
                <w:szCs w:val="5"/>
                <w:color w:val="auto"/>
              </w:rPr>
            </w:pPr>
          </w:p>
        </w:tc>
        <w:tc>
          <w:tcPr>
            <w:tcW w:w="2280" w:type="dxa"/>
            <w:vAlign w:val="bottom"/>
            <w:vMerge w:val="restart"/>
            <w:shd w:val="clear" w:color="auto" w:fill="EEEDED"/>
          </w:tcPr>
          <w:p>
            <w:pPr>
              <w:jc w:val="center"/>
              <w:ind w:right="12"/>
              <w:spacing w:after="0"/>
              <w:rPr>
                <w:sz w:val="20"/>
                <w:szCs w:val="20"/>
                <w:color w:val="auto"/>
              </w:rPr>
            </w:pPr>
            <w:r>
              <w:rPr>
                <w:rFonts w:ascii="Arial" w:cs="Arial" w:eastAsia="Arial" w:hAnsi="Arial"/>
                <w:sz w:val="10"/>
                <w:szCs w:val="10"/>
                <w:b w:val="1"/>
                <w:bCs w:val="1"/>
                <w:color w:val="54585A"/>
                <w:w w:val="95"/>
              </w:rPr>
              <w:t>Vested During Year for PEO</w:t>
            </w:r>
          </w:p>
        </w:tc>
        <w:tc>
          <w:tcPr>
            <w:tcW w:w="1200" w:type="dxa"/>
            <w:vAlign w:val="bottom"/>
            <w:gridSpan w:val="2"/>
            <w:vMerge w:val="continue"/>
            <w:shd w:val="clear" w:color="auto" w:fill="EEEDED"/>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80" w:type="dxa"/>
            <w:vAlign w:val="bottom"/>
            <w:vMerge w:val="continue"/>
            <w:shd w:val="clear" w:color="auto" w:fill="EEEDED"/>
          </w:tcPr>
          <w:p>
            <w:pPr>
              <w:spacing w:after="0"/>
              <w:rPr>
                <w:sz w:val="5"/>
                <w:szCs w:val="5"/>
                <w:color w:val="auto"/>
              </w:rPr>
            </w:pPr>
          </w:p>
        </w:tc>
        <w:tc>
          <w:tcPr>
            <w:tcW w:w="60" w:type="dxa"/>
            <w:vAlign w:val="bottom"/>
            <w:shd w:val="clear" w:color="auto" w:fill="EEEDED"/>
          </w:tcPr>
          <w:p>
            <w:pPr>
              <w:spacing w:after="0"/>
              <w:rPr>
                <w:sz w:val="5"/>
                <w:szCs w:val="5"/>
                <w:color w:val="auto"/>
              </w:rPr>
            </w:pPr>
          </w:p>
        </w:tc>
        <w:tc>
          <w:tcPr>
            <w:tcW w:w="2240" w:type="dxa"/>
            <w:vAlign w:val="bottom"/>
            <w:vMerge w:val="continue"/>
            <w:shd w:val="clear" w:color="auto" w:fill="EEEDED"/>
          </w:tcPr>
          <w:p>
            <w:pPr>
              <w:spacing w:after="0"/>
              <w:rPr>
                <w:sz w:val="5"/>
                <w:szCs w:val="5"/>
                <w:color w:val="auto"/>
              </w:rPr>
            </w:pPr>
          </w:p>
        </w:tc>
        <w:tc>
          <w:tcPr>
            <w:tcW w:w="400" w:type="dxa"/>
            <w:vAlign w:val="bottom"/>
            <w:shd w:val="clear" w:color="auto" w:fill="EEEDED"/>
          </w:tcPr>
          <w:p>
            <w:pPr>
              <w:spacing w:after="0"/>
              <w:rPr>
                <w:sz w:val="5"/>
                <w:szCs w:val="5"/>
                <w:color w:val="auto"/>
              </w:rPr>
            </w:pPr>
          </w:p>
        </w:tc>
        <w:tc>
          <w:tcPr>
            <w:tcW w:w="1700" w:type="dxa"/>
            <w:vAlign w:val="bottom"/>
            <w:vMerge w:val="continue"/>
            <w:shd w:val="clear" w:color="auto" w:fill="EEEDED"/>
          </w:tcPr>
          <w:p>
            <w:pPr>
              <w:spacing w:after="0"/>
              <w:rPr>
                <w:sz w:val="5"/>
                <w:szCs w:val="5"/>
                <w:color w:val="auto"/>
              </w:rPr>
            </w:pPr>
          </w:p>
        </w:tc>
        <w:tc>
          <w:tcPr>
            <w:tcW w:w="100" w:type="dxa"/>
            <w:vAlign w:val="bottom"/>
            <w:shd w:val="clear" w:color="auto" w:fill="EEEDED"/>
          </w:tcPr>
          <w:p>
            <w:pPr>
              <w:spacing w:after="0"/>
              <w:rPr>
                <w:sz w:val="5"/>
                <w:szCs w:val="5"/>
                <w:color w:val="auto"/>
              </w:rPr>
            </w:pPr>
          </w:p>
        </w:tc>
        <w:tc>
          <w:tcPr>
            <w:tcW w:w="1960" w:type="dxa"/>
            <w:vAlign w:val="bottom"/>
            <w:vMerge w:val="continue"/>
            <w:shd w:val="clear" w:color="auto" w:fill="EEEDED"/>
          </w:tcPr>
          <w:p>
            <w:pPr>
              <w:spacing w:after="0"/>
              <w:rPr>
                <w:sz w:val="5"/>
                <w:szCs w:val="5"/>
                <w:color w:val="auto"/>
              </w:rPr>
            </w:pPr>
          </w:p>
        </w:tc>
        <w:tc>
          <w:tcPr>
            <w:tcW w:w="80" w:type="dxa"/>
            <w:vAlign w:val="bottom"/>
            <w:shd w:val="clear" w:color="auto" w:fill="EEEDED"/>
          </w:tcPr>
          <w:p>
            <w:pPr>
              <w:spacing w:after="0"/>
              <w:rPr>
                <w:sz w:val="5"/>
                <w:szCs w:val="5"/>
                <w:color w:val="auto"/>
              </w:rPr>
            </w:pPr>
          </w:p>
        </w:tc>
        <w:tc>
          <w:tcPr>
            <w:tcW w:w="2280" w:type="dxa"/>
            <w:vAlign w:val="bottom"/>
            <w:vMerge w:val="continue"/>
            <w:shd w:val="clear" w:color="auto" w:fill="EEEDED"/>
          </w:tcPr>
          <w:p>
            <w:pPr>
              <w:spacing w:after="0"/>
              <w:rPr>
                <w:sz w:val="5"/>
                <w:szCs w:val="5"/>
                <w:color w:val="auto"/>
              </w:rPr>
            </w:pPr>
          </w:p>
        </w:tc>
        <w:tc>
          <w:tcPr>
            <w:tcW w:w="100" w:type="dxa"/>
            <w:vAlign w:val="bottom"/>
            <w:shd w:val="clear" w:color="auto" w:fill="EEEDED"/>
          </w:tcPr>
          <w:p>
            <w:pPr>
              <w:spacing w:after="0"/>
              <w:rPr>
                <w:sz w:val="5"/>
                <w:szCs w:val="5"/>
                <w:color w:val="auto"/>
              </w:rPr>
            </w:pPr>
          </w:p>
        </w:tc>
        <w:tc>
          <w:tcPr>
            <w:tcW w:w="1100" w:type="dxa"/>
            <w:vAlign w:val="bottom"/>
            <w:shd w:val="clear" w:color="auto" w:fill="EEEDED"/>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80" w:type="dxa"/>
            <w:vAlign w:val="bottom"/>
            <w:shd w:val="clear" w:color="auto" w:fill="EEEDED"/>
          </w:tcPr>
          <w:p>
            <w:pPr>
              <w:spacing w:after="0"/>
              <w:rPr>
                <w:sz w:val="6"/>
                <w:szCs w:val="6"/>
                <w:color w:val="auto"/>
              </w:rPr>
            </w:pPr>
          </w:p>
        </w:tc>
        <w:tc>
          <w:tcPr>
            <w:tcW w:w="60" w:type="dxa"/>
            <w:vAlign w:val="bottom"/>
            <w:shd w:val="clear" w:color="auto" w:fill="EEEDED"/>
          </w:tcPr>
          <w:p>
            <w:pPr>
              <w:spacing w:after="0"/>
              <w:rPr>
                <w:sz w:val="6"/>
                <w:szCs w:val="6"/>
                <w:color w:val="auto"/>
              </w:rPr>
            </w:pPr>
          </w:p>
        </w:tc>
        <w:tc>
          <w:tcPr>
            <w:tcW w:w="2240" w:type="dxa"/>
            <w:vAlign w:val="bottom"/>
            <w:shd w:val="clear" w:color="auto" w:fill="EEEDED"/>
          </w:tcPr>
          <w:p>
            <w:pPr>
              <w:spacing w:after="0"/>
              <w:rPr>
                <w:sz w:val="6"/>
                <w:szCs w:val="6"/>
                <w:color w:val="auto"/>
              </w:rPr>
            </w:pPr>
          </w:p>
        </w:tc>
        <w:tc>
          <w:tcPr>
            <w:tcW w:w="400" w:type="dxa"/>
            <w:vAlign w:val="bottom"/>
            <w:shd w:val="clear" w:color="auto" w:fill="EEEDED"/>
          </w:tcPr>
          <w:p>
            <w:pPr>
              <w:spacing w:after="0"/>
              <w:rPr>
                <w:sz w:val="6"/>
                <w:szCs w:val="6"/>
                <w:color w:val="auto"/>
              </w:rPr>
            </w:pPr>
          </w:p>
        </w:tc>
        <w:tc>
          <w:tcPr>
            <w:tcW w:w="1700" w:type="dxa"/>
            <w:vAlign w:val="bottom"/>
            <w:shd w:val="clear" w:color="auto" w:fill="EEEDED"/>
          </w:tcPr>
          <w:p>
            <w:pPr>
              <w:spacing w:after="0"/>
              <w:rPr>
                <w:sz w:val="6"/>
                <w:szCs w:val="6"/>
                <w:color w:val="auto"/>
              </w:rPr>
            </w:pPr>
          </w:p>
        </w:tc>
        <w:tc>
          <w:tcPr>
            <w:tcW w:w="100" w:type="dxa"/>
            <w:vAlign w:val="bottom"/>
            <w:shd w:val="clear" w:color="auto" w:fill="EEEDED"/>
          </w:tcPr>
          <w:p>
            <w:pPr>
              <w:spacing w:after="0"/>
              <w:rPr>
                <w:sz w:val="6"/>
                <w:szCs w:val="6"/>
                <w:color w:val="auto"/>
              </w:rPr>
            </w:pPr>
          </w:p>
        </w:tc>
        <w:tc>
          <w:tcPr>
            <w:tcW w:w="2040" w:type="dxa"/>
            <w:vAlign w:val="bottom"/>
            <w:gridSpan w:val="2"/>
            <w:shd w:val="clear" w:color="auto" w:fill="EEEDED"/>
          </w:tcPr>
          <w:p>
            <w:pPr>
              <w:spacing w:after="0"/>
              <w:rPr>
                <w:sz w:val="6"/>
                <w:szCs w:val="6"/>
                <w:color w:val="auto"/>
              </w:rPr>
            </w:pPr>
          </w:p>
        </w:tc>
        <w:tc>
          <w:tcPr>
            <w:tcW w:w="2280" w:type="dxa"/>
            <w:vAlign w:val="bottom"/>
            <w:shd w:val="clear" w:color="auto" w:fill="EEEDED"/>
          </w:tcPr>
          <w:p>
            <w:pPr>
              <w:spacing w:after="0"/>
              <w:rPr>
                <w:sz w:val="6"/>
                <w:szCs w:val="6"/>
                <w:color w:val="auto"/>
              </w:rPr>
            </w:pPr>
          </w:p>
        </w:tc>
        <w:tc>
          <w:tcPr>
            <w:tcW w:w="100" w:type="dxa"/>
            <w:vAlign w:val="bottom"/>
            <w:shd w:val="clear" w:color="auto" w:fill="EEEDED"/>
          </w:tcPr>
          <w:p>
            <w:pPr>
              <w:spacing w:after="0"/>
              <w:rPr>
                <w:sz w:val="6"/>
                <w:szCs w:val="6"/>
                <w:color w:val="auto"/>
              </w:rPr>
            </w:pPr>
          </w:p>
        </w:tc>
        <w:tc>
          <w:tcPr>
            <w:tcW w:w="1100" w:type="dxa"/>
            <w:vAlign w:val="bottom"/>
            <w:shd w:val="clear" w:color="auto" w:fill="EEEDED"/>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680" w:type="dxa"/>
            <w:vAlign w:val="bottom"/>
            <w:tcBorders>
              <w:bottom w:val="single" w:sz="8" w:color="54585A"/>
            </w:tcBorders>
          </w:tcPr>
          <w:p>
            <w:pPr>
              <w:ind w:left="240"/>
              <w:spacing w:after="0"/>
              <w:rPr>
                <w:sz w:val="20"/>
                <w:szCs w:val="20"/>
                <w:color w:val="auto"/>
              </w:rPr>
            </w:pPr>
            <w:r>
              <w:rPr>
                <w:rFonts w:ascii="Arial" w:cs="Arial" w:eastAsia="Arial" w:hAnsi="Arial"/>
                <w:sz w:val="10"/>
                <w:szCs w:val="10"/>
                <w:color w:val="54585A"/>
              </w:rPr>
              <w:t>2022</w:t>
            </w:r>
          </w:p>
        </w:tc>
        <w:tc>
          <w:tcPr>
            <w:tcW w:w="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22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203,940</w:t>
            </w:r>
          </w:p>
        </w:tc>
        <w:tc>
          <w:tcPr>
            <w:tcW w:w="400" w:type="dxa"/>
            <w:vAlign w:val="bottom"/>
            <w:tcBorders>
              <w:bottom w:val="single" w:sz="8" w:color="54585A"/>
            </w:tcBorders>
          </w:tcPr>
          <w:p>
            <w:pPr>
              <w:jc w:val="right"/>
              <w:ind w:right="252"/>
              <w:spacing w:after="0"/>
              <w:rPr>
                <w:sz w:val="20"/>
                <w:szCs w:val="20"/>
                <w:color w:val="auto"/>
              </w:rPr>
            </w:pPr>
            <w:r>
              <w:rPr>
                <w:rFonts w:ascii="Arial" w:cs="Arial" w:eastAsia="Arial" w:hAnsi="Arial"/>
                <w:sz w:val="10"/>
                <w:szCs w:val="10"/>
                <w:color w:val="54585A"/>
              </w:rPr>
              <w:t>$</w:t>
            </w:r>
          </w:p>
        </w:tc>
        <w:tc>
          <w:tcPr>
            <w:tcW w:w="17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310,726</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2040" w:type="dxa"/>
            <w:vAlign w:val="bottom"/>
            <w:tcBorders>
              <w:bottom w:val="single" w:sz="8" w:color="54585A"/>
            </w:tcBorders>
            <w:gridSpan w:val="2"/>
          </w:tcPr>
          <w:p>
            <w:pPr>
              <w:jc w:val="right"/>
              <w:spacing w:after="0"/>
              <w:rPr>
                <w:sz w:val="20"/>
                <w:szCs w:val="20"/>
                <w:color w:val="auto"/>
              </w:rPr>
            </w:pPr>
            <w:r>
              <w:rPr>
                <w:rFonts w:ascii="Arial" w:cs="Arial" w:eastAsia="Arial" w:hAnsi="Arial"/>
                <w:sz w:val="10"/>
                <w:szCs w:val="10"/>
                <w:color w:val="54585A"/>
              </w:rPr>
              <w:t>— $</w:t>
            </w:r>
          </w:p>
        </w:tc>
        <w:tc>
          <w:tcPr>
            <w:tcW w:w="22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174,533</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10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689,199</w:t>
            </w:r>
          </w:p>
        </w:tc>
        <w:tc>
          <w:tcPr>
            <w:tcW w:w="0" w:type="dxa"/>
            <w:vAlign w:val="bottom"/>
          </w:tcPr>
          <w:p>
            <w:pPr>
              <w:spacing w:after="0"/>
              <w:rPr>
                <w:sz w:val="1"/>
                <w:szCs w:val="1"/>
                <w:color w:val="auto"/>
              </w:rPr>
            </w:pPr>
          </w:p>
        </w:tc>
      </w:tr>
      <w:tr>
        <w:trPr>
          <w:trHeight w:val="142"/>
        </w:trPr>
        <w:tc>
          <w:tcPr>
            <w:tcW w:w="680" w:type="dxa"/>
            <w:vAlign w:val="bottom"/>
            <w:tcBorders>
              <w:bottom w:val="single" w:sz="8" w:color="54585A"/>
            </w:tcBorders>
          </w:tcPr>
          <w:p>
            <w:pPr>
              <w:ind w:left="240"/>
              <w:spacing w:after="0"/>
              <w:rPr>
                <w:sz w:val="20"/>
                <w:szCs w:val="20"/>
                <w:color w:val="auto"/>
              </w:rPr>
            </w:pPr>
            <w:r>
              <w:rPr>
                <w:rFonts w:ascii="Arial" w:cs="Arial" w:eastAsia="Arial" w:hAnsi="Arial"/>
                <w:sz w:val="10"/>
                <w:szCs w:val="10"/>
                <w:color w:val="54585A"/>
              </w:rPr>
              <w:t>2021</w:t>
            </w:r>
          </w:p>
        </w:tc>
        <w:tc>
          <w:tcPr>
            <w:tcW w:w="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22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139,200</w:t>
            </w:r>
          </w:p>
        </w:tc>
        <w:tc>
          <w:tcPr>
            <w:tcW w:w="400" w:type="dxa"/>
            <w:vAlign w:val="bottom"/>
            <w:tcBorders>
              <w:bottom w:val="single" w:sz="8" w:color="54585A"/>
            </w:tcBorders>
          </w:tcPr>
          <w:p>
            <w:pPr>
              <w:jc w:val="right"/>
              <w:ind w:right="252"/>
              <w:spacing w:after="0"/>
              <w:rPr>
                <w:sz w:val="20"/>
                <w:szCs w:val="20"/>
                <w:color w:val="auto"/>
              </w:rPr>
            </w:pPr>
            <w:r>
              <w:rPr>
                <w:rFonts w:ascii="Arial" w:cs="Arial" w:eastAsia="Arial" w:hAnsi="Arial"/>
                <w:sz w:val="10"/>
                <w:szCs w:val="10"/>
                <w:color w:val="54585A"/>
              </w:rPr>
              <w:t>$</w:t>
            </w:r>
          </w:p>
        </w:tc>
        <w:tc>
          <w:tcPr>
            <w:tcW w:w="17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1,852,132</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9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144,999</w:t>
            </w:r>
          </w:p>
        </w:tc>
        <w:tc>
          <w:tcPr>
            <w:tcW w:w="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w:t>
            </w:r>
          </w:p>
        </w:tc>
        <w:tc>
          <w:tcPr>
            <w:tcW w:w="22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1,476,228</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10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3,612,559</w:t>
            </w:r>
          </w:p>
        </w:tc>
        <w:tc>
          <w:tcPr>
            <w:tcW w:w="0" w:type="dxa"/>
            <w:vAlign w:val="bottom"/>
          </w:tcPr>
          <w:p>
            <w:pPr>
              <w:spacing w:after="0"/>
              <w:rPr>
                <w:sz w:val="1"/>
                <w:szCs w:val="1"/>
                <w:color w:val="auto"/>
              </w:rPr>
            </w:pPr>
          </w:p>
        </w:tc>
      </w:tr>
      <w:tr>
        <w:trPr>
          <w:trHeight w:val="142"/>
        </w:trPr>
        <w:tc>
          <w:tcPr>
            <w:tcW w:w="680" w:type="dxa"/>
            <w:vAlign w:val="bottom"/>
            <w:tcBorders>
              <w:bottom w:val="single" w:sz="8" w:color="54585A"/>
            </w:tcBorders>
          </w:tcPr>
          <w:p>
            <w:pPr>
              <w:ind w:left="240"/>
              <w:spacing w:after="0"/>
              <w:rPr>
                <w:sz w:val="20"/>
                <w:szCs w:val="20"/>
                <w:color w:val="auto"/>
              </w:rPr>
            </w:pPr>
            <w:r>
              <w:rPr>
                <w:rFonts w:ascii="Arial" w:cs="Arial" w:eastAsia="Arial" w:hAnsi="Arial"/>
                <w:sz w:val="10"/>
                <w:szCs w:val="10"/>
                <w:color w:val="54585A"/>
              </w:rPr>
              <w:t>2020</w:t>
            </w:r>
          </w:p>
        </w:tc>
        <w:tc>
          <w:tcPr>
            <w:tcW w:w="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22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27,201</w:t>
            </w:r>
          </w:p>
        </w:tc>
        <w:tc>
          <w:tcPr>
            <w:tcW w:w="400" w:type="dxa"/>
            <w:vAlign w:val="bottom"/>
            <w:tcBorders>
              <w:bottom w:val="single" w:sz="8" w:color="54585A"/>
            </w:tcBorders>
          </w:tcPr>
          <w:p>
            <w:pPr>
              <w:jc w:val="right"/>
              <w:ind w:right="252"/>
              <w:spacing w:after="0"/>
              <w:rPr>
                <w:sz w:val="20"/>
                <w:szCs w:val="20"/>
                <w:color w:val="auto"/>
              </w:rPr>
            </w:pPr>
            <w:r>
              <w:rPr>
                <w:rFonts w:ascii="Arial" w:cs="Arial" w:eastAsia="Arial" w:hAnsi="Arial"/>
                <w:sz w:val="10"/>
                <w:szCs w:val="10"/>
                <w:color w:val="54585A"/>
              </w:rPr>
              <w:t>$</w:t>
            </w:r>
          </w:p>
        </w:tc>
        <w:tc>
          <w:tcPr>
            <w:tcW w:w="17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(409,926)</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9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130,992</w:t>
            </w:r>
          </w:p>
        </w:tc>
        <w:tc>
          <w:tcPr>
            <w:tcW w:w="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w:t>
            </w:r>
          </w:p>
        </w:tc>
        <w:tc>
          <w:tcPr>
            <w:tcW w:w="22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(148,636)</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100" w:type="dxa"/>
            <w:vAlign w:val="bottom"/>
            <w:tcBorders>
              <w:bottom w:val="single" w:sz="8" w:color="54585A"/>
            </w:tcBorders>
          </w:tcPr>
          <w:p>
            <w:pPr>
              <w:jc w:val="right"/>
              <w:ind w:right="92"/>
              <w:spacing w:after="0"/>
              <w:rPr>
                <w:sz w:val="20"/>
                <w:szCs w:val="20"/>
                <w:color w:val="auto"/>
              </w:rPr>
            </w:pPr>
            <w:r>
              <w:rPr>
                <w:rFonts w:ascii="Arial" w:cs="Arial" w:eastAsia="Arial" w:hAnsi="Arial"/>
                <w:sz w:val="10"/>
                <w:szCs w:val="10"/>
                <w:color w:val="54585A"/>
              </w:rPr>
              <w:t>(400,369)</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08" w:hanging="208"/>
        <w:spacing w:after="0" w:line="323" w:lineRule="auto"/>
        <w:tabs>
          <w:tab w:leader="none" w:pos="207" w:val="left"/>
        </w:tabs>
        <w:numPr>
          <w:ilvl w:val="0"/>
          <w:numId w:val="61"/>
        </w:numPr>
        <w:rPr>
          <w:rFonts w:ascii="Arial" w:cs="Arial" w:eastAsia="Arial" w:hAnsi="Arial"/>
          <w:sz w:val="8"/>
          <w:szCs w:val="8"/>
          <w:color w:val="54585A"/>
        </w:rPr>
      </w:pPr>
      <w:r>
        <w:rPr>
          <w:rFonts w:ascii="Arial" w:cs="Arial" w:eastAsia="Arial" w:hAnsi="Arial"/>
          <w:sz w:val="8"/>
          <w:szCs w:val="8"/>
          <w:color w:val="54585A"/>
        </w:rPr>
        <w:t>The dollar amounts reported represent the average of the amounts reported for the Company’s named executive officers (NEOs) as a group (excluding Mr. Kagan) in the “Total” column of the Summary Compensation Table in each applicable year. The names of each of the NEOs (excluding Mr. Kagan) included for purposes of calculating the average amounts in each of 2022, 2021 and 2020 are as follows Rebecca S. Clary, Vice President and Chief Financial Officer, and L. Barbee Ponder IV, Vice President of Regulatory Affairs and General Counsel. As discussed in this Proxy Statement, Mr. Monroe did not receive any compensation during 2020 through 2022 for his service as an executive officer of the Company; therefore, he is not included.</w:t>
      </w:r>
    </w:p>
    <w:p>
      <w:pPr>
        <w:spacing w:after="0" w:line="42" w:lineRule="exact"/>
        <w:rPr>
          <w:rFonts w:ascii="Arial" w:cs="Arial" w:eastAsia="Arial" w:hAnsi="Arial"/>
          <w:sz w:val="8"/>
          <w:szCs w:val="8"/>
          <w:color w:val="54585A"/>
        </w:rPr>
      </w:pPr>
    </w:p>
    <w:p>
      <w:pPr>
        <w:ind w:left="208" w:right="20" w:hanging="208"/>
        <w:spacing w:after="0" w:line="238" w:lineRule="auto"/>
        <w:tabs>
          <w:tab w:leader="none" w:pos="207" w:val="left"/>
        </w:tabs>
        <w:numPr>
          <w:ilvl w:val="0"/>
          <w:numId w:val="61"/>
        </w:numPr>
        <w:rPr>
          <w:rFonts w:ascii="Arial" w:cs="Arial" w:eastAsia="Arial" w:hAnsi="Arial"/>
          <w:sz w:val="10"/>
          <w:szCs w:val="10"/>
          <w:color w:val="54585A"/>
        </w:rPr>
      </w:pPr>
      <w:r>
        <w:rPr>
          <w:rFonts w:ascii="Arial" w:cs="Arial" w:eastAsia="Arial" w:hAnsi="Arial"/>
          <w:sz w:val="10"/>
          <w:szCs w:val="10"/>
          <w:color w:val="54585A"/>
        </w:rPr>
        <w:t>The dollar amounts reported represent the average amount of “compensation actually paid” to the NEOs as a group (excluding Mr. Kagan), as computed in accordance with Item 402(v) of Regulation S-K. The dollar amounts do not reflect the actual average amount of compensation earned by or paid to the NEOs as a group (excluding Mr. Kagan) during the applicable year. In accordance with the requirements of Item 402(v) of Regulation S-K, the following adjustments were made to average total compensation for the NEOs as a group (excluding Mr. Kagan) for each year to determine the compensation actually paid, using the same methodology described above in Note 2. The NEOs do not have pension benefits; therefore, columns reporting Change in Actuarial Value of Pension Benefits and Pension Benefit Adjustments are omitted.</w:t>
      </w:r>
    </w:p>
    <w:p>
      <w:pPr>
        <w:spacing w:after="0" w:line="90" w:lineRule="exact"/>
        <w:rPr>
          <w:sz w:val="20"/>
          <w:szCs w:val="20"/>
          <w:color w:val="auto"/>
        </w:rPr>
      </w:pPr>
    </w:p>
    <w:tbl>
      <w:tblPr>
        <w:tblLayout w:type="fixed"/>
        <w:tblInd w:w="208" w:type="dxa"/>
        <w:tblCellMar>
          <w:top w:w="0" w:type="dxa"/>
          <w:left w:w="0" w:type="dxa"/>
          <w:bottom w:w="0" w:type="dxa"/>
          <w:right w:w="0" w:type="dxa"/>
        </w:tblCellMar>
      </w:tblPr>
      <w:tr>
        <w:trPr>
          <w:trHeight w:val="162"/>
        </w:trPr>
        <w:tc>
          <w:tcPr>
            <w:tcW w:w="560" w:type="dxa"/>
            <w:vAlign w:val="bottom"/>
            <w:vMerge w:val="restart"/>
            <w:shd w:val="clear" w:color="auto" w:fill="EEEDED"/>
          </w:tcPr>
          <w:p>
            <w:pPr>
              <w:ind w:left="180"/>
              <w:spacing w:after="0"/>
              <w:rPr>
                <w:sz w:val="20"/>
                <w:szCs w:val="20"/>
                <w:color w:val="auto"/>
              </w:rPr>
            </w:pPr>
            <w:r>
              <w:rPr>
                <w:rFonts w:ascii="Arial" w:cs="Arial" w:eastAsia="Arial" w:hAnsi="Arial"/>
                <w:sz w:val="10"/>
                <w:szCs w:val="10"/>
                <w:b w:val="1"/>
                <w:bCs w:val="1"/>
                <w:color w:val="54585A"/>
              </w:rPr>
              <w:t>Year</w:t>
            </w:r>
          </w:p>
        </w:tc>
        <w:tc>
          <w:tcPr>
            <w:tcW w:w="60" w:type="dxa"/>
            <w:vAlign w:val="bottom"/>
            <w:shd w:val="clear" w:color="auto" w:fill="EEEDED"/>
          </w:tcPr>
          <w:p>
            <w:pPr>
              <w:spacing w:after="0"/>
              <w:rPr>
                <w:sz w:val="14"/>
                <w:szCs w:val="14"/>
                <w:color w:val="auto"/>
              </w:rPr>
            </w:pPr>
          </w:p>
        </w:tc>
        <w:tc>
          <w:tcPr>
            <w:tcW w:w="2440" w:type="dxa"/>
            <w:vAlign w:val="bottom"/>
            <w:shd w:val="clear" w:color="auto" w:fill="EEEDED"/>
          </w:tcPr>
          <w:p>
            <w:pPr>
              <w:jc w:val="right"/>
              <w:ind w:right="12"/>
              <w:spacing w:after="0"/>
              <w:rPr>
                <w:sz w:val="20"/>
                <w:szCs w:val="20"/>
                <w:color w:val="auto"/>
              </w:rPr>
            </w:pPr>
            <w:r>
              <w:rPr>
                <w:rFonts w:ascii="Arial" w:cs="Arial" w:eastAsia="Arial" w:hAnsi="Arial"/>
                <w:sz w:val="10"/>
                <w:szCs w:val="10"/>
                <w:b w:val="1"/>
                <w:bCs w:val="1"/>
                <w:color w:val="54585A"/>
                <w:w w:val="95"/>
              </w:rPr>
              <w:t>Average summary compensation table total for non-</w:t>
            </w:r>
          </w:p>
        </w:tc>
        <w:tc>
          <w:tcPr>
            <w:tcW w:w="2480" w:type="dxa"/>
            <w:vAlign w:val="bottom"/>
            <w:gridSpan w:val="2"/>
            <w:shd w:val="clear" w:color="auto" w:fill="EEEDED"/>
          </w:tcPr>
          <w:p>
            <w:pPr>
              <w:jc w:val="right"/>
              <w:spacing w:after="0"/>
              <w:rPr>
                <w:sz w:val="20"/>
                <w:szCs w:val="20"/>
                <w:color w:val="auto"/>
              </w:rPr>
            </w:pPr>
            <w:r>
              <w:rPr>
                <w:rFonts w:ascii="Arial" w:cs="Arial" w:eastAsia="Arial" w:hAnsi="Arial"/>
                <w:sz w:val="10"/>
                <w:szCs w:val="10"/>
                <w:b w:val="1"/>
                <w:bCs w:val="1"/>
                <w:color w:val="54585A"/>
                <w:w w:val="97"/>
              </w:rPr>
              <w:t>Reported Value of Equity Awards for non-PEO NEOs</w:t>
            </w:r>
          </w:p>
        </w:tc>
        <w:tc>
          <w:tcPr>
            <w:tcW w:w="120" w:type="dxa"/>
            <w:vAlign w:val="bottom"/>
            <w:shd w:val="clear" w:color="auto" w:fill="EEEDED"/>
          </w:tcPr>
          <w:p>
            <w:pPr>
              <w:spacing w:after="0"/>
              <w:rPr>
                <w:sz w:val="14"/>
                <w:szCs w:val="14"/>
                <w:color w:val="auto"/>
              </w:rPr>
            </w:pPr>
          </w:p>
        </w:tc>
        <w:tc>
          <w:tcPr>
            <w:tcW w:w="2360" w:type="dxa"/>
            <w:vAlign w:val="bottom"/>
            <w:shd w:val="clear" w:color="auto" w:fill="EEEDED"/>
          </w:tcPr>
          <w:p>
            <w:pPr>
              <w:jc w:val="right"/>
              <w:ind w:right="92"/>
              <w:spacing w:after="0"/>
              <w:rPr>
                <w:sz w:val="20"/>
                <w:szCs w:val="20"/>
                <w:color w:val="auto"/>
              </w:rPr>
            </w:pPr>
            <w:r>
              <w:rPr>
                <w:rFonts w:ascii="Arial" w:cs="Arial" w:eastAsia="Arial" w:hAnsi="Arial"/>
                <w:sz w:val="10"/>
                <w:szCs w:val="10"/>
                <w:b w:val="1"/>
                <w:bCs w:val="1"/>
                <w:color w:val="54585A"/>
                <w:w w:val="97"/>
              </w:rPr>
              <w:t>Equity Award Adjustments for non-PEO NEOs</w:t>
            </w:r>
            <w:r>
              <w:rPr>
                <w:rFonts w:ascii="Arial" w:cs="Arial" w:eastAsia="Arial" w:hAnsi="Arial"/>
                <w:sz w:val="6"/>
                <w:szCs w:val="6"/>
                <w:b w:val="1"/>
                <w:bCs w:val="1"/>
                <w:color w:val="54585A"/>
                <w:w w:val="97"/>
              </w:rPr>
              <w:t>(a)</w:t>
            </w:r>
          </w:p>
        </w:tc>
        <w:tc>
          <w:tcPr>
            <w:tcW w:w="2680" w:type="dxa"/>
            <w:vAlign w:val="bottom"/>
            <w:gridSpan w:val="2"/>
            <w:shd w:val="clear" w:color="auto" w:fill="EEEDED"/>
          </w:tcPr>
          <w:p>
            <w:pPr>
              <w:ind w:left="40"/>
              <w:spacing w:after="0"/>
              <w:rPr>
                <w:sz w:val="20"/>
                <w:szCs w:val="20"/>
                <w:color w:val="auto"/>
              </w:rPr>
            </w:pPr>
            <w:r>
              <w:rPr>
                <w:rFonts w:ascii="Arial" w:cs="Arial" w:eastAsia="Arial" w:hAnsi="Arial"/>
                <w:sz w:val="10"/>
                <w:szCs w:val="10"/>
                <w:b w:val="1"/>
                <w:bCs w:val="1"/>
                <w:color w:val="54585A"/>
              </w:rPr>
              <w:t>Average compensation actually paid to non-PEO NEOs</w:t>
            </w:r>
          </w:p>
        </w:tc>
        <w:tc>
          <w:tcPr>
            <w:tcW w:w="0" w:type="dxa"/>
            <w:vAlign w:val="bottom"/>
          </w:tcPr>
          <w:p>
            <w:pPr>
              <w:spacing w:after="0"/>
              <w:rPr>
                <w:sz w:val="1"/>
                <w:szCs w:val="1"/>
                <w:color w:val="auto"/>
              </w:rPr>
            </w:pPr>
          </w:p>
        </w:tc>
      </w:tr>
      <w:tr>
        <w:trPr>
          <w:trHeight w:val="108"/>
        </w:trPr>
        <w:tc>
          <w:tcPr>
            <w:tcW w:w="560" w:type="dxa"/>
            <w:vAlign w:val="bottom"/>
            <w:vMerge w:val="continue"/>
            <w:shd w:val="clear" w:color="auto" w:fill="EEEDED"/>
          </w:tcPr>
          <w:p>
            <w:pPr>
              <w:spacing w:after="0"/>
              <w:rPr>
                <w:sz w:val="9"/>
                <w:szCs w:val="9"/>
                <w:color w:val="auto"/>
              </w:rPr>
            </w:pPr>
          </w:p>
        </w:tc>
        <w:tc>
          <w:tcPr>
            <w:tcW w:w="60" w:type="dxa"/>
            <w:vAlign w:val="bottom"/>
            <w:shd w:val="clear" w:color="auto" w:fill="EEEDED"/>
          </w:tcPr>
          <w:p>
            <w:pPr>
              <w:spacing w:after="0"/>
              <w:rPr>
                <w:sz w:val="9"/>
                <w:szCs w:val="9"/>
                <w:color w:val="auto"/>
              </w:rPr>
            </w:pPr>
          </w:p>
        </w:tc>
        <w:tc>
          <w:tcPr>
            <w:tcW w:w="2440" w:type="dxa"/>
            <w:vAlign w:val="bottom"/>
            <w:shd w:val="clear" w:color="auto" w:fill="EEEDED"/>
          </w:tcPr>
          <w:p>
            <w:pPr>
              <w:jc w:val="right"/>
              <w:ind w:right="952"/>
              <w:spacing w:after="0" w:line="108" w:lineRule="exact"/>
              <w:rPr>
                <w:sz w:val="20"/>
                <w:szCs w:val="20"/>
                <w:color w:val="auto"/>
              </w:rPr>
            </w:pPr>
            <w:r>
              <w:rPr>
                <w:rFonts w:ascii="Arial" w:cs="Arial" w:eastAsia="Arial" w:hAnsi="Arial"/>
                <w:sz w:val="10"/>
                <w:szCs w:val="10"/>
                <w:b w:val="1"/>
                <w:bCs w:val="1"/>
                <w:color w:val="54585A"/>
              </w:rPr>
              <w:t>PEO NEOs</w:t>
            </w:r>
          </w:p>
        </w:tc>
        <w:tc>
          <w:tcPr>
            <w:tcW w:w="1060" w:type="dxa"/>
            <w:vAlign w:val="bottom"/>
            <w:shd w:val="clear" w:color="auto" w:fill="EEEDED"/>
          </w:tcPr>
          <w:p>
            <w:pPr>
              <w:spacing w:after="0"/>
              <w:rPr>
                <w:sz w:val="9"/>
                <w:szCs w:val="9"/>
                <w:color w:val="auto"/>
              </w:rPr>
            </w:pPr>
          </w:p>
        </w:tc>
        <w:tc>
          <w:tcPr>
            <w:tcW w:w="1420" w:type="dxa"/>
            <w:vAlign w:val="bottom"/>
            <w:shd w:val="clear" w:color="auto" w:fill="EEEDED"/>
          </w:tcPr>
          <w:p>
            <w:pPr>
              <w:spacing w:after="0"/>
              <w:rPr>
                <w:sz w:val="9"/>
                <w:szCs w:val="9"/>
                <w:color w:val="auto"/>
              </w:rPr>
            </w:pPr>
          </w:p>
        </w:tc>
        <w:tc>
          <w:tcPr>
            <w:tcW w:w="120" w:type="dxa"/>
            <w:vAlign w:val="bottom"/>
            <w:shd w:val="clear" w:color="auto" w:fill="EEEDED"/>
          </w:tcPr>
          <w:p>
            <w:pPr>
              <w:spacing w:after="0"/>
              <w:rPr>
                <w:sz w:val="9"/>
                <w:szCs w:val="9"/>
                <w:color w:val="auto"/>
              </w:rPr>
            </w:pPr>
          </w:p>
        </w:tc>
        <w:tc>
          <w:tcPr>
            <w:tcW w:w="2360" w:type="dxa"/>
            <w:vAlign w:val="bottom"/>
            <w:shd w:val="clear" w:color="auto" w:fill="EEEDED"/>
          </w:tcPr>
          <w:p>
            <w:pPr>
              <w:spacing w:after="0"/>
              <w:rPr>
                <w:sz w:val="9"/>
                <w:szCs w:val="9"/>
                <w:color w:val="auto"/>
              </w:rPr>
            </w:pPr>
          </w:p>
        </w:tc>
        <w:tc>
          <w:tcPr>
            <w:tcW w:w="1080" w:type="dxa"/>
            <w:vAlign w:val="bottom"/>
            <w:shd w:val="clear" w:color="auto" w:fill="EEEDED"/>
          </w:tcPr>
          <w:p>
            <w:pPr>
              <w:spacing w:after="0"/>
              <w:rPr>
                <w:sz w:val="9"/>
                <w:szCs w:val="9"/>
                <w:color w:val="auto"/>
              </w:rPr>
            </w:pPr>
          </w:p>
        </w:tc>
        <w:tc>
          <w:tcPr>
            <w:tcW w:w="1600" w:type="dxa"/>
            <w:vAlign w:val="bottom"/>
            <w:shd w:val="clear" w:color="auto" w:fill="EEEDED"/>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560" w:type="dxa"/>
            <w:vAlign w:val="bottom"/>
            <w:shd w:val="clear" w:color="auto" w:fill="EEEDED"/>
          </w:tcPr>
          <w:p>
            <w:pPr>
              <w:spacing w:after="0"/>
              <w:rPr>
                <w:sz w:val="5"/>
                <w:szCs w:val="5"/>
                <w:color w:val="auto"/>
              </w:rPr>
            </w:pPr>
          </w:p>
        </w:tc>
        <w:tc>
          <w:tcPr>
            <w:tcW w:w="60" w:type="dxa"/>
            <w:vAlign w:val="bottom"/>
            <w:shd w:val="clear" w:color="auto" w:fill="EEEDED"/>
          </w:tcPr>
          <w:p>
            <w:pPr>
              <w:spacing w:after="0"/>
              <w:rPr>
                <w:sz w:val="5"/>
                <w:szCs w:val="5"/>
                <w:color w:val="auto"/>
              </w:rPr>
            </w:pPr>
          </w:p>
        </w:tc>
        <w:tc>
          <w:tcPr>
            <w:tcW w:w="2440" w:type="dxa"/>
            <w:vAlign w:val="bottom"/>
            <w:shd w:val="clear" w:color="auto" w:fill="EEEDED"/>
          </w:tcPr>
          <w:p>
            <w:pPr>
              <w:spacing w:after="0"/>
              <w:rPr>
                <w:sz w:val="5"/>
                <w:szCs w:val="5"/>
                <w:color w:val="auto"/>
              </w:rPr>
            </w:pPr>
          </w:p>
        </w:tc>
        <w:tc>
          <w:tcPr>
            <w:tcW w:w="1060" w:type="dxa"/>
            <w:vAlign w:val="bottom"/>
            <w:shd w:val="clear" w:color="auto" w:fill="EEEDED"/>
          </w:tcPr>
          <w:p>
            <w:pPr>
              <w:spacing w:after="0"/>
              <w:rPr>
                <w:sz w:val="5"/>
                <w:szCs w:val="5"/>
                <w:color w:val="auto"/>
              </w:rPr>
            </w:pPr>
          </w:p>
        </w:tc>
        <w:tc>
          <w:tcPr>
            <w:tcW w:w="1420" w:type="dxa"/>
            <w:vAlign w:val="bottom"/>
            <w:shd w:val="clear" w:color="auto" w:fill="EEEDED"/>
          </w:tcPr>
          <w:p>
            <w:pPr>
              <w:spacing w:after="0"/>
              <w:rPr>
                <w:sz w:val="5"/>
                <w:szCs w:val="5"/>
                <w:color w:val="auto"/>
              </w:rPr>
            </w:pPr>
          </w:p>
        </w:tc>
        <w:tc>
          <w:tcPr>
            <w:tcW w:w="120" w:type="dxa"/>
            <w:vAlign w:val="bottom"/>
            <w:shd w:val="clear" w:color="auto" w:fill="EEEDED"/>
          </w:tcPr>
          <w:p>
            <w:pPr>
              <w:spacing w:after="0"/>
              <w:rPr>
                <w:sz w:val="5"/>
                <w:szCs w:val="5"/>
                <w:color w:val="auto"/>
              </w:rPr>
            </w:pPr>
          </w:p>
        </w:tc>
        <w:tc>
          <w:tcPr>
            <w:tcW w:w="2360" w:type="dxa"/>
            <w:vAlign w:val="bottom"/>
            <w:shd w:val="clear" w:color="auto" w:fill="EEEDED"/>
          </w:tcPr>
          <w:p>
            <w:pPr>
              <w:spacing w:after="0"/>
              <w:rPr>
                <w:sz w:val="5"/>
                <w:szCs w:val="5"/>
                <w:color w:val="auto"/>
              </w:rPr>
            </w:pPr>
          </w:p>
        </w:tc>
        <w:tc>
          <w:tcPr>
            <w:tcW w:w="1080" w:type="dxa"/>
            <w:vAlign w:val="bottom"/>
            <w:shd w:val="clear" w:color="auto" w:fill="EEEDED"/>
          </w:tcPr>
          <w:p>
            <w:pPr>
              <w:spacing w:after="0"/>
              <w:rPr>
                <w:sz w:val="5"/>
                <w:szCs w:val="5"/>
                <w:color w:val="auto"/>
              </w:rPr>
            </w:pPr>
          </w:p>
        </w:tc>
        <w:tc>
          <w:tcPr>
            <w:tcW w:w="1600" w:type="dxa"/>
            <w:vAlign w:val="bottom"/>
            <w:shd w:val="clear" w:color="auto" w:fill="EEEDED"/>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560" w:type="dxa"/>
            <w:vAlign w:val="bottom"/>
            <w:tcBorders>
              <w:bottom w:val="single" w:sz="8" w:color="54585A"/>
            </w:tcBorders>
          </w:tcPr>
          <w:p>
            <w:pPr>
              <w:ind w:left="180"/>
              <w:spacing w:after="0"/>
              <w:rPr>
                <w:sz w:val="20"/>
                <w:szCs w:val="20"/>
                <w:color w:val="auto"/>
              </w:rPr>
            </w:pPr>
            <w:r>
              <w:rPr>
                <w:rFonts w:ascii="Arial" w:cs="Arial" w:eastAsia="Arial" w:hAnsi="Arial"/>
                <w:sz w:val="10"/>
                <w:szCs w:val="10"/>
                <w:color w:val="54585A"/>
              </w:rPr>
              <w:t>2022</w:t>
            </w:r>
          </w:p>
        </w:tc>
        <w:tc>
          <w:tcPr>
            <w:tcW w:w="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24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1,764,537</w:t>
            </w:r>
          </w:p>
        </w:tc>
        <w:tc>
          <w:tcPr>
            <w:tcW w:w="1060" w:type="dxa"/>
            <w:vAlign w:val="bottom"/>
            <w:tcBorders>
              <w:bottom w:val="single" w:sz="8" w:color="54585A"/>
            </w:tcBorders>
          </w:tcPr>
          <w:p>
            <w:pPr>
              <w:jc w:val="right"/>
              <w:ind w:right="912"/>
              <w:spacing w:after="0"/>
              <w:rPr>
                <w:sz w:val="20"/>
                <w:szCs w:val="20"/>
                <w:color w:val="auto"/>
              </w:rPr>
            </w:pPr>
            <w:r>
              <w:rPr>
                <w:rFonts w:ascii="Arial" w:cs="Arial" w:eastAsia="Arial" w:hAnsi="Arial"/>
                <w:sz w:val="10"/>
                <w:szCs w:val="10"/>
                <w:color w:val="54585A"/>
              </w:rPr>
              <w:t>$</w:t>
            </w:r>
          </w:p>
        </w:tc>
        <w:tc>
          <w:tcPr>
            <w:tcW w:w="14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1,414,900</w:t>
            </w:r>
          </w:p>
        </w:tc>
        <w:tc>
          <w:tcPr>
            <w:tcW w:w="1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w:t>
            </w:r>
          </w:p>
        </w:tc>
        <w:tc>
          <w:tcPr>
            <w:tcW w:w="23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928,309</w:t>
            </w:r>
          </w:p>
        </w:tc>
        <w:tc>
          <w:tcPr>
            <w:tcW w:w="1080" w:type="dxa"/>
            <w:vAlign w:val="bottom"/>
            <w:tcBorders>
              <w:bottom w:val="single" w:sz="8" w:color="54585A"/>
            </w:tcBorders>
          </w:tcPr>
          <w:p>
            <w:pPr>
              <w:ind w:left="20"/>
              <w:spacing w:after="0"/>
              <w:rPr>
                <w:sz w:val="20"/>
                <w:szCs w:val="20"/>
                <w:color w:val="auto"/>
              </w:rPr>
            </w:pPr>
            <w:r>
              <w:rPr>
                <w:rFonts w:ascii="Arial" w:cs="Arial" w:eastAsia="Arial" w:hAnsi="Arial"/>
                <w:sz w:val="10"/>
                <w:szCs w:val="10"/>
                <w:color w:val="54585A"/>
              </w:rPr>
              <w:t>$</w:t>
            </w:r>
          </w:p>
        </w:tc>
        <w:tc>
          <w:tcPr>
            <w:tcW w:w="160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rPr>
              <w:t>1,277,946</w:t>
            </w:r>
          </w:p>
        </w:tc>
        <w:tc>
          <w:tcPr>
            <w:tcW w:w="0" w:type="dxa"/>
            <w:vAlign w:val="bottom"/>
          </w:tcPr>
          <w:p>
            <w:pPr>
              <w:spacing w:after="0"/>
              <w:rPr>
                <w:sz w:val="1"/>
                <w:szCs w:val="1"/>
                <w:color w:val="auto"/>
              </w:rPr>
            </w:pPr>
          </w:p>
        </w:tc>
      </w:tr>
      <w:tr>
        <w:trPr>
          <w:trHeight w:val="142"/>
        </w:trPr>
        <w:tc>
          <w:tcPr>
            <w:tcW w:w="560" w:type="dxa"/>
            <w:vAlign w:val="bottom"/>
            <w:tcBorders>
              <w:bottom w:val="single" w:sz="8" w:color="54585A"/>
            </w:tcBorders>
          </w:tcPr>
          <w:p>
            <w:pPr>
              <w:ind w:left="180"/>
              <w:spacing w:after="0"/>
              <w:rPr>
                <w:sz w:val="20"/>
                <w:szCs w:val="20"/>
                <w:color w:val="auto"/>
              </w:rPr>
            </w:pPr>
            <w:r>
              <w:rPr>
                <w:rFonts w:ascii="Arial" w:cs="Arial" w:eastAsia="Arial" w:hAnsi="Arial"/>
                <w:sz w:val="10"/>
                <w:szCs w:val="10"/>
                <w:color w:val="54585A"/>
              </w:rPr>
              <w:t>2021</w:t>
            </w:r>
          </w:p>
        </w:tc>
        <w:tc>
          <w:tcPr>
            <w:tcW w:w="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24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595,857</w:t>
            </w:r>
          </w:p>
        </w:tc>
        <w:tc>
          <w:tcPr>
            <w:tcW w:w="1060" w:type="dxa"/>
            <w:vAlign w:val="bottom"/>
            <w:tcBorders>
              <w:bottom w:val="single" w:sz="8" w:color="54585A"/>
            </w:tcBorders>
          </w:tcPr>
          <w:p>
            <w:pPr>
              <w:jc w:val="right"/>
              <w:ind w:right="912"/>
              <w:spacing w:after="0"/>
              <w:rPr>
                <w:sz w:val="20"/>
                <w:szCs w:val="20"/>
                <w:color w:val="auto"/>
              </w:rPr>
            </w:pPr>
            <w:r>
              <w:rPr>
                <w:rFonts w:ascii="Arial" w:cs="Arial" w:eastAsia="Arial" w:hAnsi="Arial"/>
                <w:sz w:val="10"/>
                <w:szCs w:val="10"/>
                <w:color w:val="54585A"/>
              </w:rPr>
              <w:t>$</w:t>
            </w:r>
          </w:p>
        </w:tc>
        <w:tc>
          <w:tcPr>
            <w:tcW w:w="14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216,400</w:t>
            </w:r>
          </w:p>
        </w:tc>
        <w:tc>
          <w:tcPr>
            <w:tcW w:w="1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w:t>
            </w:r>
          </w:p>
        </w:tc>
        <w:tc>
          <w:tcPr>
            <w:tcW w:w="23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572,579</w:t>
            </w:r>
          </w:p>
        </w:tc>
        <w:tc>
          <w:tcPr>
            <w:tcW w:w="1080" w:type="dxa"/>
            <w:vAlign w:val="bottom"/>
            <w:tcBorders>
              <w:bottom w:val="single" w:sz="8" w:color="54585A"/>
            </w:tcBorders>
          </w:tcPr>
          <w:p>
            <w:pPr>
              <w:ind w:left="20"/>
              <w:spacing w:after="0"/>
              <w:rPr>
                <w:sz w:val="20"/>
                <w:szCs w:val="20"/>
                <w:color w:val="auto"/>
              </w:rPr>
            </w:pPr>
            <w:r>
              <w:rPr>
                <w:rFonts w:ascii="Arial" w:cs="Arial" w:eastAsia="Arial" w:hAnsi="Arial"/>
                <w:sz w:val="10"/>
                <w:szCs w:val="10"/>
                <w:color w:val="54585A"/>
              </w:rPr>
              <w:t>$</w:t>
            </w:r>
          </w:p>
        </w:tc>
        <w:tc>
          <w:tcPr>
            <w:tcW w:w="160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rPr>
              <w:t>952,036</w:t>
            </w:r>
          </w:p>
        </w:tc>
        <w:tc>
          <w:tcPr>
            <w:tcW w:w="0" w:type="dxa"/>
            <w:vAlign w:val="bottom"/>
          </w:tcPr>
          <w:p>
            <w:pPr>
              <w:spacing w:after="0"/>
              <w:rPr>
                <w:sz w:val="1"/>
                <w:szCs w:val="1"/>
                <w:color w:val="auto"/>
              </w:rPr>
            </w:pPr>
          </w:p>
        </w:tc>
      </w:tr>
      <w:tr>
        <w:trPr>
          <w:trHeight w:val="142"/>
        </w:trPr>
        <w:tc>
          <w:tcPr>
            <w:tcW w:w="560" w:type="dxa"/>
            <w:vAlign w:val="bottom"/>
            <w:tcBorders>
              <w:bottom w:val="single" w:sz="8" w:color="54585A"/>
            </w:tcBorders>
          </w:tcPr>
          <w:p>
            <w:pPr>
              <w:ind w:left="180"/>
              <w:spacing w:after="0"/>
              <w:rPr>
                <w:sz w:val="20"/>
                <w:szCs w:val="20"/>
                <w:color w:val="auto"/>
              </w:rPr>
            </w:pPr>
            <w:r>
              <w:rPr>
                <w:rFonts w:ascii="Arial" w:cs="Arial" w:eastAsia="Arial" w:hAnsi="Arial"/>
                <w:sz w:val="10"/>
                <w:szCs w:val="10"/>
                <w:color w:val="54585A"/>
              </w:rPr>
              <w:t>2020</w:t>
            </w:r>
          </w:p>
        </w:tc>
        <w:tc>
          <w:tcPr>
            <w:tcW w:w="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244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580,343</w:t>
            </w:r>
          </w:p>
        </w:tc>
        <w:tc>
          <w:tcPr>
            <w:tcW w:w="1060" w:type="dxa"/>
            <w:vAlign w:val="bottom"/>
            <w:tcBorders>
              <w:bottom w:val="single" w:sz="8" w:color="54585A"/>
            </w:tcBorders>
          </w:tcPr>
          <w:p>
            <w:pPr>
              <w:jc w:val="right"/>
              <w:ind w:right="912"/>
              <w:spacing w:after="0"/>
              <w:rPr>
                <w:sz w:val="20"/>
                <w:szCs w:val="20"/>
                <w:color w:val="auto"/>
              </w:rPr>
            </w:pPr>
            <w:r>
              <w:rPr>
                <w:rFonts w:ascii="Arial" w:cs="Arial" w:eastAsia="Arial" w:hAnsi="Arial"/>
                <w:sz w:val="10"/>
                <w:szCs w:val="10"/>
                <w:color w:val="54585A"/>
              </w:rPr>
              <w:t>$</w:t>
            </w:r>
          </w:p>
        </w:tc>
        <w:tc>
          <w:tcPr>
            <w:tcW w:w="14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267,973</w:t>
            </w:r>
          </w:p>
        </w:tc>
        <w:tc>
          <w:tcPr>
            <w:tcW w:w="12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w:t>
            </w:r>
          </w:p>
        </w:tc>
        <w:tc>
          <w:tcPr>
            <w:tcW w:w="23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62,962</w:t>
            </w:r>
          </w:p>
        </w:tc>
        <w:tc>
          <w:tcPr>
            <w:tcW w:w="1080" w:type="dxa"/>
            <w:vAlign w:val="bottom"/>
            <w:tcBorders>
              <w:bottom w:val="single" w:sz="8" w:color="54585A"/>
            </w:tcBorders>
          </w:tcPr>
          <w:p>
            <w:pPr>
              <w:ind w:left="20"/>
              <w:spacing w:after="0"/>
              <w:rPr>
                <w:sz w:val="20"/>
                <w:szCs w:val="20"/>
                <w:color w:val="auto"/>
              </w:rPr>
            </w:pPr>
            <w:r>
              <w:rPr>
                <w:rFonts w:ascii="Arial" w:cs="Arial" w:eastAsia="Arial" w:hAnsi="Arial"/>
                <w:sz w:val="10"/>
                <w:szCs w:val="10"/>
                <w:color w:val="54585A"/>
              </w:rPr>
              <w:t>$</w:t>
            </w:r>
          </w:p>
        </w:tc>
        <w:tc>
          <w:tcPr>
            <w:tcW w:w="1600" w:type="dxa"/>
            <w:vAlign w:val="bottom"/>
            <w:tcBorders>
              <w:bottom w:val="single" w:sz="8" w:color="54585A"/>
            </w:tcBorders>
          </w:tcPr>
          <w:p>
            <w:pPr>
              <w:jc w:val="right"/>
              <w:ind w:right="132"/>
              <w:spacing w:after="0"/>
              <w:rPr>
                <w:sz w:val="20"/>
                <w:szCs w:val="20"/>
                <w:color w:val="auto"/>
              </w:rPr>
            </w:pPr>
            <w:r>
              <w:rPr>
                <w:rFonts w:ascii="Arial" w:cs="Arial" w:eastAsia="Arial" w:hAnsi="Arial"/>
                <w:sz w:val="10"/>
                <w:szCs w:val="10"/>
                <w:color w:val="54585A"/>
              </w:rPr>
              <w:t>375,332</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28" w:right="240" w:hanging="212"/>
        <w:spacing w:after="0" w:line="243" w:lineRule="auto"/>
        <w:tabs>
          <w:tab w:leader="none" w:pos="427" w:val="left"/>
        </w:tabs>
        <w:numPr>
          <w:ilvl w:val="0"/>
          <w:numId w:val="62"/>
        </w:numPr>
        <w:rPr>
          <w:rFonts w:ascii="Arial" w:cs="Arial" w:eastAsia="Arial" w:hAnsi="Arial"/>
          <w:sz w:val="10"/>
          <w:szCs w:val="10"/>
          <w:color w:val="54585A"/>
        </w:rPr>
      </w:pPr>
      <w:r>
        <w:rPr>
          <w:rFonts w:ascii="Arial" w:cs="Arial" w:eastAsia="Arial" w:hAnsi="Arial"/>
          <w:sz w:val="10"/>
          <w:szCs w:val="10"/>
          <w:color w:val="54585A"/>
        </w:rPr>
        <w:t>The amounts deducted or added in calculating the equity award adjustments are set forth below. Columns reporting fair value at the end of the prior year of equity awards that failed to meet vesting conditions in the year and value of dividends or other earnings paid on stock or option awards not otherwise reflected in fair value or total compensation are omitted, because they are not applicable.</w:t>
      </w:r>
    </w:p>
    <w:p>
      <w:pPr>
        <w:spacing w:after="0" w:line="79" w:lineRule="exact"/>
        <w:rPr>
          <w:sz w:val="20"/>
          <w:szCs w:val="20"/>
          <w:color w:val="auto"/>
        </w:rPr>
      </w:pPr>
    </w:p>
    <w:tbl>
      <w:tblPr>
        <w:tblLayout w:type="fixed"/>
        <w:tblInd w:w="428" w:type="dxa"/>
        <w:tblCellMar>
          <w:top w:w="0" w:type="dxa"/>
          <w:left w:w="0" w:type="dxa"/>
          <w:bottom w:w="0" w:type="dxa"/>
          <w:right w:w="0" w:type="dxa"/>
        </w:tblCellMar>
      </w:tblPr>
      <w:tr>
        <w:trPr>
          <w:trHeight w:val="126"/>
        </w:trPr>
        <w:tc>
          <w:tcPr>
            <w:tcW w:w="660" w:type="dxa"/>
            <w:vAlign w:val="bottom"/>
            <w:shd w:val="clear" w:color="auto" w:fill="EEEDED"/>
          </w:tcPr>
          <w:p>
            <w:pPr>
              <w:spacing w:after="0"/>
              <w:rPr>
                <w:sz w:val="10"/>
                <w:szCs w:val="10"/>
                <w:color w:val="auto"/>
              </w:rPr>
            </w:pPr>
          </w:p>
        </w:tc>
        <w:tc>
          <w:tcPr>
            <w:tcW w:w="1820" w:type="dxa"/>
            <w:vAlign w:val="bottom"/>
            <w:gridSpan w:val="2"/>
            <w:shd w:val="clear" w:color="auto" w:fill="EEEDED"/>
          </w:tcPr>
          <w:p>
            <w:pPr>
              <w:jc w:val="center"/>
              <w:spacing w:after="0"/>
              <w:rPr>
                <w:sz w:val="20"/>
                <w:szCs w:val="20"/>
                <w:color w:val="auto"/>
              </w:rPr>
            </w:pPr>
            <w:r>
              <w:rPr>
                <w:rFonts w:ascii="Arial" w:cs="Arial" w:eastAsia="Arial" w:hAnsi="Arial"/>
                <w:sz w:val="10"/>
                <w:szCs w:val="10"/>
                <w:b w:val="1"/>
                <w:bCs w:val="1"/>
                <w:color w:val="54585A"/>
                <w:w w:val="94"/>
              </w:rPr>
              <w:t>Average Year-End Fair Value of Equity</w:t>
            </w:r>
          </w:p>
        </w:tc>
        <w:tc>
          <w:tcPr>
            <w:tcW w:w="1880" w:type="dxa"/>
            <w:vAlign w:val="bottom"/>
            <w:gridSpan w:val="2"/>
            <w:shd w:val="clear" w:color="auto" w:fill="EEEDED"/>
          </w:tcPr>
          <w:p>
            <w:pPr>
              <w:ind w:left="40"/>
              <w:spacing w:after="0"/>
              <w:rPr>
                <w:sz w:val="20"/>
                <w:szCs w:val="20"/>
                <w:color w:val="auto"/>
              </w:rPr>
            </w:pPr>
            <w:r>
              <w:rPr>
                <w:rFonts w:ascii="Arial" w:cs="Arial" w:eastAsia="Arial" w:hAnsi="Arial"/>
                <w:sz w:val="10"/>
                <w:szCs w:val="10"/>
                <w:b w:val="1"/>
                <w:bCs w:val="1"/>
                <w:color w:val="54585A"/>
                <w:w w:val="96"/>
              </w:rPr>
              <w:t>Average Change in Fair Value from Last</w:t>
            </w:r>
          </w:p>
        </w:tc>
        <w:tc>
          <w:tcPr>
            <w:tcW w:w="1860" w:type="dxa"/>
            <w:vAlign w:val="bottom"/>
            <w:gridSpan w:val="2"/>
            <w:vMerge w:val="restart"/>
            <w:shd w:val="clear" w:color="auto" w:fill="EEEDED"/>
          </w:tcPr>
          <w:p>
            <w:pPr>
              <w:ind w:left="40"/>
              <w:spacing w:after="0"/>
              <w:rPr>
                <w:sz w:val="20"/>
                <w:szCs w:val="20"/>
                <w:color w:val="auto"/>
              </w:rPr>
            </w:pPr>
            <w:r>
              <w:rPr>
                <w:rFonts w:ascii="Arial" w:cs="Arial" w:eastAsia="Arial" w:hAnsi="Arial"/>
                <w:sz w:val="10"/>
                <w:szCs w:val="10"/>
                <w:b w:val="1"/>
                <w:bCs w:val="1"/>
                <w:color w:val="54585A"/>
                <w:w w:val="96"/>
              </w:rPr>
              <w:t>Average Change in Fair Value of Equity</w:t>
            </w:r>
          </w:p>
        </w:tc>
        <w:tc>
          <w:tcPr>
            <w:tcW w:w="1860" w:type="dxa"/>
            <w:vAlign w:val="bottom"/>
            <w:gridSpan w:val="2"/>
            <w:shd w:val="clear" w:color="auto" w:fill="EEEDED"/>
          </w:tcPr>
          <w:p>
            <w:pPr>
              <w:jc w:val="center"/>
              <w:spacing w:after="0"/>
              <w:rPr>
                <w:sz w:val="20"/>
                <w:szCs w:val="20"/>
                <w:color w:val="auto"/>
              </w:rPr>
            </w:pPr>
            <w:r>
              <w:rPr>
                <w:rFonts w:ascii="Arial" w:cs="Arial" w:eastAsia="Arial" w:hAnsi="Arial"/>
                <w:sz w:val="10"/>
                <w:szCs w:val="10"/>
                <w:b w:val="1"/>
                <w:bCs w:val="1"/>
                <w:color w:val="54585A"/>
                <w:w w:val="94"/>
              </w:rPr>
              <w:t>Average Change in Fair Value from Last</w:t>
            </w:r>
          </w:p>
        </w:tc>
        <w:tc>
          <w:tcPr>
            <w:tcW w:w="100" w:type="dxa"/>
            <w:vAlign w:val="bottom"/>
            <w:shd w:val="clear" w:color="auto" w:fill="EEEDED"/>
          </w:tcPr>
          <w:p>
            <w:pPr>
              <w:spacing w:after="0"/>
              <w:rPr>
                <w:sz w:val="10"/>
                <w:szCs w:val="10"/>
                <w:color w:val="auto"/>
              </w:rPr>
            </w:pPr>
          </w:p>
        </w:tc>
        <w:tc>
          <w:tcPr>
            <w:tcW w:w="1880" w:type="dxa"/>
            <w:vAlign w:val="bottom"/>
            <w:vMerge w:val="restart"/>
            <w:shd w:val="clear" w:color="auto" w:fill="EEEDED"/>
          </w:tcPr>
          <w:p>
            <w:pPr>
              <w:jc w:val="right"/>
              <w:ind w:right="212"/>
              <w:spacing w:after="0"/>
              <w:rPr>
                <w:sz w:val="20"/>
                <w:szCs w:val="20"/>
                <w:color w:val="auto"/>
              </w:rPr>
            </w:pPr>
            <w:r>
              <w:rPr>
                <w:rFonts w:ascii="Arial" w:cs="Arial" w:eastAsia="Arial" w:hAnsi="Arial"/>
                <w:sz w:val="10"/>
                <w:szCs w:val="10"/>
                <w:b w:val="1"/>
                <w:bCs w:val="1"/>
                <w:color w:val="54585A"/>
                <w:w w:val="97"/>
              </w:rPr>
              <w:t>Total - Average Inclusion of Equity</w:t>
            </w:r>
          </w:p>
        </w:tc>
        <w:tc>
          <w:tcPr>
            <w:tcW w:w="0" w:type="dxa"/>
            <w:vAlign w:val="bottom"/>
          </w:tcPr>
          <w:p>
            <w:pPr>
              <w:spacing w:after="0"/>
              <w:rPr>
                <w:sz w:val="1"/>
                <w:szCs w:val="1"/>
                <w:color w:val="auto"/>
              </w:rPr>
            </w:pPr>
          </w:p>
        </w:tc>
      </w:tr>
      <w:tr>
        <w:trPr>
          <w:trHeight w:val="99"/>
        </w:trPr>
        <w:tc>
          <w:tcPr>
            <w:tcW w:w="660" w:type="dxa"/>
            <w:vAlign w:val="bottom"/>
            <w:shd w:val="clear" w:color="auto" w:fill="EEEDED"/>
          </w:tcPr>
          <w:p>
            <w:pPr>
              <w:spacing w:after="0"/>
              <w:rPr>
                <w:sz w:val="8"/>
                <w:szCs w:val="8"/>
                <w:color w:val="auto"/>
              </w:rPr>
            </w:pPr>
          </w:p>
        </w:tc>
        <w:tc>
          <w:tcPr>
            <w:tcW w:w="60" w:type="dxa"/>
            <w:vAlign w:val="bottom"/>
            <w:shd w:val="clear" w:color="auto" w:fill="EEEDED"/>
          </w:tcPr>
          <w:p>
            <w:pPr>
              <w:spacing w:after="0"/>
              <w:rPr>
                <w:sz w:val="8"/>
                <w:szCs w:val="8"/>
                <w:color w:val="auto"/>
              </w:rPr>
            </w:pPr>
          </w:p>
        </w:tc>
        <w:tc>
          <w:tcPr>
            <w:tcW w:w="1760" w:type="dxa"/>
            <w:vAlign w:val="bottom"/>
            <w:shd w:val="clear" w:color="auto" w:fill="EEEDED"/>
          </w:tcPr>
          <w:p>
            <w:pPr>
              <w:jc w:val="center"/>
              <w:spacing w:after="0" w:line="99" w:lineRule="exact"/>
              <w:rPr>
                <w:sz w:val="20"/>
                <w:szCs w:val="20"/>
                <w:color w:val="auto"/>
              </w:rPr>
            </w:pPr>
            <w:r>
              <w:rPr>
                <w:rFonts w:ascii="Arial" w:cs="Arial" w:eastAsia="Arial" w:hAnsi="Arial"/>
                <w:sz w:val="10"/>
                <w:szCs w:val="10"/>
                <w:b w:val="1"/>
                <w:bCs w:val="1"/>
                <w:color w:val="54585A"/>
                <w:w w:val="94"/>
              </w:rPr>
              <w:t>Awards Granted During Year That</w:t>
            </w:r>
          </w:p>
        </w:tc>
        <w:tc>
          <w:tcPr>
            <w:tcW w:w="1880" w:type="dxa"/>
            <w:vAlign w:val="bottom"/>
            <w:gridSpan w:val="2"/>
            <w:shd w:val="clear" w:color="auto" w:fill="EEEDED"/>
          </w:tcPr>
          <w:p>
            <w:pPr>
              <w:ind w:left="60"/>
              <w:spacing w:after="0" w:line="99" w:lineRule="exact"/>
              <w:rPr>
                <w:sz w:val="20"/>
                <w:szCs w:val="20"/>
                <w:color w:val="auto"/>
              </w:rPr>
            </w:pPr>
            <w:r>
              <w:rPr>
                <w:rFonts w:ascii="Arial" w:cs="Arial" w:eastAsia="Arial" w:hAnsi="Arial"/>
                <w:sz w:val="10"/>
                <w:szCs w:val="10"/>
                <w:b w:val="1"/>
                <w:bCs w:val="1"/>
                <w:color w:val="54585A"/>
                <w:w w:val="96"/>
              </w:rPr>
              <w:t>Day of Prior Year to Last Day of Year of</w:t>
            </w:r>
          </w:p>
        </w:tc>
        <w:tc>
          <w:tcPr>
            <w:tcW w:w="1860" w:type="dxa"/>
            <w:vAlign w:val="bottom"/>
            <w:gridSpan w:val="2"/>
            <w:vMerge w:val="continue"/>
            <w:shd w:val="clear" w:color="auto" w:fill="EEEDED"/>
          </w:tcPr>
          <w:p>
            <w:pPr>
              <w:spacing w:after="0"/>
              <w:rPr>
                <w:sz w:val="8"/>
                <w:szCs w:val="8"/>
                <w:color w:val="auto"/>
              </w:rPr>
            </w:pPr>
          </w:p>
        </w:tc>
        <w:tc>
          <w:tcPr>
            <w:tcW w:w="80" w:type="dxa"/>
            <w:vAlign w:val="bottom"/>
            <w:shd w:val="clear" w:color="auto" w:fill="EEEDED"/>
          </w:tcPr>
          <w:p>
            <w:pPr>
              <w:spacing w:after="0"/>
              <w:rPr>
                <w:sz w:val="8"/>
                <w:szCs w:val="8"/>
                <w:color w:val="auto"/>
              </w:rPr>
            </w:pPr>
          </w:p>
        </w:tc>
        <w:tc>
          <w:tcPr>
            <w:tcW w:w="1780" w:type="dxa"/>
            <w:vAlign w:val="bottom"/>
            <w:shd w:val="clear" w:color="auto" w:fill="EEEDED"/>
          </w:tcPr>
          <w:p>
            <w:pPr>
              <w:jc w:val="center"/>
              <w:ind w:right="32"/>
              <w:spacing w:after="0" w:line="99" w:lineRule="exact"/>
              <w:rPr>
                <w:sz w:val="20"/>
                <w:szCs w:val="20"/>
                <w:color w:val="auto"/>
              </w:rPr>
            </w:pPr>
            <w:r>
              <w:rPr>
                <w:rFonts w:ascii="Arial" w:cs="Arial" w:eastAsia="Arial" w:hAnsi="Arial"/>
                <w:sz w:val="10"/>
                <w:szCs w:val="10"/>
                <w:b w:val="1"/>
                <w:bCs w:val="1"/>
                <w:color w:val="54585A"/>
                <w:w w:val="95"/>
              </w:rPr>
              <w:t>Day of Prior Year to Vesting Date of</w:t>
            </w:r>
          </w:p>
        </w:tc>
        <w:tc>
          <w:tcPr>
            <w:tcW w:w="100" w:type="dxa"/>
            <w:vAlign w:val="bottom"/>
            <w:shd w:val="clear" w:color="auto" w:fill="EEEDED"/>
          </w:tcPr>
          <w:p>
            <w:pPr>
              <w:spacing w:after="0"/>
              <w:rPr>
                <w:sz w:val="8"/>
                <w:szCs w:val="8"/>
                <w:color w:val="auto"/>
              </w:rPr>
            </w:pPr>
          </w:p>
        </w:tc>
        <w:tc>
          <w:tcPr>
            <w:tcW w:w="1880" w:type="dxa"/>
            <w:vAlign w:val="bottom"/>
            <w:vMerge w:val="continue"/>
            <w:shd w:val="clear" w:color="auto" w:fill="EEEDED"/>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60" w:type="dxa"/>
            <w:vAlign w:val="bottom"/>
            <w:shd w:val="clear" w:color="auto" w:fill="EEEDED"/>
          </w:tcPr>
          <w:p>
            <w:pPr>
              <w:spacing w:after="0"/>
              <w:rPr>
                <w:sz w:val="10"/>
                <w:szCs w:val="10"/>
                <w:color w:val="auto"/>
              </w:rPr>
            </w:pPr>
          </w:p>
        </w:tc>
        <w:tc>
          <w:tcPr>
            <w:tcW w:w="60" w:type="dxa"/>
            <w:vAlign w:val="bottom"/>
            <w:shd w:val="clear" w:color="auto" w:fill="EEEDED"/>
          </w:tcPr>
          <w:p>
            <w:pPr>
              <w:spacing w:after="0"/>
              <w:rPr>
                <w:sz w:val="10"/>
                <w:szCs w:val="10"/>
                <w:color w:val="auto"/>
              </w:rPr>
            </w:pPr>
          </w:p>
        </w:tc>
        <w:tc>
          <w:tcPr>
            <w:tcW w:w="1760" w:type="dxa"/>
            <w:vAlign w:val="bottom"/>
            <w:shd w:val="clear" w:color="auto" w:fill="EEEDED"/>
          </w:tcPr>
          <w:p>
            <w:pPr>
              <w:jc w:val="center"/>
              <w:spacing w:after="0"/>
              <w:rPr>
                <w:sz w:val="20"/>
                <w:szCs w:val="20"/>
                <w:color w:val="auto"/>
              </w:rPr>
            </w:pPr>
            <w:r>
              <w:rPr>
                <w:rFonts w:ascii="Arial" w:cs="Arial" w:eastAsia="Arial" w:hAnsi="Arial"/>
                <w:sz w:val="10"/>
                <w:szCs w:val="10"/>
                <w:b w:val="1"/>
                <w:bCs w:val="1"/>
                <w:color w:val="54585A"/>
                <w:w w:val="96"/>
              </w:rPr>
              <w:t>Remained Unvested as of Last Day of</w:t>
            </w:r>
          </w:p>
        </w:tc>
        <w:tc>
          <w:tcPr>
            <w:tcW w:w="100" w:type="dxa"/>
            <w:vAlign w:val="bottom"/>
            <w:shd w:val="clear" w:color="auto" w:fill="EEEDED"/>
          </w:tcPr>
          <w:p>
            <w:pPr>
              <w:spacing w:after="0"/>
              <w:rPr>
                <w:sz w:val="10"/>
                <w:szCs w:val="10"/>
                <w:color w:val="auto"/>
              </w:rPr>
            </w:pPr>
          </w:p>
        </w:tc>
        <w:tc>
          <w:tcPr>
            <w:tcW w:w="1780" w:type="dxa"/>
            <w:vAlign w:val="bottom"/>
            <w:shd w:val="clear" w:color="auto" w:fill="EEEDED"/>
          </w:tcPr>
          <w:p>
            <w:pPr>
              <w:jc w:val="right"/>
              <w:ind w:right="12"/>
              <w:spacing w:after="0"/>
              <w:rPr>
                <w:sz w:val="20"/>
                <w:szCs w:val="20"/>
                <w:color w:val="auto"/>
              </w:rPr>
            </w:pPr>
            <w:r>
              <w:rPr>
                <w:rFonts w:ascii="Arial" w:cs="Arial" w:eastAsia="Arial" w:hAnsi="Arial"/>
                <w:sz w:val="10"/>
                <w:szCs w:val="10"/>
                <w:b w:val="1"/>
                <w:bCs w:val="1"/>
                <w:color w:val="54585A"/>
                <w:w w:val="94"/>
              </w:rPr>
              <w:t>Unvested Equity Awards for Non-PEO</w:t>
            </w:r>
          </w:p>
        </w:tc>
        <w:tc>
          <w:tcPr>
            <w:tcW w:w="1860" w:type="dxa"/>
            <w:vAlign w:val="bottom"/>
            <w:gridSpan w:val="2"/>
            <w:shd w:val="clear" w:color="auto" w:fill="EEEDED"/>
          </w:tcPr>
          <w:p>
            <w:pPr>
              <w:ind w:left="20"/>
              <w:spacing w:after="0"/>
              <w:rPr>
                <w:sz w:val="20"/>
                <w:szCs w:val="20"/>
                <w:color w:val="auto"/>
              </w:rPr>
            </w:pPr>
            <w:r>
              <w:rPr>
                <w:rFonts w:ascii="Arial" w:cs="Arial" w:eastAsia="Arial" w:hAnsi="Arial"/>
                <w:sz w:val="10"/>
                <w:szCs w:val="10"/>
                <w:b w:val="1"/>
                <w:bCs w:val="1"/>
                <w:color w:val="54585A"/>
                <w:w w:val="95"/>
              </w:rPr>
              <w:t>Awards Granted and Vested in the same</w:t>
            </w:r>
          </w:p>
        </w:tc>
        <w:tc>
          <w:tcPr>
            <w:tcW w:w="80" w:type="dxa"/>
            <w:vAlign w:val="bottom"/>
            <w:shd w:val="clear" w:color="auto" w:fill="EEEDED"/>
          </w:tcPr>
          <w:p>
            <w:pPr>
              <w:spacing w:after="0"/>
              <w:rPr>
                <w:sz w:val="10"/>
                <w:szCs w:val="10"/>
                <w:color w:val="auto"/>
              </w:rPr>
            </w:pPr>
          </w:p>
        </w:tc>
        <w:tc>
          <w:tcPr>
            <w:tcW w:w="1780" w:type="dxa"/>
            <w:vAlign w:val="bottom"/>
            <w:shd w:val="clear" w:color="auto" w:fill="EEEDED"/>
          </w:tcPr>
          <w:p>
            <w:pPr>
              <w:jc w:val="center"/>
              <w:ind w:right="32"/>
              <w:spacing w:after="0"/>
              <w:rPr>
                <w:sz w:val="20"/>
                <w:szCs w:val="20"/>
                <w:color w:val="auto"/>
              </w:rPr>
            </w:pPr>
            <w:r>
              <w:rPr>
                <w:rFonts w:ascii="Arial" w:cs="Arial" w:eastAsia="Arial" w:hAnsi="Arial"/>
                <w:sz w:val="10"/>
                <w:szCs w:val="10"/>
                <w:b w:val="1"/>
                <w:bCs w:val="1"/>
                <w:color w:val="54585A"/>
                <w:w w:val="95"/>
              </w:rPr>
              <w:t>Unvested Equity Awards that Vested</w:t>
            </w:r>
          </w:p>
        </w:tc>
        <w:tc>
          <w:tcPr>
            <w:tcW w:w="100" w:type="dxa"/>
            <w:vAlign w:val="bottom"/>
            <w:shd w:val="clear" w:color="auto" w:fill="EEEDED"/>
          </w:tcPr>
          <w:p>
            <w:pPr>
              <w:spacing w:after="0"/>
              <w:rPr>
                <w:sz w:val="10"/>
                <w:szCs w:val="10"/>
                <w:color w:val="auto"/>
              </w:rPr>
            </w:pPr>
          </w:p>
        </w:tc>
        <w:tc>
          <w:tcPr>
            <w:tcW w:w="1880" w:type="dxa"/>
            <w:vAlign w:val="bottom"/>
            <w:shd w:val="clear" w:color="auto" w:fill="EEEDED"/>
          </w:tcPr>
          <w:p>
            <w:pPr>
              <w:jc w:val="right"/>
              <w:ind w:right="412"/>
              <w:spacing w:after="0"/>
              <w:rPr>
                <w:sz w:val="20"/>
                <w:szCs w:val="20"/>
                <w:color w:val="auto"/>
              </w:rPr>
            </w:pPr>
            <w:r>
              <w:rPr>
                <w:rFonts w:ascii="Arial" w:cs="Arial" w:eastAsia="Arial" w:hAnsi="Arial"/>
                <w:sz w:val="10"/>
                <w:szCs w:val="10"/>
                <w:b w:val="1"/>
                <w:bCs w:val="1"/>
                <w:color w:val="54585A"/>
              </w:rPr>
              <w:t>Values for Non-PEO NEOs</w:t>
            </w:r>
          </w:p>
        </w:tc>
        <w:tc>
          <w:tcPr>
            <w:tcW w:w="0" w:type="dxa"/>
            <w:vAlign w:val="bottom"/>
          </w:tcPr>
          <w:p>
            <w:pPr>
              <w:spacing w:after="0"/>
              <w:rPr>
                <w:sz w:val="1"/>
                <w:szCs w:val="1"/>
                <w:color w:val="auto"/>
              </w:rPr>
            </w:pPr>
          </w:p>
        </w:tc>
      </w:tr>
      <w:tr>
        <w:trPr>
          <w:trHeight w:val="117"/>
        </w:trPr>
        <w:tc>
          <w:tcPr>
            <w:tcW w:w="660" w:type="dxa"/>
            <w:vAlign w:val="bottom"/>
            <w:vMerge w:val="restart"/>
            <w:shd w:val="clear" w:color="auto" w:fill="EEEDED"/>
          </w:tcPr>
          <w:p>
            <w:pPr>
              <w:ind w:left="220"/>
              <w:spacing w:after="0"/>
              <w:rPr>
                <w:sz w:val="20"/>
                <w:szCs w:val="20"/>
                <w:color w:val="auto"/>
              </w:rPr>
            </w:pPr>
            <w:r>
              <w:rPr>
                <w:rFonts w:ascii="Arial" w:cs="Arial" w:eastAsia="Arial" w:hAnsi="Arial"/>
                <w:sz w:val="10"/>
                <w:szCs w:val="10"/>
                <w:b w:val="1"/>
                <w:bCs w:val="1"/>
                <w:color w:val="54585A"/>
              </w:rPr>
              <w:t>Year</w:t>
            </w:r>
          </w:p>
        </w:tc>
        <w:tc>
          <w:tcPr>
            <w:tcW w:w="60" w:type="dxa"/>
            <w:vAlign w:val="bottom"/>
            <w:shd w:val="clear" w:color="auto" w:fill="EEEDED"/>
          </w:tcPr>
          <w:p>
            <w:pPr>
              <w:spacing w:after="0"/>
              <w:rPr>
                <w:sz w:val="10"/>
                <w:szCs w:val="10"/>
                <w:color w:val="auto"/>
              </w:rPr>
            </w:pPr>
          </w:p>
        </w:tc>
        <w:tc>
          <w:tcPr>
            <w:tcW w:w="1760" w:type="dxa"/>
            <w:vAlign w:val="bottom"/>
            <w:vMerge w:val="restart"/>
            <w:shd w:val="clear" w:color="auto" w:fill="EEEDED"/>
          </w:tcPr>
          <w:p>
            <w:pPr>
              <w:jc w:val="center"/>
              <w:spacing w:after="0"/>
              <w:rPr>
                <w:sz w:val="20"/>
                <w:szCs w:val="20"/>
                <w:color w:val="auto"/>
              </w:rPr>
            </w:pPr>
            <w:r>
              <w:rPr>
                <w:rFonts w:ascii="Arial" w:cs="Arial" w:eastAsia="Arial" w:hAnsi="Arial"/>
                <w:sz w:val="10"/>
                <w:szCs w:val="10"/>
                <w:b w:val="1"/>
                <w:bCs w:val="1"/>
                <w:color w:val="54585A"/>
                <w:w w:val="94"/>
              </w:rPr>
              <w:t>Year for Non-PEO NEOs</w:t>
            </w:r>
          </w:p>
        </w:tc>
        <w:tc>
          <w:tcPr>
            <w:tcW w:w="100" w:type="dxa"/>
            <w:vAlign w:val="bottom"/>
            <w:shd w:val="clear" w:color="auto" w:fill="EEEDED"/>
          </w:tcPr>
          <w:p>
            <w:pPr>
              <w:spacing w:after="0"/>
              <w:rPr>
                <w:sz w:val="10"/>
                <w:szCs w:val="10"/>
                <w:color w:val="auto"/>
              </w:rPr>
            </w:pPr>
          </w:p>
        </w:tc>
        <w:tc>
          <w:tcPr>
            <w:tcW w:w="1780" w:type="dxa"/>
            <w:vAlign w:val="bottom"/>
            <w:vMerge w:val="restart"/>
            <w:shd w:val="clear" w:color="auto" w:fill="EEEDED"/>
          </w:tcPr>
          <w:p>
            <w:pPr>
              <w:jc w:val="right"/>
              <w:ind w:right="752"/>
              <w:spacing w:after="0"/>
              <w:rPr>
                <w:sz w:val="20"/>
                <w:szCs w:val="20"/>
                <w:color w:val="auto"/>
              </w:rPr>
            </w:pPr>
            <w:r>
              <w:rPr>
                <w:rFonts w:ascii="Arial" w:cs="Arial" w:eastAsia="Arial" w:hAnsi="Arial"/>
                <w:sz w:val="10"/>
                <w:szCs w:val="10"/>
                <w:b w:val="1"/>
                <w:bCs w:val="1"/>
                <w:color w:val="54585A"/>
              </w:rPr>
              <w:t>NEOs</w:t>
            </w:r>
          </w:p>
        </w:tc>
        <w:tc>
          <w:tcPr>
            <w:tcW w:w="120" w:type="dxa"/>
            <w:vAlign w:val="bottom"/>
            <w:shd w:val="clear" w:color="auto" w:fill="EEEDED"/>
          </w:tcPr>
          <w:p>
            <w:pPr>
              <w:spacing w:after="0"/>
              <w:rPr>
                <w:sz w:val="10"/>
                <w:szCs w:val="10"/>
                <w:color w:val="auto"/>
              </w:rPr>
            </w:pPr>
          </w:p>
        </w:tc>
        <w:tc>
          <w:tcPr>
            <w:tcW w:w="1740" w:type="dxa"/>
            <w:vAlign w:val="bottom"/>
            <w:shd w:val="clear" w:color="auto" w:fill="EEEDED"/>
          </w:tcPr>
          <w:p>
            <w:pPr>
              <w:jc w:val="right"/>
              <w:ind w:right="132"/>
              <w:spacing w:after="0"/>
              <w:rPr>
                <w:sz w:val="20"/>
                <w:szCs w:val="20"/>
                <w:color w:val="auto"/>
              </w:rPr>
            </w:pPr>
            <w:r>
              <w:rPr>
                <w:rFonts w:ascii="Arial" w:cs="Arial" w:eastAsia="Arial" w:hAnsi="Arial"/>
                <w:sz w:val="10"/>
                <w:szCs w:val="10"/>
                <w:b w:val="1"/>
                <w:bCs w:val="1"/>
                <w:color w:val="54585A"/>
                <w:w w:val="97"/>
              </w:rPr>
              <w:t>Covered Year for Non-PEO NEOs</w:t>
            </w:r>
          </w:p>
        </w:tc>
        <w:tc>
          <w:tcPr>
            <w:tcW w:w="80" w:type="dxa"/>
            <w:vAlign w:val="bottom"/>
            <w:shd w:val="clear" w:color="auto" w:fill="EEEDED"/>
          </w:tcPr>
          <w:p>
            <w:pPr>
              <w:spacing w:after="0"/>
              <w:rPr>
                <w:sz w:val="10"/>
                <w:szCs w:val="10"/>
                <w:color w:val="auto"/>
              </w:rPr>
            </w:pPr>
          </w:p>
        </w:tc>
        <w:tc>
          <w:tcPr>
            <w:tcW w:w="1780" w:type="dxa"/>
            <w:vAlign w:val="bottom"/>
            <w:vMerge w:val="restart"/>
            <w:shd w:val="clear" w:color="auto" w:fill="EEEDED"/>
          </w:tcPr>
          <w:p>
            <w:pPr>
              <w:jc w:val="center"/>
              <w:ind w:right="32"/>
              <w:spacing w:after="0"/>
              <w:rPr>
                <w:sz w:val="20"/>
                <w:szCs w:val="20"/>
                <w:color w:val="auto"/>
              </w:rPr>
            </w:pPr>
            <w:r>
              <w:rPr>
                <w:rFonts w:ascii="Arial" w:cs="Arial" w:eastAsia="Arial" w:hAnsi="Arial"/>
                <w:sz w:val="10"/>
                <w:szCs w:val="10"/>
                <w:b w:val="1"/>
                <w:bCs w:val="1"/>
                <w:color w:val="54585A"/>
                <w:w w:val="94"/>
              </w:rPr>
              <w:t>During Year for Non-PEO NEOs</w:t>
            </w:r>
          </w:p>
        </w:tc>
        <w:tc>
          <w:tcPr>
            <w:tcW w:w="100" w:type="dxa"/>
            <w:vAlign w:val="bottom"/>
            <w:shd w:val="clear" w:color="auto" w:fill="EEEDED"/>
          </w:tcPr>
          <w:p>
            <w:pPr>
              <w:spacing w:after="0"/>
              <w:rPr>
                <w:sz w:val="10"/>
                <w:szCs w:val="10"/>
                <w:color w:val="auto"/>
              </w:rPr>
            </w:pPr>
          </w:p>
        </w:tc>
        <w:tc>
          <w:tcPr>
            <w:tcW w:w="1880" w:type="dxa"/>
            <w:vAlign w:val="bottom"/>
            <w:shd w:val="clear" w:color="auto" w:fill="EEEDED"/>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660" w:type="dxa"/>
            <w:vAlign w:val="bottom"/>
            <w:vMerge w:val="continue"/>
            <w:shd w:val="clear" w:color="auto" w:fill="EEEDED"/>
          </w:tcPr>
          <w:p>
            <w:pPr>
              <w:spacing w:after="0"/>
              <w:rPr>
                <w:sz w:val="2"/>
                <w:szCs w:val="2"/>
                <w:color w:val="auto"/>
              </w:rPr>
            </w:pPr>
          </w:p>
        </w:tc>
        <w:tc>
          <w:tcPr>
            <w:tcW w:w="60" w:type="dxa"/>
            <w:vAlign w:val="bottom"/>
            <w:shd w:val="clear" w:color="auto" w:fill="EEEDED"/>
          </w:tcPr>
          <w:p>
            <w:pPr>
              <w:spacing w:after="0"/>
              <w:rPr>
                <w:sz w:val="2"/>
                <w:szCs w:val="2"/>
                <w:color w:val="auto"/>
              </w:rPr>
            </w:pPr>
          </w:p>
        </w:tc>
        <w:tc>
          <w:tcPr>
            <w:tcW w:w="1760" w:type="dxa"/>
            <w:vAlign w:val="bottom"/>
            <w:vMerge w:val="continue"/>
            <w:shd w:val="clear" w:color="auto" w:fill="EEEDED"/>
          </w:tcPr>
          <w:p>
            <w:pPr>
              <w:spacing w:after="0"/>
              <w:rPr>
                <w:sz w:val="2"/>
                <w:szCs w:val="2"/>
                <w:color w:val="auto"/>
              </w:rPr>
            </w:pPr>
          </w:p>
        </w:tc>
        <w:tc>
          <w:tcPr>
            <w:tcW w:w="100" w:type="dxa"/>
            <w:vAlign w:val="bottom"/>
            <w:shd w:val="clear" w:color="auto" w:fill="EEEDED"/>
          </w:tcPr>
          <w:p>
            <w:pPr>
              <w:spacing w:after="0"/>
              <w:rPr>
                <w:sz w:val="2"/>
                <w:szCs w:val="2"/>
                <w:color w:val="auto"/>
              </w:rPr>
            </w:pPr>
          </w:p>
        </w:tc>
        <w:tc>
          <w:tcPr>
            <w:tcW w:w="1780" w:type="dxa"/>
            <w:vAlign w:val="bottom"/>
            <w:vMerge w:val="continue"/>
            <w:shd w:val="clear" w:color="auto" w:fill="EEEDED"/>
          </w:tcPr>
          <w:p>
            <w:pPr>
              <w:spacing w:after="0"/>
              <w:rPr>
                <w:sz w:val="2"/>
                <w:szCs w:val="2"/>
                <w:color w:val="auto"/>
              </w:rPr>
            </w:pPr>
          </w:p>
        </w:tc>
        <w:tc>
          <w:tcPr>
            <w:tcW w:w="120" w:type="dxa"/>
            <w:vAlign w:val="bottom"/>
            <w:shd w:val="clear" w:color="auto" w:fill="EEEDED"/>
          </w:tcPr>
          <w:p>
            <w:pPr>
              <w:spacing w:after="0"/>
              <w:rPr>
                <w:sz w:val="2"/>
                <w:szCs w:val="2"/>
                <w:color w:val="auto"/>
              </w:rPr>
            </w:pPr>
          </w:p>
        </w:tc>
        <w:tc>
          <w:tcPr>
            <w:tcW w:w="1740" w:type="dxa"/>
            <w:vAlign w:val="bottom"/>
            <w:shd w:val="clear" w:color="auto" w:fill="EEEDED"/>
          </w:tcPr>
          <w:p>
            <w:pPr>
              <w:spacing w:after="0"/>
              <w:rPr>
                <w:sz w:val="2"/>
                <w:szCs w:val="2"/>
                <w:color w:val="auto"/>
              </w:rPr>
            </w:pPr>
          </w:p>
        </w:tc>
        <w:tc>
          <w:tcPr>
            <w:tcW w:w="80" w:type="dxa"/>
            <w:vAlign w:val="bottom"/>
            <w:shd w:val="clear" w:color="auto" w:fill="EEEDED"/>
          </w:tcPr>
          <w:p>
            <w:pPr>
              <w:spacing w:after="0"/>
              <w:rPr>
                <w:sz w:val="2"/>
                <w:szCs w:val="2"/>
                <w:color w:val="auto"/>
              </w:rPr>
            </w:pPr>
          </w:p>
        </w:tc>
        <w:tc>
          <w:tcPr>
            <w:tcW w:w="1780" w:type="dxa"/>
            <w:vAlign w:val="bottom"/>
            <w:vMerge w:val="continue"/>
            <w:shd w:val="clear" w:color="auto" w:fill="EEEDED"/>
          </w:tcPr>
          <w:p>
            <w:pPr>
              <w:spacing w:after="0"/>
              <w:rPr>
                <w:sz w:val="2"/>
                <w:szCs w:val="2"/>
                <w:color w:val="auto"/>
              </w:rPr>
            </w:pPr>
          </w:p>
        </w:tc>
        <w:tc>
          <w:tcPr>
            <w:tcW w:w="100" w:type="dxa"/>
            <w:vAlign w:val="bottom"/>
            <w:shd w:val="clear" w:color="auto" w:fill="EEEDED"/>
          </w:tcPr>
          <w:p>
            <w:pPr>
              <w:spacing w:after="0"/>
              <w:rPr>
                <w:sz w:val="2"/>
                <w:szCs w:val="2"/>
                <w:color w:val="auto"/>
              </w:rPr>
            </w:pPr>
          </w:p>
        </w:tc>
        <w:tc>
          <w:tcPr>
            <w:tcW w:w="1880" w:type="dxa"/>
            <w:vAlign w:val="bottom"/>
            <w:shd w:val="clear" w:color="auto" w:fill="EEEDED"/>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
        </w:trPr>
        <w:tc>
          <w:tcPr>
            <w:tcW w:w="660" w:type="dxa"/>
            <w:vAlign w:val="bottom"/>
            <w:shd w:val="clear" w:color="auto" w:fill="EEEDED"/>
          </w:tcPr>
          <w:p>
            <w:pPr>
              <w:spacing w:after="0"/>
              <w:rPr>
                <w:sz w:val="6"/>
                <w:szCs w:val="6"/>
                <w:color w:val="auto"/>
              </w:rPr>
            </w:pPr>
          </w:p>
        </w:tc>
        <w:tc>
          <w:tcPr>
            <w:tcW w:w="60" w:type="dxa"/>
            <w:vAlign w:val="bottom"/>
            <w:shd w:val="clear" w:color="auto" w:fill="EEEDED"/>
          </w:tcPr>
          <w:p>
            <w:pPr>
              <w:spacing w:after="0"/>
              <w:rPr>
                <w:sz w:val="6"/>
                <w:szCs w:val="6"/>
                <w:color w:val="auto"/>
              </w:rPr>
            </w:pPr>
          </w:p>
        </w:tc>
        <w:tc>
          <w:tcPr>
            <w:tcW w:w="1760" w:type="dxa"/>
            <w:vAlign w:val="bottom"/>
            <w:shd w:val="clear" w:color="auto" w:fill="EEEDED"/>
          </w:tcPr>
          <w:p>
            <w:pPr>
              <w:spacing w:after="0"/>
              <w:rPr>
                <w:sz w:val="6"/>
                <w:szCs w:val="6"/>
                <w:color w:val="auto"/>
              </w:rPr>
            </w:pPr>
          </w:p>
        </w:tc>
        <w:tc>
          <w:tcPr>
            <w:tcW w:w="100" w:type="dxa"/>
            <w:vAlign w:val="bottom"/>
            <w:shd w:val="clear" w:color="auto" w:fill="EEEDED"/>
          </w:tcPr>
          <w:p>
            <w:pPr>
              <w:spacing w:after="0"/>
              <w:rPr>
                <w:sz w:val="6"/>
                <w:szCs w:val="6"/>
                <w:color w:val="auto"/>
              </w:rPr>
            </w:pPr>
          </w:p>
        </w:tc>
        <w:tc>
          <w:tcPr>
            <w:tcW w:w="1780" w:type="dxa"/>
            <w:vAlign w:val="bottom"/>
            <w:shd w:val="clear" w:color="auto" w:fill="EEEDED"/>
          </w:tcPr>
          <w:p>
            <w:pPr>
              <w:spacing w:after="0"/>
              <w:rPr>
                <w:sz w:val="6"/>
                <w:szCs w:val="6"/>
                <w:color w:val="auto"/>
              </w:rPr>
            </w:pPr>
          </w:p>
        </w:tc>
        <w:tc>
          <w:tcPr>
            <w:tcW w:w="120" w:type="dxa"/>
            <w:vAlign w:val="bottom"/>
            <w:shd w:val="clear" w:color="auto" w:fill="EEEDED"/>
          </w:tcPr>
          <w:p>
            <w:pPr>
              <w:spacing w:after="0"/>
              <w:rPr>
                <w:sz w:val="6"/>
                <w:szCs w:val="6"/>
                <w:color w:val="auto"/>
              </w:rPr>
            </w:pPr>
          </w:p>
        </w:tc>
        <w:tc>
          <w:tcPr>
            <w:tcW w:w="1740" w:type="dxa"/>
            <w:vAlign w:val="bottom"/>
            <w:shd w:val="clear" w:color="auto" w:fill="EEEDED"/>
          </w:tcPr>
          <w:p>
            <w:pPr>
              <w:spacing w:after="0"/>
              <w:rPr>
                <w:sz w:val="6"/>
                <w:szCs w:val="6"/>
                <w:color w:val="auto"/>
              </w:rPr>
            </w:pPr>
          </w:p>
        </w:tc>
        <w:tc>
          <w:tcPr>
            <w:tcW w:w="80" w:type="dxa"/>
            <w:vAlign w:val="bottom"/>
            <w:shd w:val="clear" w:color="auto" w:fill="EEEDED"/>
          </w:tcPr>
          <w:p>
            <w:pPr>
              <w:spacing w:after="0"/>
              <w:rPr>
                <w:sz w:val="6"/>
                <w:szCs w:val="6"/>
                <w:color w:val="auto"/>
              </w:rPr>
            </w:pPr>
          </w:p>
        </w:tc>
        <w:tc>
          <w:tcPr>
            <w:tcW w:w="1780" w:type="dxa"/>
            <w:vAlign w:val="bottom"/>
            <w:shd w:val="clear" w:color="auto" w:fill="EEEDED"/>
          </w:tcPr>
          <w:p>
            <w:pPr>
              <w:spacing w:after="0"/>
              <w:rPr>
                <w:sz w:val="6"/>
                <w:szCs w:val="6"/>
                <w:color w:val="auto"/>
              </w:rPr>
            </w:pPr>
          </w:p>
        </w:tc>
        <w:tc>
          <w:tcPr>
            <w:tcW w:w="100" w:type="dxa"/>
            <w:vAlign w:val="bottom"/>
            <w:shd w:val="clear" w:color="auto" w:fill="EEEDED"/>
          </w:tcPr>
          <w:p>
            <w:pPr>
              <w:spacing w:after="0"/>
              <w:rPr>
                <w:sz w:val="6"/>
                <w:szCs w:val="6"/>
                <w:color w:val="auto"/>
              </w:rPr>
            </w:pPr>
          </w:p>
        </w:tc>
        <w:tc>
          <w:tcPr>
            <w:tcW w:w="1880" w:type="dxa"/>
            <w:vAlign w:val="bottom"/>
            <w:shd w:val="clear" w:color="auto" w:fill="EEEDED"/>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660" w:type="dxa"/>
            <w:vAlign w:val="bottom"/>
            <w:tcBorders>
              <w:bottom w:val="single" w:sz="8" w:color="54585A"/>
            </w:tcBorders>
          </w:tcPr>
          <w:p>
            <w:pPr>
              <w:ind w:left="220"/>
              <w:spacing w:after="0"/>
              <w:rPr>
                <w:sz w:val="20"/>
                <w:szCs w:val="20"/>
                <w:color w:val="auto"/>
              </w:rPr>
            </w:pPr>
            <w:r>
              <w:rPr>
                <w:rFonts w:ascii="Arial" w:cs="Arial" w:eastAsia="Arial" w:hAnsi="Arial"/>
                <w:sz w:val="10"/>
                <w:szCs w:val="10"/>
                <w:color w:val="54585A"/>
              </w:rPr>
              <w:t>2022</w:t>
            </w:r>
          </w:p>
        </w:tc>
        <w:tc>
          <w:tcPr>
            <w:tcW w:w="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7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724,856</w:t>
            </w:r>
          </w:p>
        </w:tc>
        <w:tc>
          <w:tcPr>
            <w:tcW w:w="100" w:type="dxa"/>
            <w:vAlign w:val="bottom"/>
            <w:tcBorders>
              <w:bottom w:val="single" w:sz="8" w:color="54585A"/>
            </w:tcBorders>
          </w:tcPr>
          <w:p>
            <w:pPr>
              <w:ind w:left="40"/>
              <w:spacing w:after="0"/>
              <w:rPr>
                <w:sz w:val="20"/>
                <w:szCs w:val="20"/>
                <w:color w:val="auto"/>
              </w:rPr>
            </w:pPr>
            <w:r>
              <w:rPr>
                <w:rFonts w:ascii="Arial" w:cs="Arial" w:eastAsia="Arial" w:hAnsi="Arial"/>
                <w:sz w:val="10"/>
                <w:szCs w:val="10"/>
                <w:color w:val="54585A"/>
                <w:w w:val="71"/>
              </w:rPr>
              <w:t>$</w:t>
            </w:r>
          </w:p>
        </w:tc>
        <w:tc>
          <w:tcPr>
            <w:tcW w:w="17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(7,629)</w:t>
            </w:r>
          </w:p>
        </w:tc>
        <w:tc>
          <w:tcPr>
            <w:tcW w:w="120" w:type="dxa"/>
            <w:vAlign w:val="bottom"/>
            <w:tcBorders>
              <w:bottom w:val="single" w:sz="8" w:color="54585A"/>
            </w:tcBorders>
          </w:tcPr>
          <w:p>
            <w:pPr>
              <w:ind w:left="20"/>
              <w:spacing w:after="0"/>
              <w:rPr>
                <w:sz w:val="20"/>
                <w:szCs w:val="20"/>
                <w:color w:val="auto"/>
              </w:rPr>
            </w:pPr>
            <w:r>
              <w:rPr>
                <w:rFonts w:ascii="Arial" w:cs="Arial" w:eastAsia="Arial" w:hAnsi="Arial"/>
                <w:sz w:val="10"/>
                <w:szCs w:val="10"/>
                <w:color w:val="54585A"/>
              </w:rPr>
              <w:t>$</w:t>
            </w:r>
          </w:p>
        </w:tc>
        <w:tc>
          <w:tcPr>
            <w:tcW w:w="174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40,000</w:t>
            </w:r>
          </w:p>
        </w:tc>
        <w:tc>
          <w:tcPr>
            <w:tcW w:w="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7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171,082</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88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928,309</w:t>
            </w:r>
          </w:p>
        </w:tc>
        <w:tc>
          <w:tcPr>
            <w:tcW w:w="0" w:type="dxa"/>
            <w:vAlign w:val="bottom"/>
          </w:tcPr>
          <w:p>
            <w:pPr>
              <w:spacing w:after="0"/>
              <w:rPr>
                <w:sz w:val="1"/>
                <w:szCs w:val="1"/>
                <w:color w:val="auto"/>
              </w:rPr>
            </w:pPr>
          </w:p>
        </w:tc>
      </w:tr>
      <w:tr>
        <w:trPr>
          <w:trHeight w:val="142"/>
        </w:trPr>
        <w:tc>
          <w:tcPr>
            <w:tcW w:w="660" w:type="dxa"/>
            <w:vAlign w:val="bottom"/>
            <w:tcBorders>
              <w:bottom w:val="single" w:sz="8" w:color="54585A"/>
            </w:tcBorders>
          </w:tcPr>
          <w:p>
            <w:pPr>
              <w:ind w:left="220"/>
              <w:spacing w:after="0"/>
              <w:rPr>
                <w:sz w:val="20"/>
                <w:szCs w:val="20"/>
                <w:color w:val="auto"/>
              </w:rPr>
            </w:pPr>
            <w:r>
              <w:rPr>
                <w:rFonts w:ascii="Arial" w:cs="Arial" w:eastAsia="Arial" w:hAnsi="Arial"/>
                <w:sz w:val="10"/>
                <w:szCs w:val="10"/>
                <w:color w:val="54585A"/>
              </w:rPr>
              <w:t>2021</w:t>
            </w:r>
          </w:p>
        </w:tc>
        <w:tc>
          <w:tcPr>
            <w:tcW w:w="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7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139,200</w:t>
            </w:r>
          </w:p>
        </w:tc>
        <w:tc>
          <w:tcPr>
            <w:tcW w:w="100" w:type="dxa"/>
            <w:vAlign w:val="bottom"/>
            <w:tcBorders>
              <w:bottom w:val="single" w:sz="8" w:color="54585A"/>
            </w:tcBorders>
          </w:tcPr>
          <w:p>
            <w:pPr>
              <w:ind w:left="40"/>
              <w:spacing w:after="0"/>
              <w:rPr>
                <w:sz w:val="20"/>
                <w:szCs w:val="20"/>
                <w:color w:val="auto"/>
              </w:rPr>
            </w:pPr>
            <w:r>
              <w:rPr>
                <w:rFonts w:ascii="Arial" w:cs="Arial" w:eastAsia="Arial" w:hAnsi="Arial"/>
                <w:sz w:val="10"/>
                <w:szCs w:val="10"/>
                <w:color w:val="54585A"/>
                <w:w w:val="71"/>
              </w:rPr>
              <w:t>$</w:t>
            </w:r>
          </w:p>
        </w:tc>
        <w:tc>
          <w:tcPr>
            <w:tcW w:w="17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118,139</w:t>
            </w:r>
          </w:p>
        </w:tc>
        <w:tc>
          <w:tcPr>
            <w:tcW w:w="120" w:type="dxa"/>
            <w:vAlign w:val="bottom"/>
            <w:tcBorders>
              <w:bottom w:val="single" w:sz="8" w:color="54585A"/>
            </w:tcBorders>
          </w:tcPr>
          <w:p>
            <w:pPr>
              <w:ind w:left="20"/>
              <w:spacing w:after="0"/>
              <w:rPr>
                <w:sz w:val="20"/>
                <w:szCs w:val="20"/>
                <w:color w:val="auto"/>
              </w:rPr>
            </w:pPr>
            <w:r>
              <w:rPr>
                <w:rFonts w:ascii="Arial" w:cs="Arial" w:eastAsia="Arial" w:hAnsi="Arial"/>
                <w:sz w:val="10"/>
                <w:szCs w:val="10"/>
                <w:color w:val="54585A"/>
              </w:rPr>
              <w:t>$</w:t>
            </w:r>
          </w:p>
        </w:tc>
        <w:tc>
          <w:tcPr>
            <w:tcW w:w="174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93,300</w:t>
            </w:r>
          </w:p>
        </w:tc>
        <w:tc>
          <w:tcPr>
            <w:tcW w:w="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7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221,940</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88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572,579</w:t>
            </w:r>
          </w:p>
        </w:tc>
        <w:tc>
          <w:tcPr>
            <w:tcW w:w="0" w:type="dxa"/>
            <w:vAlign w:val="bottom"/>
          </w:tcPr>
          <w:p>
            <w:pPr>
              <w:spacing w:after="0"/>
              <w:rPr>
                <w:sz w:val="1"/>
                <w:szCs w:val="1"/>
                <w:color w:val="auto"/>
              </w:rPr>
            </w:pPr>
          </w:p>
        </w:tc>
      </w:tr>
      <w:tr>
        <w:trPr>
          <w:trHeight w:val="142"/>
        </w:trPr>
        <w:tc>
          <w:tcPr>
            <w:tcW w:w="660" w:type="dxa"/>
            <w:vAlign w:val="bottom"/>
            <w:tcBorders>
              <w:bottom w:val="single" w:sz="8" w:color="54585A"/>
            </w:tcBorders>
          </w:tcPr>
          <w:p>
            <w:pPr>
              <w:ind w:left="220"/>
              <w:spacing w:after="0"/>
              <w:rPr>
                <w:sz w:val="20"/>
                <w:szCs w:val="20"/>
                <w:color w:val="auto"/>
              </w:rPr>
            </w:pPr>
            <w:r>
              <w:rPr>
                <w:rFonts w:ascii="Arial" w:cs="Arial" w:eastAsia="Arial" w:hAnsi="Arial"/>
                <w:sz w:val="10"/>
                <w:szCs w:val="10"/>
                <w:color w:val="54585A"/>
              </w:rPr>
              <w:t>2020</w:t>
            </w:r>
          </w:p>
        </w:tc>
        <w:tc>
          <w:tcPr>
            <w:tcW w:w="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76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55,536</w:t>
            </w:r>
          </w:p>
        </w:tc>
        <w:tc>
          <w:tcPr>
            <w:tcW w:w="100" w:type="dxa"/>
            <w:vAlign w:val="bottom"/>
            <w:tcBorders>
              <w:bottom w:val="single" w:sz="8" w:color="54585A"/>
            </w:tcBorders>
          </w:tcPr>
          <w:p>
            <w:pPr>
              <w:ind w:left="40"/>
              <w:spacing w:after="0"/>
              <w:rPr>
                <w:sz w:val="20"/>
                <w:szCs w:val="20"/>
                <w:color w:val="auto"/>
              </w:rPr>
            </w:pPr>
            <w:r>
              <w:rPr>
                <w:rFonts w:ascii="Arial" w:cs="Arial" w:eastAsia="Arial" w:hAnsi="Arial"/>
                <w:sz w:val="10"/>
                <w:szCs w:val="10"/>
                <w:color w:val="54585A"/>
                <w:w w:val="71"/>
              </w:rPr>
              <w:t>$</w:t>
            </w:r>
          </w:p>
        </w:tc>
        <w:tc>
          <w:tcPr>
            <w:tcW w:w="17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(17,090)</w:t>
            </w:r>
          </w:p>
        </w:tc>
        <w:tc>
          <w:tcPr>
            <w:tcW w:w="120" w:type="dxa"/>
            <w:vAlign w:val="bottom"/>
            <w:tcBorders>
              <w:bottom w:val="single" w:sz="8" w:color="54585A"/>
            </w:tcBorders>
          </w:tcPr>
          <w:p>
            <w:pPr>
              <w:ind w:left="20"/>
              <w:spacing w:after="0"/>
              <w:rPr>
                <w:sz w:val="20"/>
                <w:szCs w:val="20"/>
                <w:color w:val="auto"/>
              </w:rPr>
            </w:pPr>
            <w:r>
              <w:rPr>
                <w:rFonts w:ascii="Arial" w:cs="Arial" w:eastAsia="Arial" w:hAnsi="Arial"/>
                <w:sz w:val="10"/>
                <w:szCs w:val="10"/>
                <w:color w:val="54585A"/>
              </w:rPr>
              <w:t>$</w:t>
            </w:r>
          </w:p>
        </w:tc>
        <w:tc>
          <w:tcPr>
            <w:tcW w:w="1740" w:type="dxa"/>
            <w:vAlign w:val="bottom"/>
            <w:tcBorders>
              <w:bottom w:val="single" w:sz="8" w:color="54585A"/>
            </w:tcBorders>
          </w:tcPr>
          <w:p>
            <w:pPr>
              <w:jc w:val="right"/>
              <w:ind w:right="12"/>
              <w:spacing w:after="0"/>
              <w:rPr>
                <w:sz w:val="20"/>
                <w:szCs w:val="20"/>
                <w:color w:val="auto"/>
              </w:rPr>
            </w:pPr>
            <w:r>
              <w:rPr>
                <w:rFonts w:ascii="Arial" w:cs="Arial" w:eastAsia="Arial" w:hAnsi="Arial"/>
                <w:sz w:val="10"/>
                <w:szCs w:val="10"/>
                <w:color w:val="54585A"/>
              </w:rPr>
              <w:t>170,481</w:t>
            </w:r>
          </w:p>
        </w:tc>
        <w:tc>
          <w:tcPr>
            <w:tcW w:w="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78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rPr>
              <w:t>(145,965)</w:t>
            </w:r>
          </w:p>
        </w:tc>
        <w:tc>
          <w:tcPr>
            <w:tcW w:w="100" w:type="dxa"/>
            <w:vAlign w:val="bottom"/>
            <w:tcBorders>
              <w:bottom w:val="single" w:sz="8" w:color="54585A"/>
            </w:tcBorders>
          </w:tcPr>
          <w:p>
            <w:pPr>
              <w:jc w:val="right"/>
              <w:spacing w:after="0"/>
              <w:rPr>
                <w:sz w:val="20"/>
                <w:szCs w:val="20"/>
                <w:color w:val="auto"/>
              </w:rPr>
            </w:pPr>
            <w:r>
              <w:rPr>
                <w:rFonts w:ascii="Arial" w:cs="Arial" w:eastAsia="Arial" w:hAnsi="Arial"/>
                <w:sz w:val="10"/>
                <w:szCs w:val="10"/>
                <w:color w:val="54585A"/>
                <w:w w:val="71"/>
              </w:rPr>
              <w:t>$</w:t>
            </w:r>
          </w:p>
        </w:tc>
        <w:tc>
          <w:tcPr>
            <w:tcW w:w="1880" w:type="dxa"/>
            <w:vAlign w:val="bottom"/>
            <w:tcBorders>
              <w:bottom w:val="single" w:sz="8" w:color="54585A"/>
            </w:tcBorders>
          </w:tcPr>
          <w:p>
            <w:pPr>
              <w:jc w:val="right"/>
              <w:ind w:right="112"/>
              <w:spacing w:after="0"/>
              <w:rPr>
                <w:sz w:val="20"/>
                <w:szCs w:val="20"/>
                <w:color w:val="auto"/>
              </w:rPr>
            </w:pPr>
            <w:r>
              <w:rPr>
                <w:rFonts w:ascii="Arial" w:cs="Arial" w:eastAsia="Arial" w:hAnsi="Arial"/>
                <w:sz w:val="10"/>
                <w:szCs w:val="10"/>
                <w:color w:val="54585A"/>
              </w:rPr>
              <w:t>62,962</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08" w:right="120" w:hanging="208"/>
        <w:spacing w:after="0" w:line="243" w:lineRule="auto"/>
        <w:tabs>
          <w:tab w:leader="none" w:pos="207" w:val="left"/>
        </w:tabs>
        <w:numPr>
          <w:ilvl w:val="0"/>
          <w:numId w:val="63"/>
        </w:numPr>
        <w:rPr>
          <w:rFonts w:ascii="Arial" w:cs="Arial" w:eastAsia="Arial" w:hAnsi="Arial"/>
          <w:sz w:val="10"/>
          <w:szCs w:val="10"/>
          <w:color w:val="54585A"/>
        </w:rPr>
      </w:pPr>
      <w:r>
        <w:rPr>
          <w:rFonts w:ascii="Arial" w:cs="Arial" w:eastAsia="Arial" w:hAnsi="Arial"/>
          <w:sz w:val="10"/>
          <w:szCs w:val="10"/>
          <w:color w:val="54585A"/>
        </w:rPr>
        <w:t>Cumulative TSR is calculated by dividing the difference between the Company’s share price at the end and the beginning of the measurement period by the Company’s share price at the beginning of the measurement period. TSR is determined based on the value of an initial fixed investment of $100.</w:t>
      </w:r>
    </w:p>
    <w:p>
      <w:pPr>
        <w:spacing w:after="0" w:line="72" w:lineRule="exact"/>
        <w:rPr>
          <w:rFonts w:ascii="Arial" w:cs="Arial" w:eastAsia="Arial" w:hAnsi="Arial"/>
          <w:sz w:val="10"/>
          <w:szCs w:val="10"/>
          <w:color w:val="54585A"/>
        </w:rPr>
      </w:pPr>
    </w:p>
    <w:p>
      <w:pPr>
        <w:ind w:left="208" w:hanging="208"/>
        <w:spacing w:after="0"/>
        <w:tabs>
          <w:tab w:leader="none" w:pos="208" w:val="left"/>
        </w:tabs>
        <w:numPr>
          <w:ilvl w:val="0"/>
          <w:numId w:val="63"/>
        </w:numPr>
        <w:rPr>
          <w:rFonts w:ascii="Arial" w:cs="Arial" w:eastAsia="Arial" w:hAnsi="Arial"/>
          <w:sz w:val="10"/>
          <w:szCs w:val="10"/>
          <w:color w:val="54585A"/>
        </w:rPr>
      </w:pPr>
      <w:r>
        <w:rPr>
          <w:rFonts w:ascii="Arial" w:cs="Arial" w:eastAsia="Arial" w:hAnsi="Arial"/>
          <w:sz w:val="10"/>
          <w:szCs w:val="10"/>
          <w:color w:val="54585A"/>
        </w:rPr>
        <w:t>The peer group used for this purpose is the Nasdaq Telecommunications index.</w:t>
      </w:r>
    </w:p>
    <w:p>
      <w:pPr>
        <w:spacing w:after="0" w:line="74" w:lineRule="exact"/>
        <w:rPr>
          <w:rFonts w:ascii="Arial" w:cs="Arial" w:eastAsia="Arial" w:hAnsi="Arial"/>
          <w:sz w:val="10"/>
          <w:szCs w:val="10"/>
          <w:color w:val="54585A"/>
        </w:rPr>
      </w:pPr>
    </w:p>
    <w:p>
      <w:pPr>
        <w:ind w:left="208" w:hanging="208"/>
        <w:spacing w:after="0"/>
        <w:tabs>
          <w:tab w:leader="none" w:pos="208" w:val="left"/>
        </w:tabs>
        <w:numPr>
          <w:ilvl w:val="0"/>
          <w:numId w:val="63"/>
        </w:numPr>
        <w:rPr>
          <w:rFonts w:ascii="Arial" w:cs="Arial" w:eastAsia="Arial" w:hAnsi="Arial"/>
          <w:sz w:val="10"/>
          <w:szCs w:val="10"/>
          <w:color w:val="54585A"/>
        </w:rPr>
      </w:pPr>
      <w:r>
        <w:rPr>
          <w:rFonts w:ascii="Arial" w:cs="Arial" w:eastAsia="Arial" w:hAnsi="Arial"/>
          <w:sz w:val="10"/>
          <w:szCs w:val="10"/>
          <w:color w:val="54585A"/>
        </w:rPr>
        <w:t>The dollar amounts reported represent the amount of net loss reflected in the Company’s audited financial statements for the applicable year.</w:t>
      </w:r>
    </w:p>
    <w:p>
      <w:pPr>
        <w:spacing w:after="0" w:line="65" w:lineRule="exact"/>
        <w:rPr>
          <w:rFonts w:ascii="Arial" w:cs="Arial" w:eastAsia="Arial" w:hAnsi="Arial"/>
          <w:sz w:val="10"/>
          <w:szCs w:val="10"/>
          <w:color w:val="54585A"/>
        </w:rPr>
      </w:pPr>
    </w:p>
    <w:p>
      <w:pPr>
        <w:ind w:left="208" w:right="220" w:hanging="208"/>
        <w:spacing w:after="0" w:line="244" w:lineRule="auto"/>
        <w:tabs>
          <w:tab w:leader="none" w:pos="207" w:val="left"/>
        </w:tabs>
        <w:numPr>
          <w:ilvl w:val="0"/>
          <w:numId w:val="63"/>
        </w:numPr>
        <w:rPr>
          <w:rFonts w:ascii="Arial" w:cs="Arial" w:eastAsia="Arial" w:hAnsi="Arial"/>
          <w:sz w:val="10"/>
          <w:szCs w:val="10"/>
          <w:color w:val="54585A"/>
        </w:rPr>
      </w:pPr>
      <w:r>
        <w:rPr>
          <w:rFonts w:ascii="Arial" w:cs="Arial" w:eastAsia="Arial" w:hAnsi="Arial"/>
          <w:sz w:val="10"/>
          <w:szCs w:val="10"/>
          <w:color w:val="54585A"/>
        </w:rPr>
        <w:t>Adjusted EBITDA is a non-GAAP measure defined as earnings before interest, income taxes, depreciation, amortization, accretion and derivative (gains)/losses. Adjusted EBITDA excludes non-cash compensation expense, reduction in the value of assets, foreign exchange (gains)/losses, and certain other non-cash or non-recurring charges as applicable. We have determined that Adjusted EBITDA is the financial performance measure that, in the Company’s assessment, represents the most important performance measure (not otherwise required to be disclosed in the table) used by the Company to link compensation actually paid to the Company’s NEOs, for the most recently completed fiscal year,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272415</wp:posOffset>
            </wp:positionV>
            <wp:extent cx="17145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32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156"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10"/>
          <w:szCs w:val="10"/>
          <w:color w:val="54585A"/>
        </w:rPr>
        <w:t xml:space="preserve">Executive Officers and Compensation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Description of Relationship Between Compensation Actually Paid to the PEO and Average of Compensation Actually Paid to Non-PEOs and Company Cumulative Total Shareholder Return (TSR)</w:t>
      </w:r>
    </w:p>
    <w:p>
      <w:pPr>
        <w:spacing w:after="0" w:line="112" w:lineRule="exact"/>
        <w:rPr>
          <w:sz w:val="20"/>
          <w:szCs w:val="20"/>
          <w:color w:val="auto"/>
        </w:rPr>
      </w:pPr>
    </w:p>
    <w:p>
      <w:pPr>
        <w:ind w:right="40"/>
        <w:spacing w:after="0" w:line="330" w:lineRule="auto"/>
        <w:rPr>
          <w:sz w:val="20"/>
          <w:szCs w:val="20"/>
          <w:color w:val="auto"/>
        </w:rPr>
      </w:pPr>
      <w:r>
        <w:rPr>
          <w:rFonts w:ascii="Arial" w:cs="Arial" w:eastAsia="Arial" w:hAnsi="Arial"/>
          <w:sz w:val="11"/>
          <w:szCs w:val="11"/>
          <w:color w:val="54585A"/>
        </w:rPr>
        <w:t>The following chart sets forth the relationship between Compensation Actually Paid to our PEO, the average of Compensation Actually Paid to our Non-PEO NEOs, and the our cumulative TSR for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46990</wp:posOffset>
            </wp:positionV>
            <wp:extent cx="3886200" cy="22860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86200" cy="22860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2601595</wp:posOffset>
            </wp:positionV>
            <wp:extent cx="17145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6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163830</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6" w:name="page37"/>
    <w:bookmarkEnd w:id="36"/>
    <w:p>
      <w:pPr>
        <w:ind w:left="68" w:hanging="68"/>
        <w:spacing w:after="0"/>
        <w:tabs>
          <w:tab w:leader="none" w:pos="68" w:val="left"/>
        </w:tabs>
        <w:numPr>
          <w:ilvl w:val="0"/>
          <w:numId w:val="64"/>
        </w:numPr>
        <w:rPr>
          <w:rFonts w:ascii="Arial" w:cs="Arial" w:eastAsia="Arial" w:hAnsi="Arial"/>
          <w:sz w:val="12"/>
          <w:szCs w:val="12"/>
          <w:b w:val="1"/>
          <w:bCs w:val="1"/>
          <w:color w:val="EB6C10"/>
        </w:rPr>
      </w:pPr>
      <w:r>
        <w:rPr>
          <w:rFonts w:ascii="Arial" w:cs="Arial" w:eastAsia="Arial" w:hAnsi="Arial"/>
          <w:sz w:val="10"/>
          <w:szCs w:val="10"/>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Description of Relationship Between Compensation Actually Paid to the PEO and Average of Compensation Actually Paid to Non-PEO NEOs and Company Net Loss</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0"/>
          <w:szCs w:val="10"/>
          <w:color w:val="54585A"/>
        </w:rPr>
        <w:t>The following chart sets forth the relationship between Compensation Actually Paid to our PEO, the average of Compensation Actually Paid to our Non-PEO NEOs, and our Net Loss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69215</wp:posOffset>
            </wp:positionV>
            <wp:extent cx="3886200" cy="22860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86200" cy="2286000"/>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2623820</wp:posOffset>
            </wp:positionV>
            <wp:extent cx="17145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34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156" w:right="359" w:bottom="1440" w:gutter="0" w:footer="0" w:header="0"/>
        </w:sectPr>
      </w:pPr>
    </w:p>
    <w:bookmarkStart w:id="37" w:name="page38"/>
    <w:bookmarkEnd w:id="37"/>
    <w:p>
      <w:pPr>
        <w:jc w:val="right"/>
        <w:spacing w:after="0"/>
        <w:rPr>
          <w:sz w:val="20"/>
          <w:szCs w:val="20"/>
          <w:color w:val="auto"/>
        </w:rPr>
      </w:pPr>
      <w:r>
        <w:rPr>
          <w:rFonts w:ascii="Arial" w:cs="Arial" w:eastAsia="Arial" w:hAnsi="Arial"/>
          <w:sz w:val="10"/>
          <w:szCs w:val="10"/>
          <w:color w:val="54585A"/>
        </w:rPr>
        <w:t xml:space="preserve">Executive Officers and Compensation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Description of Relationship Between Compensation Actually Paid to the PEO and Average of Compensation Actually Paid to Non-PEO NEOs and Adjusted EBITDA</w:t>
      </w:r>
    </w:p>
    <w:p>
      <w:pPr>
        <w:spacing w:after="0" w:line="112" w:lineRule="exact"/>
        <w:rPr>
          <w:sz w:val="20"/>
          <w:szCs w:val="20"/>
          <w:color w:val="auto"/>
        </w:rPr>
      </w:pPr>
    </w:p>
    <w:p>
      <w:pPr>
        <w:ind w:right="40"/>
        <w:spacing w:after="0" w:line="319" w:lineRule="auto"/>
        <w:rPr>
          <w:sz w:val="20"/>
          <w:szCs w:val="20"/>
          <w:color w:val="auto"/>
        </w:rPr>
      </w:pPr>
      <w:r>
        <w:rPr>
          <w:rFonts w:ascii="Arial" w:cs="Arial" w:eastAsia="Arial" w:hAnsi="Arial"/>
          <w:sz w:val="11"/>
          <w:szCs w:val="11"/>
          <w:color w:val="54585A"/>
        </w:rPr>
        <w:t>The following chart sets forth the relationship between Compensation Actually Paid to our PEO, the average of Compensation Actually Paid to our other NEOs, and our Adjusted EBITDA for the three most recently completed fiscal years. As described above, Adjusted EBITDA is defined as earnings before interest, income taxes, depreciation, amortization, accretion and derivative (gains)/losses. Adjusted EBITDA excludes non-cash compensation expense, reduction in the value of assets, foreign exchange (gains)/losses, and certain other non-cash or non-recurring charges as applicable. We have determined that Adjusted EBITDA is the financial performance measure that, in the Company’s assessment, represents the most important performance measure (not otherwise required to be disclosed in the table) used by the Company to link compensation actually paid to the Company’s NEOs, for the most recently completed fiscal year, to Company performance. Under the Company’s annual bonus plan, which is designed to reward NEOs’ efforts to meet and exceed the Company's financial performance goals, the Company used Adjusted EBITDA when determining the bonus pool available for distribution to the NEOs during the fiscal year. As described in more detail in the section “Executive Officers and Compensation – Compensation Discussion and Analysis,” for each 1% of Adjusted EBITDA above or below the plan year target Adjusted EBITDA, adjustments are made to either increase or decrease the bonus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52070</wp:posOffset>
            </wp:positionV>
            <wp:extent cx="3886200" cy="22860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86200" cy="22860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2606675</wp:posOffset>
            </wp:positionV>
            <wp:extent cx="17145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6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163830</wp:posOffset>
            </wp:positionV>
            <wp:extent cx="720344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8" w:name="page39"/>
    <w:bookmarkEnd w:id="38"/>
    <w:p>
      <w:pPr>
        <w:ind w:left="68" w:hanging="68"/>
        <w:spacing w:after="0"/>
        <w:tabs>
          <w:tab w:leader="none" w:pos="68" w:val="left"/>
        </w:tabs>
        <w:numPr>
          <w:ilvl w:val="0"/>
          <w:numId w:val="65"/>
        </w:numPr>
        <w:rPr>
          <w:rFonts w:ascii="Arial" w:cs="Arial" w:eastAsia="Arial" w:hAnsi="Arial"/>
          <w:sz w:val="12"/>
          <w:szCs w:val="12"/>
          <w:b w:val="1"/>
          <w:bCs w:val="1"/>
          <w:color w:val="EB6C10"/>
        </w:rPr>
      </w:pPr>
      <w:r>
        <w:rPr>
          <w:rFonts w:ascii="Arial" w:cs="Arial" w:eastAsia="Arial" w:hAnsi="Arial"/>
          <w:sz w:val="10"/>
          <w:szCs w:val="10"/>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Description of Relationship Between Company TSR and Peer Group TSR</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1"/>
          <w:szCs w:val="11"/>
          <w:color w:val="54585A"/>
        </w:rPr>
        <w:t>The following chart compares our cumulative TSR over the three most recently completed fiscal years to that of the Nasdaq Telecommunications Index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84455</wp:posOffset>
            </wp:positionV>
            <wp:extent cx="3886200" cy="22860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86200" cy="228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4585A"/>
        </w:rPr>
        <w:t>Tabular List of Most Important Financial Performance Measures</w:t>
      </w:r>
    </w:p>
    <w:p>
      <w:pPr>
        <w:spacing w:after="0" w:line="76" w:lineRule="exact"/>
        <w:rPr>
          <w:sz w:val="20"/>
          <w:szCs w:val="20"/>
          <w:color w:val="auto"/>
        </w:rPr>
      </w:pPr>
    </w:p>
    <w:p>
      <w:pPr>
        <w:ind w:left="8" w:right="100"/>
        <w:spacing w:after="0" w:line="319" w:lineRule="auto"/>
        <w:rPr>
          <w:sz w:val="20"/>
          <w:szCs w:val="20"/>
          <w:color w:val="auto"/>
        </w:rPr>
      </w:pPr>
      <w:r>
        <w:rPr>
          <w:rFonts w:ascii="Arial" w:cs="Arial" w:eastAsia="Arial" w:hAnsi="Arial"/>
          <w:sz w:val="11"/>
          <w:szCs w:val="11"/>
          <w:color w:val="54585A"/>
        </w:rPr>
        <w:t>The following table presents the financial and non-financial performance measures that the Company considers to have been the most important in linking Compensation Actually Paid to our PEO and other NEOs for 2022 to Company performance. The measures in this table are not ranked. Adjusted EBITDA was the sole financial performance measure that is used by the Company to link compensation actually paid to the NEOs, for the most recently completed fiscal year, to company performance.</w:t>
      </w:r>
    </w:p>
    <w:p>
      <w:pPr>
        <w:spacing w:after="0" w:line="108" w:lineRule="exact"/>
        <w:rPr>
          <w:sz w:val="20"/>
          <w:szCs w:val="20"/>
          <w:color w:val="auto"/>
        </w:rPr>
      </w:pPr>
    </w:p>
    <w:p>
      <w:pPr>
        <w:ind w:left="8" w:right="220"/>
        <w:spacing w:after="0" w:line="319" w:lineRule="auto"/>
        <w:rPr>
          <w:sz w:val="20"/>
          <w:szCs w:val="20"/>
          <w:color w:val="auto"/>
        </w:rPr>
      </w:pPr>
      <w:r>
        <w:rPr>
          <w:rFonts w:ascii="Arial" w:cs="Arial" w:eastAsia="Arial" w:hAnsi="Arial"/>
          <w:sz w:val="11"/>
          <w:szCs w:val="11"/>
          <w:color w:val="54585A"/>
        </w:rPr>
        <w:t>The Company also used non-financial performance measures (i.e., performance measures other than those that fall within the definition of financial performance measures) to link compensation actually paid to the NEOs, for the most recently completed fiscal year, to company performance. The Company determined that specific goal achievements and individual performance achievements, both non-financial performance measures, are among its three most important performance measures.</w:t>
      </w:r>
    </w:p>
    <w:p>
      <w:pPr>
        <w:spacing w:after="0" w:line="106"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2800" w:type="dxa"/>
            <w:vAlign w:val="bottom"/>
            <w:shd w:val="clear" w:color="auto" w:fill="EEEDED"/>
          </w:tcPr>
          <w:p>
            <w:pPr>
              <w:ind w:left="60"/>
              <w:spacing w:after="0"/>
              <w:rPr>
                <w:sz w:val="20"/>
                <w:szCs w:val="20"/>
                <w:color w:val="auto"/>
              </w:rPr>
            </w:pPr>
            <w:r>
              <w:rPr>
                <w:rFonts w:ascii="Arial" w:cs="Arial" w:eastAsia="Arial" w:hAnsi="Arial"/>
                <w:sz w:val="10"/>
                <w:szCs w:val="10"/>
                <w:b w:val="1"/>
                <w:bCs w:val="1"/>
                <w:color w:val="54585A"/>
              </w:rPr>
              <w:t>Most Important Financial Performance Measures</w:t>
            </w:r>
          </w:p>
        </w:tc>
        <w:tc>
          <w:tcPr>
            <w:tcW w:w="1640" w:type="dxa"/>
            <w:vAlign w:val="bottom"/>
            <w:shd w:val="clear" w:color="auto" w:fill="EEEDED"/>
          </w:tcPr>
          <w:p>
            <w:pPr>
              <w:ind w:left="880"/>
              <w:spacing w:after="0"/>
              <w:rPr>
                <w:sz w:val="20"/>
                <w:szCs w:val="20"/>
                <w:color w:val="auto"/>
              </w:rPr>
            </w:pPr>
            <w:r>
              <w:rPr>
                <w:rFonts w:ascii="Arial" w:cs="Arial" w:eastAsia="Arial" w:hAnsi="Arial"/>
                <w:sz w:val="10"/>
                <w:szCs w:val="10"/>
                <w:b w:val="1"/>
                <w:bCs w:val="1"/>
                <w:color w:val="54585A"/>
              </w:rPr>
              <w:t>Nature</w:t>
            </w:r>
          </w:p>
        </w:tc>
        <w:tc>
          <w:tcPr>
            <w:tcW w:w="6860" w:type="dxa"/>
            <w:vAlign w:val="bottom"/>
            <w:shd w:val="clear" w:color="auto" w:fill="EEEDED"/>
          </w:tcPr>
          <w:p>
            <w:pPr>
              <w:ind w:left="3300"/>
              <w:spacing w:after="0"/>
              <w:rPr>
                <w:sz w:val="20"/>
                <w:szCs w:val="20"/>
                <w:color w:val="auto"/>
              </w:rPr>
            </w:pPr>
            <w:r>
              <w:rPr>
                <w:rFonts w:ascii="Arial" w:cs="Arial" w:eastAsia="Arial" w:hAnsi="Arial"/>
                <w:sz w:val="10"/>
                <w:szCs w:val="10"/>
                <w:b w:val="1"/>
                <w:bCs w:val="1"/>
                <w:color w:val="54585A"/>
              </w:rPr>
              <w:t>Explanation</w:t>
            </w:r>
          </w:p>
        </w:tc>
        <w:tc>
          <w:tcPr>
            <w:tcW w:w="0" w:type="dxa"/>
            <w:vAlign w:val="bottom"/>
          </w:tcPr>
          <w:p>
            <w:pPr>
              <w:spacing w:after="0"/>
              <w:rPr>
                <w:sz w:val="1"/>
                <w:szCs w:val="1"/>
                <w:color w:val="auto"/>
              </w:rPr>
            </w:pPr>
          </w:p>
        </w:tc>
      </w:tr>
      <w:tr>
        <w:trPr>
          <w:trHeight w:val="69"/>
        </w:trPr>
        <w:tc>
          <w:tcPr>
            <w:tcW w:w="2800" w:type="dxa"/>
            <w:vAlign w:val="bottom"/>
            <w:shd w:val="clear" w:color="auto" w:fill="EEEDED"/>
          </w:tcPr>
          <w:p>
            <w:pPr>
              <w:spacing w:after="0"/>
              <w:rPr>
                <w:sz w:val="6"/>
                <w:szCs w:val="6"/>
                <w:color w:val="auto"/>
              </w:rPr>
            </w:pPr>
          </w:p>
        </w:tc>
        <w:tc>
          <w:tcPr>
            <w:tcW w:w="1640" w:type="dxa"/>
            <w:vAlign w:val="bottom"/>
            <w:shd w:val="clear" w:color="auto" w:fill="EEEDED"/>
          </w:tcPr>
          <w:p>
            <w:pPr>
              <w:spacing w:after="0"/>
              <w:rPr>
                <w:sz w:val="6"/>
                <w:szCs w:val="6"/>
                <w:color w:val="auto"/>
              </w:rPr>
            </w:pPr>
          </w:p>
        </w:tc>
        <w:tc>
          <w:tcPr>
            <w:tcW w:w="6860" w:type="dxa"/>
            <w:vAlign w:val="bottom"/>
            <w:shd w:val="clear" w:color="auto" w:fill="EEEDED"/>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8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860" w:type="dxa"/>
            <w:vAlign w:val="bottom"/>
          </w:tcPr>
          <w:p>
            <w:pPr>
              <w:ind w:left="440"/>
              <w:spacing w:after="0"/>
              <w:rPr>
                <w:sz w:val="20"/>
                <w:szCs w:val="20"/>
                <w:color w:val="auto"/>
              </w:rPr>
            </w:pPr>
            <w:r>
              <w:rPr>
                <w:rFonts w:ascii="Arial" w:cs="Arial" w:eastAsia="Arial" w:hAnsi="Arial"/>
                <w:sz w:val="10"/>
                <w:szCs w:val="10"/>
                <w:color w:val="54585A"/>
              </w:rPr>
              <w:t>A non-GAAP measure defined as earnings before interest, income taxes, depreciation, amortization, accretion and derivative (gains)/losses.</w:t>
            </w:r>
          </w:p>
        </w:tc>
        <w:tc>
          <w:tcPr>
            <w:tcW w:w="0" w:type="dxa"/>
            <w:vAlign w:val="bottom"/>
          </w:tcPr>
          <w:p>
            <w:pPr>
              <w:spacing w:after="0"/>
              <w:rPr>
                <w:sz w:val="1"/>
                <w:szCs w:val="1"/>
                <w:color w:val="auto"/>
              </w:rPr>
            </w:pPr>
          </w:p>
        </w:tc>
      </w:tr>
      <w:tr>
        <w:trPr>
          <w:trHeight w:val="110"/>
        </w:trPr>
        <w:tc>
          <w:tcPr>
            <w:tcW w:w="2800" w:type="dxa"/>
            <w:vAlign w:val="bottom"/>
            <w:vMerge w:val="restart"/>
          </w:tcPr>
          <w:p>
            <w:pPr>
              <w:ind w:left="60"/>
              <w:spacing w:after="0"/>
              <w:rPr>
                <w:sz w:val="20"/>
                <w:szCs w:val="20"/>
                <w:color w:val="auto"/>
              </w:rPr>
            </w:pPr>
            <w:r>
              <w:rPr>
                <w:rFonts w:ascii="Arial" w:cs="Arial" w:eastAsia="Arial" w:hAnsi="Arial"/>
                <w:sz w:val="10"/>
                <w:szCs w:val="10"/>
                <w:color w:val="54585A"/>
              </w:rPr>
              <w:t>Adjusted EBITDA</w:t>
            </w:r>
          </w:p>
        </w:tc>
        <w:tc>
          <w:tcPr>
            <w:tcW w:w="1640" w:type="dxa"/>
            <w:vAlign w:val="bottom"/>
            <w:vMerge w:val="restart"/>
          </w:tcPr>
          <w:p>
            <w:pPr>
              <w:spacing w:after="0"/>
              <w:rPr>
                <w:sz w:val="20"/>
                <w:szCs w:val="20"/>
                <w:color w:val="auto"/>
              </w:rPr>
            </w:pPr>
            <w:r>
              <w:rPr>
                <w:rFonts w:ascii="Arial" w:cs="Arial" w:eastAsia="Arial" w:hAnsi="Arial"/>
                <w:sz w:val="10"/>
                <w:szCs w:val="10"/>
                <w:color w:val="54585A"/>
              </w:rPr>
              <w:t>Financial measure</w:t>
            </w:r>
          </w:p>
        </w:tc>
        <w:tc>
          <w:tcPr>
            <w:tcW w:w="6860" w:type="dxa"/>
            <w:vAlign w:val="bottom"/>
          </w:tcPr>
          <w:p>
            <w:pPr>
              <w:ind w:left="440"/>
              <w:spacing w:after="0" w:line="110" w:lineRule="exact"/>
              <w:rPr>
                <w:sz w:val="20"/>
                <w:szCs w:val="20"/>
                <w:color w:val="auto"/>
              </w:rPr>
            </w:pPr>
            <w:r>
              <w:rPr>
                <w:rFonts w:ascii="Arial" w:cs="Arial" w:eastAsia="Arial" w:hAnsi="Arial"/>
                <w:sz w:val="10"/>
                <w:szCs w:val="10"/>
                <w:color w:val="54585A"/>
                <w:w w:val="99"/>
              </w:rPr>
              <w:t>Adjusted EBITDA excludes non-cash compensation expense, reduction in the value of assets, foreign exchange (gains)/losses, and certain other</w:t>
            </w:r>
          </w:p>
        </w:tc>
        <w:tc>
          <w:tcPr>
            <w:tcW w:w="0" w:type="dxa"/>
            <w:vAlign w:val="bottom"/>
          </w:tcPr>
          <w:p>
            <w:pPr>
              <w:spacing w:after="0"/>
              <w:rPr>
                <w:sz w:val="1"/>
                <w:szCs w:val="1"/>
                <w:color w:val="auto"/>
              </w:rPr>
            </w:pPr>
          </w:p>
        </w:tc>
      </w:tr>
      <w:tr>
        <w:trPr>
          <w:trHeight w:val="115"/>
        </w:trPr>
        <w:tc>
          <w:tcPr>
            <w:tcW w:w="280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6860" w:type="dxa"/>
            <w:vAlign w:val="bottom"/>
          </w:tcPr>
          <w:p>
            <w:pPr>
              <w:ind w:left="440"/>
              <w:spacing w:after="0"/>
              <w:rPr>
                <w:sz w:val="20"/>
                <w:szCs w:val="20"/>
                <w:color w:val="auto"/>
              </w:rPr>
            </w:pPr>
            <w:r>
              <w:rPr>
                <w:rFonts w:ascii="Arial" w:cs="Arial" w:eastAsia="Arial" w:hAnsi="Arial"/>
                <w:sz w:val="10"/>
                <w:szCs w:val="10"/>
                <w:color w:val="54585A"/>
              </w:rPr>
              <w:t>non-cash or non-recurring charges as applicable.</w:t>
            </w:r>
          </w:p>
        </w:tc>
        <w:tc>
          <w:tcPr>
            <w:tcW w:w="0" w:type="dxa"/>
            <w:vAlign w:val="bottom"/>
          </w:tcPr>
          <w:p>
            <w:pPr>
              <w:spacing w:after="0"/>
              <w:rPr>
                <w:sz w:val="1"/>
                <w:szCs w:val="1"/>
                <w:color w:val="auto"/>
              </w:rPr>
            </w:pPr>
          </w:p>
        </w:tc>
      </w:tr>
      <w:tr>
        <w:trPr>
          <w:trHeight w:val="197"/>
        </w:trPr>
        <w:tc>
          <w:tcPr>
            <w:tcW w:w="2800" w:type="dxa"/>
            <w:vAlign w:val="bottom"/>
            <w:tcBorders>
              <w:bottom w:val="single" w:sz="8" w:color="54585A"/>
            </w:tcBorders>
          </w:tcPr>
          <w:p>
            <w:pPr>
              <w:spacing w:after="0"/>
              <w:rPr>
                <w:sz w:val="17"/>
                <w:szCs w:val="17"/>
                <w:color w:val="auto"/>
              </w:rPr>
            </w:pPr>
          </w:p>
        </w:tc>
        <w:tc>
          <w:tcPr>
            <w:tcW w:w="1640" w:type="dxa"/>
            <w:vAlign w:val="bottom"/>
            <w:tcBorders>
              <w:bottom w:val="single" w:sz="8" w:color="54585A"/>
            </w:tcBorders>
          </w:tcPr>
          <w:p>
            <w:pPr>
              <w:spacing w:after="0"/>
              <w:rPr>
                <w:sz w:val="17"/>
                <w:szCs w:val="17"/>
                <w:color w:val="auto"/>
              </w:rPr>
            </w:pPr>
          </w:p>
        </w:tc>
        <w:tc>
          <w:tcPr>
            <w:tcW w:w="6860" w:type="dxa"/>
            <w:vAlign w:val="bottom"/>
            <w:tcBorders>
              <w:bottom w:val="single" w:sz="8" w:color="54585A"/>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800" w:type="dxa"/>
            <w:vAlign w:val="bottom"/>
            <w:tcBorders>
              <w:bottom w:val="single" w:sz="8" w:color="54585A"/>
            </w:tcBorders>
          </w:tcPr>
          <w:p>
            <w:pPr>
              <w:ind w:left="60"/>
              <w:spacing w:after="0"/>
              <w:rPr>
                <w:sz w:val="20"/>
                <w:szCs w:val="20"/>
                <w:color w:val="auto"/>
              </w:rPr>
            </w:pPr>
            <w:r>
              <w:rPr>
                <w:rFonts w:ascii="Arial" w:cs="Arial" w:eastAsia="Arial" w:hAnsi="Arial"/>
                <w:sz w:val="10"/>
                <w:szCs w:val="10"/>
                <w:color w:val="54585A"/>
              </w:rPr>
              <w:t>Specific Goal Achievements</w:t>
            </w:r>
          </w:p>
        </w:tc>
        <w:tc>
          <w:tcPr>
            <w:tcW w:w="1640" w:type="dxa"/>
            <w:vAlign w:val="bottom"/>
            <w:tcBorders>
              <w:bottom w:val="single" w:sz="8" w:color="54585A"/>
            </w:tcBorders>
          </w:tcPr>
          <w:p>
            <w:pPr>
              <w:spacing w:after="0"/>
              <w:rPr>
                <w:sz w:val="20"/>
                <w:szCs w:val="20"/>
                <w:color w:val="auto"/>
              </w:rPr>
            </w:pPr>
            <w:r>
              <w:rPr>
                <w:rFonts w:ascii="Arial" w:cs="Arial" w:eastAsia="Arial" w:hAnsi="Arial"/>
                <w:sz w:val="10"/>
                <w:szCs w:val="10"/>
                <w:color w:val="54585A"/>
              </w:rPr>
              <w:t>Financial measure</w:t>
            </w:r>
          </w:p>
        </w:tc>
        <w:tc>
          <w:tcPr>
            <w:tcW w:w="6860" w:type="dxa"/>
            <w:vAlign w:val="bottom"/>
            <w:tcBorders>
              <w:bottom w:val="single" w:sz="8" w:color="54585A"/>
            </w:tcBorders>
          </w:tcPr>
          <w:p>
            <w:pPr>
              <w:ind w:left="440"/>
              <w:spacing w:after="0"/>
              <w:rPr>
                <w:sz w:val="20"/>
                <w:szCs w:val="20"/>
                <w:color w:val="auto"/>
              </w:rPr>
            </w:pPr>
            <w:r>
              <w:rPr>
                <w:rFonts w:ascii="Arial" w:cs="Arial" w:eastAsia="Arial" w:hAnsi="Arial"/>
                <w:sz w:val="10"/>
                <w:szCs w:val="10"/>
                <w:color w:val="54585A"/>
              </w:rPr>
              <w:t>Obtaining predetermined financial goals or benchmarks for individual NEOs.</w:t>
            </w:r>
          </w:p>
        </w:tc>
        <w:tc>
          <w:tcPr>
            <w:tcW w:w="0" w:type="dxa"/>
            <w:vAlign w:val="bottom"/>
          </w:tcPr>
          <w:p>
            <w:pPr>
              <w:spacing w:after="0"/>
              <w:rPr>
                <w:sz w:val="1"/>
                <w:szCs w:val="1"/>
                <w:color w:val="auto"/>
              </w:rPr>
            </w:pPr>
          </w:p>
        </w:tc>
      </w:tr>
      <w:tr>
        <w:trPr>
          <w:trHeight w:val="142"/>
        </w:trPr>
        <w:tc>
          <w:tcPr>
            <w:tcW w:w="2800" w:type="dxa"/>
            <w:vAlign w:val="bottom"/>
            <w:tcBorders>
              <w:bottom w:val="single" w:sz="8" w:color="54585A"/>
            </w:tcBorders>
          </w:tcPr>
          <w:p>
            <w:pPr>
              <w:ind w:left="60"/>
              <w:spacing w:after="0"/>
              <w:rPr>
                <w:sz w:val="20"/>
                <w:szCs w:val="20"/>
                <w:color w:val="auto"/>
              </w:rPr>
            </w:pPr>
            <w:r>
              <w:rPr>
                <w:rFonts w:ascii="Arial" w:cs="Arial" w:eastAsia="Arial" w:hAnsi="Arial"/>
                <w:sz w:val="10"/>
                <w:szCs w:val="10"/>
                <w:color w:val="54585A"/>
              </w:rPr>
              <w:t>Performance Achievements</w:t>
            </w:r>
          </w:p>
        </w:tc>
        <w:tc>
          <w:tcPr>
            <w:tcW w:w="1640" w:type="dxa"/>
            <w:vAlign w:val="bottom"/>
            <w:tcBorders>
              <w:bottom w:val="single" w:sz="8" w:color="54585A"/>
            </w:tcBorders>
          </w:tcPr>
          <w:p>
            <w:pPr>
              <w:spacing w:after="0"/>
              <w:rPr>
                <w:sz w:val="20"/>
                <w:szCs w:val="20"/>
                <w:color w:val="auto"/>
              </w:rPr>
            </w:pPr>
            <w:r>
              <w:rPr>
                <w:rFonts w:ascii="Arial" w:cs="Arial" w:eastAsia="Arial" w:hAnsi="Arial"/>
                <w:sz w:val="10"/>
                <w:szCs w:val="10"/>
                <w:color w:val="54585A"/>
              </w:rPr>
              <w:t>Non-financial measure</w:t>
            </w:r>
          </w:p>
        </w:tc>
        <w:tc>
          <w:tcPr>
            <w:tcW w:w="6860" w:type="dxa"/>
            <w:vAlign w:val="bottom"/>
            <w:tcBorders>
              <w:bottom w:val="single" w:sz="8" w:color="54585A"/>
            </w:tcBorders>
          </w:tcPr>
          <w:p>
            <w:pPr>
              <w:ind w:left="440"/>
              <w:spacing w:after="0"/>
              <w:rPr>
                <w:sz w:val="20"/>
                <w:szCs w:val="20"/>
                <w:color w:val="auto"/>
              </w:rPr>
            </w:pPr>
            <w:r>
              <w:rPr>
                <w:rFonts w:ascii="Arial" w:cs="Arial" w:eastAsia="Arial" w:hAnsi="Arial"/>
                <w:sz w:val="10"/>
                <w:szCs w:val="10"/>
                <w:color w:val="54585A"/>
              </w:rPr>
              <w:t>Obtaining predetermined non-financial goals or benchmarks for individual NEOs.</w:t>
            </w:r>
          </w:p>
        </w:tc>
        <w:tc>
          <w:tcPr>
            <w:tcW w:w="0" w:type="dxa"/>
            <w:vAlign w:val="bottom"/>
          </w:tcPr>
          <w:p>
            <w:pPr>
              <w:spacing w:after="0"/>
              <w:rPr>
                <w:sz w:val="1"/>
                <w:szCs w:val="1"/>
                <w:color w:val="auto"/>
              </w:rPr>
            </w:pPr>
          </w:p>
        </w:tc>
      </w:tr>
      <w:tr>
        <w:trPr>
          <w:trHeight w:val="538"/>
        </w:trPr>
        <w:tc>
          <w:tcPr>
            <w:tcW w:w="2800" w:type="dxa"/>
            <w:vAlign w:val="bottom"/>
          </w:tcPr>
          <w:p>
            <w:pPr>
              <w:spacing w:after="0"/>
              <w:rPr>
                <w:sz w:val="20"/>
                <w:szCs w:val="20"/>
                <w:color w:val="auto"/>
              </w:rPr>
            </w:pPr>
            <w:r>
              <w:rPr>
                <w:rFonts w:ascii="Arial" w:cs="Arial" w:eastAsia="Arial" w:hAnsi="Arial"/>
                <w:sz w:val="10"/>
                <w:szCs w:val="10"/>
                <w:color w:val="54585A"/>
              </w:rPr>
              <w:t xml:space="preserve">36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tc>
        <w:tc>
          <w:tcPr>
            <w:tcW w:w="16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00" w:type="dxa"/>
            <w:vAlign w:val="bottom"/>
            <w:tcBorders>
              <w:bottom w:val="single" w:sz="8" w:color="9A9A9A"/>
            </w:tcBorders>
          </w:tcPr>
          <w:p>
            <w:pPr>
              <w:spacing w:after="0"/>
              <w:rPr>
                <w:sz w:val="19"/>
                <w:szCs w:val="19"/>
                <w:color w:val="auto"/>
              </w:rPr>
            </w:pPr>
          </w:p>
        </w:tc>
        <w:tc>
          <w:tcPr>
            <w:tcW w:w="1640" w:type="dxa"/>
            <w:vAlign w:val="bottom"/>
            <w:tcBorders>
              <w:bottom w:val="single" w:sz="8" w:color="9A9A9A"/>
            </w:tcBorders>
          </w:tcPr>
          <w:p>
            <w:pPr>
              <w:spacing w:after="0"/>
              <w:rPr>
                <w:sz w:val="19"/>
                <w:szCs w:val="19"/>
                <w:color w:val="auto"/>
              </w:rPr>
            </w:pPr>
          </w:p>
        </w:tc>
        <w:tc>
          <w:tcPr>
            <w:tcW w:w="68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-302260</wp:posOffset>
            </wp:positionV>
            <wp:extent cx="17145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308"/>
          </w:cols>
          <w:pgMar w:left="292" w:top="156" w:right="299" w:bottom="1440" w:gutter="0" w:footer="0" w:header="0"/>
        </w:sectPr>
      </w:pPr>
    </w:p>
    <w:bookmarkStart w:id="39" w:name="page40"/>
    <w:bookmarkEnd w:id="39"/>
    <w:p>
      <w:pPr>
        <w:jc w:val="right"/>
        <w:spacing w:after="0"/>
        <w:rPr>
          <w:sz w:val="20"/>
          <w:szCs w:val="20"/>
          <w:color w:val="auto"/>
        </w:rPr>
      </w:pPr>
      <w:r>
        <w:rPr>
          <w:rFonts w:ascii="Arial" w:cs="Arial" w:eastAsia="Arial" w:hAnsi="Arial"/>
          <w:sz w:val="10"/>
          <w:szCs w:val="10"/>
          <w:color w:val="54585A"/>
        </w:rPr>
        <w:t xml:space="preserve">Executive Officers and Compensation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54585A"/>
        </w:rPr>
        <w:t>2022 Pay Ratio</w:t>
      </w:r>
    </w:p>
    <w:p>
      <w:pPr>
        <w:spacing w:after="0" w:line="146" w:lineRule="exact"/>
        <w:rPr>
          <w:sz w:val="20"/>
          <w:szCs w:val="20"/>
          <w:color w:val="auto"/>
        </w:rPr>
      </w:pPr>
    </w:p>
    <w:p>
      <w:pPr>
        <w:spacing w:after="0"/>
        <w:rPr>
          <w:sz w:val="20"/>
          <w:szCs w:val="20"/>
          <w:color w:val="auto"/>
        </w:rPr>
      </w:pPr>
      <w:r>
        <w:rPr>
          <w:rFonts w:ascii="Arial" w:cs="Arial" w:eastAsia="Arial" w:hAnsi="Arial"/>
          <w:sz w:val="11"/>
          <w:szCs w:val="11"/>
          <w:color w:val="54585A"/>
        </w:rPr>
        <w:t>The Dodd-Frank Act requires that we disclose the ratio of annual total compensation of Mr. Kagan, our CEO, to the annual total compensation of the median employee of Globalstar.</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54585A"/>
        </w:rPr>
        <w:t>For 2022, the total compensation for the median employee of Globalstar was $92,989. Mr. Kagan’s compensation from Globalstar, based on his total compensation as CEO, was $1,892,167 and, as such, the ratio is 1 to 20.</w:t>
      </w:r>
    </w:p>
    <w:p>
      <w:pPr>
        <w:spacing w:after="0" w:line="153" w:lineRule="exact"/>
        <w:rPr>
          <w:sz w:val="20"/>
          <w:szCs w:val="20"/>
          <w:color w:val="auto"/>
        </w:rPr>
      </w:pPr>
    </w:p>
    <w:p>
      <w:pPr>
        <w:jc w:val="both"/>
        <w:ind w:right="60"/>
        <w:spacing w:after="0" w:line="319" w:lineRule="auto"/>
        <w:rPr>
          <w:sz w:val="20"/>
          <w:szCs w:val="20"/>
          <w:color w:val="auto"/>
        </w:rPr>
      </w:pPr>
      <w:r>
        <w:rPr>
          <w:rFonts w:ascii="Arial" w:cs="Arial" w:eastAsia="Arial" w:hAnsi="Arial"/>
          <w:sz w:val="11"/>
          <w:szCs w:val="11"/>
          <w:color w:val="54585A"/>
        </w:rPr>
        <w:t>The median employee was identified by reviewing the total cash base salary for all Globalstar employees, including its consolidated subsidiaries, on December 31, 2022. As of this date, we employed 328 individuals in 14 countries. Any salaries denominated in foreign currencies were translated to U.S. dollars at the corresponding exchange rate as of March 9, 2023. All of the Company's full-time and part-time employees were included in the calculation and adjustments were made to annualize cash compensation for any employees not employed by Globalstar for the entire year. Mr. Kagan was excluded from the calculation of median employee for purposes of this determination.</w:t>
      </w:r>
    </w:p>
    <w:p>
      <w:pPr>
        <w:spacing w:after="0" w:line="108" w:lineRule="exact"/>
        <w:rPr>
          <w:sz w:val="20"/>
          <w:szCs w:val="20"/>
          <w:color w:val="auto"/>
        </w:rPr>
      </w:pPr>
    </w:p>
    <w:p>
      <w:pPr>
        <w:ind w:right="60"/>
        <w:spacing w:after="0" w:line="319" w:lineRule="auto"/>
        <w:rPr>
          <w:sz w:val="20"/>
          <w:szCs w:val="20"/>
          <w:color w:val="auto"/>
        </w:rPr>
      </w:pPr>
      <w:r>
        <w:rPr>
          <w:rFonts w:ascii="Arial" w:cs="Arial" w:eastAsia="Arial" w:hAnsi="Arial"/>
          <w:sz w:val="11"/>
          <w:szCs w:val="11"/>
          <w:color w:val="54585A"/>
        </w:rPr>
        <w:t>After identifying the median employee based on the criteria described above, the total compensation for this employee was calculated using the same methodology that was used in the 2022 Summary Compensation Table. Total compensation during 2022 for this employee includes base salary, accrued vacation as of December 31, 2022, matching contributions to the Company's 401(k) plan and premiums paid by Globalstar for life insurance. This employee was not granted a cash bonus or any equity awards during 2022.</w:t>
      </w:r>
    </w:p>
    <w:p>
      <w:pPr>
        <w:spacing w:after="0" w:line="99" w:lineRule="exact"/>
        <w:rPr>
          <w:sz w:val="20"/>
          <w:szCs w:val="20"/>
          <w:color w:val="auto"/>
        </w:rPr>
      </w:pPr>
    </w:p>
    <w:p>
      <w:pPr>
        <w:spacing w:after="0"/>
        <w:rPr>
          <w:sz w:val="20"/>
          <w:szCs w:val="20"/>
          <w:color w:val="auto"/>
        </w:rPr>
      </w:pPr>
      <w:r>
        <w:rPr>
          <w:rFonts w:ascii="Arial" w:cs="Arial" w:eastAsia="Arial" w:hAnsi="Arial"/>
          <w:sz w:val="11"/>
          <w:szCs w:val="11"/>
          <w:color w:val="54585A"/>
        </w:rPr>
        <w:t>As a global telecommunications company, our workforce is diverse from full-time engineers and technical experts to part-time hourly customer care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244475</wp:posOffset>
            </wp:positionV>
            <wp:extent cx="17145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96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163830</wp:posOffset>
            </wp:positionV>
            <wp:extent cx="72034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0" w:name="page41"/>
    <w:bookmarkEnd w:id="40"/>
    <w:p>
      <w:pPr>
        <w:ind w:left="68" w:hanging="68"/>
        <w:spacing w:after="0"/>
        <w:tabs>
          <w:tab w:leader="none" w:pos="68" w:val="left"/>
        </w:tabs>
        <w:numPr>
          <w:ilvl w:val="0"/>
          <w:numId w:val="66"/>
        </w:numPr>
        <w:rPr>
          <w:rFonts w:ascii="Arial" w:cs="Arial" w:eastAsia="Arial" w:hAnsi="Arial"/>
          <w:sz w:val="12"/>
          <w:szCs w:val="12"/>
          <w:b w:val="1"/>
          <w:bCs w:val="1"/>
          <w:color w:val="EB6C10"/>
        </w:rPr>
      </w:pPr>
      <w:r>
        <w:rPr>
          <w:rFonts w:ascii="Arial" w:cs="Arial" w:eastAsia="Arial" w:hAnsi="Arial"/>
          <w:sz w:val="10"/>
          <w:szCs w:val="10"/>
          <w:color w:val="54585A"/>
        </w:rPr>
        <w:t>Executive Officers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530860</wp:posOffset>
            </wp:positionV>
            <wp:extent cx="1788795" cy="49320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88795" cy="493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8"/>
        <w:spacing w:after="0"/>
        <w:rPr>
          <w:sz w:val="20"/>
          <w:szCs w:val="20"/>
          <w:color w:val="auto"/>
        </w:rPr>
      </w:pPr>
      <w:r>
        <w:rPr>
          <w:rFonts w:ascii="Arial" w:cs="Arial" w:eastAsia="Arial" w:hAnsi="Arial"/>
          <w:sz w:val="14"/>
          <w:szCs w:val="14"/>
          <w:b w:val="1"/>
          <w:bCs w:val="1"/>
          <w:color w:val="FFFFFF"/>
        </w:rPr>
        <w:t>Proposal Five</w:t>
      </w:r>
    </w:p>
    <w:p>
      <w:pPr>
        <w:spacing w:after="0" w:line="145" w:lineRule="exact"/>
        <w:rPr>
          <w:sz w:val="20"/>
          <w:szCs w:val="20"/>
          <w:color w:val="auto"/>
        </w:rPr>
      </w:pPr>
    </w:p>
    <w:p>
      <w:pPr>
        <w:ind w:left="408" w:hanging="72"/>
        <w:spacing w:after="0"/>
        <w:tabs>
          <w:tab w:leader="none" w:pos="408" w:val="left"/>
        </w:tabs>
        <w:numPr>
          <w:ilvl w:val="0"/>
          <w:numId w:val="67"/>
        </w:numPr>
        <w:rPr>
          <w:rFonts w:ascii="Arial" w:cs="Arial" w:eastAsia="Arial" w:hAnsi="Arial"/>
          <w:sz w:val="12"/>
          <w:szCs w:val="12"/>
          <w:b w:val="1"/>
          <w:bCs w:val="1"/>
          <w:color w:val="FFFFFF"/>
        </w:rPr>
      </w:pPr>
      <w:r>
        <w:rPr>
          <w:rFonts w:ascii="Arial" w:cs="Arial" w:eastAsia="Arial" w:hAnsi="Arial"/>
          <w:sz w:val="12"/>
          <w:szCs w:val="12"/>
          <w:color w:val="FFFFFF"/>
        </w:rPr>
        <w:t>The Strategic Review Committee of</w:t>
      </w:r>
    </w:p>
    <w:p>
      <w:pPr>
        <w:spacing w:after="0" w:line="51" w:lineRule="exact"/>
        <w:rPr>
          <w:rFonts w:ascii="Arial" w:cs="Arial" w:eastAsia="Arial" w:hAnsi="Arial"/>
          <w:sz w:val="12"/>
          <w:szCs w:val="12"/>
          <w:b w:val="1"/>
          <w:bCs w:val="1"/>
          <w:color w:val="FFFFFF"/>
        </w:rPr>
      </w:pPr>
    </w:p>
    <w:p>
      <w:pPr>
        <w:ind w:left="448" w:right="40"/>
        <w:spacing w:after="0" w:line="326" w:lineRule="auto"/>
        <w:rPr>
          <w:rFonts w:ascii="Arial" w:cs="Arial" w:eastAsia="Arial" w:hAnsi="Arial"/>
          <w:sz w:val="12"/>
          <w:szCs w:val="12"/>
          <w:b w:val="1"/>
          <w:bCs w:val="1"/>
          <w:color w:val="FFFFFF"/>
        </w:rPr>
      </w:pPr>
      <w:r>
        <w:rPr>
          <w:rFonts w:ascii="Arial" w:cs="Arial" w:eastAsia="Arial" w:hAnsi="Arial"/>
          <w:sz w:val="12"/>
          <w:szCs w:val="12"/>
          <w:color w:val="FFFFFF"/>
        </w:rPr>
        <w:t xml:space="preserve">the and the Board recommend that stockholders vote </w:t>
      </w:r>
      <w:r>
        <w:rPr>
          <w:rFonts w:ascii="Arial" w:cs="Arial" w:eastAsia="Arial" w:hAnsi="Arial"/>
          <w:sz w:val="12"/>
          <w:szCs w:val="12"/>
          <w:b w:val="1"/>
          <w:bCs w:val="1"/>
          <w:color w:val="FFFFFF"/>
        </w:rPr>
        <w:t>FOR</w:t>
      </w:r>
      <w:r>
        <w:rPr>
          <w:rFonts w:ascii="Arial" w:cs="Arial" w:eastAsia="Arial" w:hAnsi="Arial"/>
          <w:sz w:val="12"/>
          <w:szCs w:val="12"/>
          <w:color w:val="FFFFFF"/>
        </w:rPr>
        <w:t xml:space="preserve"> the approval of the Thermo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38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9"/>
          <w:szCs w:val="19"/>
          <w:color w:val="54585A"/>
        </w:rPr>
        <w:t>Approval of Entry into Thermo Guaranty</w:t>
      </w:r>
    </w:p>
    <w:p>
      <w:pPr>
        <w:spacing w:after="0" w:line="147" w:lineRule="exact"/>
        <w:rPr>
          <w:sz w:val="20"/>
          <w:szCs w:val="20"/>
          <w:color w:val="auto"/>
        </w:rPr>
      </w:pPr>
    </w:p>
    <w:p>
      <w:pPr>
        <w:ind w:right="20"/>
        <w:spacing w:after="0" w:line="308" w:lineRule="auto"/>
        <w:rPr>
          <w:sz w:val="20"/>
          <w:szCs w:val="20"/>
          <w:color w:val="auto"/>
        </w:rPr>
      </w:pPr>
      <w:r>
        <w:rPr>
          <w:rFonts w:ascii="Arial" w:cs="Arial" w:eastAsia="Arial" w:hAnsi="Arial"/>
          <w:sz w:val="10"/>
          <w:szCs w:val="10"/>
          <w:color w:val="54585A"/>
        </w:rPr>
        <w:t>On February 27, 2023, the Company and its partner under the Partnership Agreements (the “Partner”) agreed to amend its previously disclosed Partnership Agreements to provide for, among other things, the Partner’s prepayment of $252 million to the Company (the “Prepayment”). The Company plans to use the proceeds of the Prepayment to pay amounts due under its previously disclosed Satellite Procurement Agreement (the “SPA”) with Macdonald, Dettwiler and Associates Corporation (“MDA”), as well as launch, insurance and ancillary costs incurred in connection with the construction and launch of these satellites. In connection with the foregoing, Thermo Funding II, LLC, a Thermo controlled affiliate, entered into a Secured Guaranty with the Partner directly, whereby Thermo agreed to guaranty to the Partner the Company’s Prepayment and certain other obligations related to the Partnership Agreements and the SPA (the “Guaranteed Obligations”). These agreements also provide for Thermo to guaranty these obligations directly in favor of the Company subject to, among other things, the approval of our stockholders other than Thermo. Accordingly, the Company proposes to enter into the Guaranty with Thermo, substantially in the form included in Appendix A attached hereto (the “Thermo Guaranty”). As previously disclosed, Mr. Monroe, our Executive Chairman and largest beneficial owner, controls Thermo.</w:t>
      </w:r>
    </w:p>
    <w:p>
      <w:pPr>
        <w:spacing w:after="0" w:line="115" w:lineRule="exact"/>
        <w:rPr>
          <w:sz w:val="20"/>
          <w:szCs w:val="20"/>
          <w:color w:val="auto"/>
        </w:rPr>
      </w:pPr>
    </w:p>
    <w:p>
      <w:pPr>
        <w:spacing w:after="0" w:line="311" w:lineRule="auto"/>
        <w:rPr>
          <w:sz w:val="20"/>
          <w:szCs w:val="20"/>
          <w:color w:val="auto"/>
        </w:rPr>
      </w:pPr>
      <w:r>
        <w:rPr>
          <w:rFonts w:ascii="Arial" w:cs="Arial" w:eastAsia="Arial" w:hAnsi="Arial"/>
          <w:sz w:val="10"/>
          <w:szCs w:val="10"/>
          <w:color w:val="54585A"/>
        </w:rPr>
        <w:t>Under the Thermo Guaranty, Thermo is obligated directly to the Company to make payments in respect of the Guaranteed Obligations if the Company fails to pay or otherwise does not make payment in respect of the Guaranteed Obligations to the Partner or MDA. Thermo is also required to comply with certain covenants, which include advancing funds to the Company to allow it to maintain compliance with its minimum liquidity covenant and maintenance of a minimum asset level in excess of the obligations guaranteed by Thermo. In the event Thermo is required to pay amounts to the Company in respect of the Guaranteed Obligations (each such amount, a “Guaranty Payment”), the Company will issue a number of shares of the Company’s common stock to Thermo equal to (i) the amount of the Guaranty Payment multiplied by (ii) the average of the five (5) trailing volume-weighted average prices of the common stock for the trading days immediately preceding the date of such Guaranty Payment.</w:t>
      </w:r>
    </w:p>
    <w:p>
      <w:pPr>
        <w:spacing w:after="0" w:line="105" w:lineRule="exact"/>
        <w:rPr>
          <w:sz w:val="20"/>
          <w:szCs w:val="20"/>
          <w:color w:val="auto"/>
        </w:rPr>
      </w:pPr>
    </w:p>
    <w:p>
      <w:pPr>
        <w:ind w:right="80"/>
        <w:spacing w:after="0" w:line="309" w:lineRule="auto"/>
        <w:rPr>
          <w:sz w:val="20"/>
          <w:szCs w:val="20"/>
          <w:color w:val="auto"/>
        </w:rPr>
      </w:pPr>
      <w:r>
        <w:rPr>
          <w:rFonts w:ascii="Arial" w:cs="Arial" w:eastAsia="Arial" w:hAnsi="Arial"/>
          <w:sz w:val="10"/>
          <w:szCs w:val="10"/>
          <w:color w:val="54585A"/>
        </w:rPr>
        <w:t>As consideration for Thermo guaranteeing the Guaranteed Obligations, the Company will issue to Thermo warrants to purchase 10,000,000 shares of the Company’s common stock (the “Warrants”) at an exercise price equal to the greater of (i) $2.00 and (ii) the closing price of the common stock on the trading day immediately preceding the date of stockholder approval of the Thermo Guaranty, substantially in the form included in Appendix A hereto. 5,000,000 Warrants vest immediately upon effectiveness of the Thermo Guaranty, and the remaining 5,000,000 Warrants vest if and when Thermo advances aggregate funds of $25,000,000 or more to the Company or a permitted third party pursuant to the terms of the Thermo Guaranty. The Warrants expire five (5) years after the date of issuance.</w:t>
      </w:r>
    </w:p>
    <w:p>
      <w:pPr>
        <w:spacing w:after="0" w:line="115" w:lineRule="exact"/>
        <w:rPr>
          <w:sz w:val="20"/>
          <w:szCs w:val="20"/>
          <w:color w:val="auto"/>
        </w:rPr>
      </w:pPr>
    </w:p>
    <w:p>
      <w:pPr>
        <w:ind w:right="60"/>
        <w:spacing w:after="0" w:line="300" w:lineRule="auto"/>
        <w:rPr>
          <w:sz w:val="20"/>
          <w:szCs w:val="20"/>
          <w:color w:val="auto"/>
        </w:rPr>
      </w:pPr>
      <w:r>
        <w:rPr>
          <w:rFonts w:ascii="Arial" w:cs="Arial" w:eastAsia="Arial" w:hAnsi="Arial"/>
          <w:sz w:val="10"/>
          <w:szCs w:val="10"/>
          <w:color w:val="54585A"/>
        </w:rPr>
        <w:t>The Thermo Guaranty, the Warrants and the related transactions between the Company and Thermo were negotiated, reviewed and approved by a special committee of independent directors constituted by our Strategic Review Committee and represented by independent counsel.</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54585A"/>
        </w:rPr>
        <w:t>Vote Required to Approve the Thermo Guaranty</w:t>
      </w:r>
    </w:p>
    <w:p>
      <w:pPr>
        <w:spacing w:after="0" w:line="150" w:lineRule="exact"/>
        <w:rPr>
          <w:sz w:val="20"/>
          <w:szCs w:val="20"/>
          <w:color w:val="auto"/>
        </w:rPr>
      </w:pPr>
    </w:p>
    <w:p>
      <w:pPr>
        <w:ind w:right="20"/>
        <w:spacing w:after="0" w:line="306" w:lineRule="auto"/>
        <w:rPr>
          <w:sz w:val="20"/>
          <w:szCs w:val="20"/>
          <w:color w:val="auto"/>
        </w:rPr>
      </w:pPr>
      <w:r>
        <w:rPr>
          <w:rFonts w:ascii="Arial" w:cs="Arial" w:eastAsia="Arial" w:hAnsi="Arial"/>
          <w:sz w:val="10"/>
          <w:szCs w:val="10"/>
          <w:color w:val="54585A"/>
        </w:rPr>
        <w:t>Because the Thermo Guaranty and the Warrants provide for a transaction between Thermo, on one hand, and the Company, on the other, which has a value greater than $5 million, as determined by the Company’s Strategic Review Committee, it is a Related Party Transaction under our Certificate of Incorporation. Under our Certificate of Incorporation, Related Party Transactions must be approved by the affirmative vote of a majority of shares of common stock of the Company owned by stockholders other than Thermo and voting affirmatively or negatively on the matter.</w:t>
      </w:r>
    </w:p>
    <w:p>
      <w:pPr>
        <w:spacing w:after="0" w:line="116" w:lineRule="exact"/>
        <w:rPr>
          <w:sz w:val="20"/>
          <w:szCs w:val="20"/>
          <w:color w:val="auto"/>
        </w:rPr>
      </w:pPr>
    </w:p>
    <w:p>
      <w:pPr>
        <w:ind w:right="40"/>
        <w:spacing w:after="0" w:line="300" w:lineRule="auto"/>
        <w:rPr>
          <w:sz w:val="20"/>
          <w:szCs w:val="20"/>
          <w:color w:val="auto"/>
        </w:rPr>
      </w:pPr>
      <w:r>
        <w:rPr>
          <w:rFonts w:ascii="Arial" w:cs="Arial" w:eastAsia="Arial" w:hAnsi="Arial"/>
          <w:sz w:val="10"/>
          <w:szCs w:val="10"/>
          <w:color w:val="54585A"/>
        </w:rPr>
        <w:t>Accordingly, the affirmative vote of the holders of a majority of the shares of common stock other than Thermo represented, in person or by proxy, and entitled to vote at the meeting is required to approve this Proposal No. 5. Thermo is not eligible to vote on 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2242820</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5027295</wp:posOffset>
            </wp:positionH>
            <wp:positionV relativeFrom="paragraph">
              <wp:posOffset>1958340</wp:posOffset>
            </wp:positionV>
            <wp:extent cx="17145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2">
            <w:col w:w="2388" w:space="720"/>
            <w:col w:w="8140"/>
          </w:cols>
          <w:pgMar w:left="292" w:top="156"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0"/>
          <w:szCs w:val="10"/>
          <w:color w:val="54585A"/>
        </w:rPr>
        <w:t xml:space="preserve">Security Ownership of Principal Stockholders and Management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
        <w:spacing w:after="0"/>
        <w:rPr>
          <w:sz w:val="20"/>
          <w:szCs w:val="20"/>
          <w:color w:val="auto"/>
        </w:rPr>
      </w:pPr>
      <w:r>
        <w:rPr>
          <w:rFonts w:ascii="Arial" w:cs="Arial" w:eastAsia="Arial" w:hAnsi="Arial"/>
          <w:sz w:val="36"/>
          <w:szCs w:val="36"/>
          <w:color w:val="EB6C10"/>
        </w:rPr>
        <w:t>Security Ownership of Principal Stockholders and Management</w:t>
      </w:r>
    </w:p>
    <w:p>
      <w:pPr>
        <w:spacing w:after="0" w:line="219" w:lineRule="exact"/>
        <w:rPr>
          <w:sz w:val="20"/>
          <w:szCs w:val="20"/>
          <w:color w:val="auto"/>
        </w:rPr>
      </w:pPr>
    </w:p>
    <w:p>
      <w:pPr>
        <w:ind w:left="8" w:right="80"/>
        <w:spacing w:after="0" w:line="319" w:lineRule="auto"/>
        <w:rPr>
          <w:sz w:val="20"/>
          <w:szCs w:val="20"/>
          <w:color w:val="auto"/>
        </w:rPr>
      </w:pPr>
      <w:r>
        <w:rPr>
          <w:rFonts w:ascii="Arial" w:cs="Arial" w:eastAsia="Arial" w:hAnsi="Arial"/>
          <w:sz w:val="11"/>
          <w:szCs w:val="11"/>
          <w:color w:val="54585A"/>
        </w:rPr>
        <w:t>The following table shows (i) the number of shares of common stock beneficially owned as of the Record Date by each director and nominee for director, by each current executive officer, and by all directors, nominees, and current executive officers as a group and (ii) all the persons who were known to be beneficial owners of five percent or more of our common stock, our only voting securities, on May 1, 2023 based upon * shares of common stock outstanding as of that date. Holders of our common stock are entitled to one vote per share.</w:t>
      </w:r>
    </w:p>
    <w:p>
      <w:pPr>
        <w:spacing w:after="0" w:line="10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7620" w:type="dxa"/>
            <w:vAlign w:val="bottom"/>
            <w:shd w:val="clear" w:color="auto" w:fill="EEEDED"/>
          </w:tcPr>
          <w:p>
            <w:pPr>
              <w:spacing w:after="0"/>
              <w:rPr>
                <w:sz w:val="10"/>
                <w:szCs w:val="10"/>
                <w:color w:val="auto"/>
              </w:rPr>
            </w:pPr>
          </w:p>
        </w:tc>
        <w:tc>
          <w:tcPr>
            <w:tcW w:w="1260" w:type="dxa"/>
            <w:vAlign w:val="bottom"/>
            <w:shd w:val="clear" w:color="auto" w:fill="EEEDED"/>
          </w:tcPr>
          <w:p>
            <w:pPr>
              <w:spacing w:after="0"/>
              <w:rPr>
                <w:sz w:val="10"/>
                <w:szCs w:val="10"/>
                <w:color w:val="auto"/>
              </w:rPr>
            </w:pPr>
          </w:p>
        </w:tc>
        <w:tc>
          <w:tcPr>
            <w:tcW w:w="2420" w:type="dxa"/>
            <w:vAlign w:val="bottom"/>
            <w:gridSpan w:val="2"/>
            <w:shd w:val="clear" w:color="auto" w:fill="EEEDED"/>
          </w:tcPr>
          <w:p>
            <w:pPr>
              <w:jc w:val="center"/>
              <w:ind w:right="1232"/>
              <w:spacing w:after="0"/>
              <w:rPr>
                <w:sz w:val="20"/>
                <w:szCs w:val="20"/>
                <w:color w:val="auto"/>
              </w:rPr>
            </w:pPr>
            <w:r>
              <w:rPr>
                <w:rFonts w:ascii="Arial" w:cs="Arial" w:eastAsia="Arial" w:hAnsi="Arial"/>
                <w:sz w:val="10"/>
                <w:szCs w:val="10"/>
                <w:b w:val="1"/>
                <w:bCs w:val="1"/>
                <w:color w:val="54585A"/>
                <w:w w:val="96"/>
              </w:rPr>
              <w:t>Amount and Nature</w:t>
            </w:r>
          </w:p>
        </w:tc>
        <w:tc>
          <w:tcPr>
            <w:tcW w:w="0" w:type="dxa"/>
            <w:vAlign w:val="bottom"/>
          </w:tcPr>
          <w:p>
            <w:pPr>
              <w:spacing w:after="0"/>
              <w:rPr>
                <w:sz w:val="1"/>
                <w:szCs w:val="1"/>
                <w:color w:val="auto"/>
              </w:rPr>
            </w:pPr>
          </w:p>
        </w:tc>
      </w:tr>
      <w:tr>
        <w:trPr>
          <w:trHeight w:val="135"/>
        </w:trPr>
        <w:tc>
          <w:tcPr>
            <w:tcW w:w="7620" w:type="dxa"/>
            <w:vAlign w:val="bottom"/>
            <w:tcBorders>
              <w:bottom w:val="single" w:sz="8" w:color="EEEDED"/>
            </w:tcBorders>
            <w:shd w:val="clear" w:color="auto" w:fill="EEEDED"/>
          </w:tcPr>
          <w:p>
            <w:pPr>
              <w:spacing w:after="0"/>
              <w:rPr>
                <w:sz w:val="11"/>
                <w:szCs w:val="11"/>
                <w:color w:val="auto"/>
              </w:rPr>
            </w:pPr>
          </w:p>
        </w:tc>
        <w:tc>
          <w:tcPr>
            <w:tcW w:w="1260" w:type="dxa"/>
            <w:vAlign w:val="bottom"/>
            <w:tcBorders>
              <w:bottom w:val="single" w:sz="8" w:color="54585A"/>
            </w:tcBorders>
            <w:shd w:val="clear" w:color="auto" w:fill="EEEDED"/>
          </w:tcPr>
          <w:p>
            <w:pPr>
              <w:spacing w:after="0"/>
              <w:rPr>
                <w:sz w:val="11"/>
                <w:szCs w:val="11"/>
                <w:color w:val="auto"/>
              </w:rPr>
            </w:pPr>
          </w:p>
        </w:tc>
        <w:tc>
          <w:tcPr>
            <w:tcW w:w="2420" w:type="dxa"/>
            <w:vAlign w:val="bottom"/>
            <w:tcBorders>
              <w:bottom w:val="single" w:sz="8" w:color="54585A"/>
            </w:tcBorders>
            <w:gridSpan w:val="2"/>
            <w:shd w:val="clear" w:color="auto" w:fill="EEEDED"/>
          </w:tcPr>
          <w:p>
            <w:pPr>
              <w:jc w:val="center"/>
              <w:ind w:right="1212"/>
              <w:spacing w:after="0"/>
              <w:rPr>
                <w:sz w:val="20"/>
                <w:szCs w:val="20"/>
                <w:color w:val="auto"/>
              </w:rPr>
            </w:pPr>
            <w:r>
              <w:rPr>
                <w:rFonts w:ascii="Arial" w:cs="Arial" w:eastAsia="Arial" w:hAnsi="Arial"/>
                <w:sz w:val="10"/>
                <w:szCs w:val="10"/>
                <w:b w:val="1"/>
                <w:bCs w:val="1"/>
                <w:color w:val="54585A"/>
                <w:w w:val="94"/>
              </w:rPr>
              <w:t>of Beneficial Ownership</w:t>
            </w:r>
          </w:p>
        </w:tc>
        <w:tc>
          <w:tcPr>
            <w:tcW w:w="0" w:type="dxa"/>
            <w:vAlign w:val="bottom"/>
          </w:tcPr>
          <w:p>
            <w:pPr>
              <w:spacing w:after="0"/>
              <w:rPr>
                <w:sz w:val="1"/>
                <w:szCs w:val="1"/>
                <w:color w:val="auto"/>
              </w:rPr>
            </w:pPr>
          </w:p>
        </w:tc>
      </w:tr>
      <w:tr>
        <w:trPr>
          <w:trHeight w:val="142"/>
        </w:trPr>
        <w:tc>
          <w:tcPr>
            <w:tcW w:w="7620" w:type="dxa"/>
            <w:vAlign w:val="bottom"/>
            <w:tcBorders>
              <w:bottom w:val="single" w:sz="8" w:color="EEEDED"/>
            </w:tcBorders>
            <w:shd w:val="clear" w:color="auto" w:fill="EEEDED"/>
          </w:tcPr>
          <w:p>
            <w:pPr>
              <w:spacing w:after="0"/>
              <w:rPr>
                <w:sz w:val="12"/>
                <w:szCs w:val="12"/>
                <w:color w:val="auto"/>
              </w:rPr>
            </w:pPr>
          </w:p>
        </w:tc>
        <w:tc>
          <w:tcPr>
            <w:tcW w:w="1260" w:type="dxa"/>
            <w:vAlign w:val="bottom"/>
            <w:tcBorders>
              <w:bottom w:val="single" w:sz="8" w:color="54585A"/>
            </w:tcBorders>
            <w:shd w:val="clear" w:color="auto" w:fill="EEEDED"/>
          </w:tcPr>
          <w:p>
            <w:pPr>
              <w:spacing w:after="0"/>
              <w:rPr>
                <w:sz w:val="12"/>
                <w:szCs w:val="12"/>
                <w:color w:val="auto"/>
              </w:rPr>
            </w:pPr>
          </w:p>
        </w:tc>
        <w:tc>
          <w:tcPr>
            <w:tcW w:w="2420" w:type="dxa"/>
            <w:vAlign w:val="bottom"/>
            <w:tcBorders>
              <w:bottom w:val="single" w:sz="8" w:color="54585A"/>
            </w:tcBorders>
            <w:gridSpan w:val="2"/>
            <w:shd w:val="clear" w:color="auto" w:fill="EEEDED"/>
          </w:tcPr>
          <w:p>
            <w:pPr>
              <w:jc w:val="center"/>
              <w:ind w:right="1212"/>
              <w:spacing w:after="0"/>
              <w:rPr>
                <w:sz w:val="20"/>
                <w:szCs w:val="20"/>
                <w:color w:val="auto"/>
              </w:rPr>
            </w:pPr>
            <w:r>
              <w:rPr>
                <w:rFonts w:ascii="Arial" w:cs="Arial" w:eastAsia="Arial" w:hAnsi="Arial"/>
                <w:sz w:val="10"/>
                <w:szCs w:val="10"/>
                <w:b w:val="1"/>
                <w:bCs w:val="1"/>
                <w:color w:val="54585A"/>
                <w:w w:val="98"/>
              </w:rPr>
              <w:t>Common Stock</w:t>
            </w:r>
          </w:p>
        </w:tc>
        <w:tc>
          <w:tcPr>
            <w:tcW w:w="0" w:type="dxa"/>
            <w:vAlign w:val="bottom"/>
          </w:tcPr>
          <w:p>
            <w:pPr>
              <w:spacing w:after="0"/>
              <w:rPr>
                <w:sz w:val="1"/>
                <w:szCs w:val="1"/>
                <w:color w:val="auto"/>
              </w:rPr>
            </w:pPr>
          </w:p>
        </w:tc>
      </w:tr>
      <w:tr>
        <w:trPr>
          <w:trHeight w:val="150"/>
        </w:trPr>
        <w:tc>
          <w:tcPr>
            <w:tcW w:w="7620" w:type="dxa"/>
            <w:vAlign w:val="bottom"/>
            <w:shd w:val="clear" w:color="auto" w:fill="EEEDED"/>
          </w:tcPr>
          <w:p>
            <w:pPr>
              <w:ind w:left="60"/>
              <w:spacing w:after="0"/>
              <w:rPr>
                <w:sz w:val="20"/>
                <w:szCs w:val="20"/>
                <w:color w:val="auto"/>
              </w:rPr>
            </w:pPr>
            <w:r>
              <w:rPr>
                <w:rFonts w:ascii="Arial" w:cs="Arial" w:eastAsia="Arial" w:hAnsi="Arial"/>
                <w:sz w:val="10"/>
                <w:szCs w:val="10"/>
                <w:b w:val="1"/>
                <w:bCs w:val="1"/>
                <w:color w:val="54585A"/>
              </w:rPr>
              <w:t>Name of Beneficial Owner</w:t>
            </w:r>
            <w:r>
              <w:rPr>
                <w:rFonts w:ascii="Arial" w:cs="Arial" w:eastAsia="Arial" w:hAnsi="Arial"/>
                <w:sz w:val="12"/>
                <w:szCs w:val="12"/>
                <w:b w:val="1"/>
                <w:bCs w:val="1"/>
                <w:color w:val="54585A"/>
                <w:vertAlign w:val="superscript"/>
              </w:rPr>
              <w:t>(1)</w:t>
            </w:r>
          </w:p>
        </w:tc>
        <w:tc>
          <w:tcPr>
            <w:tcW w:w="1260" w:type="dxa"/>
            <w:vAlign w:val="bottom"/>
            <w:shd w:val="clear" w:color="auto" w:fill="EEEDED"/>
          </w:tcPr>
          <w:p>
            <w:pPr>
              <w:ind w:left="760"/>
              <w:spacing w:after="0"/>
              <w:rPr>
                <w:sz w:val="20"/>
                <w:szCs w:val="20"/>
                <w:color w:val="auto"/>
              </w:rPr>
            </w:pPr>
            <w:r>
              <w:rPr>
                <w:rFonts w:ascii="Arial" w:cs="Arial" w:eastAsia="Arial" w:hAnsi="Arial"/>
                <w:sz w:val="10"/>
                <w:szCs w:val="10"/>
                <w:b w:val="1"/>
                <w:bCs w:val="1"/>
                <w:color w:val="54585A"/>
              </w:rPr>
              <w:t>Shares</w:t>
            </w:r>
          </w:p>
        </w:tc>
        <w:tc>
          <w:tcPr>
            <w:tcW w:w="600" w:type="dxa"/>
            <w:vAlign w:val="bottom"/>
            <w:tcBorders>
              <w:right w:val="single" w:sz="8" w:color="54585A"/>
            </w:tcBorders>
            <w:shd w:val="clear" w:color="auto" w:fill="EEEDED"/>
          </w:tcPr>
          <w:p>
            <w:pPr>
              <w:spacing w:after="0"/>
              <w:rPr>
                <w:sz w:val="13"/>
                <w:szCs w:val="13"/>
                <w:color w:val="auto"/>
              </w:rPr>
            </w:pPr>
          </w:p>
        </w:tc>
        <w:tc>
          <w:tcPr>
            <w:tcW w:w="1820" w:type="dxa"/>
            <w:vAlign w:val="bottom"/>
            <w:shd w:val="clear" w:color="auto" w:fill="EEEDED"/>
          </w:tcPr>
          <w:p>
            <w:pPr>
              <w:ind w:left="520"/>
              <w:spacing w:after="0"/>
              <w:rPr>
                <w:sz w:val="20"/>
                <w:szCs w:val="20"/>
                <w:color w:val="auto"/>
              </w:rPr>
            </w:pPr>
            <w:r>
              <w:rPr>
                <w:rFonts w:ascii="Arial" w:cs="Arial" w:eastAsia="Arial" w:hAnsi="Arial"/>
                <w:sz w:val="10"/>
                <w:szCs w:val="10"/>
                <w:b w:val="1"/>
                <w:bCs w:val="1"/>
                <w:color w:val="54585A"/>
              </w:rPr>
              <w:t>Percent of Class</w:t>
            </w:r>
          </w:p>
        </w:tc>
        <w:tc>
          <w:tcPr>
            <w:tcW w:w="0" w:type="dxa"/>
            <w:vAlign w:val="bottom"/>
          </w:tcPr>
          <w:p>
            <w:pPr>
              <w:spacing w:after="0"/>
              <w:rPr>
                <w:sz w:val="1"/>
                <w:szCs w:val="1"/>
                <w:color w:val="auto"/>
              </w:rPr>
            </w:pPr>
          </w:p>
        </w:tc>
      </w:tr>
      <w:tr>
        <w:trPr>
          <w:trHeight w:val="63"/>
        </w:trPr>
        <w:tc>
          <w:tcPr>
            <w:tcW w:w="7620" w:type="dxa"/>
            <w:vAlign w:val="bottom"/>
            <w:shd w:val="clear" w:color="auto" w:fill="EEEDED"/>
          </w:tcPr>
          <w:p>
            <w:pPr>
              <w:spacing w:after="0"/>
              <w:rPr>
                <w:sz w:val="5"/>
                <w:szCs w:val="5"/>
                <w:color w:val="auto"/>
              </w:rPr>
            </w:pPr>
          </w:p>
        </w:tc>
        <w:tc>
          <w:tcPr>
            <w:tcW w:w="1260" w:type="dxa"/>
            <w:vAlign w:val="bottom"/>
            <w:tcBorders>
              <w:bottom w:val="single" w:sz="8" w:color="54585A"/>
            </w:tcBorders>
            <w:shd w:val="clear" w:color="auto" w:fill="EEEDED"/>
          </w:tcPr>
          <w:p>
            <w:pPr>
              <w:spacing w:after="0"/>
              <w:rPr>
                <w:sz w:val="5"/>
                <w:szCs w:val="5"/>
                <w:color w:val="auto"/>
              </w:rPr>
            </w:pPr>
          </w:p>
        </w:tc>
        <w:tc>
          <w:tcPr>
            <w:tcW w:w="600" w:type="dxa"/>
            <w:vAlign w:val="bottom"/>
            <w:tcBorders>
              <w:bottom w:val="single" w:sz="8" w:color="54585A"/>
              <w:right w:val="single" w:sz="8" w:color="54585A"/>
            </w:tcBorders>
            <w:shd w:val="clear" w:color="auto" w:fill="EEEDED"/>
          </w:tcPr>
          <w:p>
            <w:pPr>
              <w:spacing w:after="0"/>
              <w:rPr>
                <w:sz w:val="5"/>
                <w:szCs w:val="5"/>
                <w:color w:val="auto"/>
              </w:rPr>
            </w:pPr>
          </w:p>
        </w:tc>
        <w:tc>
          <w:tcPr>
            <w:tcW w:w="1820" w:type="dxa"/>
            <w:vAlign w:val="bottom"/>
            <w:tcBorders>
              <w:bottom w:val="single" w:sz="8" w:color="54585A"/>
            </w:tcBorders>
            <w:shd w:val="clear" w:color="auto" w:fill="EEEDED"/>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7620" w:type="dxa"/>
            <w:vAlign w:val="bottom"/>
          </w:tcPr>
          <w:p>
            <w:pPr>
              <w:ind w:left="60"/>
              <w:spacing w:after="0" w:line="118" w:lineRule="exact"/>
              <w:rPr>
                <w:sz w:val="20"/>
                <w:szCs w:val="20"/>
                <w:color w:val="auto"/>
              </w:rPr>
            </w:pPr>
            <w:r>
              <w:rPr>
                <w:rFonts w:ascii="Arial" w:cs="Arial" w:eastAsia="Arial" w:hAnsi="Arial"/>
                <w:sz w:val="10"/>
                <w:szCs w:val="10"/>
                <w:b w:val="1"/>
                <w:bCs w:val="1"/>
                <w:color w:val="EB6C10"/>
              </w:rPr>
              <w:t>James Monroe III</w:t>
            </w:r>
            <w:r>
              <w:rPr>
                <w:rFonts w:ascii="Arial" w:cs="Arial" w:eastAsia="Arial" w:hAnsi="Arial"/>
                <w:sz w:val="12"/>
                <w:szCs w:val="12"/>
                <w:b w:val="1"/>
                <w:bCs w:val="1"/>
                <w:color w:val="EB6C10"/>
                <w:vertAlign w:val="superscript"/>
              </w:rPr>
              <w:t>(2)</w:t>
            </w:r>
          </w:p>
        </w:tc>
        <w:tc>
          <w:tcPr>
            <w:tcW w:w="1260" w:type="dxa"/>
            <w:vAlign w:val="bottom"/>
          </w:tcPr>
          <w:p>
            <w:pPr>
              <w:spacing w:after="0"/>
              <w:rPr>
                <w:sz w:val="10"/>
                <w:szCs w:val="10"/>
                <w:color w:val="auto"/>
              </w:rPr>
            </w:pPr>
          </w:p>
        </w:tc>
        <w:tc>
          <w:tcPr>
            <w:tcW w:w="600" w:type="dxa"/>
            <w:vAlign w:val="bottom"/>
            <w:tcBorders>
              <w:right w:val="single" w:sz="8" w:color="54585A"/>
            </w:tcBorders>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620" w:type="dxa"/>
            <w:vAlign w:val="bottom"/>
          </w:tcPr>
          <w:p>
            <w:pPr>
              <w:ind w:left="120"/>
              <w:spacing w:after="0" w:line="108" w:lineRule="exact"/>
              <w:rPr>
                <w:sz w:val="20"/>
                <w:szCs w:val="20"/>
                <w:color w:val="auto"/>
              </w:rPr>
            </w:pPr>
            <w:r>
              <w:rPr>
                <w:rFonts w:ascii="Arial" w:cs="Arial" w:eastAsia="Arial" w:hAnsi="Arial"/>
                <w:sz w:val="10"/>
                <w:szCs w:val="10"/>
                <w:color w:val="54585A"/>
              </w:rPr>
              <w:t>FL Investment Holdings, LLC</w:t>
            </w:r>
          </w:p>
        </w:tc>
        <w:tc>
          <w:tcPr>
            <w:tcW w:w="1260" w:type="dxa"/>
            <w:vAlign w:val="bottom"/>
          </w:tcPr>
          <w:p>
            <w:pPr>
              <w:spacing w:after="0"/>
              <w:rPr>
                <w:sz w:val="9"/>
                <w:szCs w:val="9"/>
                <w:color w:val="auto"/>
              </w:rPr>
            </w:pPr>
          </w:p>
        </w:tc>
        <w:tc>
          <w:tcPr>
            <w:tcW w:w="600" w:type="dxa"/>
            <w:vAlign w:val="bottom"/>
            <w:tcBorders>
              <w:right w:val="single" w:sz="8" w:color="54585A"/>
            </w:tcBorders>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620" w:type="dxa"/>
            <w:vAlign w:val="bottom"/>
          </w:tcPr>
          <w:p>
            <w:pPr>
              <w:ind w:left="120"/>
              <w:spacing w:after="0"/>
              <w:rPr>
                <w:sz w:val="20"/>
                <w:szCs w:val="20"/>
                <w:color w:val="auto"/>
              </w:rPr>
            </w:pPr>
            <w:r>
              <w:rPr>
                <w:rFonts w:ascii="Arial" w:cs="Arial" w:eastAsia="Arial" w:hAnsi="Arial"/>
                <w:sz w:val="10"/>
                <w:szCs w:val="10"/>
                <w:color w:val="54585A"/>
              </w:rPr>
              <w:t>Thermo Funding Company, LLC</w:t>
            </w:r>
          </w:p>
        </w:tc>
        <w:tc>
          <w:tcPr>
            <w:tcW w:w="1260" w:type="dxa"/>
            <w:vAlign w:val="bottom"/>
            <w:vMerge w:val="restart"/>
          </w:tcPr>
          <w:p>
            <w:pPr>
              <w:jc w:val="center"/>
              <w:ind w:left="532"/>
              <w:spacing w:after="0"/>
              <w:rPr>
                <w:sz w:val="20"/>
                <w:szCs w:val="20"/>
                <w:color w:val="auto"/>
              </w:rPr>
            </w:pPr>
            <w:r>
              <w:rPr>
                <w:rFonts w:ascii="Arial" w:cs="Arial" w:eastAsia="Arial" w:hAnsi="Arial"/>
                <w:sz w:val="10"/>
                <w:szCs w:val="10"/>
                <w:color w:val="54585A"/>
                <w:w w:val="93"/>
              </w:rPr>
              <w:t>1,078,157,992</w:t>
            </w:r>
          </w:p>
        </w:tc>
        <w:tc>
          <w:tcPr>
            <w:tcW w:w="600" w:type="dxa"/>
            <w:vAlign w:val="bottom"/>
            <w:tcBorders>
              <w:right w:val="single" w:sz="8" w:color="54585A"/>
            </w:tcBorders>
          </w:tcPr>
          <w:p>
            <w:pPr>
              <w:spacing w:after="0"/>
              <w:rPr>
                <w:sz w:val="9"/>
                <w:szCs w:val="9"/>
                <w:color w:val="auto"/>
              </w:rPr>
            </w:pPr>
          </w:p>
        </w:tc>
        <w:tc>
          <w:tcPr>
            <w:tcW w:w="1820" w:type="dxa"/>
            <w:vAlign w:val="bottom"/>
            <w:vMerge w:val="restart"/>
          </w:tcPr>
          <w:p>
            <w:pPr>
              <w:jc w:val="center"/>
              <w:spacing w:after="0"/>
              <w:rPr>
                <w:sz w:val="20"/>
                <w:szCs w:val="20"/>
                <w:color w:val="auto"/>
              </w:rPr>
            </w:pPr>
            <w:r>
              <w:rPr>
                <w:rFonts w:ascii="Arial" w:cs="Arial" w:eastAsia="Arial" w:hAnsi="Arial"/>
                <w:sz w:val="10"/>
                <w:szCs w:val="10"/>
                <w:color w:val="54585A"/>
                <w:w w:val="99"/>
              </w:rPr>
              <w:t>59%</w:t>
            </w:r>
          </w:p>
        </w:tc>
        <w:tc>
          <w:tcPr>
            <w:tcW w:w="0" w:type="dxa"/>
            <w:vAlign w:val="bottom"/>
          </w:tcPr>
          <w:p>
            <w:pPr>
              <w:spacing w:after="0"/>
              <w:rPr>
                <w:sz w:val="1"/>
                <w:szCs w:val="1"/>
                <w:color w:val="auto"/>
              </w:rPr>
            </w:pPr>
          </w:p>
        </w:tc>
      </w:tr>
      <w:tr>
        <w:trPr>
          <w:trHeight w:val="63"/>
        </w:trPr>
        <w:tc>
          <w:tcPr>
            <w:tcW w:w="7620" w:type="dxa"/>
            <w:vAlign w:val="bottom"/>
            <w:vMerge w:val="restart"/>
          </w:tcPr>
          <w:p>
            <w:pPr>
              <w:ind w:left="120"/>
              <w:spacing w:after="0"/>
              <w:rPr>
                <w:sz w:val="20"/>
                <w:szCs w:val="20"/>
                <w:color w:val="auto"/>
              </w:rPr>
            </w:pPr>
            <w:r>
              <w:rPr>
                <w:rFonts w:ascii="Arial" w:cs="Arial" w:eastAsia="Arial" w:hAnsi="Arial"/>
                <w:sz w:val="10"/>
                <w:szCs w:val="10"/>
                <w:color w:val="54585A"/>
              </w:rPr>
              <w:t>Thermo Funding II LLC</w:t>
            </w:r>
          </w:p>
        </w:tc>
        <w:tc>
          <w:tcPr>
            <w:tcW w:w="1260" w:type="dxa"/>
            <w:vAlign w:val="bottom"/>
            <w:vMerge w:val="continue"/>
          </w:tcPr>
          <w:p>
            <w:pPr>
              <w:spacing w:after="0"/>
              <w:rPr>
                <w:sz w:val="5"/>
                <w:szCs w:val="5"/>
                <w:color w:val="auto"/>
              </w:rPr>
            </w:pPr>
          </w:p>
        </w:tc>
        <w:tc>
          <w:tcPr>
            <w:tcW w:w="600" w:type="dxa"/>
            <w:vAlign w:val="bottom"/>
            <w:tcBorders>
              <w:right w:val="single" w:sz="8" w:color="54585A"/>
            </w:tcBorders>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762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600" w:type="dxa"/>
            <w:vAlign w:val="bottom"/>
            <w:tcBorders>
              <w:right w:val="single" w:sz="8" w:color="54585A"/>
            </w:tcBorders>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7620" w:type="dxa"/>
            <w:vAlign w:val="bottom"/>
          </w:tcPr>
          <w:p>
            <w:pPr>
              <w:ind w:left="120"/>
              <w:spacing w:after="0"/>
              <w:rPr>
                <w:sz w:val="20"/>
                <w:szCs w:val="20"/>
                <w:color w:val="auto"/>
              </w:rPr>
            </w:pPr>
            <w:r>
              <w:rPr>
                <w:rFonts w:ascii="Arial" w:cs="Arial" w:eastAsia="Arial" w:hAnsi="Arial"/>
                <w:sz w:val="10"/>
                <w:szCs w:val="10"/>
                <w:color w:val="54585A"/>
              </w:rPr>
              <w:t>Globalstar Satellite, L.P.</w:t>
            </w:r>
          </w:p>
        </w:tc>
        <w:tc>
          <w:tcPr>
            <w:tcW w:w="1260" w:type="dxa"/>
            <w:vAlign w:val="bottom"/>
          </w:tcPr>
          <w:p>
            <w:pPr>
              <w:spacing w:after="0"/>
              <w:rPr>
                <w:sz w:val="10"/>
                <w:szCs w:val="10"/>
                <w:color w:val="auto"/>
              </w:rPr>
            </w:pPr>
          </w:p>
        </w:tc>
        <w:tc>
          <w:tcPr>
            <w:tcW w:w="600" w:type="dxa"/>
            <w:vAlign w:val="bottom"/>
            <w:tcBorders>
              <w:right w:val="single" w:sz="8" w:color="54585A"/>
            </w:tcBorders>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620" w:type="dxa"/>
            <w:vAlign w:val="bottom"/>
            <w:tcBorders>
              <w:bottom w:val="single" w:sz="8" w:color="54585A"/>
            </w:tcBorders>
          </w:tcPr>
          <w:p>
            <w:pPr>
              <w:ind w:left="120"/>
              <w:spacing w:after="0"/>
              <w:rPr>
                <w:sz w:val="20"/>
                <w:szCs w:val="20"/>
                <w:color w:val="auto"/>
              </w:rPr>
            </w:pPr>
            <w:r>
              <w:rPr>
                <w:rFonts w:ascii="Arial" w:cs="Arial" w:eastAsia="Arial" w:hAnsi="Arial"/>
                <w:sz w:val="10"/>
                <w:szCs w:val="10"/>
                <w:color w:val="54585A"/>
              </w:rPr>
              <w:t>Monroe Irr. Educational Trust</w:t>
            </w:r>
          </w:p>
        </w:tc>
        <w:tc>
          <w:tcPr>
            <w:tcW w:w="1260" w:type="dxa"/>
            <w:vAlign w:val="bottom"/>
            <w:tcBorders>
              <w:bottom w:val="single" w:sz="8" w:color="54585A"/>
            </w:tcBorders>
          </w:tcPr>
          <w:p>
            <w:pPr>
              <w:spacing w:after="0"/>
              <w:rPr>
                <w:sz w:val="10"/>
                <w:szCs w:val="10"/>
                <w:color w:val="auto"/>
              </w:rPr>
            </w:pPr>
          </w:p>
        </w:tc>
        <w:tc>
          <w:tcPr>
            <w:tcW w:w="600" w:type="dxa"/>
            <w:vAlign w:val="bottom"/>
            <w:tcBorders>
              <w:bottom w:val="single" w:sz="8" w:color="54585A"/>
              <w:right w:val="single" w:sz="8" w:color="54585A"/>
            </w:tcBorders>
          </w:tcPr>
          <w:p>
            <w:pPr>
              <w:spacing w:after="0"/>
              <w:rPr>
                <w:sz w:val="10"/>
                <w:szCs w:val="10"/>
                <w:color w:val="auto"/>
              </w:rPr>
            </w:pPr>
          </w:p>
        </w:tc>
        <w:tc>
          <w:tcPr>
            <w:tcW w:w="1820" w:type="dxa"/>
            <w:vAlign w:val="bottom"/>
            <w:tcBorders>
              <w:bottom w:val="single" w:sz="8" w:color="54585A"/>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7620" w:type="dxa"/>
            <w:vAlign w:val="bottom"/>
          </w:tcPr>
          <w:p>
            <w:pPr>
              <w:ind w:left="60"/>
              <w:spacing w:after="0" w:line="136" w:lineRule="exact"/>
              <w:rPr>
                <w:sz w:val="20"/>
                <w:szCs w:val="20"/>
                <w:color w:val="auto"/>
              </w:rPr>
            </w:pPr>
            <w:r>
              <w:rPr>
                <w:rFonts w:ascii="Arial" w:cs="Arial" w:eastAsia="Arial" w:hAnsi="Arial"/>
                <w:sz w:val="10"/>
                <w:szCs w:val="10"/>
                <w:b w:val="1"/>
                <w:bCs w:val="1"/>
                <w:color w:val="EB6C10"/>
              </w:rPr>
              <w:t>Timothy E. Taylor</w:t>
            </w:r>
            <w:r>
              <w:rPr>
                <w:rFonts w:ascii="Arial" w:cs="Arial" w:eastAsia="Arial" w:hAnsi="Arial"/>
                <w:sz w:val="12"/>
                <w:szCs w:val="12"/>
                <w:b w:val="1"/>
                <w:bCs w:val="1"/>
                <w:color w:val="EB6C10"/>
                <w:vertAlign w:val="superscript"/>
              </w:rPr>
              <w:t>(3)</w:t>
            </w:r>
          </w:p>
        </w:tc>
        <w:tc>
          <w:tcPr>
            <w:tcW w:w="1260" w:type="dxa"/>
            <w:vAlign w:val="bottom"/>
            <w:vMerge w:val="restart"/>
          </w:tcPr>
          <w:p>
            <w:pPr>
              <w:jc w:val="center"/>
              <w:ind w:left="532"/>
              <w:spacing w:after="0"/>
              <w:rPr>
                <w:sz w:val="20"/>
                <w:szCs w:val="20"/>
                <w:color w:val="auto"/>
              </w:rPr>
            </w:pPr>
            <w:r>
              <w:rPr>
                <w:rFonts w:ascii="Arial" w:cs="Arial" w:eastAsia="Arial" w:hAnsi="Arial"/>
                <w:sz w:val="10"/>
                <w:szCs w:val="10"/>
                <w:color w:val="54585A"/>
                <w:w w:val="95"/>
              </w:rPr>
              <w:t>14,938,402</w:t>
            </w:r>
          </w:p>
        </w:tc>
        <w:tc>
          <w:tcPr>
            <w:tcW w:w="600" w:type="dxa"/>
            <w:vAlign w:val="bottom"/>
            <w:tcBorders>
              <w:right w:val="single" w:sz="8" w:color="54585A"/>
            </w:tcBorders>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Arial" w:cs="Arial" w:eastAsia="Arial" w:hAnsi="Arial"/>
                <w:sz w:val="10"/>
                <w:szCs w:val="10"/>
                <w:color w:val="54585A"/>
              </w:rPr>
              <w:t>*</w:t>
            </w:r>
          </w:p>
        </w:tc>
        <w:tc>
          <w:tcPr>
            <w:tcW w:w="0" w:type="dxa"/>
            <w:vAlign w:val="bottom"/>
          </w:tcPr>
          <w:p>
            <w:pPr>
              <w:spacing w:after="0"/>
              <w:rPr>
                <w:sz w:val="1"/>
                <w:szCs w:val="1"/>
                <w:color w:val="auto"/>
              </w:rPr>
            </w:pPr>
          </w:p>
        </w:tc>
      </w:tr>
      <w:tr>
        <w:trPr>
          <w:trHeight w:val="52"/>
        </w:trPr>
        <w:tc>
          <w:tcPr>
            <w:tcW w:w="7620" w:type="dxa"/>
            <w:vAlign w:val="bottom"/>
            <w:vMerge w:val="restart"/>
          </w:tcPr>
          <w:p>
            <w:pPr>
              <w:ind w:left="120"/>
              <w:spacing w:after="0"/>
              <w:rPr>
                <w:sz w:val="20"/>
                <w:szCs w:val="20"/>
                <w:color w:val="auto"/>
              </w:rPr>
            </w:pPr>
            <w:r>
              <w:rPr>
                <w:rFonts w:ascii="Arial" w:cs="Arial" w:eastAsia="Arial" w:hAnsi="Arial"/>
                <w:sz w:val="10"/>
                <w:szCs w:val="10"/>
                <w:color w:val="54585A"/>
              </w:rPr>
              <w:t>Thermo Investments III LLC</w:t>
            </w:r>
          </w:p>
        </w:tc>
        <w:tc>
          <w:tcPr>
            <w:tcW w:w="1260" w:type="dxa"/>
            <w:vAlign w:val="bottom"/>
            <w:vMerge w:val="continue"/>
          </w:tcPr>
          <w:p>
            <w:pPr>
              <w:spacing w:after="0"/>
              <w:rPr>
                <w:sz w:val="4"/>
                <w:szCs w:val="4"/>
                <w:color w:val="auto"/>
              </w:rPr>
            </w:pPr>
          </w:p>
        </w:tc>
        <w:tc>
          <w:tcPr>
            <w:tcW w:w="600" w:type="dxa"/>
            <w:vAlign w:val="bottom"/>
            <w:tcBorders>
              <w:right w:val="single" w:sz="8" w:color="54585A"/>
            </w:tcBorders>
          </w:tcPr>
          <w:p>
            <w:pPr>
              <w:spacing w:after="0"/>
              <w:rPr>
                <w:sz w:val="4"/>
                <w:szCs w:val="4"/>
                <w:color w:val="auto"/>
              </w:rPr>
            </w:pPr>
          </w:p>
        </w:tc>
        <w:tc>
          <w:tcPr>
            <w:tcW w:w="1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7620" w:type="dxa"/>
            <w:vAlign w:val="bottom"/>
            <w:tcBorders>
              <w:bottom w:val="single" w:sz="8" w:color="54585A"/>
            </w:tcBorders>
            <w:vMerge w:val="continue"/>
          </w:tcPr>
          <w:p>
            <w:pPr>
              <w:spacing w:after="0"/>
              <w:rPr>
                <w:sz w:val="6"/>
                <w:szCs w:val="6"/>
                <w:color w:val="auto"/>
              </w:rPr>
            </w:pPr>
          </w:p>
        </w:tc>
        <w:tc>
          <w:tcPr>
            <w:tcW w:w="1260" w:type="dxa"/>
            <w:vAlign w:val="bottom"/>
            <w:tcBorders>
              <w:bottom w:val="single" w:sz="8" w:color="54585A"/>
            </w:tcBorders>
          </w:tcPr>
          <w:p>
            <w:pPr>
              <w:spacing w:after="0"/>
              <w:rPr>
                <w:sz w:val="6"/>
                <w:szCs w:val="6"/>
                <w:color w:val="auto"/>
              </w:rPr>
            </w:pPr>
          </w:p>
        </w:tc>
        <w:tc>
          <w:tcPr>
            <w:tcW w:w="600" w:type="dxa"/>
            <w:vAlign w:val="bottom"/>
            <w:tcBorders>
              <w:bottom w:val="single" w:sz="8" w:color="54585A"/>
              <w:right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7620" w:type="dxa"/>
            <w:vAlign w:val="bottom"/>
          </w:tcPr>
          <w:p>
            <w:pPr>
              <w:ind w:left="60"/>
              <w:spacing w:after="0" w:line="136" w:lineRule="exact"/>
              <w:rPr>
                <w:sz w:val="20"/>
                <w:szCs w:val="20"/>
                <w:color w:val="auto"/>
              </w:rPr>
            </w:pPr>
            <w:r>
              <w:rPr>
                <w:rFonts w:ascii="Arial" w:cs="Arial" w:eastAsia="Arial" w:hAnsi="Arial"/>
                <w:sz w:val="10"/>
                <w:szCs w:val="10"/>
                <w:b w:val="1"/>
                <w:bCs w:val="1"/>
                <w:color w:val="EB6C10"/>
              </w:rPr>
              <w:t>James F. Lynch</w:t>
            </w:r>
            <w:r>
              <w:rPr>
                <w:rFonts w:ascii="Arial" w:cs="Arial" w:eastAsia="Arial" w:hAnsi="Arial"/>
                <w:sz w:val="12"/>
                <w:szCs w:val="12"/>
                <w:b w:val="1"/>
                <w:bCs w:val="1"/>
                <w:color w:val="EB6C10"/>
                <w:vertAlign w:val="superscript"/>
              </w:rPr>
              <w:t>(4)</w:t>
            </w:r>
          </w:p>
        </w:tc>
        <w:tc>
          <w:tcPr>
            <w:tcW w:w="1260" w:type="dxa"/>
            <w:vAlign w:val="bottom"/>
            <w:vMerge w:val="restart"/>
          </w:tcPr>
          <w:p>
            <w:pPr>
              <w:jc w:val="center"/>
              <w:ind w:left="532"/>
              <w:spacing w:after="0"/>
              <w:rPr>
                <w:sz w:val="20"/>
                <w:szCs w:val="20"/>
                <w:color w:val="auto"/>
              </w:rPr>
            </w:pPr>
            <w:r>
              <w:rPr>
                <w:rFonts w:ascii="Arial" w:cs="Arial" w:eastAsia="Arial" w:hAnsi="Arial"/>
                <w:sz w:val="10"/>
                <w:szCs w:val="10"/>
                <w:color w:val="54585A"/>
                <w:w w:val="95"/>
              </w:rPr>
              <w:t>13,939,603</w:t>
            </w:r>
          </w:p>
        </w:tc>
        <w:tc>
          <w:tcPr>
            <w:tcW w:w="600" w:type="dxa"/>
            <w:vAlign w:val="bottom"/>
            <w:tcBorders>
              <w:right w:val="single" w:sz="8" w:color="54585A"/>
            </w:tcBorders>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Arial" w:cs="Arial" w:eastAsia="Arial" w:hAnsi="Arial"/>
                <w:sz w:val="10"/>
                <w:szCs w:val="10"/>
                <w:color w:val="54585A"/>
              </w:rPr>
              <w:t>*</w:t>
            </w:r>
          </w:p>
        </w:tc>
        <w:tc>
          <w:tcPr>
            <w:tcW w:w="0" w:type="dxa"/>
            <w:vAlign w:val="bottom"/>
          </w:tcPr>
          <w:p>
            <w:pPr>
              <w:spacing w:after="0"/>
              <w:rPr>
                <w:sz w:val="1"/>
                <w:szCs w:val="1"/>
                <w:color w:val="auto"/>
              </w:rPr>
            </w:pPr>
          </w:p>
        </w:tc>
      </w:tr>
      <w:tr>
        <w:trPr>
          <w:trHeight w:val="52"/>
        </w:trPr>
        <w:tc>
          <w:tcPr>
            <w:tcW w:w="7620" w:type="dxa"/>
            <w:vAlign w:val="bottom"/>
            <w:vMerge w:val="restart"/>
          </w:tcPr>
          <w:p>
            <w:pPr>
              <w:ind w:left="120"/>
              <w:spacing w:after="0"/>
              <w:rPr>
                <w:sz w:val="20"/>
                <w:szCs w:val="20"/>
                <w:color w:val="auto"/>
              </w:rPr>
            </w:pPr>
            <w:r>
              <w:rPr>
                <w:rFonts w:ascii="Arial" w:cs="Arial" w:eastAsia="Arial" w:hAnsi="Arial"/>
                <w:sz w:val="10"/>
                <w:szCs w:val="10"/>
                <w:color w:val="54585A"/>
              </w:rPr>
              <w:t>Thermo Investments II LLC</w:t>
            </w:r>
          </w:p>
        </w:tc>
        <w:tc>
          <w:tcPr>
            <w:tcW w:w="1260" w:type="dxa"/>
            <w:vAlign w:val="bottom"/>
            <w:vMerge w:val="continue"/>
          </w:tcPr>
          <w:p>
            <w:pPr>
              <w:spacing w:after="0"/>
              <w:rPr>
                <w:sz w:val="4"/>
                <w:szCs w:val="4"/>
                <w:color w:val="auto"/>
              </w:rPr>
            </w:pPr>
          </w:p>
        </w:tc>
        <w:tc>
          <w:tcPr>
            <w:tcW w:w="600" w:type="dxa"/>
            <w:vAlign w:val="bottom"/>
            <w:tcBorders>
              <w:right w:val="single" w:sz="8" w:color="54585A"/>
            </w:tcBorders>
          </w:tcPr>
          <w:p>
            <w:pPr>
              <w:spacing w:after="0"/>
              <w:rPr>
                <w:sz w:val="4"/>
                <w:szCs w:val="4"/>
                <w:color w:val="auto"/>
              </w:rPr>
            </w:pPr>
          </w:p>
        </w:tc>
        <w:tc>
          <w:tcPr>
            <w:tcW w:w="1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7620" w:type="dxa"/>
            <w:vAlign w:val="bottom"/>
            <w:tcBorders>
              <w:bottom w:val="single" w:sz="8" w:color="54585A"/>
            </w:tcBorders>
            <w:vMerge w:val="continue"/>
          </w:tcPr>
          <w:p>
            <w:pPr>
              <w:spacing w:after="0"/>
              <w:rPr>
                <w:sz w:val="6"/>
                <w:szCs w:val="6"/>
                <w:color w:val="auto"/>
              </w:rPr>
            </w:pPr>
          </w:p>
        </w:tc>
        <w:tc>
          <w:tcPr>
            <w:tcW w:w="1260" w:type="dxa"/>
            <w:vAlign w:val="bottom"/>
            <w:tcBorders>
              <w:bottom w:val="single" w:sz="8" w:color="54585A"/>
            </w:tcBorders>
          </w:tcPr>
          <w:p>
            <w:pPr>
              <w:spacing w:after="0"/>
              <w:rPr>
                <w:sz w:val="6"/>
                <w:szCs w:val="6"/>
                <w:color w:val="auto"/>
              </w:rPr>
            </w:pPr>
          </w:p>
        </w:tc>
        <w:tc>
          <w:tcPr>
            <w:tcW w:w="600" w:type="dxa"/>
            <w:vAlign w:val="bottom"/>
            <w:tcBorders>
              <w:bottom w:val="single" w:sz="8" w:color="54585A"/>
              <w:right w:val="single" w:sz="8" w:color="54585A"/>
            </w:tcBorders>
          </w:tcPr>
          <w:p>
            <w:pPr>
              <w:spacing w:after="0"/>
              <w:rPr>
                <w:sz w:val="6"/>
                <w:szCs w:val="6"/>
                <w:color w:val="auto"/>
              </w:rPr>
            </w:pPr>
          </w:p>
        </w:tc>
        <w:tc>
          <w:tcPr>
            <w:tcW w:w="182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76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David B. Kagan</w:t>
            </w:r>
            <w:r>
              <w:rPr>
                <w:rFonts w:ascii="Arial" w:cs="Arial" w:eastAsia="Arial" w:hAnsi="Arial"/>
                <w:sz w:val="12"/>
                <w:szCs w:val="12"/>
                <w:b w:val="1"/>
                <w:bCs w:val="1"/>
                <w:color w:val="EB6C10"/>
                <w:vertAlign w:val="superscript"/>
              </w:rPr>
              <w:t>(5)</w:t>
            </w:r>
          </w:p>
        </w:tc>
        <w:tc>
          <w:tcPr>
            <w:tcW w:w="1260" w:type="dxa"/>
            <w:vAlign w:val="bottom"/>
            <w:tcBorders>
              <w:bottom w:val="single" w:sz="8" w:color="54585A"/>
            </w:tcBorders>
          </w:tcPr>
          <w:p>
            <w:pPr>
              <w:jc w:val="center"/>
              <w:ind w:left="532"/>
              <w:spacing w:after="0"/>
              <w:rPr>
                <w:sz w:val="20"/>
                <w:szCs w:val="20"/>
                <w:color w:val="auto"/>
              </w:rPr>
            </w:pPr>
            <w:r>
              <w:rPr>
                <w:rFonts w:ascii="Arial" w:cs="Arial" w:eastAsia="Arial" w:hAnsi="Arial"/>
                <w:sz w:val="10"/>
                <w:szCs w:val="10"/>
                <w:color w:val="54585A"/>
                <w:w w:val="98"/>
              </w:rPr>
              <w:t>3,988,266</w:t>
            </w:r>
          </w:p>
        </w:tc>
        <w:tc>
          <w:tcPr>
            <w:tcW w:w="600" w:type="dxa"/>
            <w:vAlign w:val="bottom"/>
            <w:tcBorders>
              <w:bottom w:val="single" w:sz="8" w:color="54585A"/>
              <w:right w:val="single" w:sz="8" w:color="54585A"/>
            </w:tcBorders>
          </w:tcPr>
          <w:p>
            <w:pPr>
              <w:spacing w:after="0"/>
              <w:rPr>
                <w:sz w:val="13"/>
                <w:szCs w:val="13"/>
                <w:color w:val="auto"/>
              </w:rPr>
            </w:pPr>
          </w:p>
        </w:tc>
        <w:tc>
          <w:tcPr>
            <w:tcW w:w="18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rPr>
              <w:t>*</w:t>
            </w:r>
          </w:p>
        </w:tc>
        <w:tc>
          <w:tcPr>
            <w:tcW w:w="0" w:type="dxa"/>
            <w:vAlign w:val="bottom"/>
          </w:tcPr>
          <w:p>
            <w:pPr>
              <w:spacing w:after="0"/>
              <w:rPr>
                <w:sz w:val="1"/>
                <w:szCs w:val="1"/>
                <w:color w:val="auto"/>
              </w:rPr>
            </w:pPr>
          </w:p>
        </w:tc>
      </w:tr>
      <w:tr>
        <w:trPr>
          <w:trHeight w:val="142"/>
        </w:trPr>
        <w:tc>
          <w:tcPr>
            <w:tcW w:w="76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L. Barbee Ponder</w:t>
            </w:r>
            <w:r>
              <w:rPr>
                <w:rFonts w:ascii="Arial" w:cs="Arial" w:eastAsia="Arial" w:hAnsi="Arial"/>
                <w:sz w:val="12"/>
                <w:szCs w:val="12"/>
                <w:b w:val="1"/>
                <w:bCs w:val="1"/>
                <w:color w:val="EB6C10"/>
                <w:vertAlign w:val="superscript"/>
              </w:rPr>
              <w:t>(6)</w:t>
            </w:r>
          </w:p>
        </w:tc>
        <w:tc>
          <w:tcPr>
            <w:tcW w:w="1260" w:type="dxa"/>
            <w:vAlign w:val="bottom"/>
            <w:tcBorders>
              <w:bottom w:val="single" w:sz="8" w:color="54585A"/>
            </w:tcBorders>
          </w:tcPr>
          <w:p>
            <w:pPr>
              <w:jc w:val="center"/>
              <w:ind w:left="532"/>
              <w:spacing w:after="0"/>
              <w:rPr>
                <w:sz w:val="20"/>
                <w:szCs w:val="20"/>
                <w:color w:val="auto"/>
              </w:rPr>
            </w:pPr>
            <w:r>
              <w:rPr>
                <w:rFonts w:ascii="Arial" w:cs="Arial" w:eastAsia="Arial" w:hAnsi="Arial"/>
                <w:sz w:val="10"/>
                <w:szCs w:val="10"/>
                <w:color w:val="54585A"/>
                <w:w w:val="98"/>
              </w:rPr>
              <w:t>1,861,906</w:t>
            </w:r>
          </w:p>
        </w:tc>
        <w:tc>
          <w:tcPr>
            <w:tcW w:w="600" w:type="dxa"/>
            <w:vAlign w:val="bottom"/>
            <w:tcBorders>
              <w:bottom w:val="single" w:sz="8" w:color="54585A"/>
              <w:right w:val="single" w:sz="8" w:color="54585A"/>
            </w:tcBorders>
          </w:tcPr>
          <w:p>
            <w:pPr>
              <w:spacing w:after="0"/>
              <w:rPr>
                <w:sz w:val="12"/>
                <w:szCs w:val="12"/>
                <w:color w:val="auto"/>
              </w:rPr>
            </w:pPr>
          </w:p>
        </w:tc>
        <w:tc>
          <w:tcPr>
            <w:tcW w:w="18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rPr>
              <w:t>*</w:t>
            </w:r>
          </w:p>
        </w:tc>
        <w:tc>
          <w:tcPr>
            <w:tcW w:w="0" w:type="dxa"/>
            <w:vAlign w:val="bottom"/>
          </w:tcPr>
          <w:p>
            <w:pPr>
              <w:spacing w:after="0"/>
              <w:rPr>
                <w:sz w:val="1"/>
                <w:szCs w:val="1"/>
                <w:color w:val="auto"/>
              </w:rPr>
            </w:pPr>
          </w:p>
        </w:tc>
      </w:tr>
      <w:tr>
        <w:trPr>
          <w:trHeight w:val="133"/>
        </w:trPr>
        <w:tc>
          <w:tcPr>
            <w:tcW w:w="76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William A. Hasler(7)</w:t>
            </w:r>
          </w:p>
        </w:tc>
        <w:tc>
          <w:tcPr>
            <w:tcW w:w="1260" w:type="dxa"/>
            <w:vAlign w:val="bottom"/>
            <w:tcBorders>
              <w:bottom w:val="single" w:sz="8" w:color="54585A"/>
            </w:tcBorders>
          </w:tcPr>
          <w:p>
            <w:pPr>
              <w:jc w:val="center"/>
              <w:ind w:left="532"/>
              <w:spacing w:after="0"/>
              <w:rPr>
                <w:sz w:val="20"/>
                <w:szCs w:val="20"/>
                <w:color w:val="auto"/>
              </w:rPr>
            </w:pPr>
            <w:r>
              <w:rPr>
                <w:rFonts w:ascii="Arial" w:cs="Arial" w:eastAsia="Arial" w:hAnsi="Arial"/>
                <w:sz w:val="10"/>
                <w:szCs w:val="10"/>
                <w:color w:val="54585A"/>
                <w:w w:val="98"/>
              </w:rPr>
              <w:t>1,823,467</w:t>
            </w:r>
          </w:p>
        </w:tc>
        <w:tc>
          <w:tcPr>
            <w:tcW w:w="600" w:type="dxa"/>
            <w:vAlign w:val="bottom"/>
            <w:tcBorders>
              <w:bottom w:val="single" w:sz="8" w:color="54585A"/>
              <w:right w:val="single" w:sz="8" w:color="54585A"/>
            </w:tcBorders>
          </w:tcPr>
          <w:p>
            <w:pPr>
              <w:spacing w:after="0"/>
              <w:rPr>
                <w:sz w:val="11"/>
                <w:szCs w:val="11"/>
                <w:color w:val="auto"/>
              </w:rPr>
            </w:pPr>
          </w:p>
        </w:tc>
        <w:tc>
          <w:tcPr>
            <w:tcW w:w="18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rPr>
              <w:t>*</w:t>
            </w:r>
          </w:p>
        </w:tc>
        <w:tc>
          <w:tcPr>
            <w:tcW w:w="0" w:type="dxa"/>
            <w:vAlign w:val="bottom"/>
          </w:tcPr>
          <w:p>
            <w:pPr>
              <w:spacing w:after="0"/>
              <w:rPr>
                <w:sz w:val="1"/>
                <w:szCs w:val="1"/>
                <w:color w:val="auto"/>
              </w:rPr>
            </w:pPr>
          </w:p>
        </w:tc>
      </w:tr>
      <w:tr>
        <w:trPr>
          <w:trHeight w:val="150"/>
        </w:trPr>
        <w:tc>
          <w:tcPr>
            <w:tcW w:w="76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Rebecca S. Clary</w:t>
            </w:r>
            <w:r>
              <w:rPr>
                <w:rFonts w:ascii="Arial" w:cs="Arial" w:eastAsia="Arial" w:hAnsi="Arial"/>
                <w:sz w:val="12"/>
                <w:szCs w:val="12"/>
                <w:b w:val="1"/>
                <w:bCs w:val="1"/>
                <w:color w:val="EB6C10"/>
                <w:vertAlign w:val="superscript"/>
              </w:rPr>
              <w:t>(8)</w:t>
            </w:r>
          </w:p>
        </w:tc>
        <w:tc>
          <w:tcPr>
            <w:tcW w:w="1260" w:type="dxa"/>
            <w:vAlign w:val="bottom"/>
            <w:tcBorders>
              <w:bottom w:val="single" w:sz="8" w:color="54585A"/>
            </w:tcBorders>
          </w:tcPr>
          <w:p>
            <w:pPr>
              <w:jc w:val="center"/>
              <w:ind w:left="532"/>
              <w:spacing w:after="0"/>
              <w:rPr>
                <w:sz w:val="20"/>
                <w:szCs w:val="20"/>
                <w:color w:val="auto"/>
              </w:rPr>
            </w:pPr>
            <w:r>
              <w:rPr>
                <w:rFonts w:ascii="Arial" w:cs="Arial" w:eastAsia="Arial" w:hAnsi="Arial"/>
                <w:sz w:val="10"/>
                <w:szCs w:val="10"/>
                <w:color w:val="54585A"/>
                <w:w w:val="98"/>
              </w:rPr>
              <w:t>1,151,438</w:t>
            </w:r>
          </w:p>
        </w:tc>
        <w:tc>
          <w:tcPr>
            <w:tcW w:w="600" w:type="dxa"/>
            <w:vAlign w:val="bottom"/>
            <w:tcBorders>
              <w:bottom w:val="single" w:sz="8" w:color="54585A"/>
              <w:right w:val="single" w:sz="8" w:color="54585A"/>
            </w:tcBorders>
          </w:tcPr>
          <w:p>
            <w:pPr>
              <w:spacing w:after="0"/>
              <w:rPr>
                <w:sz w:val="13"/>
                <w:szCs w:val="13"/>
                <w:color w:val="auto"/>
              </w:rPr>
            </w:pPr>
          </w:p>
        </w:tc>
        <w:tc>
          <w:tcPr>
            <w:tcW w:w="18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rPr>
              <w:t>*</w:t>
            </w:r>
          </w:p>
        </w:tc>
        <w:tc>
          <w:tcPr>
            <w:tcW w:w="0" w:type="dxa"/>
            <w:vAlign w:val="bottom"/>
          </w:tcPr>
          <w:p>
            <w:pPr>
              <w:spacing w:after="0"/>
              <w:rPr>
                <w:sz w:val="1"/>
                <w:szCs w:val="1"/>
                <w:color w:val="auto"/>
              </w:rPr>
            </w:pPr>
          </w:p>
        </w:tc>
      </w:tr>
      <w:tr>
        <w:trPr>
          <w:trHeight w:val="142"/>
        </w:trPr>
        <w:tc>
          <w:tcPr>
            <w:tcW w:w="76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Michael J. Lovett</w:t>
            </w:r>
            <w:r>
              <w:rPr>
                <w:rFonts w:ascii="Arial" w:cs="Arial" w:eastAsia="Arial" w:hAnsi="Arial"/>
                <w:sz w:val="12"/>
                <w:szCs w:val="12"/>
                <w:b w:val="1"/>
                <w:bCs w:val="1"/>
                <w:color w:val="EB6C10"/>
                <w:vertAlign w:val="superscript"/>
              </w:rPr>
              <w:t>(9)</w:t>
            </w:r>
          </w:p>
        </w:tc>
        <w:tc>
          <w:tcPr>
            <w:tcW w:w="1260" w:type="dxa"/>
            <w:vAlign w:val="bottom"/>
            <w:tcBorders>
              <w:bottom w:val="single" w:sz="8" w:color="54585A"/>
            </w:tcBorders>
          </w:tcPr>
          <w:p>
            <w:pPr>
              <w:jc w:val="center"/>
              <w:ind w:left="532"/>
              <w:spacing w:after="0"/>
              <w:rPr>
                <w:sz w:val="20"/>
                <w:szCs w:val="20"/>
                <w:color w:val="auto"/>
              </w:rPr>
            </w:pPr>
            <w:r>
              <w:rPr>
                <w:rFonts w:ascii="Arial" w:cs="Arial" w:eastAsia="Arial" w:hAnsi="Arial"/>
                <w:sz w:val="10"/>
                <w:szCs w:val="10"/>
                <w:color w:val="54585A"/>
                <w:w w:val="99"/>
              </w:rPr>
              <w:t>888,466</w:t>
            </w:r>
          </w:p>
        </w:tc>
        <w:tc>
          <w:tcPr>
            <w:tcW w:w="600" w:type="dxa"/>
            <w:vAlign w:val="bottom"/>
            <w:tcBorders>
              <w:bottom w:val="single" w:sz="8" w:color="54585A"/>
              <w:right w:val="single" w:sz="8" w:color="54585A"/>
            </w:tcBorders>
          </w:tcPr>
          <w:p>
            <w:pPr>
              <w:spacing w:after="0"/>
              <w:rPr>
                <w:sz w:val="12"/>
                <w:szCs w:val="12"/>
                <w:color w:val="auto"/>
              </w:rPr>
            </w:pPr>
          </w:p>
        </w:tc>
        <w:tc>
          <w:tcPr>
            <w:tcW w:w="18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rPr>
              <w:t>*</w:t>
            </w:r>
          </w:p>
        </w:tc>
        <w:tc>
          <w:tcPr>
            <w:tcW w:w="0" w:type="dxa"/>
            <w:vAlign w:val="bottom"/>
          </w:tcPr>
          <w:p>
            <w:pPr>
              <w:spacing w:after="0"/>
              <w:rPr>
                <w:sz w:val="1"/>
                <w:szCs w:val="1"/>
                <w:color w:val="auto"/>
              </w:rPr>
            </w:pPr>
          </w:p>
        </w:tc>
      </w:tr>
      <w:tr>
        <w:trPr>
          <w:trHeight w:val="142"/>
        </w:trPr>
        <w:tc>
          <w:tcPr>
            <w:tcW w:w="76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Keith O. Cowan</w:t>
            </w:r>
            <w:r>
              <w:rPr>
                <w:rFonts w:ascii="Arial" w:cs="Arial" w:eastAsia="Arial" w:hAnsi="Arial"/>
                <w:sz w:val="12"/>
                <w:szCs w:val="12"/>
                <w:b w:val="1"/>
                <w:bCs w:val="1"/>
                <w:color w:val="EB6C10"/>
                <w:vertAlign w:val="superscript"/>
              </w:rPr>
              <w:t>(9)</w:t>
            </w:r>
          </w:p>
        </w:tc>
        <w:tc>
          <w:tcPr>
            <w:tcW w:w="1260" w:type="dxa"/>
            <w:vAlign w:val="bottom"/>
            <w:tcBorders>
              <w:bottom w:val="single" w:sz="8" w:color="54585A"/>
            </w:tcBorders>
          </w:tcPr>
          <w:p>
            <w:pPr>
              <w:jc w:val="center"/>
              <w:ind w:left="532"/>
              <w:spacing w:after="0"/>
              <w:rPr>
                <w:sz w:val="20"/>
                <w:szCs w:val="20"/>
                <w:color w:val="auto"/>
              </w:rPr>
            </w:pPr>
            <w:r>
              <w:rPr>
                <w:rFonts w:ascii="Arial" w:cs="Arial" w:eastAsia="Arial" w:hAnsi="Arial"/>
                <w:sz w:val="10"/>
                <w:szCs w:val="10"/>
                <w:color w:val="54585A"/>
                <w:w w:val="99"/>
              </w:rPr>
              <w:t>876,467</w:t>
            </w:r>
          </w:p>
        </w:tc>
        <w:tc>
          <w:tcPr>
            <w:tcW w:w="600" w:type="dxa"/>
            <w:vAlign w:val="bottom"/>
            <w:tcBorders>
              <w:bottom w:val="single" w:sz="8" w:color="54585A"/>
              <w:right w:val="single" w:sz="8" w:color="54585A"/>
            </w:tcBorders>
          </w:tcPr>
          <w:p>
            <w:pPr>
              <w:spacing w:after="0"/>
              <w:rPr>
                <w:sz w:val="12"/>
                <w:szCs w:val="12"/>
                <w:color w:val="auto"/>
              </w:rPr>
            </w:pPr>
          </w:p>
        </w:tc>
        <w:tc>
          <w:tcPr>
            <w:tcW w:w="18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rPr>
              <w:t>*</w:t>
            </w:r>
          </w:p>
        </w:tc>
        <w:tc>
          <w:tcPr>
            <w:tcW w:w="0" w:type="dxa"/>
            <w:vAlign w:val="bottom"/>
          </w:tcPr>
          <w:p>
            <w:pPr>
              <w:spacing w:after="0"/>
              <w:rPr>
                <w:sz w:val="1"/>
                <w:szCs w:val="1"/>
                <w:color w:val="auto"/>
              </w:rPr>
            </w:pPr>
          </w:p>
        </w:tc>
      </w:tr>
      <w:tr>
        <w:trPr>
          <w:trHeight w:val="142"/>
        </w:trPr>
        <w:tc>
          <w:tcPr>
            <w:tcW w:w="76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Benjamin G. Wolff</w:t>
            </w:r>
            <w:r>
              <w:rPr>
                <w:rFonts w:ascii="Arial" w:cs="Arial" w:eastAsia="Arial" w:hAnsi="Arial"/>
                <w:sz w:val="12"/>
                <w:szCs w:val="12"/>
                <w:b w:val="1"/>
                <w:bCs w:val="1"/>
                <w:color w:val="EB6C10"/>
                <w:vertAlign w:val="superscript"/>
              </w:rPr>
              <w:t>(9)</w:t>
            </w:r>
          </w:p>
        </w:tc>
        <w:tc>
          <w:tcPr>
            <w:tcW w:w="1260" w:type="dxa"/>
            <w:vAlign w:val="bottom"/>
            <w:tcBorders>
              <w:bottom w:val="single" w:sz="8" w:color="54585A"/>
            </w:tcBorders>
          </w:tcPr>
          <w:p>
            <w:pPr>
              <w:jc w:val="center"/>
              <w:ind w:left="532"/>
              <w:spacing w:after="0"/>
              <w:rPr>
                <w:sz w:val="20"/>
                <w:szCs w:val="20"/>
                <w:color w:val="auto"/>
              </w:rPr>
            </w:pPr>
            <w:r>
              <w:rPr>
                <w:rFonts w:ascii="Arial" w:cs="Arial" w:eastAsia="Arial" w:hAnsi="Arial"/>
                <w:sz w:val="10"/>
                <w:szCs w:val="10"/>
                <w:color w:val="54585A"/>
                <w:w w:val="99"/>
              </w:rPr>
              <w:t>862,669</w:t>
            </w:r>
          </w:p>
        </w:tc>
        <w:tc>
          <w:tcPr>
            <w:tcW w:w="600" w:type="dxa"/>
            <w:vAlign w:val="bottom"/>
            <w:tcBorders>
              <w:bottom w:val="single" w:sz="8" w:color="54585A"/>
              <w:right w:val="single" w:sz="8" w:color="54585A"/>
            </w:tcBorders>
          </w:tcPr>
          <w:p>
            <w:pPr>
              <w:spacing w:after="0"/>
              <w:rPr>
                <w:sz w:val="12"/>
                <w:szCs w:val="12"/>
                <w:color w:val="auto"/>
              </w:rPr>
            </w:pPr>
          </w:p>
        </w:tc>
        <w:tc>
          <w:tcPr>
            <w:tcW w:w="18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rPr>
              <w:t>*</w:t>
            </w:r>
          </w:p>
        </w:tc>
        <w:tc>
          <w:tcPr>
            <w:tcW w:w="0" w:type="dxa"/>
            <w:vAlign w:val="bottom"/>
          </w:tcPr>
          <w:p>
            <w:pPr>
              <w:spacing w:after="0"/>
              <w:rPr>
                <w:sz w:val="1"/>
                <w:szCs w:val="1"/>
                <w:color w:val="auto"/>
              </w:rPr>
            </w:pPr>
          </w:p>
        </w:tc>
      </w:tr>
      <w:tr>
        <w:trPr>
          <w:trHeight w:val="142"/>
        </w:trPr>
        <w:tc>
          <w:tcPr>
            <w:tcW w:w="7620" w:type="dxa"/>
            <w:vAlign w:val="bottom"/>
            <w:tcBorders>
              <w:bottom w:val="single" w:sz="8" w:color="54585A"/>
            </w:tcBorders>
          </w:tcPr>
          <w:p>
            <w:pPr>
              <w:ind w:left="60"/>
              <w:spacing w:after="0"/>
              <w:rPr>
                <w:sz w:val="20"/>
                <w:szCs w:val="20"/>
                <w:color w:val="auto"/>
              </w:rPr>
            </w:pPr>
            <w:r>
              <w:rPr>
                <w:rFonts w:ascii="Arial" w:cs="Arial" w:eastAsia="Arial" w:hAnsi="Arial"/>
                <w:sz w:val="10"/>
                <w:szCs w:val="10"/>
                <w:b w:val="1"/>
                <w:bCs w:val="1"/>
                <w:color w:val="EB6C10"/>
              </w:rPr>
              <w:t>All directors and current executive officers as a group (10 persons)</w:t>
            </w:r>
            <w:r>
              <w:rPr>
                <w:rFonts w:ascii="Arial" w:cs="Arial" w:eastAsia="Arial" w:hAnsi="Arial"/>
                <w:sz w:val="12"/>
                <w:szCs w:val="12"/>
                <w:b w:val="1"/>
                <w:bCs w:val="1"/>
                <w:color w:val="EB6C10"/>
                <w:vertAlign w:val="superscript"/>
              </w:rPr>
              <w:t>(1)(2)(3)(4)(5)(6)(7)(8)(9)</w:t>
            </w:r>
          </w:p>
        </w:tc>
        <w:tc>
          <w:tcPr>
            <w:tcW w:w="1260" w:type="dxa"/>
            <w:vAlign w:val="bottom"/>
            <w:tcBorders>
              <w:bottom w:val="single" w:sz="8" w:color="54585A"/>
            </w:tcBorders>
          </w:tcPr>
          <w:p>
            <w:pPr>
              <w:jc w:val="center"/>
              <w:ind w:left="532"/>
              <w:spacing w:after="0"/>
              <w:rPr>
                <w:sz w:val="20"/>
                <w:szCs w:val="20"/>
                <w:color w:val="auto"/>
              </w:rPr>
            </w:pPr>
            <w:r>
              <w:rPr>
                <w:rFonts w:ascii="Arial" w:cs="Arial" w:eastAsia="Arial" w:hAnsi="Arial"/>
                <w:sz w:val="10"/>
                <w:szCs w:val="10"/>
                <w:color w:val="54585A"/>
                <w:w w:val="93"/>
              </w:rPr>
              <w:t>1,118,488,676</w:t>
            </w:r>
          </w:p>
        </w:tc>
        <w:tc>
          <w:tcPr>
            <w:tcW w:w="600" w:type="dxa"/>
            <w:vAlign w:val="bottom"/>
            <w:tcBorders>
              <w:bottom w:val="single" w:sz="8" w:color="54585A"/>
              <w:right w:val="single" w:sz="8" w:color="54585A"/>
            </w:tcBorders>
          </w:tcPr>
          <w:p>
            <w:pPr>
              <w:spacing w:after="0"/>
              <w:rPr>
                <w:sz w:val="12"/>
                <w:szCs w:val="12"/>
                <w:color w:val="auto"/>
              </w:rPr>
            </w:pPr>
          </w:p>
        </w:tc>
        <w:tc>
          <w:tcPr>
            <w:tcW w:w="1820" w:type="dxa"/>
            <w:vAlign w:val="bottom"/>
            <w:tcBorders>
              <w:bottom w:val="single" w:sz="8" w:color="54585A"/>
            </w:tcBorders>
          </w:tcPr>
          <w:p>
            <w:pPr>
              <w:jc w:val="center"/>
              <w:spacing w:after="0"/>
              <w:rPr>
                <w:sz w:val="20"/>
                <w:szCs w:val="20"/>
                <w:color w:val="auto"/>
              </w:rPr>
            </w:pPr>
            <w:r>
              <w:rPr>
                <w:rFonts w:ascii="Arial" w:cs="Arial" w:eastAsia="Arial" w:hAnsi="Arial"/>
                <w:sz w:val="10"/>
                <w:szCs w:val="10"/>
                <w:color w:val="54585A"/>
                <w:w w:val="99"/>
              </w:rPr>
              <w:t>62%</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Less than 1% of outstanding shares.</w:t>
      </w:r>
    </w:p>
    <w:p>
      <w:pPr>
        <w:spacing w:after="0" w:line="74" w:lineRule="exact"/>
        <w:rPr>
          <w:sz w:val="20"/>
          <w:szCs w:val="20"/>
          <w:color w:val="auto"/>
        </w:rPr>
      </w:pPr>
    </w:p>
    <w:p>
      <w:pPr>
        <w:ind w:left="208" w:right="60" w:hanging="208"/>
        <w:spacing w:after="0" w:line="244" w:lineRule="auto"/>
        <w:tabs>
          <w:tab w:leader="none" w:pos="207" w:val="left"/>
        </w:tabs>
        <w:numPr>
          <w:ilvl w:val="0"/>
          <w:numId w:val="68"/>
        </w:numPr>
        <w:rPr>
          <w:rFonts w:ascii="Arial" w:cs="Arial" w:eastAsia="Arial" w:hAnsi="Arial"/>
          <w:sz w:val="10"/>
          <w:szCs w:val="10"/>
          <w:color w:val="54585A"/>
        </w:rPr>
      </w:pPr>
      <w:r>
        <w:rPr>
          <w:rFonts w:ascii="Arial" w:cs="Arial" w:eastAsia="Arial" w:hAnsi="Arial"/>
          <w:sz w:val="10"/>
          <w:szCs w:val="10"/>
          <w:color w:val="54585A"/>
        </w:rPr>
        <w:t>“Beneficial ownership” is a technical term broadly defined by the SEC to mean more than ownership in the usual sense. Stock is “beneficially owned” if a person has or shares the power (a) to vote or direct its vote or (b) to sell or direct its sale, even if the person has no financial interest in the stock. Also, stock that a person has the right to acquire, such as through the exercise of options or warrants, within sixty (60) days of the Record Date is considered to be “beneficially owned.” These shares are deemed to be outstanding and beneficially owned by the person holding the derivative security for the purpose of computing the percentage ownership of that person, but they are not treated as outstanding for the purpose of computing the percentage ownership of any other person. Unless otherwise noted, each person has full voting and investment power over the stock listed.</w:t>
      </w:r>
    </w:p>
    <w:p>
      <w:pPr>
        <w:spacing w:after="0" w:line="63" w:lineRule="exact"/>
        <w:rPr>
          <w:rFonts w:ascii="Arial" w:cs="Arial" w:eastAsia="Arial" w:hAnsi="Arial"/>
          <w:sz w:val="10"/>
          <w:szCs w:val="10"/>
          <w:color w:val="54585A"/>
        </w:rPr>
      </w:pPr>
    </w:p>
    <w:p>
      <w:pPr>
        <w:ind w:left="208" w:right="160" w:hanging="208"/>
        <w:spacing w:after="0" w:line="243" w:lineRule="auto"/>
        <w:tabs>
          <w:tab w:leader="none" w:pos="207" w:val="left"/>
        </w:tabs>
        <w:numPr>
          <w:ilvl w:val="0"/>
          <w:numId w:val="68"/>
        </w:numPr>
        <w:rPr>
          <w:rFonts w:ascii="Arial" w:cs="Arial" w:eastAsia="Arial" w:hAnsi="Arial"/>
          <w:sz w:val="10"/>
          <w:szCs w:val="10"/>
          <w:color w:val="54585A"/>
        </w:rPr>
      </w:pPr>
      <w:r>
        <w:rPr>
          <w:rFonts w:ascii="Arial" w:cs="Arial" w:eastAsia="Arial" w:hAnsi="Arial"/>
          <w:sz w:val="10"/>
          <w:szCs w:val="10"/>
          <w:color w:val="54585A"/>
        </w:rPr>
        <w:t>The address of Mr. Monroe, FL Investment Holdings, LLC, Thermo Funding, LLC, Thermo Funding II LLC, Globalstar Satellite, L.P., Monroe Irr. Educational Trust, James Monroe III Grantor Trust and Thermo Investments LP is 1735 Nineteenth Street, Denver, CO 80202. This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204470</wp:posOffset>
            </wp:positionV>
            <wp:extent cx="17145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77" w:lineRule="exact"/>
        <w:rPr>
          <w:sz w:val="20"/>
          <w:szCs w:val="20"/>
          <w:color w:val="auto"/>
        </w:rPr>
      </w:pPr>
    </w:p>
    <w:p>
      <w:pPr>
        <w:ind w:left="9668"/>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42" w:name="page43"/>
    <w:bookmarkEnd w:id="42"/>
    <w:p>
      <w:pPr>
        <w:ind w:left="68" w:hanging="68"/>
        <w:spacing w:after="0"/>
        <w:tabs>
          <w:tab w:leader="none" w:pos="68" w:val="left"/>
        </w:tabs>
        <w:numPr>
          <w:ilvl w:val="0"/>
          <w:numId w:val="69"/>
        </w:numPr>
        <w:rPr>
          <w:rFonts w:ascii="Arial" w:cs="Arial" w:eastAsia="Arial" w:hAnsi="Arial"/>
          <w:sz w:val="12"/>
          <w:szCs w:val="12"/>
          <w:b w:val="1"/>
          <w:bCs w:val="1"/>
          <w:color w:val="EB6C10"/>
        </w:rPr>
      </w:pPr>
      <w:r>
        <w:rPr>
          <w:rFonts w:ascii="Arial" w:cs="Arial" w:eastAsia="Arial" w:hAnsi="Arial"/>
          <w:sz w:val="10"/>
          <w:szCs w:val="10"/>
          <w:color w:val="54585A"/>
        </w:rPr>
        <w:t>Security Ownership of Principal Stockholders and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8" w:right="60"/>
        <w:spacing w:after="0" w:line="238" w:lineRule="auto"/>
        <w:rPr>
          <w:sz w:val="20"/>
          <w:szCs w:val="20"/>
          <w:color w:val="auto"/>
        </w:rPr>
      </w:pPr>
      <w:r>
        <w:rPr>
          <w:rFonts w:ascii="Arial" w:cs="Arial" w:eastAsia="Arial" w:hAnsi="Arial"/>
          <w:sz w:val="10"/>
          <w:szCs w:val="10"/>
          <w:color w:val="54585A"/>
        </w:rPr>
        <w:t>includes 640,750 shares held by FL Investment Holdings, LLC, 197,139,972 held by Thermo Funding Company, LLC, 875,540,711 shares held by Thermo Funding II LLC, 100,000 shares held by Thermo Properties II, LLC, 618,558 shares held by Globalstar Satellite, L.P. 3,000,000 held by the Monroe Irr. Educational Trust, 29,334 held by James Monroe III Grantor Trust and 200,200 held by Thermo Investments LP. Mr. Monroe controls, either directly or indirectly, each of FL Investment Holdings, Thermo Funding Company, LLC, Thermo Funding II LLC, Globalstar Satellite, L.P. Monroe Irr. Educational Trust, James Monroe III Grantor Trust and Thermo Investments LP, and, therefore, is deemed the beneficial owner of the common stock held by these entities. Mr. Monroe also individually owns 588,468 shares and may acquire 299,999 shares of common stock upon the exercise of currently exercisable stock options.</w:t>
      </w:r>
    </w:p>
    <w:p>
      <w:pPr>
        <w:spacing w:after="0" w:line="75" w:lineRule="exact"/>
        <w:rPr>
          <w:sz w:val="20"/>
          <w:szCs w:val="20"/>
          <w:color w:val="auto"/>
        </w:rPr>
      </w:pPr>
    </w:p>
    <w:p>
      <w:pPr>
        <w:ind w:left="208" w:hanging="208"/>
        <w:spacing w:after="0"/>
        <w:tabs>
          <w:tab w:leader="none" w:pos="208" w:val="left"/>
        </w:tabs>
        <w:numPr>
          <w:ilvl w:val="0"/>
          <w:numId w:val="70"/>
        </w:numPr>
        <w:rPr>
          <w:rFonts w:ascii="Arial" w:cs="Arial" w:eastAsia="Arial" w:hAnsi="Arial"/>
          <w:sz w:val="10"/>
          <w:szCs w:val="10"/>
          <w:color w:val="54585A"/>
        </w:rPr>
      </w:pPr>
      <w:r>
        <w:rPr>
          <w:rFonts w:ascii="Arial" w:cs="Arial" w:eastAsia="Arial" w:hAnsi="Arial"/>
          <w:sz w:val="10"/>
          <w:szCs w:val="10"/>
          <w:color w:val="54585A"/>
        </w:rPr>
        <w:t>Includes 385,549 shares of common stock that he may acquire upon the exercise of currently exercisable stock options and 12,253,649 shares held by Thermo Investments III LLC.</w:t>
      </w:r>
    </w:p>
    <w:p>
      <w:pPr>
        <w:spacing w:after="0" w:line="74" w:lineRule="exact"/>
        <w:rPr>
          <w:rFonts w:ascii="Arial" w:cs="Arial" w:eastAsia="Arial" w:hAnsi="Arial"/>
          <w:sz w:val="10"/>
          <w:szCs w:val="10"/>
          <w:color w:val="54585A"/>
        </w:rPr>
      </w:pPr>
    </w:p>
    <w:p>
      <w:pPr>
        <w:ind w:left="208" w:hanging="208"/>
        <w:spacing w:after="0"/>
        <w:tabs>
          <w:tab w:leader="none" w:pos="208" w:val="left"/>
        </w:tabs>
        <w:numPr>
          <w:ilvl w:val="0"/>
          <w:numId w:val="70"/>
        </w:numPr>
        <w:rPr>
          <w:rFonts w:ascii="Arial" w:cs="Arial" w:eastAsia="Arial" w:hAnsi="Arial"/>
          <w:sz w:val="10"/>
          <w:szCs w:val="10"/>
          <w:color w:val="54585A"/>
        </w:rPr>
      </w:pPr>
      <w:r>
        <w:rPr>
          <w:rFonts w:ascii="Arial" w:cs="Arial" w:eastAsia="Arial" w:hAnsi="Arial"/>
          <w:sz w:val="10"/>
          <w:szCs w:val="10"/>
          <w:color w:val="54585A"/>
        </w:rPr>
        <w:t>Includes 799,999 shares of common stock that he may acquire upon the exercise of currently exercisable stock options and 12,371,136 shares held by Thermo Investments II LLC.</w:t>
      </w:r>
    </w:p>
    <w:p>
      <w:pPr>
        <w:spacing w:after="0" w:line="74" w:lineRule="exact"/>
        <w:rPr>
          <w:rFonts w:ascii="Arial" w:cs="Arial" w:eastAsia="Arial" w:hAnsi="Arial"/>
          <w:sz w:val="10"/>
          <w:szCs w:val="10"/>
          <w:color w:val="54585A"/>
        </w:rPr>
      </w:pPr>
    </w:p>
    <w:p>
      <w:pPr>
        <w:ind w:left="208" w:hanging="208"/>
        <w:spacing w:after="0"/>
        <w:tabs>
          <w:tab w:leader="none" w:pos="208" w:val="left"/>
        </w:tabs>
        <w:numPr>
          <w:ilvl w:val="0"/>
          <w:numId w:val="70"/>
        </w:numPr>
        <w:rPr>
          <w:rFonts w:ascii="Arial" w:cs="Arial" w:eastAsia="Arial" w:hAnsi="Arial"/>
          <w:sz w:val="10"/>
          <w:szCs w:val="10"/>
          <w:color w:val="54585A"/>
        </w:rPr>
      </w:pPr>
      <w:r>
        <w:rPr>
          <w:rFonts w:ascii="Arial" w:cs="Arial" w:eastAsia="Arial" w:hAnsi="Arial"/>
          <w:sz w:val="10"/>
          <w:szCs w:val="10"/>
          <w:color w:val="54585A"/>
        </w:rPr>
        <w:t>Includes 250,000 shares of common stock that he may acquire upon the exercise of currently exercisable stock options.</w:t>
      </w:r>
    </w:p>
    <w:p>
      <w:pPr>
        <w:spacing w:after="0" w:line="74" w:lineRule="exact"/>
        <w:rPr>
          <w:rFonts w:ascii="Arial" w:cs="Arial" w:eastAsia="Arial" w:hAnsi="Arial"/>
          <w:sz w:val="10"/>
          <w:szCs w:val="10"/>
          <w:color w:val="54585A"/>
        </w:rPr>
      </w:pPr>
    </w:p>
    <w:p>
      <w:pPr>
        <w:ind w:left="208" w:hanging="208"/>
        <w:spacing w:after="0"/>
        <w:tabs>
          <w:tab w:leader="none" w:pos="208" w:val="left"/>
        </w:tabs>
        <w:numPr>
          <w:ilvl w:val="0"/>
          <w:numId w:val="70"/>
        </w:numPr>
        <w:rPr>
          <w:rFonts w:ascii="Arial" w:cs="Arial" w:eastAsia="Arial" w:hAnsi="Arial"/>
          <w:sz w:val="10"/>
          <w:szCs w:val="10"/>
          <w:color w:val="54585A"/>
        </w:rPr>
      </w:pPr>
      <w:r>
        <w:rPr>
          <w:rFonts w:ascii="Arial" w:cs="Arial" w:eastAsia="Arial" w:hAnsi="Arial"/>
          <w:sz w:val="10"/>
          <w:szCs w:val="10"/>
          <w:color w:val="54585A"/>
        </w:rPr>
        <w:t>Includes 80,000 shares of common stock that he may acquire upon the exercise of currently exercisable stock options.</w:t>
      </w:r>
    </w:p>
    <w:p>
      <w:pPr>
        <w:spacing w:after="0" w:line="65" w:lineRule="exact"/>
        <w:rPr>
          <w:rFonts w:ascii="Arial" w:cs="Arial" w:eastAsia="Arial" w:hAnsi="Arial"/>
          <w:sz w:val="10"/>
          <w:szCs w:val="10"/>
          <w:color w:val="54585A"/>
        </w:rPr>
      </w:pPr>
    </w:p>
    <w:p>
      <w:pPr>
        <w:ind w:left="208" w:hanging="208"/>
        <w:spacing w:after="0"/>
        <w:tabs>
          <w:tab w:leader="none" w:pos="208" w:val="left"/>
        </w:tabs>
        <w:numPr>
          <w:ilvl w:val="0"/>
          <w:numId w:val="70"/>
        </w:numPr>
        <w:rPr>
          <w:rFonts w:ascii="Arial" w:cs="Arial" w:eastAsia="Arial" w:hAnsi="Arial"/>
          <w:sz w:val="10"/>
          <w:szCs w:val="10"/>
          <w:color w:val="54585A"/>
        </w:rPr>
      </w:pPr>
      <w:r>
        <w:rPr>
          <w:rFonts w:ascii="Arial" w:cs="Arial" w:eastAsia="Arial" w:hAnsi="Arial"/>
          <w:sz w:val="10"/>
          <w:szCs w:val="10"/>
          <w:color w:val="54585A"/>
        </w:rPr>
        <w:t>Includes 1,099,999 shares of common stock that he may acquire upon the exercise of currently exercisable stock options.</w:t>
      </w:r>
    </w:p>
    <w:p>
      <w:pPr>
        <w:spacing w:after="0" w:line="74" w:lineRule="exact"/>
        <w:rPr>
          <w:rFonts w:ascii="Arial" w:cs="Arial" w:eastAsia="Arial" w:hAnsi="Arial"/>
          <w:sz w:val="10"/>
          <w:szCs w:val="10"/>
          <w:color w:val="54585A"/>
        </w:rPr>
      </w:pPr>
    </w:p>
    <w:p>
      <w:pPr>
        <w:ind w:left="208" w:hanging="208"/>
        <w:spacing w:after="0"/>
        <w:tabs>
          <w:tab w:leader="none" w:pos="208" w:val="left"/>
        </w:tabs>
        <w:numPr>
          <w:ilvl w:val="0"/>
          <w:numId w:val="70"/>
        </w:numPr>
        <w:rPr>
          <w:rFonts w:ascii="Arial" w:cs="Arial" w:eastAsia="Arial" w:hAnsi="Arial"/>
          <w:sz w:val="10"/>
          <w:szCs w:val="10"/>
          <w:color w:val="54585A"/>
        </w:rPr>
      </w:pPr>
      <w:r>
        <w:rPr>
          <w:rFonts w:ascii="Arial" w:cs="Arial" w:eastAsia="Arial" w:hAnsi="Arial"/>
          <w:sz w:val="10"/>
          <w:szCs w:val="10"/>
          <w:color w:val="54585A"/>
        </w:rPr>
        <w:t>Includes 120,000 shares of common stock that she may acquire upon the exercise of currently exercisable stock options.</w:t>
      </w:r>
    </w:p>
    <w:p>
      <w:pPr>
        <w:spacing w:after="0" w:line="74" w:lineRule="exact"/>
        <w:rPr>
          <w:rFonts w:ascii="Arial" w:cs="Arial" w:eastAsia="Arial" w:hAnsi="Arial"/>
          <w:sz w:val="10"/>
          <w:szCs w:val="10"/>
          <w:color w:val="54585A"/>
        </w:rPr>
      </w:pPr>
    </w:p>
    <w:p>
      <w:pPr>
        <w:ind w:left="208" w:hanging="208"/>
        <w:spacing w:after="0"/>
        <w:tabs>
          <w:tab w:leader="none" w:pos="208" w:val="left"/>
        </w:tabs>
        <w:numPr>
          <w:ilvl w:val="0"/>
          <w:numId w:val="70"/>
        </w:numPr>
        <w:rPr>
          <w:rFonts w:ascii="Arial" w:cs="Arial" w:eastAsia="Arial" w:hAnsi="Arial"/>
          <w:sz w:val="10"/>
          <w:szCs w:val="10"/>
          <w:color w:val="54585A"/>
        </w:rPr>
      </w:pPr>
      <w:r>
        <w:rPr>
          <w:rFonts w:ascii="Arial" w:cs="Arial" w:eastAsia="Arial" w:hAnsi="Arial"/>
          <w:sz w:val="10"/>
          <w:szCs w:val="10"/>
          <w:color w:val="54585A"/>
        </w:rPr>
        <w:t>Includes 299,999 shares of common stock that he may acquire upon the exercise of currently exercisable stock options.</w:t>
      </w:r>
    </w:p>
    <w:p>
      <w:pPr>
        <w:spacing w:after="0" w:line="284" w:lineRule="exact"/>
        <w:rPr>
          <w:sz w:val="20"/>
          <w:szCs w:val="20"/>
          <w:color w:val="auto"/>
        </w:rPr>
      </w:pPr>
    </w:p>
    <w:p>
      <w:pPr>
        <w:ind w:left="8"/>
        <w:spacing w:after="0"/>
        <w:rPr>
          <w:sz w:val="20"/>
          <w:szCs w:val="20"/>
          <w:color w:val="auto"/>
        </w:rPr>
      </w:pPr>
      <w:r>
        <w:rPr>
          <w:rFonts w:ascii="Arial" w:cs="Arial" w:eastAsia="Arial" w:hAnsi="Arial"/>
          <w:sz w:val="19"/>
          <w:szCs w:val="19"/>
          <w:color w:val="54585A"/>
        </w:rPr>
        <w:t>Delinquent Section 16(a) Reports</w:t>
      </w:r>
    </w:p>
    <w:p>
      <w:pPr>
        <w:spacing w:after="0" w:line="137" w:lineRule="exact"/>
        <w:rPr>
          <w:sz w:val="20"/>
          <w:szCs w:val="20"/>
          <w:color w:val="auto"/>
        </w:rPr>
      </w:pPr>
    </w:p>
    <w:p>
      <w:pPr>
        <w:ind w:left="8"/>
        <w:spacing w:after="0" w:line="320" w:lineRule="auto"/>
        <w:rPr>
          <w:sz w:val="20"/>
          <w:szCs w:val="20"/>
          <w:color w:val="auto"/>
        </w:rPr>
      </w:pPr>
      <w:r>
        <w:rPr>
          <w:rFonts w:ascii="Arial" w:cs="Arial" w:eastAsia="Arial" w:hAnsi="Arial"/>
          <w:sz w:val="11"/>
          <w:szCs w:val="11"/>
          <w:color w:val="54585A"/>
        </w:rPr>
        <w:t>Section 16(a) of the Securities Exchange Act of 1934 requires our executive officers and directors and persons who own more than 10% of any class of our equity securities to file forms with the SEC reporting their ownership and any changes in their ownership of those securities. These persons also must provide us with copies of these forms when filed. Based on a review of copies of those forms, our records, and written representations from our directors and executive officers that no other reports were required, the following transaction was not reported timely due to an administrative delay: Ms. Clary had a stock award vesting that occurred on April 8, 2022; upon vesting, shares of Globalstar stock were withheld to cover taxes owed and were not reported until May 6, 2022. Other than this instance, we believe that we complied with all Section 16(a) filing requirements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330835</wp:posOffset>
            </wp:positionV>
            <wp:extent cx="17145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40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034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56" w:right="319" w:bottom="1440" w:gutter="0" w:footer="0" w:header="0"/>
        </w:sectPr>
      </w:pPr>
    </w:p>
    <w:bookmarkStart w:id="43" w:name="page44"/>
    <w:bookmarkEnd w:id="43"/>
    <w:p>
      <w:pPr>
        <w:jc w:val="right"/>
        <w:spacing w:after="0"/>
        <w:rPr>
          <w:sz w:val="20"/>
          <w:szCs w:val="20"/>
          <w:color w:val="auto"/>
        </w:rPr>
      </w:pPr>
      <w:r>
        <w:rPr>
          <w:rFonts w:ascii="Arial" w:cs="Arial" w:eastAsia="Arial" w:hAnsi="Arial"/>
          <w:sz w:val="10"/>
          <w:szCs w:val="10"/>
          <w:color w:val="54585A"/>
        </w:rPr>
        <w:t xml:space="preserve">Related Person Transactions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36"/>
          <w:szCs w:val="36"/>
          <w:color w:val="EB6C10"/>
        </w:rPr>
        <w:t>Related Person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54585A"/>
        </w:rPr>
        <w:t>Review of Transactions</w:t>
      </w:r>
    </w:p>
    <w:p>
      <w:pPr>
        <w:spacing w:after="0" w:line="146" w:lineRule="exact"/>
        <w:rPr>
          <w:sz w:val="20"/>
          <w:szCs w:val="20"/>
          <w:color w:val="auto"/>
        </w:rPr>
      </w:pPr>
    </w:p>
    <w:p>
      <w:pPr>
        <w:ind w:right="20"/>
        <w:spacing w:after="0" w:line="318" w:lineRule="auto"/>
        <w:rPr>
          <w:sz w:val="20"/>
          <w:szCs w:val="20"/>
          <w:color w:val="auto"/>
        </w:rPr>
      </w:pPr>
      <w:r>
        <w:rPr>
          <w:rFonts w:ascii="Arial" w:cs="Arial" w:eastAsia="Arial" w:hAnsi="Arial"/>
          <w:sz w:val="11"/>
          <w:szCs w:val="11"/>
          <w:color w:val="54585A"/>
        </w:rPr>
        <w:t>The Board has adopted a Related Person Transactions Policy with respect to transactions in which we participate and related persons have a material interest. Related persons include our executive officers, directors, director nominees, beneficial owners of 5% or more of our common stock and immediate family members of these persons. The policy considers and approves or disapproves related person transactions pursuant Item 404 of Regulation S-K. Certain related person transactions have been deemed pre-approved by the Audit Committee and do not require any other approval under the policy. If an Audit Committee member or his or her family member is involved in a related person transaction, the member will not participate in the approval or ratification of the transaction. In instances where it is not practicable or desirable to wait until the next meeting of the Audit Committee for review of a related person transaction, the policy grants to the Chair of the Audit Committee (or, if the Chair or his or her family member is involved in the related person transaction, any other member of the Audit Committee) delegated authority to act between Audit Committee meetings for these purposes. A report of any action taken pursuant to delegated authority must be made at the next Audit Committee meeting.</w:t>
      </w:r>
    </w:p>
    <w:p>
      <w:pPr>
        <w:spacing w:after="0" w:line="101" w:lineRule="exact"/>
        <w:rPr>
          <w:sz w:val="20"/>
          <w:szCs w:val="20"/>
          <w:color w:val="auto"/>
        </w:rPr>
      </w:pPr>
    </w:p>
    <w:p>
      <w:pPr>
        <w:ind w:right="80"/>
        <w:spacing w:after="0" w:line="320" w:lineRule="auto"/>
        <w:rPr>
          <w:sz w:val="20"/>
          <w:szCs w:val="20"/>
          <w:color w:val="auto"/>
        </w:rPr>
      </w:pPr>
      <w:r>
        <w:rPr>
          <w:rFonts w:ascii="Arial" w:cs="Arial" w:eastAsia="Arial" w:hAnsi="Arial"/>
          <w:sz w:val="11"/>
          <w:szCs w:val="11"/>
          <w:color w:val="54585A"/>
        </w:rPr>
        <w:t>For the Audit Committee to approve a related person transaction, it must be satisfied that it has been fully informed of the interests, relationships and actual or potential conflicts present in the transaction and must believe that the transaction is fair to us. The Audit Committee also must believe, if necessary, that we have developed a plan to manage any actual or potential conflicts of interest. The Audit Committee may ratify a related person transaction that did not receive pre-approval if it determines that there is a compelling business or legal reason for the Company to continue with the transaction, the transaction is fair to the Company and the failure to comply with the policy's pre-approval requirements was not due to fraud or deceit.</w:t>
      </w:r>
    </w:p>
    <w:p>
      <w:pPr>
        <w:spacing w:after="0" w:line="108" w:lineRule="exact"/>
        <w:rPr>
          <w:sz w:val="20"/>
          <w:szCs w:val="20"/>
          <w:color w:val="auto"/>
        </w:rPr>
      </w:pPr>
    </w:p>
    <w:p>
      <w:pPr>
        <w:ind w:right="240"/>
        <w:spacing w:after="0" w:line="319" w:lineRule="auto"/>
        <w:rPr>
          <w:sz w:val="20"/>
          <w:szCs w:val="20"/>
          <w:color w:val="auto"/>
        </w:rPr>
      </w:pPr>
      <w:r>
        <w:rPr>
          <w:rFonts w:ascii="Arial" w:cs="Arial" w:eastAsia="Arial" w:hAnsi="Arial"/>
          <w:sz w:val="11"/>
          <w:szCs w:val="11"/>
          <w:color w:val="54585A"/>
        </w:rPr>
        <w:t>Our Certificate of Incorporation and Bylaws provide that as long as Thermo and its affiliates beneficially own at least 45% of the Company’s Common Stock, subject to certain exceptions, approval by a majority of shares held by stockholders other than Thermo and its affiliates is required for any related-party transaction between the Company and Thermo and its affiliates. Certain related party transactions involving Thermo and its affiliates are also subject to review by the Strategic Review Committee or to the approval of our shareholders. Please see “Strategic Review Committee” under the heading “Information about the Board and Its Committees" above.</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color w:val="54585A"/>
        </w:rPr>
        <w:t>Reportable Related Party Transactions and Compensation Committee Interlocks and Insider Participation</w:t>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i w:val="1"/>
          <w:iCs w:val="1"/>
          <w:u w:val="single" w:color="auto"/>
          <w:color w:val="54585A"/>
        </w:rPr>
        <w:t>Services Provided by Thermo.</w:t>
      </w:r>
    </w:p>
    <w:p>
      <w:pPr>
        <w:spacing w:after="0" w:line="91" w:lineRule="exact"/>
        <w:rPr>
          <w:sz w:val="20"/>
          <w:szCs w:val="20"/>
          <w:color w:val="auto"/>
        </w:rPr>
      </w:pPr>
    </w:p>
    <w:p>
      <w:pPr>
        <w:ind w:right="80"/>
        <w:spacing w:after="0" w:line="315" w:lineRule="auto"/>
        <w:rPr>
          <w:sz w:val="20"/>
          <w:szCs w:val="20"/>
          <w:color w:val="auto"/>
        </w:rPr>
      </w:pPr>
      <w:r>
        <w:rPr>
          <w:rFonts w:ascii="Arial" w:cs="Arial" w:eastAsia="Arial" w:hAnsi="Arial"/>
          <w:sz w:val="11"/>
          <w:szCs w:val="11"/>
          <w:color w:val="54585A"/>
        </w:rPr>
        <w:t>We have an understanding with Thermo that we will reimburse Thermo for expenses incurred by Messrs. Monroe, Lynch and Taylor and any other Thermo employee in connection with their services to us, including third-party out-of-pocket temporary living expenses while at our offices or traveling on our business (with no mark-up). For the year ended December 31, 2022, we recorded approximately $34,000 for general and administrative expenses incurred by Thermo on our behalf. We also recorded approximately $188,000 for services provided to us by an officer of Thermo that was accounted for as a non-cash contribution to capital and paid approximately $514,000 for services provided by other consultants and Thermo employees.</w:t>
      </w:r>
    </w:p>
    <w:p>
      <w:pPr>
        <w:spacing w:after="0" w:line="110" w:lineRule="exact"/>
        <w:rPr>
          <w:sz w:val="20"/>
          <w:szCs w:val="20"/>
          <w:color w:val="auto"/>
        </w:rPr>
      </w:pPr>
    </w:p>
    <w:p>
      <w:pPr>
        <w:ind w:right="20"/>
        <w:spacing w:after="0" w:line="313" w:lineRule="auto"/>
        <w:rPr>
          <w:sz w:val="20"/>
          <w:szCs w:val="20"/>
          <w:color w:val="auto"/>
        </w:rPr>
      </w:pPr>
      <w:r>
        <w:rPr>
          <w:rFonts w:ascii="Arial" w:cs="Arial" w:eastAsia="Arial" w:hAnsi="Arial"/>
          <w:sz w:val="11"/>
          <w:szCs w:val="11"/>
          <w:color w:val="54585A"/>
        </w:rPr>
        <w:t>We have a lease agreement with Thermo Covington, LLC for our headquarters office. Annual lease payments for the location started at $1.4 million per year, increasing at a rate of 2.5% per year, for a lease term of ten years. For the year ended December 31, 2022, we recorded $1.6 million in lease cost due to Thermo under this lease agreement.</w:t>
      </w:r>
    </w:p>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54585A"/>
        </w:rPr>
        <w:t>No other fees, except those described above or under “Director Compensation,” are paid to Thermo or its employees for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244475</wp:posOffset>
            </wp:positionV>
            <wp:extent cx="17145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96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163830</wp:posOffset>
            </wp:positionV>
            <wp:extent cx="720344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4" w:name="page45"/>
    <w:bookmarkEnd w:id="44"/>
    <w:p>
      <w:pPr>
        <w:ind w:left="68" w:hanging="68"/>
        <w:spacing w:after="0"/>
        <w:tabs>
          <w:tab w:leader="none" w:pos="68" w:val="left"/>
        </w:tabs>
        <w:numPr>
          <w:ilvl w:val="0"/>
          <w:numId w:val="71"/>
        </w:numPr>
        <w:rPr>
          <w:rFonts w:ascii="Arial" w:cs="Arial" w:eastAsia="Arial" w:hAnsi="Arial"/>
          <w:sz w:val="12"/>
          <w:szCs w:val="12"/>
          <w:b w:val="1"/>
          <w:bCs w:val="1"/>
          <w:color w:val="EB6C10"/>
        </w:rPr>
      </w:pPr>
      <w:r>
        <w:rPr>
          <w:rFonts w:ascii="Arial" w:cs="Arial" w:eastAsia="Arial" w:hAnsi="Arial"/>
          <w:sz w:val="10"/>
          <w:szCs w:val="10"/>
          <w:color w:val="54585A"/>
        </w:rPr>
        <w:t>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
        <w:spacing w:after="0"/>
        <w:rPr>
          <w:sz w:val="20"/>
          <w:szCs w:val="20"/>
          <w:color w:val="auto"/>
        </w:rPr>
      </w:pPr>
      <w:r>
        <w:rPr>
          <w:rFonts w:ascii="Arial" w:cs="Arial" w:eastAsia="Arial" w:hAnsi="Arial"/>
          <w:sz w:val="11"/>
          <w:szCs w:val="11"/>
          <w:i w:val="1"/>
          <w:iCs w:val="1"/>
          <w:u w:val="single" w:color="auto"/>
          <w:color w:val="54585A"/>
        </w:rPr>
        <w:t>Thermo Agreements.</w:t>
      </w:r>
    </w:p>
    <w:p>
      <w:pPr>
        <w:spacing w:after="0" w:line="91" w:lineRule="exact"/>
        <w:rPr>
          <w:sz w:val="20"/>
          <w:szCs w:val="20"/>
          <w:color w:val="auto"/>
        </w:rPr>
      </w:pPr>
    </w:p>
    <w:p>
      <w:pPr>
        <w:ind w:left="8"/>
        <w:spacing w:after="0" w:line="317" w:lineRule="auto"/>
        <w:rPr>
          <w:sz w:val="20"/>
          <w:szCs w:val="20"/>
          <w:color w:val="auto"/>
        </w:rPr>
      </w:pPr>
      <w:r>
        <w:rPr>
          <w:rFonts w:ascii="Arial" w:cs="Arial" w:eastAsia="Arial" w:hAnsi="Arial"/>
          <w:sz w:val="11"/>
          <w:szCs w:val="11"/>
          <w:color w:val="54585A"/>
        </w:rPr>
        <w:t>In November 2019, the Company entered into the 2019 Facility Agreement. Thermo's participation in the 2019 Facility Agreement was $95.1 million. This principal balance earned paid-in-kind interest at a rate of 13% per annum. To fulfill its obligations under the Service Agreements, in November 2022, the Company entered into an exchange agreement with affiliates of Thermo and certain other Exchanging Lenders providing for the exchange of all the outstanding principal amount of, and accrued and unpaid interest on, the Exchanging Lenders’ loans under the 2019 Facility Agreement for shares of the Company's Series A Preferred Stock. The terms of the exchange agreement were reviewed and approved by the Company's Board of Directors and Audit Committee. Prior to the exchange, interest accrued since inception with respect to Thermo's portion of the debt outstanding on the 2019 Facility Agreement was approximately $44.6 million, of which $14.9 million was accrued during the twelve months ended December 31, 2022.</w:t>
      </w:r>
    </w:p>
    <w:p>
      <w:pPr>
        <w:spacing w:after="0" w:line="110" w:lineRule="exact"/>
        <w:rPr>
          <w:sz w:val="20"/>
          <w:szCs w:val="20"/>
          <w:color w:val="auto"/>
        </w:rPr>
      </w:pPr>
    </w:p>
    <w:p>
      <w:pPr>
        <w:ind w:left="8" w:right="20"/>
        <w:spacing w:after="0" w:line="319" w:lineRule="auto"/>
        <w:rPr>
          <w:sz w:val="20"/>
          <w:szCs w:val="20"/>
          <w:color w:val="auto"/>
        </w:rPr>
      </w:pPr>
      <w:r>
        <w:rPr>
          <w:rFonts w:ascii="Arial" w:cs="Arial" w:eastAsia="Arial" w:hAnsi="Arial"/>
          <w:sz w:val="11"/>
          <w:szCs w:val="11"/>
          <w:color w:val="54585A"/>
        </w:rPr>
        <w:t>Also in connection with the Service Agreements, Partner and Thermo entered into a lock-up and right of first offer agreement that generally (i) requires Thermo to offer any shares of Globalstar common stock to Partner before transferring them to any other Person other than affiliates of Thermo and (ii) prohibits Thermo from transferring shares of Globalstar common stock if such transfer would cause Thermo to hold less than 51.00% of the outstanding common stock of the Company for a period of five years from the Service Launch in November 2022.</w:t>
      </w:r>
    </w:p>
    <w:p>
      <w:pPr>
        <w:spacing w:after="0" w:line="99" w:lineRule="exact"/>
        <w:rPr>
          <w:sz w:val="20"/>
          <w:szCs w:val="20"/>
          <w:color w:val="auto"/>
        </w:rPr>
      </w:pPr>
    </w:p>
    <w:p>
      <w:pPr>
        <w:ind w:left="8" w:right="280"/>
        <w:spacing w:after="0" w:line="330" w:lineRule="auto"/>
        <w:rPr>
          <w:sz w:val="20"/>
          <w:szCs w:val="20"/>
          <w:color w:val="auto"/>
        </w:rPr>
      </w:pPr>
      <w:r>
        <w:rPr>
          <w:rFonts w:ascii="Arial" w:cs="Arial" w:eastAsia="Arial" w:hAnsi="Arial"/>
          <w:sz w:val="11"/>
          <w:szCs w:val="11"/>
          <w:color w:val="54585A"/>
        </w:rPr>
        <w:t>As further described under Proposal No. 5, amounts payable by the Company in connection with the 2023 Prepayment with Partner will be guaranteed by Thermo, subject to applicable shareholder approval. In addition, Thermo has agreed to provide support of certain of the Company’s obligations under the Service Agreements, the Satellite Procurement Agreement, and certain related contracts directly to the Partner.</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1"/>
          <w:szCs w:val="11"/>
          <w:color w:val="54585A"/>
        </w:rPr>
        <w:t>Further discussion on other agreements we have with Thermo are disclosed in our Form 10-K for the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353060</wp:posOffset>
            </wp:positionV>
            <wp:extent cx="17145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
        <w:spacing w:after="0"/>
        <w:rPr>
          <w:sz w:val="20"/>
          <w:szCs w:val="20"/>
          <w:color w:val="auto"/>
        </w:rPr>
      </w:pPr>
      <w:r>
        <w:rPr>
          <w:rFonts w:ascii="Arial" w:cs="Arial" w:eastAsia="Arial" w:hAnsi="Arial"/>
          <w:sz w:val="10"/>
          <w:szCs w:val="10"/>
          <w:color w:val="54585A"/>
        </w:rPr>
        <w:t xml:space="preserve">42 </w:t>
      </w:r>
      <w:r>
        <w:rPr>
          <w:rFonts w:ascii="Arial" w:cs="Arial" w:eastAsia="Arial" w:hAnsi="Arial"/>
          <w:sz w:val="11"/>
          <w:szCs w:val="11"/>
          <w:b w:val="1"/>
          <w:bCs w:val="1"/>
          <w:color w:val="EB6C10"/>
        </w:rPr>
        <w:t>/</w:t>
      </w:r>
      <w:r>
        <w:rPr>
          <w:rFonts w:ascii="Arial" w:cs="Arial" w:eastAsia="Arial" w:hAnsi="Arial"/>
          <w:sz w:val="10"/>
          <w:szCs w:val="10"/>
          <w:color w:val="54585A"/>
        </w:rPr>
        <w:t xml:space="preserve"> Globalstar Proxy Statement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0344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56" w:right="319" w:bottom="1440" w:gutter="0" w:footer="0" w:header="0"/>
        </w:sectPr>
      </w:pPr>
    </w:p>
    <w:bookmarkStart w:id="45" w:name="page46"/>
    <w:bookmarkEnd w:id="45"/>
    <w:p>
      <w:pPr>
        <w:jc w:val="right"/>
        <w:spacing w:after="0"/>
        <w:rPr>
          <w:sz w:val="20"/>
          <w:szCs w:val="20"/>
          <w:color w:val="auto"/>
        </w:rPr>
      </w:pPr>
      <w:r>
        <w:rPr>
          <w:rFonts w:ascii="Arial" w:cs="Arial" w:eastAsia="Arial" w:hAnsi="Arial"/>
          <w:sz w:val="10"/>
          <w:szCs w:val="10"/>
          <w:color w:val="54585A"/>
        </w:rPr>
        <w:t xml:space="preserve">Other Information </w:t>
      </w:r>
      <w:r>
        <w:rPr>
          <w:rFonts w:ascii="Arial" w:cs="Arial" w:eastAsia="Arial" w:hAnsi="Arial"/>
          <w:sz w:val="11"/>
          <w:szCs w:val="11"/>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36"/>
          <w:szCs w:val="36"/>
          <w:color w:val="EB6C10"/>
        </w:rPr>
        <w:t>Other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54585A"/>
        </w:rPr>
        <w:t>Stockholder Proposals at the 2024 Annual Meeting</w:t>
      </w:r>
    </w:p>
    <w:p>
      <w:pPr>
        <w:spacing w:after="0" w:line="146" w:lineRule="exact"/>
        <w:rPr>
          <w:sz w:val="20"/>
          <w:szCs w:val="20"/>
          <w:color w:val="auto"/>
        </w:rPr>
      </w:pPr>
    </w:p>
    <w:p>
      <w:pPr>
        <w:ind w:right="40"/>
        <w:spacing w:after="0" w:line="319" w:lineRule="auto"/>
        <w:rPr>
          <w:sz w:val="20"/>
          <w:szCs w:val="20"/>
          <w:color w:val="auto"/>
        </w:rPr>
      </w:pPr>
      <w:r>
        <w:rPr>
          <w:rFonts w:ascii="Arial" w:cs="Arial" w:eastAsia="Arial" w:hAnsi="Arial"/>
          <w:sz w:val="11"/>
          <w:szCs w:val="11"/>
          <w:color w:val="54585A"/>
        </w:rPr>
        <w:t>In order for any stockholder proposal to be eligible for inclusion in our proxy statement and on our proxy card for the 2024 Annual Meeting of Stockholders, it must be received at the address in the paragraph immediately following this one not later than December 8, 2023. The proxy card we distribute for the 2024 Annual Meeting of Stockholders may include discretionary authority to vote on any matter that is presented to stockholders at that meeting (other than by the Board) if we do not receive notice of the matter at this address by March 31, 2024.</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color w:val="54585A"/>
        </w:rPr>
        <w:t>Householding</w:t>
      </w:r>
    </w:p>
    <w:p>
      <w:pPr>
        <w:spacing w:after="0" w:line="146" w:lineRule="exact"/>
        <w:rPr>
          <w:sz w:val="20"/>
          <w:szCs w:val="20"/>
          <w:color w:val="auto"/>
        </w:rPr>
      </w:pPr>
    </w:p>
    <w:p>
      <w:pPr>
        <w:ind w:right="40"/>
        <w:spacing w:after="0" w:line="318" w:lineRule="auto"/>
        <w:rPr>
          <w:sz w:val="20"/>
          <w:szCs w:val="20"/>
          <w:color w:val="auto"/>
        </w:rPr>
      </w:pPr>
      <w:r>
        <w:rPr>
          <w:rFonts w:ascii="Arial" w:cs="Arial" w:eastAsia="Arial" w:hAnsi="Arial"/>
          <w:sz w:val="11"/>
          <w:szCs w:val="11"/>
          <w:color w:val="54585A"/>
        </w:rPr>
        <w:t>Under SEC rules, only one annual report, proxy statement or Notice of Internet Availability of Proxy Materials, as applicable, need be sent to any household at which two or more of our stockholders reside if they appear to be members of the same family and contrary instructions have not been received from an affected stockholder. This procedure, referred to as householding, reduces the volume of duplicate information stockholders receive and reduces mailing and printing expenses for us. Brokers with account holders who are our stockholders may be householding these materials. Once you have received notice from your broker that it will be householding communications to your address, householding will continue until you are notified otherwise or until you revoke your consent. If, now or at any time in the future, you no longer wish to participate in householding and would like to receive a separate annual report, proxy statement or Notice of Internet Availability of Proxy Materials, or if you currently receive multiple copies of these documents at your address and would prefer that the communications be householded, you should contact us at investorrelations@globalstar.com or Globalstar, Inc., Attention: Investor Relations, 1351 Holiday Square Blvd., Covington, Louisiana 70433.</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54585A"/>
        </w:rPr>
        <w:t>Requests for Certain Documents</w:t>
      </w:r>
    </w:p>
    <w:p>
      <w:pPr>
        <w:spacing w:after="0" w:line="137" w:lineRule="exact"/>
        <w:rPr>
          <w:sz w:val="20"/>
          <w:szCs w:val="20"/>
          <w:color w:val="auto"/>
        </w:rPr>
      </w:pPr>
    </w:p>
    <w:p>
      <w:pPr>
        <w:ind w:right="320"/>
        <w:spacing w:after="0" w:line="330" w:lineRule="auto"/>
        <w:rPr>
          <w:sz w:val="20"/>
          <w:szCs w:val="20"/>
          <w:color w:val="auto"/>
        </w:rPr>
      </w:pPr>
      <w:r>
        <w:rPr>
          <w:rFonts w:ascii="Arial" w:cs="Arial" w:eastAsia="Arial" w:hAnsi="Arial"/>
          <w:sz w:val="11"/>
          <w:szCs w:val="11"/>
          <w:color w:val="54585A"/>
        </w:rPr>
        <w:t>We file annual, quarterly and current reports, proxy statements and other information with the SEC.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www.sec.gov.</w:t>
      </w:r>
    </w:p>
    <w:p>
      <w:pPr>
        <w:spacing w:after="0" w:line="93" w:lineRule="exact"/>
        <w:rPr>
          <w:sz w:val="20"/>
          <w:szCs w:val="20"/>
          <w:color w:val="auto"/>
        </w:rPr>
      </w:pPr>
    </w:p>
    <w:p>
      <w:pPr>
        <w:ind w:right="140"/>
        <w:spacing w:after="0" w:line="372" w:lineRule="auto"/>
        <w:rPr>
          <w:sz w:val="20"/>
          <w:szCs w:val="20"/>
          <w:color w:val="auto"/>
        </w:rPr>
      </w:pPr>
      <w:r>
        <w:rPr>
          <w:rFonts w:ascii="Arial" w:cs="Arial" w:eastAsia="Arial" w:hAnsi="Arial"/>
          <w:sz w:val="10"/>
          <w:szCs w:val="10"/>
          <w:color w:val="54585A"/>
        </w:rPr>
        <w:t>We make available free of charge financial information, news releases, SEC filings, including our annual report on Form 10-K, quarterly reports on Form 10-Q, current reports on Form 8-K and amendments to these reports as soon as reasonably practical after we electronically file such material with, or furnish it to, the SEC, on our website at www.globalstar.com. The documents available on, and the contents of, our website are not incorporated by reference into this proxy statement. You may request a copy of these documents by contacting us by phone at (985) 335-1500 or by mail at Globalstar, Inc., Attention: Investor Relations, 1351 Holiday Square Blvd., Covington, Louisiana 70433.</w:t>
      </w:r>
    </w:p>
    <w:p>
      <w:pPr>
        <w:spacing w:after="0" w:line="77" w:lineRule="exact"/>
        <w:rPr>
          <w:sz w:val="20"/>
          <w:szCs w:val="20"/>
          <w:color w:val="auto"/>
        </w:rPr>
      </w:pPr>
    </w:p>
    <w:p>
      <w:pPr>
        <w:spacing w:after="0"/>
        <w:rPr>
          <w:sz w:val="20"/>
          <w:szCs w:val="20"/>
          <w:color w:val="auto"/>
        </w:rPr>
      </w:pPr>
      <w:r>
        <w:rPr>
          <w:rFonts w:ascii="Arial" w:cs="Arial" w:eastAsia="Arial" w:hAnsi="Arial"/>
          <w:sz w:val="11"/>
          <w:szCs w:val="11"/>
          <w:color w:val="54585A"/>
        </w:rPr>
        <w:t>By order of the Board of Directors,</w:t>
      </w: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b w:val="1"/>
          <w:bCs w:val="1"/>
          <w:color w:val="54585A"/>
        </w:rPr>
        <w:t>Richard S. Roberts</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i w:val="1"/>
          <w:iCs w:val="1"/>
          <w:color w:val="54585A"/>
        </w:rPr>
        <w:t>Corporate Secretary</w:t>
      </w:r>
    </w:p>
    <w:p>
      <w:pPr>
        <w:spacing w:after="0" w:line="146" w:lineRule="exact"/>
        <w:rPr>
          <w:sz w:val="20"/>
          <w:szCs w:val="20"/>
          <w:color w:val="auto"/>
        </w:rPr>
      </w:pPr>
    </w:p>
    <w:p>
      <w:pPr>
        <w:spacing w:after="0"/>
        <w:rPr>
          <w:sz w:val="20"/>
          <w:szCs w:val="20"/>
          <w:color w:val="auto"/>
        </w:rPr>
      </w:pPr>
      <w:r>
        <w:rPr>
          <w:rFonts w:ascii="Arial" w:cs="Arial" w:eastAsia="Arial" w:hAnsi="Arial"/>
          <w:sz w:val="10"/>
          <w:szCs w:val="10"/>
          <w:color w:val="54585A"/>
        </w:rPr>
        <w:t>Covington, Louisiana</w:t>
      </w:r>
    </w:p>
    <w:p>
      <w:pPr>
        <w:spacing w:after="0" w:line="2" w:lineRule="exact"/>
        <w:rPr>
          <w:sz w:val="20"/>
          <w:szCs w:val="20"/>
          <w:color w:val="auto"/>
        </w:rPr>
      </w:pPr>
    </w:p>
    <w:p>
      <w:pPr>
        <w:spacing w:after="0"/>
        <w:rPr>
          <w:sz w:val="20"/>
          <w:szCs w:val="20"/>
          <w:color w:val="auto"/>
        </w:rPr>
      </w:pPr>
      <w:r>
        <w:rPr>
          <w:rFonts w:ascii="Arial" w:cs="Arial" w:eastAsia="Arial" w:hAnsi="Arial"/>
          <w:sz w:val="10"/>
          <w:szCs w:val="10"/>
          <w:color w:val="54585A"/>
        </w:rPr>
        <w:t>April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205105</wp:posOffset>
            </wp:positionV>
            <wp:extent cx="17145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78" w:lineRule="exact"/>
        <w:rPr>
          <w:sz w:val="20"/>
          <w:szCs w:val="20"/>
          <w:color w:val="auto"/>
        </w:rPr>
      </w:pPr>
    </w:p>
    <w:p>
      <w:pPr>
        <w:ind w:left="9660"/>
        <w:spacing w:after="0"/>
        <w:rPr>
          <w:sz w:val="20"/>
          <w:szCs w:val="20"/>
          <w:color w:val="auto"/>
        </w:rPr>
      </w:pPr>
      <w:r>
        <w:rPr>
          <w:rFonts w:ascii="Arial" w:cs="Arial" w:eastAsia="Arial" w:hAnsi="Arial"/>
          <w:sz w:val="9"/>
          <w:szCs w:val="9"/>
          <w:color w:val="54585A"/>
        </w:rPr>
        <w:t xml:space="preserve">Globalstar Proxy Statement 2023 </w:t>
      </w:r>
      <w:r>
        <w:rPr>
          <w:rFonts w:ascii="Arial" w:cs="Arial" w:eastAsia="Arial" w:hAnsi="Arial"/>
          <w:sz w:val="10"/>
          <w:szCs w:val="10"/>
          <w:b w:val="1"/>
          <w:bCs w:val="1"/>
          <w:color w:val="EB6C10"/>
        </w:rPr>
        <w:t>/</w:t>
      </w:r>
      <w:r>
        <w:rPr>
          <w:rFonts w:ascii="Arial" w:cs="Arial" w:eastAsia="Arial" w:hAnsi="Arial"/>
          <w:sz w:val="9"/>
          <w:szCs w:val="9"/>
          <w:color w:val="54585A"/>
        </w:rPr>
        <w:t xml:space="preserve"> 43</w:t>
      </w:r>
    </w:p>
    <w:p>
      <w:pPr>
        <w:sectPr>
          <w:pgSz w:w="11900" w:h="16838" w:orient="portrait"/>
          <w:cols w:equalWidth="0" w:num="1">
            <w:col w:w="11300"/>
          </w:cols>
          <w:pgMar w:left="300" w:top="126" w:right="299" w:bottom="1440"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10580370</wp:posOffset>
            </wp:positionV>
            <wp:extent cx="7203440" cy="241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3440" cy="24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x"/>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x"/>
      <w:numFmt w:val="bullet"/>
      <w:start w:val="1"/>
    </w:lvl>
  </w:abstractNum>
  <w:abstractNum w:abstractNumId="3">
    <w:nsid w:val="7724C67E"/>
    <w:multiLevelType w:val="hybridMultilevel"/>
    <w:lvl w:ilvl="0">
      <w:lvlJc w:val="left"/>
      <w:lvlText w:val="☐"/>
      <w:numFmt w:val="bullet"/>
      <w:start w:val="1"/>
    </w:lvl>
    <w:lvl w:ilvl="1">
      <w:lvlJc w:val="left"/>
      <w:lvlText w:val="(%2)"/>
      <w:numFmt w:val="decimal"/>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lvl w:ilvl="1">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1."/>
      <w:numFmt w:val="decimal"/>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1."/>
      <w:numFmt w:val="decimal"/>
      <w:start w:val="3"/>
    </w:lvl>
  </w:abstractNum>
  <w:abstractNum w:abstractNumId="61">
    <w:nsid w:val="4AD084E9"/>
    <w:multiLevelType w:val="hybridMultilevel"/>
    <w:lvl w:ilvl="0">
      <w:lvlJc w:val="left"/>
      <w:lvlText w:val="%1."/>
      <w:numFmt w:val="lowerLetter"/>
      <w:start w:val="1"/>
    </w:lvl>
  </w:abstractNum>
  <w:abstractNum w:abstractNumId="62">
    <w:nsid w:val="1F48EAA1"/>
    <w:multiLevelType w:val="hybridMultilevel"/>
    <w:lvl w:ilvl="0">
      <w:lvlJc w:val="left"/>
      <w:lvlText w:val="%1."/>
      <w:numFmt w:val="decimal"/>
      <w:start w:val="5"/>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1."/>
      <w:numFmt w:val="decimal"/>
      <w:start w:val="1"/>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1."/>
      <w:numFmt w:val="decimal"/>
      <w:start w:val="3"/>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2023-04-28T16:55:18Z</dcterms:created>
  <dcterms:modified xsi:type="dcterms:W3CDTF">2023-04-28T16:55:18Z</dcterms:modified>
</cp:coreProperties>
</file>