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7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 2006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333-135809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3</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GLOBALSTAR,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1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4899</w:t>
            </w:r>
          </w:p>
        </w:tc>
        <w:tc>
          <w:tcPr>
            <w:tcW w:w="1480" w:type="dxa"/>
            <w:vAlign w:val="bottom"/>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4"/>
              </w:rPr>
              <w:t>41-2116508</w:t>
            </w:r>
          </w:p>
        </w:tc>
      </w:tr>
      <w:tr>
        <w:trPr>
          <w:trHeight w:val="149"/>
        </w:trPr>
        <w:tc>
          <w:tcPr>
            <w:tcW w:w="17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w w:val="95"/>
              </w:rPr>
              <w:t>(State or other jurisdiction of</w:t>
            </w:r>
          </w:p>
        </w:tc>
        <w:tc>
          <w:tcPr>
            <w:tcW w:w="5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color w:val="auto"/>
                <w:w w:val="96"/>
              </w:rPr>
              <w:t>(Primary Standard Industrial</w:t>
            </w:r>
          </w:p>
        </w:tc>
        <w:tc>
          <w:tcPr>
            <w:tcW w:w="1480" w:type="dxa"/>
            <w:vAlign w:val="bottom"/>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176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5"/>
              </w:rPr>
              <w:t>incorporation or organization)</w:t>
            </w: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6"/>
              </w:rPr>
              <w:t>Classification Code Number)</w:t>
            </w:r>
          </w:p>
        </w:tc>
        <w:tc>
          <w:tcPr>
            <w:tcW w:w="148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5"/>
              </w:rPr>
              <w:t>Identification Number)</w:t>
            </w:r>
          </w:p>
        </w:tc>
      </w:tr>
      <w:tr>
        <w:trPr>
          <w:trHeight w:val="335"/>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461 South Milpitas Blvd.</w:t>
            </w:r>
          </w:p>
        </w:tc>
        <w:tc>
          <w:tcPr>
            <w:tcW w:w="148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Milpitas, California 95035</w:t>
            </w:r>
          </w:p>
        </w:tc>
        <w:tc>
          <w:tcPr>
            <w:tcW w:w="1480" w:type="dxa"/>
            <w:vAlign w:val="bottom"/>
          </w:tcPr>
          <w:p>
            <w:pPr>
              <w:spacing w:after="0"/>
              <w:rPr>
                <w:sz w:val="12"/>
                <w:szCs w:val="12"/>
                <w:color w:val="auto"/>
              </w:rPr>
            </w:pPr>
          </w:p>
        </w:tc>
      </w:tr>
      <w:tr>
        <w:trPr>
          <w:trHeight w:val="178"/>
        </w:trPr>
        <w:tc>
          <w:tcPr>
            <w:tcW w:w="1760" w:type="dxa"/>
            <w:vAlign w:val="bottom"/>
          </w:tcPr>
          <w:p>
            <w:pPr>
              <w:spacing w:after="0"/>
              <w:rPr>
                <w:sz w:val="15"/>
                <w:szCs w:val="15"/>
                <w:color w:val="auto"/>
              </w:rPr>
            </w:pP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5"/>
              </w:rPr>
              <w:t>Telephone (408) 933-4000</w:t>
            </w:r>
          </w:p>
        </w:tc>
        <w:tc>
          <w:tcPr>
            <w:tcW w:w="1480" w:type="dxa"/>
            <w:vAlign w:val="bottom"/>
          </w:tcPr>
          <w:p>
            <w:pPr>
              <w:spacing w:after="0"/>
              <w:rPr>
                <w:sz w:val="15"/>
                <w:szCs w:val="15"/>
                <w:color w:val="auto"/>
              </w:rPr>
            </w:pPr>
          </w:p>
        </w:tc>
      </w:tr>
      <w:tr>
        <w:trPr>
          <w:trHeight w:val="339"/>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6"/>
              </w:rPr>
              <w:t>(Address, including zip code, and telephone number, including area code,</w:t>
            </w:r>
          </w:p>
        </w:tc>
        <w:tc>
          <w:tcPr>
            <w:tcW w:w="148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580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6"/>
              </w:rPr>
              <w:t>of registrant's principal executive offices)</w:t>
            </w:r>
          </w:p>
        </w:tc>
        <w:tc>
          <w:tcPr>
            <w:tcW w:w="1480" w:type="dxa"/>
            <w:vAlign w:val="bottom"/>
          </w:tcPr>
          <w:p>
            <w:pPr>
              <w:spacing w:after="0"/>
              <w:rPr>
                <w:sz w:val="15"/>
                <w:szCs w:val="15"/>
                <w:color w:val="auto"/>
              </w:rPr>
            </w:pPr>
          </w:p>
        </w:tc>
      </w:tr>
      <w:tr>
        <w:trPr>
          <w:trHeight w:val="335"/>
        </w:trPr>
        <w:tc>
          <w:tcPr>
            <w:tcW w:w="1760" w:type="dxa"/>
            <w:vAlign w:val="bottom"/>
          </w:tcPr>
          <w:p>
            <w:pPr>
              <w:spacing w:after="0"/>
              <w:rPr>
                <w:sz w:val="24"/>
                <w:szCs w:val="24"/>
                <w:color w:val="auto"/>
              </w:rPr>
            </w:pPr>
          </w:p>
        </w:tc>
        <w:tc>
          <w:tcPr>
            <w:tcW w:w="5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6"/>
              </w:rPr>
              <w:t>Fuad Ahmad</w:t>
            </w:r>
          </w:p>
        </w:tc>
        <w:tc>
          <w:tcPr>
            <w:tcW w:w="148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Vice President and Chief Financial Officer</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Globalstar, Inc.</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461 South Milpitas Blvd.</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Milpitas, California 95035</w:t>
            </w:r>
          </w:p>
        </w:tc>
        <w:tc>
          <w:tcPr>
            <w:tcW w:w="1480" w:type="dxa"/>
            <w:vAlign w:val="bottom"/>
          </w:tcPr>
          <w:p>
            <w:pPr>
              <w:spacing w:after="0"/>
              <w:rPr>
                <w:sz w:val="12"/>
                <w:szCs w:val="12"/>
                <w:color w:val="auto"/>
              </w:rPr>
            </w:pPr>
          </w:p>
        </w:tc>
      </w:tr>
      <w:tr>
        <w:trPr>
          <w:trHeight w:val="153"/>
        </w:trPr>
        <w:tc>
          <w:tcPr>
            <w:tcW w:w="1760" w:type="dxa"/>
            <w:vAlign w:val="bottom"/>
          </w:tcPr>
          <w:p>
            <w:pPr>
              <w:spacing w:after="0"/>
              <w:rPr>
                <w:sz w:val="13"/>
                <w:szCs w:val="13"/>
                <w:color w:val="auto"/>
              </w:rPr>
            </w:pPr>
          </w:p>
        </w:tc>
        <w:tc>
          <w:tcPr>
            <w:tcW w:w="5800" w:type="dxa"/>
            <w:vAlign w:val="bottom"/>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5"/>
              </w:rPr>
              <w:t>(408) 933-4000</w:t>
            </w:r>
          </w:p>
        </w:tc>
        <w:tc>
          <w:tcPr>
            <w:tcW w:w="1480" w:type="dxa"/>
            <w:vAlign w:val="bottom"/>
          </w:tcPr>
          <w:p>
            <w:pPr>
              <w:spacing w:after="0"/>
              <w:rPr>
                <w:sz w:val="13"/>
                <w:szCs w:val="13"/>
                <w:color w:val="auto"/>
              </w:rPr>
            </w:pPr>
          </w:p>
        </w:tc>
      </w:tr>
      <w:tr>
        <w:trPr>
          <w:trHeight w:val="174"/>
        </w:trPr>
        <w:tc>
          <w:tcPr>
            <w:tcW w:w="1760" w:type="dxa"/>
            <w:vAlign w:val="bottom"/>
          </w:tcPr>
          <w:p>
            <w:pPr>
              <w:spacing w:after="0"/>
              <w:rPr>
                <w:sz w:val="15"/>
                <w:szCs w:val="15"/>
                <w:color w:val="auto"/>
              </w:rPr>
            </w:pP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6"/>
              </w:rPr>
              <w:t>(Name, address, including zip code, and telephone number, including area code, of agent for service)</w:t>
            </w:r>
          </w:p>
        </w:tc>
        <w:tc>
          <w:tcPr>
            <w:tcW w:w="1480" w:type="dxa"/>
            <w:vAlign w:val="bottom"/>
          </w:tcPr>
          <w:p>
            <w:pPr>
              <w:spacing w:after="0"/>
              <w:rPr>
                <w:sz w:val="15"/>
                <w:szCs w:val="15"/>
                <w:color w:val="auto"/>
              </w:rPr>
            </w:pPr>
          </w:p>
        </w:tc>
      </w:tr>
      <w:tr>
        <w:trPr>
          <w:trHeight w:val="365"/>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5"/>
              </w:rPr>
              <w:t>With copies to:</w:t>
            </w:r>
          </w:p>
        </w:tc>
        <w:tc>
          <w:tcPr>
            <w:tcW w:w="1480" w:type="dxa"/>
            <w:vAlign w:val="bottom"/>
          </w:tcPr>
          <w:p>
            <w:pPr>
              <w:spacing w:after="0"/>
              <w:rPr>
                <w:sz w:val="24"/>
                <w:szCs w:val="24"/>
                <w:color w:val="auto"/>
              </w:rPr>
            </w:pPr>
          </w:p>
        </w:tc>
      </w:tr>
    </w:tbl>
    <w:p>
      <w:pPr>
        <w:spacing w:after="0" w:line="174"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740" w:type="dxa"/>
            <w:vAlign w:val="bottom"/>
          </w:tcPr>
          <w:p>
            <w:pPr>
              <w:jc w:val="center"/>
              <w:ind w:right="1832"/>
              <w:spacing w:after="0"/>
              <w:rPr>
                <w:sz w:val="20"/>
                <w:szCs w:val="20"/>
                <w:color w:val="auto"/>
              </w:rPr>
            </w:pPr>
            <w:r>
              <w:rPr>
                <w:rFonts w:ascii="Times New Roman" w:cs="Times New Roman" w:eastAsia="Times New Roman" w:hAnsi="Times New Roman"/>
                <w:sz w:val="14"/>
                <w:szCs w:val="14"/>
                <w:b w:val="1"/>
                <w:bCs w:val="1"/>
                <w:color w:val="auto"/>
                <w:w w:val="96"/>
              </w:rPr>
              <w:t>Gerald S. Greenberg</w:t>
            </w:r>
          </w:p>
        </w:tc>
        <w:tc>
          <w:tcPr>
            <w:tcW w:w="3860" w:type="dxa"/>
            <w:vAlign w:val="bottom"/>
          </w:tcPr>
          <w:p>
            <w:pPr>
              <w:jc w:val="center"/>
              <w:ind w:left="1852"/>
              <w:spacing w:after="0"/>
              <w:rPr>
                <w:sz w:val="20"/>
                <w:szCs w:val="20"/>
                <w:color w:val="auto"/>
              </w:rPr>
            </w:pPr>
            <w:r>
              <w:rPr>
                <w:rFonts w:ascii="Times New Roman" w:cs="Times New Roman" w:eastAsia="Times New Roman" w:hAnsi="Times New Roman"/>
                <w:sz w:val="14"/>
                <w:szCs w:val="14"/>
                <w:b w:val="1"/>
                <w:bCs w:val="1"/>
                <w:color w:val="auto"/>
                <w:w w:val="94"/>
              </w:rPr>
              <w:t>Edward P. Tolley III</w:t>
            </w:r>
          </w:p>
        </w:tc>
      </w:tr>
      <w:tr>
        <w:trPr>
          <w:trHeight w:val="149"/>
        </w:trPr>
        <w:tc>
          <w:tcPr>
            <w:tcW w:w="3740" w:type="dxa"/>
            <w:vAlign w:val="bottom"/>
          </w:tcPr>
          <w:p>
            <w:pPr>
              <w:jc w:val="center"/>
              <w:ind w:right="18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Taft, Stettinius &amp; Hollister LLP</w:t>
            </w:r>
          </w:p>
        </w:tc>
        <w:tc>
          <w:tcPr>
            <w:tcW w:w="3860" w:type="dxa"/>
            <w:vAlign w:val="bottom"/>
          </w:tcPr>
          <w:p>
            <w:pPr>
              <w:jc w:val="center"/>
              <w:ind w:left="18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Kenneth B. Wallach</w:t>
            </w:r>
          </w:p>
        </w:tc>
      </w:tr>
      <w:tr>
        <w:trPr>
          <w:trHeight w:val="149"/>
        </w:trPr>
        <w:tc>
          <w:tcPr>
            <w:tcW w:w="3740" w:type="dxa"/>
            <w:vAlign w:val="bottom"/>
          </w:tcPr>
          <w:p>
            <w:pPr>
              <w:jc w:val="center"/>
              <w:ind w:right="18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425 Walnut Street, Suite 1800</w:t>
            </w:r>
          </w:p>
        </w:tc>
        <w:tc>
          <w:tcPr>
            <w:tcW w:w="3860" w:type="dxa"/>
            <w:vAlign w:val="bottom"/>
          </w:tcPr>
          <w:p>
            <w:pPr>
              <w:jc w:val="center"/>
              <w:ind w:left="18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Simpson Thacher &amp; Bartlett LLP</w:t>
            </w:r>
          </w:p>
        </w:tc>
      </w:tr>
      <w:tr>
        <w:trPr>
          <w:trHeight w:val="149"/>
        </w:trPr>
        <w:tc>
          <w:tcPr>
            <w:tcW w:w="3740" w:type="dxa"/>
            <w:vAlign w:val="bottom"/>
          </w:tcPr>
          <w:p>
            <w:pPr>
              <w:jc w:val="center"/>
              <w:ind w:right="18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Cincinnati, Ohio 45202</w:t>
            </w:r>
          </w:p>
        </w:tc>
        <w:tc>
          <w:tcPr>
            <w:tcW w:w="3860" w:type="dxa"/>
            <w:vAlign w:val="bottom"/>
          </w:tcPr>
          <w:p>
            <w:pPr>
              <w:jc w:val="center"/>
              <w:ind w:left="18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425 Lexington Avenue</w:t>
            </w:r>
          </w:p>
        </w:tc>
      </w:tr>
      <w:tr>
        <w:trPr>
          <w:trHeight w:val="149"/>
        </w:trPr>
        <w:tc>
          <w:tcPr>
            <w:tcW w:w="3740" w:type="dxa"/>
            <w:vAlign w:val="bottom"/>
          </w:tcPr>
          <w:p>
            <w:pPr>
              <w:jc w:val="center"/>
              <w:ind w:right="18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Telephone: (513) 381-2838</w:t>
            </w:r>
          </w:p>
        </w:tc>
        <w:tc>
          <w:tcPr>
            <w:tcW w:w="3860" w:type="dxa"/>
            <w:vAlign w:val="bottom"/>
          </w:tcPr>
          <w:p>
            <w:pPr>
              <w:jc w:val="center"/>
              <w:ind w:left="18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New York, New York 10017</w:t>
            </w:r>
          </w:p>
        </w:tc>
      </w:tr>
      <w:tr>
        <w:trPr>
          <w:trHeight w:val="149"/>
        </w:trPr>
        <w:tc>
          <w:tcPr>
            <w:tcW w:w="3740" w:type="dxa"/>
            <w:vAlign w:val="bottom"/>
          </w:tcPr>
          <w:p>
            <w:pPr>
              <w:jc w:val="center"/>
              <w:ind w:right="18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Facsimile: (513) 381-0205</w:t>
            </w:r>
          </w:p>
        </w:tc>
        <w:tc>
          <w:tcPr>
            <w:tcW w:w="3860" w:type="dxa"/>
            <w:vAlign w:val="bottom"/>
          </w:tcPr>
          <w:p>
            <w:pPr>
              <w:jc w:val="center"/>
              <w:ind w:left="18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Telephone: (212) 455-2000</w:t>
            </w:r>
          </w:p>
        </w:tc>
      </w:tr>
      <w:tr>
        <w:trPr>
          <w:trHeight w:val="178"/>
        </w:trPr>
        <w:tc>
          <w:tcPr>
            <w:tcW w:w="3740" w:type="dxa"/>
            <w:vAlign w:val="bottom"/>
          </w:tcPr>
          <w:p>
            <w:pPr>
              <w:spacing w:after="0"/>
              <w:rPr>
                <w:sz w:val="15"/>
                <w:szCs w:val="15"/>
                <w:color w:val="auto"/>
              </w:rPr>
            </w:pPr>
          </w:p>
        </w:tc>
        <w:tc>
          <w:tcPr>
            <w:tcW w:w="3860" w:type="dxa"/>
            <w:vAlign w:val="bottom"/>
          </w:tcPr>
          <w:p>
            <w:pPr>
              <w:jc w:val="center"/>
              <w:ind w:left="1852"/>
              <w:spacing w:after="0"/>
              <w:rPr>
                <w:sz w:val="20"/>
                <w:szCs w:val="20"/>
                <w:color w:val="auto"/>
              </w:rPr>
            </w:pPr>
            <w:r>
              <w:rPr>
                <w:rFonts w:ascii="Times New Roman" w:cs="Times New Roman" w:eastAsia="Times New Roman" w:hAnsi="Times New Roman"/>
                <w:sz w:val="14"/>
                <w:szCs w:val="14"/>
                <w:b w:val="1"/>
                <w:bCs w:val="1"/>
                <w:color w:val="auto"/>
                <w:w w:val="95"/>
              </w:rPr>
              <w:t>Facsimile: (212) 455-2502</w:t>
            </w:r>
          </w:p>
        </w:tc>
      </w:tr>
    </w:tbl>
    <w:p>
      <w:pPr>
        <w:spacing w:after="0" w:line="19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this Registration Statement becomes effective.</w:t>
      </w:r>
    </w:p>
    <w:p>
      <w:pPr>
        <w:spacing w:after="0" w:line="20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right="20" w:firstLine="405"/>
        <w:spacing w:after="0" w:line="241"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right="140" w:firstLine="405"/>
        <w:spacing w:after="0" w:line="24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right="120" w:firstLine="405"/>
        <w:spacing w:after="0" w:line="24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If delivery of the prospectus is expected to be made pursuant to Rule 434, please check the following box. o</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PROPOSED</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w:t>
            </w:r>
          </w:p>
        </w:tc>
        <w:tc>
          <w:tcPr>
            <w:tcW w:w="190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76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2260" w:type="dxa"/>
            <w:vAlign w:val="bottom"/>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6"/>
              </w:rPr>
              <w:t>NUMBER OF</w:t>
            </w:r>
          </w:p>
        </w:tc>
        <w:tc>
          <w:tcPr>
            <w:tcW w:w="1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REGISTRATION</w:t>
            </w:r>
          </w:p>
        </w:tc>
        <w:tc>
          <w:tcPr>
            <w:tcW w:w="0" w:type="dxa"/>
            <w:vAlign w:val="bottom"/>
          </w:tcPr>
          <w:p>
            <w:pPr>
              <w:spacing w:after="0"/>
              <w:rPr>
                <w:sz w:val="1"/>
                <w:szCs w:val="1"/>
                <w:color w:val="auto"/>
              </w:rPr>
            </w:pPr>
          </w:p>
        </w:tc>
      </w:tr>
      <w:tr>
        <w:trPr>
          <w:trHeight w:val="95"/>
        </w:trPr>
        <w:tc>
          <w:tcPr>
            <w:tcW w:w="376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2260" w:type="dxa"/>
            <w:vAlign w:val="bottom"/>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SHARE(2)</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PRICE(2)</w:t>
            </w:r>
          </w:p>
        </w:tc>
        <w:tc>
          <w:tcPr>
            <w:tcW w:w="190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6"/>
              </w:rPr>
              <w:t>FEE(3)</w:t>
            </w:r>
          </w:p>
        </w:tc>
        <w:tc>
          <w:tcPr>
            <w:tcW w:w="0" w:type="dxa"/>
            <w:vAlign w:val="bottom"/>
          </w:tcPr>
          <w:p>
            <w:pPr>
              <w:spacing w:after="0"/>
              <w:rPr>
                <w:sz w:val="1"/>
                <w:szCs w:val="1"/>
                <w:color w:val="auto"/>
              </w:rPr>
            </w:pPr>
          </w:p>
        </w:tc>
      </w:tr>
      <w:tr>
        <w:trPr>
          <w:trHeight w:val="84"/>
        </w:trPr>
        <w:tc>
          <w:tcPr>
            <w:tcW w:w="3760" w:type="dxa"/>
            <w:vAlign w:val="bottom"/>
            <w:vMerge w:val="continue"/>
          </w:tcPr>
          <w:p>
            <w:pPr>
              <w:spacing w:after="0"/>
              <w:rPr>
                <w:sz w:val="7"/>
                <w:szCs w:val="7"/>
                <w:color w:val="auto"/>
              </w:rPr>
            </w:pPr>
          </w:p>
        </w:tc>
        <w:tc>
          <w:tcPr>
            <w:tcW w:w="2260" w:type="dxa"/>
            <w:vAlign w:val="bottom"/>
            <w:vMerge w:val="restart"/>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TO BE</w:t>
            </w:r>
          </w:p>
        </w:tc>
        <w:tc>
          <w:tcPr>
            <w:tcW w:w="170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60" w:type="dxa"/>
            <w:vAlign w:val="bottom"/>
          </w:tcPr>
          <w:p>
            <w:pPr>
              <w:spacing w:after="0"/>
              <w:rPr>
                <w:sz w:val="15"/>
                <w:szCs w:val="15"/>
                <w:color w:val="auto"/>
              </w:rPr>
            </w:pPr>
          </w:p>
        </w:tc>
        <w:tc>
          <w:tcPr>
            <w:tcW w:w="226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7"/>
              </w:rPr>
              <w:t>REGISTERED(1)</w:t>
            </w: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7,475,000</w:t>
            </w: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$18.00</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$134,550,000</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$14,397</w:t>
            </w:r>
          </w:p>
        </w:tc>
        <w:tc>
          <w:tcPr>
            <w:tcW w:w="0" w:type="dxa"/>
            <w:vAlign w:val="bottom"/>
          </w:tcPr>
          <w:p>
            <w:pPr>
              <w:spacing w:after="0"/>
              <w:rPr>
                <w:sz w:val="1"/>
                <w:szCs w:val="1"/>
                <w:color w:val="auto"/>
              </w:rPr>
            </w:pPr>
          </w:p>
        </w:tc>
      </w:tr>
      <w:tr>
        <w:trPr>
          <w:trHeight w:val="105"/>
        </w:trPr>
        <w:tc>
          <w:tcPr>
            <w:tcW w:w="37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5"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issuable upon exercise of the underwriters' option to purchase additional shares of common stock.</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under Rule 457(a) of the Securities Act.</w:t>
      </w:r>
    </w:p>
    <w:p>
      <w:pPr>
        <w:spacing w:after="0" w:line="122" w:lineRule="exact"/>
        <w:rPr>
          <w:rFonts w:ascii="Times New Roman" w:cs="Times New Roman" w:eastAsia="Times New Roman" w:hAnsi="Times New Roman"/>
          <w:sz w:val="14"/>
          <w:szCs w:val="14"/>
          <w:color w:val="auto"/>
        </w:rPr>
      </w:pPr>
    </w:p>
    <w:p>
      <w:pPr>
        <w:ind w:left="540" w:right="80" w:hanging="532"/>
        <w:spacing w:after="0" w:line="24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registration fee in the amount of $10,700 was previously paid to the Commission on July 12, 2006 in connection with the registrant's initial filing of this registration statement filed on July 17, 2006. This amount has been credited against the registration fee shown in the table as permitted by Rule 457(a). Accordingly, the registrant is paying $3,697 with this filing.</w:t>
      </w:r>
    </w:p>
    <w:p>
      <w:pPr>
        <w:sectPr>
          <w:pgSz w:w="11900" w:h="16838" w:orient="portrait"/>
          <w:cols w:equalWidth="0" w:num="1">
            <w:col w:w="11420"/>
          </w:cols>
          <w:pgMar w:left="240" w:top="463" w:right="239" w:bottom="0" w:gutter="0" w:footer="0" w:header="0"/>
        </w:sectPr>
      </w:pPr>
    </w:p>
    <w:bookmarkStart w:id="1" w:name="page2"/>
    <w:bookmarkEnd w:id="1"/>
    <w:p>
      <w:pPr>
        <w:ind w:firstLine="403"/>
        <w:spacing w:after="0" w:line="234" w:lineRule="auto"/>
        <w:rPr>
          <w:sz w:val="20"/>
          <w:szCs w:val="20"/>
          <w:color w:val="auto"/>
        </w:rPr>
      </w:pPr>
      <w:r>
        <w:rPr>
          <w:rFonts w:ascii="Times New Roman" w:cs="Times New Roman" w:eastAsia="Times New Roman" w:hAnsi="Times New Roman"/>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2" w:name="page3"/>
    <w:bookmarkEnd w:id="2"/>
    <w:p>
      <w:pPr>
        <w:ind w:right="160"/>
        <w:spacing w:after="0" w:line="264" w:lineRule="auto"/>
        <w:rPr>
          <w:sz w:val="20"/>
          <w:szCs w:val="20"/>
          <w:color w:val="auto"/>
        </w:rPr>
      </w:pPr>
      <w:r>
        <w:rPr>
          <w:rFonts w:ascii="Times New Roman" w:cs="Times New Roman" w:eastAsia="Times New Roman" w:hAnsi="Times New Roman"/>
          <w:sz w:val="18"/>
          <w:szCs w:val="18"/>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jurisdiction where the offer or sale is not permitted.</w:t>
      </w:r>
    </w:p>
    <w:p>
      <w:pPr>
        <w:spacing w:after="0" w:line="181" w:lineRule="exact"/>
        <w:rPr>
          <w:sz w:val="20"/>
          <w:szCs w:val="20"/>
          <w:color w:val="auto"/>
        </w:rPr>
      </w:pPr>
    </w:p>
    <w:p>
      <w:pPr>
        <w:ind w:left="520"/>
        <w:spacing w:after="0"/>
        <w:tabs>
          <w:tab w:leader="none" w:pos="3800" w:val="left"/>
          <w:tab w:leader="none" w:pos="7880" w:val="left"/>
        </w:tabs>
        <w:rPr>
          <w:sz w:val="20"/>
          <w:szCs w:val="20"/>
          <w:color w:val="auto"/>
        </w:rPr>
      </w:pPr>
      <w:r>
        <w:rPr>
          <w:rFonts w:ascii="Times New Roman" w:cs="Times New Roman" w:eastAsia="Times New Roman" w:hAnsi="Times New Roman"/>
          <w:sz w:val="18"/>
          <w:szCs w:val="18"/>
          <w:b w:val="1"/>
          <w:bCs w:val="1"/>
          <w:color w:val="2B85FF"/>
        </w:rPr>
        <w:t>PROSPECTUS</w:t>
      </w:r>
      <w:r>
        <w:rPr>
          <w:sz w:val="20"/>
          <w:szCs w:val="20"/>
          <w:color w:val="auto"/>
        </w:rPr>
        <w:tab/>
      </w:r>
      <w:r>
        <w:rPr>
          <w:rFonts w:ascii="Times New Roman" w:cs="Times New Roman" w:eastAsia="Times New Roman" w:hAnsi="Times New Roman"/>
          <w:sz w:val="18"/>
          <w:szCs w:val="18"/>
          <w:b w:val="1"/>
          <w:bCs w:val="1"/>
          <w:color w:val="FF4040"/>
        </w:rPr>
        <w:t>SUBJECT TO COMPLETION. DATED</w:t>
      </w:r>
      <w:r>
        <w:rPr>
          <w:sz w:val="20"/>
          <w:szCs w:val="20"/>
          <w:color w:val="auto"/>
        </w:rPr>
        <w:tab/>
      </w:r>
      <w:r>
        <w:rPr>
          <w:rFonts w:ascii="Times New Roman" w:cs="Times New Roman" w:eastAsia="Times New Roman" w:hAnsi="Times New Roman"/>
          <w:sz w:val="16"/>
          <w:szCs w:val="16"/>
          <w:b w:val="1"/>
          <w:bCs w:val="1"/>
          <w:color w:val="FF4040"/>
        </w:rPr>
        <w:t>2006.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B85FF"/>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162560</wp:posOffset>
            </wp:positionV>
            <wp:extent cx="2418080" cy="926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180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B85FF"/>
        </w:rPr>
        <w:t>GLOBALSTAR,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B85FF"/>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80" w:firstLine="436"/>
        <w:spacing w:after="0" w:line="275" w:lineRule="auto"/>
        <w:rPr>
          <w:sz w:val="20"/>
          <w:szCs w:val="20"/>
          <w:color w:val="auto"/>
        </w:rPr>
      </w:pPr>
      <w:r>
        <w:rPr>
          <w:rFonts w:ascii="Times New Roman" w:cs="Times New Roman" w:eastAsia="Times New Roman" w:hAnsi="Times New Roman"/>
          <w:sz w:val="18"/>
          <w:szCs w:val="18"/>
          <w:color w:val="2B85FF"/>
        </w:rPr>
        <w:t>This is Globalstar, Inc.'s initial public offering. We are offering 6,500,000 shares of common stock. We expect the initial public offering price of our common stock to be between $16.00 and $18.00 per share.</w:t>
      </w:r>
    </w:p>
    <w:p>
      <w:pPr>
        <w:spacing w:after="0" w:line="174" w:lineRule="exact"/>
        <w:rPr>
          <w:sz w:val="20"/>
          <w:szCs w:val="20"/>
          <w:color w:val="auto"/>
        </w:rPr>
      </w:pPr>
    </w:p>
    <w:p>
      <w:pPr>
        <w:ind w:right="620" w:firstLine="439"/>
        <w:spacing w:after="0" w:line="275" w:lineRule="auto"/>
        <w:rPr>
          <w:sz w:val="20"/>
          <w:szCs w:val="20"/>
          <w:color w:val="auto"/>
        </w:rPr>
      </w:pPr>
      <w:r>
        <w:rPr>
          <w:rFonts w:ascii="Times New Roman" w:cs="Times New Roman" w:eastAsia="Times New Roman" w:hAnsi="Times New Roman"/>
          <w:sz w:val="18"/>
          <w:szCs w:val="18"/>
          <w:color w:val="2B85FF"/>
        </w:rPr>
        <w:t>Prior to this offering, there has been no public market for our common stock. We have filed an application for our common stock to be listed on the NASDAQ Global Market under the symbol "GSAT."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4"/>
          <w:szCs w:val="24"/>
          <w:b w:val="1"/>
          <w:bCs w:val="1"/>
          <w:color w:val="2B85FF"/>
        </w:rPr>
        <w:t>Investing in our common stock involves risks. See "Risk Factors" beginning on page 12.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2B85FF"/>
              </w:rPr>
              <w:t>Per Share</w:t>
            </w:r>
          </w:p>
        </w:tc>
        <w:tc>
          <w:tcPr>
            <w:tcW w:w="340" w:type="dxa"/>
            <w:vAlign w:val="bottom"/>
          </w:tcPr>
          <w:p>
            <w:pPr>
              <w:spacing w:after="0"/>
              <w:rPr>
                <w:sz w:val="20"/>
                <w:szCs w:val="20"/>
                <w:color w:val="auto"/>
              </w:rPr>
            </w:pP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2B85FF"/>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80" w:type="dxa"/>
            <w:vAlign w:val="bottom"/>
            <w:tcBorders>
              <w:bottom w:val="single" w:sz="8" w:color="2B85FF"/>
            </w:tcBorders>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Borders>
              <w:bottom w:val="single" w:sz="8" w:color="2B85FF"/>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B85FF"/>
              </w:rPr>
              <w:t>Public Offering Price</w:t>
            </w:r>
          </w:p>
        </w:tc>
        <w:tc>
          <w:tcPr>
            <w:tcW w:w="392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2B85FF"/>
              </w:rPr>
              <w:t>$</w:t>
            </w:r>
          </w:p>
        </w:tc>
        <w:tc>
          <w:tcPr>
            <w:tcW w:w="170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2B85FF"/>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2B85FF"/>
              </w:rPr>
              <w:t>Underwriting Discounts and Commissions</w:t>
            </w:r>
          </w:p>
        </w:tc>
        <w:tc>
          <w:tcPr>
            <w:tcW w:w="39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2B85FF"/>
              </w:rPr>
              <w:t>$</w:t>
            </w:r>
          </w:p>
        </w:tc>
        <w:tc>
          <w:tcPr>
            <w:tcW w:w="170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2B85FF"/>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B85FF"/>
              </w:rPr>
              <w:t>Proceeds to us</w:t>
            </w:r>
          </w:p>
        </w:tc>
        <w:tc>
          <w:tcPr>
            <w:tcW w:w="392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2B85FF"/>
              </w:rPr>
              <w:t>$</w:t>
            </w:r>
          </w:p>
        </w:tc>
        <w:tc>
          <w:tcPr>
            <w:tcW w:w="170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2B85FF"/>
              </w:rPr>
              <w:t>$</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2B85FF"/>
              </w:rPr>
              <w:t>Delivery of the shares of common stock will be made on or about</w:t>
            </w:r>
          </w:p>
        </w:tc>
        <w:tc>
          <w:tcPr>
            <w:tcW w:w="2440" w:type="dxa"/>
            <w:vAlign w:val="bottom"/>
          </w:tcPr>
          <w:p>
            <w:pPr>
              <w:jc w:val="right"/>
              <w:ind w:right="1332"/>
              <w:spacing w:after="0"/>
              <w:rPr>
                <w:sz w:val="20"/>
                <w:szCs w:val="20"/>
                <w:color w:val="auto"/>
              </w:rPr>
            </w:pPr>
            <w:r>
              <w:rPr>
                <w:rFonts w:ascii="Times New Roman" w:cs="Times New Roman" w:eastAsia="Times New Roman" w:hAnsi="Times New Roman"/>
                <w:sz w:val="18"/>
                <w:szCs w:val="18"/>
                <w:b w:val="1"/>
                <w:bCs w:val="1"/>
                <w:color w:val="2B85FF"/>
              </w:rPr>
              <w:t>, 2006.</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-765810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-765810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-765810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80" w:firstLine="439"/>
        <w:spacing w:after="0" w:line="277" w:lineRule="auto"/>
        <w:rPr>
          <w:sz w:val="20"/>
          <w:szCs w:val="20"/>
          <w:color w:val="auto"/>
        </w:rPr>
      </w:pPr>
      <w:r>
        <w:rPr>
          <w:rFonts w:ascii="Times New Roman" w:cs="Times New Roman" w:eastAsia="Times New Roman" w:hAnsi="Times New Roman"/>
          <w:sz w:val="18"/>
          <w:szCs w:val="18"/>
          <w:b w:val="1"/>
          <w:bCs w:val="1"/>
          <w:color w:val="2B85FF"/>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172" w:lineRule="exact"/>
        <w:rPr>
          <w:sz w:val="20"/>
          <w:szCs w:val="20"/>
          <w:color w:val="auto"/>
        </w:rPr>
      </w:pPr>
    </w:p>
    <w:p>
      <w:pPr>
        <w:ind w:right="140" w:firstLine="436"/>
        <w:spacing w:after="0" w:line="275" w:lineRule="auto"/>
        <w:rPr>
          <w:sz w:val="20"/>
          <w:szCs w:val="20"/>
          <w:color w:val="auto"/>
        </w:rPr>
      </w:pPr>
      <w:r>
        <w:rPr>
          <w:rFonts w:ascii="Times New Roman" w:cs="Times New Roman" w:eastAsia="Times New Roman" w:hAnsi="Times New Roman"/>
          <w:sz w:val="18"/>
          <w:szCs w:val="18"/>
          <w:color w:val="2B85FF"/>
        </w:rPr>
        <w:t>We have granted the underwriters an option to purchase a maximum of 975,000 additional shares of our common stock to cover over-allotments of shares, exercisable at any time until 30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6960" w:type="dxa"/>
            <w:vAlign w:val="bottom"/>
          </w:tcPr>
          <w:p>
            <w:pPr>
              <w:spacing w:after="0"/>
              <w:rPr>
                <w:sz w:val="20"/>
                <w:szCs w:val="20"/>
                <w:color w:val="auto"/>
              </w:rPr>
            </w:pPr>
            <w:r>
              <w:rPr>
                <w:rFonts w:ascii="Times New Roman" w:cs="Times New Roman" w:eastAsia="Times New Roman" w:hAnsi="Times New Roman"/>
                <w:sz w:val="24"/>
                <w:szCs w:val="24"/>
                <w:b w:val="1"/>
                <w:bCs w:val="1"/>
                <w:color w:val="2B85FF"/>
              </w:rPr>
              <w:t>Wachovia Securities</w:t>
            </w:r>
          </w:p>
        </w:tc>
        <w:tc>
          <w:tcPr>
            <w:tcW w:w="446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2B85FF"/>
              </w:rPr>
              <w:t>JPMorgan</w:t>
            </w:r>
          </w:p>
        </w:tc>
      </w:tr>
      <w:tr>
        <w:trPr>
          <w:trHeight w:val="567"/>
        </w:trPr>
        <w:tc>
          <w:tcPr>
            <w:tcW w:w="6960" w:type="dxa"/>
            <w:vAlign w:val="bottom"/>
          </w:tcPr>
          <w:p>
            <w:pPr>
              <w:ind w:left="4600"/>
              <w:spacing w:after="0"/>
              <w:rPr>
                <w:sz w:val="20"/>
                <w:szCs w:val="20"/>
                <w:color w:val="auto"/>
              </w:rPr>
            </w:pPr>
            <w:r>
              <w:rPr>
                <w:rFonts w:ascii="Times New Roman" w:cs="Times New Roman" w:eastAsia="Times New Roman" w:hAnsi="Times New Roman"/>
                <w:sz w:val="24"/>
                <w:szCs w:val="24"/>
                <w:b w:val="1"/>
                <w:bCs w:val="1"/>
                <w:color w:val="2B85FF"/>
              </w:rPr>
              <w:t>Jefferies &amp; Company</w:t>
            </w:r>
          </w:p>
        </w:tc>
        <w:tc>
          <w:tcPr>
            <w:tcW w:w="4460" w:type="dxa"/>
            <w:vAlign w:val="bottom"/>
          </w:tcPr>
          <w:p>
            <w:pPr>
              <w:spacing w:after="0"/>
              <w:rPr>
                <w:sz w:val="24"/>
                <w:szCs w:val="24"/>
                <w:color w:val="auto"/>
              </w:rPr>
            </w:pPr>
          </w:p>
        </w:tc>
      </w:tr>
      <w:tr>
        <w:trPr>
          <w:trHeight w:val="424"/>
        </w:trPr>
        <w:tc>
          <w:tcPr>
            <w:tcW w:w="69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2B85FF"/>
              </w:rPr>
              <w:t>The date of this prospectus is</w:t>
            </w:r>
          </w:p>
        </w:tc>
        <w:tc>
          <w:tcPr>
            <w:tcW w:w="4460" w:type="dxa"/>
            <w:vAlign w:val="bottom"/>
          </w:tcPr>
          <w:p>
            <w:pPr>
              <w:jc w:val="right"/>
              <w:ind w:right="3735"/>
              <w:spacing w:after="0"/>
              <w:rPr>
                <w:sz w:val="20"/>
                <w:szCs w:val="20"/>
                <w:color w:val="auto"/>
              </w:rPr>
            </w:pPr>
            <w:r>
              <w:rPr>
                <w:rFonts w:ascii="Times New Roman" w:cs="Times New Roman" w:eastAsia="Times New Roman" w:hAnsi="Times New Roman"/>
                <w:sz w:val="18"/>
                <w:szCs w:val="18"/>
                <w:b w:val="1"/>
                <w:bCs w:val="1"/>
                <w:color w:val="2B85FF"/>
              </w:rPr>
              <w:t>, 2006.</w:t>
            </w:r>
          </w:p>
        </w:tc>
      </w:tr>
      <w:tr>
        <w:trPr>
          <w:trHeight w:val="228"/>
        </w:trPr>
        <w:tc>
          <w:tcPr>
            <w:tcW w:w="696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3542665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page">
              <wp:posOffset>826135</wp:posOffset>
            </wp:positionH>
            <wp:positionV relativeFrom="page">
              <wp:posOffset>226060</wp:posOffset>
            </wp:positionV>
            <wp:extent cx="5908675" cy="296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90867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20" w:type="dxa"/>
            <w:vAlign w:val="bottom"/>
          </w:tcPr>
          <w:p>
            <w:pPr>
              <w:spacing w:after="0"/>
              <w:rPr>
                <w:sz w:val="24"/>
                <w:szCs w:val="24"/>
                <w:color w:val="auto"/>
              </w:rPr>
            </w:pPr>
          </w:p>
        </w:tc>
        <w:tc>
          <w:tcPr>
            <w:tcW w:w="10720" w:type="dxa"/>
            <w:vAlign w:val="bottom"/>
          </w:tcPr>
          <w:p>
            <w:pPr>
              <w:ind w:left="4360"/>
              <w:spacing w:after="0"/>
              <w:rPr>
                <w:sz w:val="20"/>
                <w:szCs w:val="20"/>
                <w:color w:val="auto"/>
              </w:rPr>
            </w:pPr>
            <w:r>
              <w:rPr>
                <w:rFonts w:ascii="Times New Roman" w:cs="Times New Roman" w:eastAsia="Times New Roman" w:hAnsi="Times New Roman"/>
                <w:sz w:val="24"/>
                <w:szCs w:val="24"/>
                <w:b w:val="1"/>
                <w:bCs w:val="1"/>
                <w:color w:val="auto"/>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7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7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 and Restrictions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Selected Historical Consolidated Financial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History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Regulation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Principal Stockholders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Eligible for Future Sale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Additional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7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-3324860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0"/>
          <w:szCs w:val="20"/>
          <w:color w:val="auto"/>
        </w:rPr>
      </w:pPr>
    </w:p>
    <w:p>
      <w:pPr>
        <w:ind w:right="20" w:firstLine="439"/>
        <w:spacing w:after="0" w:line="255" w:lineRule="auto"/>
        <w:rPr>
          <w:sz w:val="20"/>
          <w:szCs w:val="20"/>
          <w:color w:val="auto"/>
        </w:rPr>
      </w:pPr>
      <w:r>
        <w:rPr>
          <w:rFonts w:ascii="Times New Roman" w:cs="Times New Roman" w:eastAsia="Times New Roman" w:hAnsi="Times New Roman"/>
          <w:sz w:val="18"/>
          <w:szCs w:val="18"/>
          <w:b w:val="1"/>
          <w:bCs w:val="1"/>
          <w:color w:val="auto"/>
        </w:rPr>
        <w:t>This prospectus does not constitute an offer to sell, or a solicitation of an offer to buy, any securities offered hereby in any jurisdiction where, or to any person to whom, it is unlawful to make such offer or solicitation. The information contained in this prospectus speaks only as of the date of this prospectus unless the information specifically indicates that another date applies. No dealer, salesperson or other person has been authorized to give any information or to make any representations other than those contained in this prospectus in connection with the offer contained herein and, if given or made, such information or representations must not be relied upon as having been authorized by us. Neither the delivery of this prospectus nor any sales made hereunder shall under any circumstances create an implication that there has been no change in our affairs or that of our subsidiaries since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right="10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that we consider important to investors. You should read the entire prospectus carefully, including the "Risk Factors" section and our consolidated financial statements and the related notes appearing at the end of this prospectus, before making an investment decision.</w:t>
      </w:r>
    </w:p>
    <w:p>
      <w:pPr>
        <w:spacing w:after="0" w:line="181" w:lineRule="exact"/>
        <w:rPr>
          <w:sz w:val="20"/>
          <w:szCs w:val="20"/>
          <w:color w:val="auto"/>
        </w:rPr>
      </w:pPr>
    </w:p>
    <w:p>
      <w:pPr>
        <w:ind w:right="60" w:firstLine="439"/>
        <w:spacing w:after="0" w:line="312" w:lineRule="auto"/>
        <w:rPr>
          <w:sz w:val="20"/>
          <w:szCs w:val="20"/>
          <w:color w:val="auto"/>
        </w:rPr>
      </w:pPr>
      <w:r>
        <w:rPr>
          <w:rFonts w:ascii="Times New Roman" w:cs="Times New Roman" w:eastAsia="Times New Roman" w:hAnsi="Times New Roman"/>
          <w:sz w:val="16"/>
          <w:szCs w:val="16"/>
          <w:i w:val="1"/>
          <w:iCs w:val="1"/>
          <w:color w:val="auto"/>
        </w:rPr>
        <w:t>"We," "us," "our," "successor," and the "company" refer to Globalstar, Inc., the issuer of the common stock offered by this prospectus, which was previously named New Operating Globalstar LLC and Globalstar LLC, and its subsidiaries. "Old Globalstar" and "Predecessor" refer to Globalstar, L.P., a Delaware limited partnership that developed and operated our business from its formation in 1993 until our acquisition of its business and assets on December 5, 2003.</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We are a leading provider of mobile voice and data communications services via satellite, with an estimated 10.2% share of global subscribers in the mobile satellite services industry in 2005. By providing wireless services where terrestrial wireless and wireline networks do not, we seek to address our customers' increasing desire for connectivity and reliable service at all times and locations. Using 43 in-orbit satellites and 25 ground stations, which we refer to as gateways, we offer voice and data communications services in over 120 countries. Sixteen of these gateways are operated by unaffiliated companies, which we refer to as independent gateway operators and which purchase communications services from us on a wholesale basis for resale to their customers.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currently provide the following telecommunications services:</w:t>
      </w:r>
    </w:p>
    <w:p>
      <w:pPr>
        <w:spacing w:after="0" w:line="239" w:lineRule="exact"/>
        <w:rPr>
          <w:sz w:val="20"/>
          <w:szCs w:val="20"/>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voice communication between mobile or fixed handsets or user terminals sold by us and other mobile and fixed devices;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data transmissions (which we call duplex) between mobile and fixed data modems; and</w:t>
      </w:r>
    </w:p>
    <w:p>
      <w:pPr>
        <w:spacing w:after="0" w:line="238"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data transmissions (which we call Simplex) between a mobile device that transmits its location or other telemetry information and a central monitoring station.</w:t>
      </w:r>
    </w:p>
    <w:p>
      <w:pPr>
        <w:spacing w:after="0" w:line="174"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We hold licenses to operate a wireless communications network via satellite over 27.85 MHz, comprised of two blocks of contiguous global radio frequencies. We refer to our licensed radio frequencies as our "spectrum." We are also licensed by the U.S. Federal Communications Commission, or the FCC, to provide an ancillary terrestrial component, known as ATC services, in combination with our existing communication services.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services are available only with equipment designed to work on our network. The equipment we offer to our customers consists principally of:</w:t>
      </w:r>
    </w:p>
    <w:p>
      <w:pPr>
        <w:spacing w:after="0" w:line="239"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telephones;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telephones;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accessories, such as car kits and chargers;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modems.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firstLine="429"/>
        <w:spacing w:after="0" w:line="310" w:lineRule="auto"/>
        <w:rPr>
          <w:sz w:val="20"/>
          <w:szCs w:val="20"/>
          <w:color w:val="auto"/>
        </w:rPr>
      </w:pPr>
      <w:r>
        <w:rPr>
          <w:rFonts w:ascii="Times New Roman" w:cs="Times New Roman" w:eastAsia="Times New Roman" w:hAnsi="Times New Roman"/>
          <w:sz w:val="16"/>
          <w:szCs w:val="16"/>
          <w:color w:val="auto"/>
        </w:rPr>
        <w:t>At June 30, 2006, we served approximately 236,500 subscribers. We added approximately 54,000 and 41,000 net subscribers in the year ended December 31, 2005 and in the six months ended June 30, 2006, respectively. We count "subscribers" based on the number of devices that are subject to agreements which entitle them to use our voice or data communication services rather than the number of persons or entities who own or lease those devices.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ind w:right="440" w:firstLine="439"/>
        <w:spacing w:after="0" w:line="275" w:lineRule="auto"/>
        <w:rPr>
          <w:sz w:val="20"/>
          <w:szCs w:val="20"/>
          <w:color w:val="auto"/>
        </w:rPr>
      </w:pPr>
      <w:r>
        <w:rPr>
          <w:rFonts w:ascii="Times New Roman" w:cs="Times New Roman" w:eastAsia="Times New Roman" w:hAnsi="Times New Roman"/>
          <w:sz w:val="18"/>
          <w:szCs w:val="18"/>
          <w:color w:val="auto"/>
        </w:rPr>
        <w:t>Our satellite constellation was launched in the late 1990s. We intend to launch eight spare satellites in 2007 to supplement those currently in orbit. We believe that, as supplemented, our constellation will continue to provide commercially acceptable service at least into 2010.</w:t>
      </w:r>
    </w:p>
    <w:p>
      <w:pPr>
        <w:spacing w:after="0" w:line="174" w:lineRule="exact"/>
        <w:rPr>
          <w:sz w:val="20"/>
          <w:szCs w:val="20"/>
          <w:color w:val="auto"/>
        </w:rPr>
      </w:pPr>
    </w:p>
    <w:p>
      <w:pPr>
        <w:ind w:right="240" w:firstLine="436"/>
        <w:spacing w:after="0" w:line="275" w:lineRule="auto"/>
        <w:rPr>
          <w:sz w:val="20"/>
          <w:szCs w:val="20"/>
          <w:color w:val="auto"/>
        </w:rPr>
      </w:pPr>
      <w:r>
        <w:rPr>
          <w:rFonts w:ascii="Times New Roman" w:cs="Times New Roman" w:eastAsia="Times New Roman" w:hAnsi="Times New Roman"/>
          <w:sz w:val="18"/>
          <w:szCs w:val="18"/>
          <w:color w:val="auto"/>
        </w:rPr>
        <w:t>We are currently in the process of designing and procuring our second-generation satellite constellation, which we expect to deploy beginning in 2009 to extend the life of our network until approximately 2025.</w:t>
      </w:r>
    </w:p>
    <w:p>
      <w:pPr>
        <w:spacing w:after="0" w:line="174"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following table shows our revenue, net income (including for the first six months of 2006 an income tax benefit of $21.4 million), average monthly revenue per user (measured by the number of devices in service) for retail subscribers (retail subscribers exclude those we serve through independent gateway operators and Simplex service subscribers), cost per gross addition (our cost of obtaining a new subscriber) and average monthly customer turnover ("churn rate") for the periods indicated. See Notes 5, 6, 7 and 9 to "—Summary Historical Consolidated Financial and Other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w w:val="95"/>
              </w:rPr>
              <w:t>Ended June 30,</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0" w:type="dxa"/>
            <w:vAlign w:val="bottom"/>
            <w:gridSpan w:val="3"/>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 million</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 million</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 million</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 million</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 million</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 million</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user</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67.93</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per gross addition</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churn rate percentage</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-1264285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-1264285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-1264285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-1264285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-1015365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-1015365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-1015365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-1015365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-1015365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-1015365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-1015365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-1015365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140" w:firstLine="436"/>
        <w:spacing w:after="0" w:line="256" w:lineRule="auto"/>
        <w:rPr>
          <w:sz w:val="20"/>
          <w:szCs w:val="20"/>
          <w:color w:val="auto"/>
        </w:rPr>
      </w:pPr>
      <w:r>
        <w:rPr>
          <w:rFonts w:ascii="Times New Roman" w:cs="Times New Roman" w:eastAsia="Times New Roman" w:hAnsi="Times New Roman"/>
          <w:sz w:val="18"/>
          <w:szCs w:val="18"/>
          <w:color w:val="auto"/>
        </w:rPr>
        <w:t>We and Old Globalstar incurred net losses aggregating $266.4 million for the year December 31, 2003. At August 16, 2006, our outstanding indebtedness was $18.7 million, consisting principally of revolving credit loans under our credit agreement. If we had borrowed the remainder of the committed funds under our credit agreement, our indebtedness would have been $151.4 million. Upon completion of this offering, James Monroe III, our chairman and chief executive officer, will be the beneficial owner of approximately 58% of our outstanding common stock and will be able to control the election of all of the members of our board of directors and the vote on substantially all other matters.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right="60" w:firstLine="436"/>
        <w:spacing w:after="0" w:line="301" w:lineRule="auto"/>
        <w:rPr>
          <w:sz w:val="20"/>
          <w:szCs w:val="20"/>
          <w:color w:val="auto"/>
        </w:rPr>
      </w:pPr>
      <w:r>
        <w:rPr>
          <w:rFonts w:ascii="Times New Roman" w:cs="Times New Roman" w:eastAsia="Times New Roman" w:hAnsi="Times New Roman"/>
          <w:sz w:val="16"/>
          <w:szCs w:val="16"/>
          <w:color w:val="auto"/>
        </w:rPr>
        <w:t>We compete in the mobile satellite services sector of the global communications industry. Mobile satellite services operators provide voice and data services using a network of satellites and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57" w:lineRule="exact"/>
        <w:rPr>
          <w:sz w:val="20"/>
          <w:szCs w:val="20"/>
          <w:color w:val="auto"/>
        </w:rPr>
      </w:pPr>
    </w:p>
    <w:p>
      <w:pPr>
        <w:ind w:right="580" w:firstLine="439"/>
        <w:spacing w:after="0" w:line="275" w:lineRule="auto"/>
        <w:rPr>
          <w:sz w:val="20"/>
          <w:szCs w:val="20"/>
          <w:color w:val="auto"/>
        </w:rPr>
      </w:pPr>
      <w:r>
        <w:rPr>
          <w:rFonts w:ascii="Times New Roman" w:cs="Times New Roman" w:eastAsia="Times New Roman" w:hAnsi="Times New Roman"/>
          <w:sz w:val="18"/>
          <w:szCs w:val="18"/>
          <w:color w:val="auto"/>
        </w:rPr>
        <w:t>Over the past two decades, the global mobile satellite services market has experienced significant growth. Communications industry sectors that are relevant to our business include:</w:t>
      </w:r>
    </w:p>
    <w:p>
      <w:pPr>
        <w:spacing w:after="0" w:line="187" w:lineRule="exact"/>
        <w:rPr>
          <w:sz w:val="20"/>
          <w:szCs w:val="20"/>
          <w:color w:val="auto"/>
        </w:rPr>
      </w:pPr>
    </w:p>
    <w:p>
      <w:pPr>
        <w:ind w:left="1080" w:right="6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satellite services, which provide customers with connectivity to mobile and fixed devices using a network of satellites and ground facilities;</w:t>
      </w:r>
    </w:p>
    <w:p>
      <w:pPr>
        <w:spacing w:after="0" w:line="200"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services, which use geostationary satellites to provide customers with voice and broadband communications links between fixed points on the earth's surface;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terrestrial services, which use a terrestrial network to provide wireless or wireline connectivity and are complementary to satellite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throughout this prospectus from our own internal estimates and research as well as from industry and general publications and from research, surveys and studies conducted by third parties, including Gartner, Inc., Northern Sky Research, LLC, Telecom, Media and Finance Associates, Inc., and Frost &amp; Sullivan. Old Globalstar paid Frost &amp; Sullivan $13,400 to prepare its report, which was published in 2002. Copies of these reports are now publicly available from Gartner, Northern Sky Research, Telecom, Media and Finance Associates and Frost &amp; Sullivan upon payment of a nominal fee. Industry publications, studies and surveys generally state that they have been obtained from sources believed to be reliable, although they do not guarantee the accuracy or completeness of such information.</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our competitive strengths position us to enhance our growth and profitability:</w:t>
      </w:r>
    </w:p>
    <w:p>
      <w:pPr>
        <w:spacing w:after="0" w:line="223" w:lineRule="exact"/>
        <w:rPr>
          <w:sz w:val="20"/>
          <w:szCs w:val="20"/>
          <w:color w:val="auto"/>
        </w:rPr>
      </w:pPr>
    </w:p>
    <w:p>
      <w:pPr>
        <w:ind w:right="1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Key Markets. </w:t>
      </w:r>
      <w:r>
        <w:rPr>
          <w:rFonts w:ascii="Times New Roman" w:cs="Times New Roman" w:eastAsia="Times New Roman" w:hAnsi="Times New Roman"/>
          <w:sz w:val="18"/>
          <w:szCs w:val="18"/>
          <w:color w:val="auto"/>
        </w:rPr>
        <w:t>We focus on selected underserved public and private sector markets and on customers in these markets that generate high average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user and, therefore, higher revenue growth for our company. Our largest markets are government (including federal, state and local agencies), public safety and disaster relief; recreation and personal; maritime and fishing; and business, financial and insurance.</w:t>
      </w:r>
    </w:p>
    <w:p>
      <w:pPr>
        <w:spacing w:after="0" w:line="181" w:lineRule="exact"/>
        <w:rPr>
          <w:sz w:val="20"/>
          <w:szCs w:val="20"/>
          <w:color w:val="auto"/>
        </w:rPr>
      </w:pPr>
    </w:p>
    <w:p>
      <w:pPr>
        <w:ind w:right="3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Service and Product Offerings. </w:t>
      </w:r>
      <w:r>
        <w:rPr>
          <w:rFonts w:ascii="Times New Roman" w:cs="Times New Roman" w:eastAsia="Times New Roman" w:hAnsi="Times New Roman"/>
          <w:sz w:val="18"/>
          <w:szCs w:val="18"/>
          <w:color w:val="auto"/>
        </w:rPr>
        <w:t>We believe we are able to retain our current customers and attract new customers because of our pricing plans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quality of our network. We offer pricing plans with rates as low as $0.14 per minute.</w:t>
      </w:r>
    </w:p>
    <w:p>
      <w:pPr>
        <w:spacing w:after="0" w:line="170" w:lineRule="exact"/>
        <w:rPr>
          <w:sz w:val="20"/>
          <w:szCs w:val="20"/>
          <w:color w:val="auto"/>
        </w:rPr>
      </w:pPr>
    </w:p>
    <w:p>
      <w:pPr>
        <w:ind w:right="180" w:firstLine="43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Distribution Network. </w:t>
      </w:r>
      <w:r>
        <w:rPr>
          <w:rFonts w:ascii="Times New Roman" w:cs="Times New Roman" w:eastAsia="Times New Roman" w:hAnsi="Times New Roman"/>
          <w:sz w:val="16"/>
          <w:szCs w:val="16"/>
          <w:color w:val="auto"/>
        </w:rPr>
        <w:t>Our distribution network, which includes a large network of dealers, agents and resellers, provides broad coverage of our diverse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 subscriber base in over 120 countries. We sell our services directly in over 25 countries and on a wholesale basis in over 60 additional countries.</w:t>
      </w:r>
    </w:p>
    <w:p>
      <w:pPr>
        <w:spacing w:after="0" w:line="124" w:lineRule="exact"/>
        <w:rPr>
          <w:sz w:val="20"/>
          <w:szCs w:val="20"/>
          <w:color w:val="auto"/>
        </w:rPr>
      </w:pPr>
    </w:p>
    <w:p>
      <w:pPr>
        <w:ind w:right="8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Existing Global Satellite Communications Network. </w:t>
      </w:r>
      <w:r>
        <w:rPr>
          <w:rFonts w:ascii="Times New Roman" w:cs="Times New Roman" w:eastAsia="Times New Roman" w:hAnsi="Times New Roman"/>
          <w:sz w:val="18"/>
          <w:szCs w:val="18"/>
          <w:color w:val="auto"/>
        </w:rPr>
        <w:t>Our constellation of low earth orbit satellites and terrestrial gateways has been in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since 2000 and serves as the backbone of our communications network. We believe our existing network is capable of handling the expected growth in demand for our services.</w:t>
      </w:r>
    </w:p>
    <w:p>
      <w:pPr>
        <w:spacing w:after="0" w:line="181" w:lineRule="exact"/>
        <w:rPr>
          <w:sz w:val="20"/>
          <w:szCs w:val="20"/>
          <w:color w:val="auto"/>
        </w:rPr>
      </w:pPr>
    </w:p>
    <w:p>
      <w:pPr>
        <w:ind w:right="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Broad, Contiguous Spectrum Holdings. </w:t>
      </w:r>
      <w:r>
        <w:rPr>
          <w:rFonts w:ascii="Times New Roman" w:cs="Times New Roman" w:eastAsia="Times New Roman" w:hAnsi="Times New Roman"/>
          <w:sz w:val="18"/>
          <w:szCs w:val="18"/>
          <w:color w:val="auto"/>
        </w:rPr>
        <w:t>We believe our broad contiguous spectrum holdings, which can support advanced wireless technologies, give 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advantage for our existing services and will enable us to deploy an ATC network cost effectively.</w:t>
      </w:r>
    </w:p>
    <w:p>
      <w:pPr>
        <w:spacing w:after="0" w:line="170" w:lineRule="exact"/>
        <w:rPr>
          <w:sz w:val="20"/>
          <w:szCs w:val="20"/>
          <w:color w:val="auto"/>
        </w:rPr>
      </w:pPr>
    </w:p>
    <w:p>
      <w:pPr>
        <w:ind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ATC Services Capability. </w:t>
      </w:r>
      <w:r>
        <w:rPr>
          <w:rFonts w:ascii="Times New Roman" w:cs="Times New Roman" w:eastAsia="Times New Roman" w:hAnsi="Times New Roman"/>
          <w:sz w:val="18"/>
          <w:szCs w:val="18"/>
          <w:color w:val="auto"/>
        </w:rPr>
        <w:t>Our current satellites and gateways are capable of supporting ATC services and, therefore, in combination with a terrestrial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we will be able to provide services where satellite services generally do not function, such as urban areas and inside buildings. We believe this capability will allow us to be among the first to introduce these services, potentially as soon as 2007.</w:t>
      </w:r>
    </w:p>
    <w:p>
      <w:pPr>
        <w:spacing w:after="0" w:line="181" w:lineRule="exact"/>
        <w:rPr>
          <w:sz w:val="20"/>
          <w:szCs w:val="20"/>
          <w:color w:val="auto"/>
        </w:rPr>
      </w:pPr>
    </w:p>
    <w:p>
      <w:pPr>
        <w:ind w:right="46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International Spectrum Licenses. </w:t>
      </w:r>
      <w:r>
        <w:rPr>
          <w:rFonts w:ascii="Times New Roman" w:cs="Times New Roman" w:eastAsia="Times New Roman" w:hAnsi="Times New Roman"/>
          <w:sz w:val="18"/>
          <w:szCs w:val="18"/>
          <w:color w:val="auto"/>
        </w:rPr>
        <w:t>We have access to our spectrum globally, while most of our competitors only have access to spectrum frequencies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regionally. This will afford us economies of scale when introducing ATC and other new mobile communications services.</w:t>
      </w:r>
    </w:p>
    <w:p>
      <w:pPr>
        <w:spacing w:after="0" w:line="170" w:lineRule="exact"/>
        <w:rPr>
          <w:sz w:val="20"/>
          <w:szCs w:val="20"/>
          <w:color w:val="auto"/>
        </w:rPr>
      </w:pPr>
    </w:p>
    <w:p>
      <w:pPr>
        <w:ind w:right="80" w:firstLine="43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Strategic Relationship with QUALCOMM. </w:t>
      </w:r>
      <w:r>
        <w:rPr>
          <w:rFonts w:ascii="Times New Roman" w:cs="Times New Roman" w:eastAsia="Times New Roman" w:hAnsi="Times New Roman"/>
          <w:sz w:val="16"/>
          <w:szCs w:val="16"/>
          <w:color w:val="auto"/>
        </w:rPr>
        <w:t>We are the only satellite network operator currently using the patented QUALCOMM Incorporated CDMA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which permits the dynamic selection of the strongest signal available and produces a higher audio quality than our principal competitor's technology.</w:t>
      </w:r>
    </w:p>
    <w:p>
      <w:pPr>
        <w:spacing w:after="0" w:line="124" w:lineRule="exact"/>
        <w:rPr>
          <w:sz w:val="20"/>
          <w:szCs w:val="20"/>
          <w:color w:val="auto"/>
        </w:rPr>
      </w:pPr>
    </w:p>
    <w:p>
      <w:pPr>
        <w:ind w:right="160" w:firstLine="43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Experienced Management Team. </w:t>
      </w:r>
      <w:r>
        <w:rPr>
          <w:rFonts w:ascii="Times New Roman" w:cs="Times New Roman" w:eastAsia="Times New Roman" w:hAnsi="Times New Roman"/>
          <w:sz w:val="16"/>
          <w:szCs w:val="16"/>
          <w:color w:val="auto"/>
        </w:rPr>
        <w:t>Our senior management team combines experts in wireless and wireline communications with pioneers in the fields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satellite engineering and satellite operations. Our senior satellite managers have 22 to 43 years of experience in satellite engineering and satellite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Our senior communications managers have 12 to 18 years of experience in the telecommunications industry.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goal is to be the leading global provider of mobile voice and data communications solutions via satellite. We intend to achieve this objective by:</w:t>
      </w:r>
    </w:p>
    <w:p>
      <w:pPr>
        <w:spacing w:after="0" w:line="223" w:lineRule="exact"/>
        <w:rPr>
          <w:sz w:val="20"/>
          <w:szCs w:val="20"/>
          <w:color w:val="auto"/>
        </w:rPr>
      </w:pPr>
    </w:p>
    <w:p>
      <w:pPr>
        <w:ind w:right="2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Continuing Rapid and Profitable Growth of Our Subscriber Base. </w:t>
      </w:r>
      <w:r>
        <w:rPr>
          <w:rFonts w:ascii="Times New Roman" w:cs="Times New Roman" w:eastAsia="Times New Roman" w:hAnsi="Times New Roman"/>
          <w:sz w:val="18"/>
          <w:szCs w:val="18"/>
          <w:color w:val="auto"/>
        </w:rPr>
        <w:t>We intend to continue to increase our penetration of the growing mobile 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market and our market share of key markets by continuing to provide competitive service and product offerings and utilizing our existing distribution network.</w:t>
      </w:r>
    </w:p>
    <w:p>
      <w:pPr>
        <w:spacing w:after="0" w:line="181" w:lineRule="exact"/>
        <w:rPr>
          <w:sz w:val="20"/>
          <w:szCs w:val="20"/>
          <w:color w:val="auto"/>
        </w:rPr>
      </w:pPr>
    </w:p>
    <w:p>
      <w:pPr>
        <w:ind w:right="1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Improving Our Profitability by Consolidating Our International Distribution Chain. </w:t>
      </w:r>
      <w:r>
        <w:rPr>
          <w:rFonts w:ascii="Times New Roman" w:cs="Times New Roman" w:eastAsia="Times New Roman" w:hAnsi="Times New Roman"/>
          <w:sz w:val="18"/>
          <w:szCs w:val="18"/>
          <w:color w:val="auto"/>
        </w:rPr>
        <w:t>Over the past four years, we have acquired five independent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in strategic geographic regions. We believe that our independent gateway operator consolidation strategy will better position us to market our services directly to multinational customers requiring a global communications provider and will increase our overall profitability by allowing us to sell most of our services directly to subscribers at retail prices.</w:t>
      </w:r>
    </w:p>
    <w:p>
      <w:pPr>
        <w:spacing w:after="0" w:line="187" w:lineRule="exact"/>
        <w:rPr>
          <w:sz w:val="20"/>
          <w:szCs w:val="20"/>
          <w:color w:val="auto"/>
        </w:rPr>
      </w:pPr>
    </w:p>
    <w:p>
      <w:pPr>
        <w:ind w:right="6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Expanding Our Coverage and Upgrading Our Service Offerings. </w:t>
      </w:r>
      <w:r>
        <w:rPr>
          <w:rFonts w:ascii="Times New Roman" w:cs="Times New Roman" w:eastAsia="Times New Roman" w:hAnsi="Times New Roman"/>
          <w:sz w:val="18"/>
          <w:szCs w:val="18"/>
          <w:color w:val="auto"/>
        </w:rPr>
        <w:t>We intend to continue to increase the quality and availability of our services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selectively adding gateways to our network. We also plan to enhance our network to handle broadband data, faster transmission speeds and new hybrid applications.</w:t>
      </w:r>
    </w:p>
    <w:p>
      <w:pPr>
        <w:spacing w:after="0" w:line="181" w:lineRule="exact"/>
        <w:rPr>
          <w:sz w:val="20"/>
          <w:szCs w:val="20"/>
          <w:color w:val="auto"/>
        </w:rPr>
      </w:pPr>
    </w:p>
    <w:p>
      <w:pPr>
        <w:ind w:right="1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Developing Next-Generation Devices. </w:t>
      </w:r>
      <w:r>
        <w:rPr>
          <w:rFonts w:ascii="Times New Roman" w:cs="Times New Roman" w:eastAsia="Times New Roman" w:hAnsi="Times New Roman"/>
          <w:sz w:val="18"/>
          <w:szCs w:val="18"/>
          <w:color w:val="auto"/>
        </w:rPr>
        <w:t>In late 2006, we expect to begin selling a broad range of more technologically advanced satellite phones and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that will be significantly smaller in size, lighter in weight and less expensive than existing mobile satellite services equipment and will be designed to meet our customers' evolving service needs, which we believe will stimulate additional demand for our services.</w:t>
      </w:r>
    </w:p>
    <w:p>
      <w:pPr>
        <w:spacing w:after="0" w:line="181" w:lineRule="exact"/>
        <w:rPr>
          <w:sz w:val="20"/>
          <w:szCs w:val="20"/>
          <w:color w:val="auto"/>
        </w:rPr>
      </w:pPr>
    </w:p>
    <w:p>
      <w:pPr>
        <w:ind w:right="1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Exploring Opportunities to Maximize the Value of Our Spectrum. </w:t>
      </w:r>
      <w:r>
        <w:rPr>
          <w:rFonts w:ascii="Times New Roman" w:cs="Times New Roman" w:eastAsia="Times New Roman" w:hAnsi="Times New Roman"/>
          <w:sz w:val="18"/>
          <w:szCs w:val="18"/>
          <w:color w:val="auto"/>
        </w:rPr>
        <w:t>We expect the market for wireless applications to continue to grow,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exploring relationships with a range of communications and media companies to enable us to be among the first in our industry to utilize our spectrum and ATC license for wireless voice, data and video applications.</w:t>
      </w:r>
    </w:p>
    <w:p>
      <w:pPr>
        <w:spacing w:after="0" w:line="181" w:lineRule="exact"/>
        <w:rPr>
          <w:sz w:val="20"/>
          <w:szCs w:val="20"/>
          <w:color w:val="auto"/>
        </w:rPr>
      </w:pPr>
    </w:p>
    <w:p>
      <w:pPr>
        <w:ind w:right="48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Exploiting Our International Spectrum. </w:t>
      </w:r>
      <w:r>
        <w:rPr>
          <w:rFonts w:ascii="Times New Roman" w:cs="Times New Roman" w:eastAsia="Times New Roman" w:hAnsi="Times New Roman"/>
          <w:sz w:val="18"/>
          <w:szCs w:val="18"/>
          <w:color w:val="auto"/>
        </w:rPr>
        <w:t>Regulatory authorities outside of the United States are reviewing ATC-like rulings. We believe we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positioned to advocate for the adoption of rules and regulations that would allow us to use our spectrum for ATC-like services around the world.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227"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Our network, originally owned by Old Globalstar, was designed, built and launched in the late 1990s by a technology partnership led by Loral Space and Communications and QUALCOMM. On February 15, 2002, Old Globalstar and three of its subsidiaries filed voluntary petitions under Chapter 11 of the United States Bankruptcy Code. In 2004, Thermo Capital Partners L.L.P., which owns and operates companies in diverse business sectors and is referred to in this prospectus, together with its affiliates, as Thermo, became our principal owner, and we completed the acquisition of the business and assets of Old Globalstar. We refer to this transaction as the "Reorganization."</w:t>
      </w:r>
    </w:p>
    <w:p>
      <w:pPr>
        <w:spacing w:after="0" w:line="193" w:lineRule="exact"/>
        <w:rPr>
          <w:sz w:val="20"/>
          <w:szCs w:val="20"/>
          <w:color w:val="auto"/>
        </w:rPr>
      </w:pPr>
    </w:p>
    <w:p>
      <w:pPr>
        <w:ind w:right="140" w:firstLine="436"/>
        <w:spacing w:after="0" w:line="275" w:lineRule="auto"/>
        <w:rPr>
          <w:sz w:val="20"/>
          <w:szCs w:val="20"/>
          <w:color w:val="auto"/>
        </w:rPr>
      </w:pPr>
      <w:r>
        <w:rPr>
          <w:rFonts w:ascii="Times New Roman" w:cs="Times New Roman" w:eastAsia="Times New Roman" w:hAnsi="Times New Roman"/>
          <w:sz w:val="18"/>
          <w:szCs w:val="18"/>
          <w:color w:val="auto"/>
        </w:rPr>
        <w:t>We were formed as a Delaware limited liability company in November 2003, and were converted into a Delaware corporation on March 17, 2006. Unless we specifically state otherwise, all information in this prospectus is presented as if we were a corporation throughout the relevant periods.</w:t>
      </w:r>
    </w:p>
    <w:p>
      <w:pPr>
        <w:spacing w:after="0" w:line="174"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 xml:space="preserve">Our executive offices are located at 461 South Milpitas Boulevard, Milpitas, California 95035, and our telephone number is (408) 933-4000. We maintain a website at </w:t>
      </w:r>
      <w:r>
        <w:rPr>
          <w:rFonts w:ascii="Times New Roman" w:cs="Times New Roman" w:eastAsia="Times New Roman" w:hAnsi="Times New Roman"/>
          <w:sz w:val="18"/>
          <w:szCs w:val="18"/>
          <w:i w:val="1"/>
          <w:iCs w:val="1"/>
          <w:color w:val="auto"/>
        </w:rPr>
        <w:t>www.globalstar.com</w:t>
      </w:r>
      <w:r>
        <w:rPr>
          <w:rFonts w:ascii="Times New Roman" w:cs="Times New Roman" w:eastAsia="Times New Roman" w:hAnsi="Times New Roman"/>
          <w:sz w:val="18"/>
          <w:szCs w:val="18"/>
          <w:color w:val="auto"/>
        </w:rPr>
        <w:t>. Information contained on this website does not constitute part of this prospectus.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right="320" w:firstLine="439"/>
        <w:spacing w:after="0" w:line="256" w:lineRule="auto"/>
        <w:rPr>
          <w:sz w:val="20"/>
          <w:szCs w:val="20"/>
          <w:color w:val="auto"/>
        </w:rPr>
      </w:pPr>
      <w:r>
        <w:rPr>
          <w:rFonts w:ascii="Times New Roman" w:cs="Times New Roman" w:eastAsia="Times New Roman" w:hAnsi="Times New Roman"/>
          <w:sz w:val="18"/>
          <w:szCs w:val="18"/>
          <w:color w:val="auto"/>
        </w:rPr>
        <w:t xml:space="preserve">On August 16, 2006, we entered into an amended and restated credit agreement providing for $150.0 million in the form of a five-year term loan and a four-year revolving credit facility. As of June 30, 2006, our outstanding borrowings under the credit agreement were $15.0 million. See "Management's Discussion and Analysis of Financial Condition and Results of Operations—Liquidity and Capital Resources—Credit Agreement." The credit agreement also permits us to incur additional term loans on an equally and ratably secured,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basis in an aggregate amount of up to $150.0 million. We have not received any commitments for these additional term loans.</w:t>
      </w:r>
    </w:p>
    <w:p>
      <w:pPr>
        <w:spacing w:after="0" w:line="193"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In connection with our credit agreement, we entered into an irrevocable standby stock purchase agreement with Thermo Funding Company LLC, an affiliate of Thermo, pursuant to which Thermo Funding Company agreed to purchase on or before December 31, 2011 up to 12,371,136 shares of our common stock at approximately $16.17 per share, an aggregate purchase price of approximately $200.0 million, under certain circumstances, including as may be necessary to enable us to comply with the minimum liquidity and forward fixed charge coverage ratio tests in our credit agreement, to cure defaults in payment of regularly scheduled principal or interest under our credit agreement and to enable us to meet the milestone tests in our credit agreement for receipt of proceeds from the sale of our common stock. Thermo Funding Company also has the right to purchase this common stock at any time during the term of the standby stock purchase agreement at the same price of approximately $16.17 per share, without regard to any future increase in the trading price of our common stock. Thermo Funding Company agreed to secure its obligations under the standby stock purchase agreement by placing in escrow cash and marketable securities with a value equal to 105% of its commitment. Pursuant to the standby stock purchase agreement, on June 30, 2006, Thermo Funding Company purchased 927,840 shares of our common stock for $15.0 million. As required by the pre-emptive rights provisions then contained in our certificate of incorporation, we have offered existing stockholders who are accredited investors (as defined under the Securities Act) the opportunity to participate in the transaction contemplated by the standby stock purchase agreement on a pro rata basis on substantially the same terms as Thermo Funding. The terms of this offering were set forth in a private placement memorandum mailed to these stockholders. These stockholders may purchase up to 2,988,990 additional shares of our common stock at approximately $16.17 per share, an aggregate purchase price of approximately $48.3 million. See "Certain Relationships and Related Party Transactions—Irrevocable Standby Stock Purchase Agreement."</w:t>
      </w:r>
    </w:p>
    <w:p>
      <w:pPr>
        <w:spacing w:after="0" w:line="197"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color w:val="auto"/>
        </w:rPr>
        <w:t>We are in discussions with Loral to settle the litigation described under "Business—Legal Proceedings" and to purchase from Loral its 25% interest in our 75%-owned subsidiary, Government Services, LLC and three gateways and associated licenses it owns in Brazil. Though these discussions have not been finalized and no definitive agreement exists between the parties, we currently expect to pay $0.5 million in either cash or our common stock to settle the litigation and acquire the 25% interest in Government Services, LLC and to pay $6.5 million worth of our common stock to purchase the Brazil assets via a legal structure yet to be determined. We cannot assure you that either of these outcomes will be achieved.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9" w:name="page10"/>
    <w:bookmarkEnd w:id="9"/>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offered by Globalstar,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740" w:right="260"/>
        <w:spacing w:after="0" w:line="262" w:lineRule="auto"/>
        <w:rPr>
          <w:sz w:val="20"/>
          <w:szCs w:val="20"/>
          <w:color w:val="auto"/>
        </w:rPr>
      </w:pPr>
      <w:r>
        <w:rPr>
          <w:rFonts w:ascii="Times New Roman" w:cs="Times New Roman" w:eastAsia="Times New Roman" w:hAnsi="Times New Roman"/>
          <w:sz w:val="18"/>
          <w:szCs w:val="18"/>
          <w:color w:val="auto"/>
        </w:rPr>
        <w:t>6,500,000 shares, which would constitute approximately 9% of our outstanding common stock after this offering, assuming no exercise of the underwriters' over-allotment option.</w:t>
      </w:r>
    </w:p>
    <w:p>
      <w:pPr>
        <w:spacing w:after="0" w:line="186" w:lineRule="exact"/>
        <w:rPr>
          <w:sz w:val="20"/>
          <w:szCs w:val="20"/>
          <w:color w:val="auto"/>
        </w:rPr>
      </w:pPr>
    </w:p>
    <w:p>
      <w:pPr>
        <w:sectPr>
          <w:pgSz w:w="11900" w:h="16838" w:orient="portrait"/>
          <w:cols w:equalWidth="0" w:num="2">
            <w:col w:w="4480" w:space="720"/>
            <w:col w:w="6200"/>
          </w:cols>
          <w:pgMar w:left="240" w:top="339" w:right="259" w:bottom="1440" w:gutter="0" w:footer="0" w:header="0"/>
        </w:sect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Shares of common stock to be outstanding after this offering</w:t>
      </w:r>
      <w:r>
        <w:rPr>
          <w:sz w:val="20"/>
          <w:szCs w:val="20"/>
          <w:color w:val="auto"/>
        </w:rPr>
        <w:tab/>
      </w:r>
      <w:r>
        <w:rPr>
          <w:rFonts w:ascii="Times New Roman" w:cs="Times New Roman" w:eastAsia="Times New Roman" w:hAnsi="Times New Roman"/>
          <w:sz w:val="16"/>
          <w:szCs w:val="16"/>
          <w:color w:val="auto"/>
        </w:rPr>
        <w:t>69,375,494 shares.</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Over-allotment option</w:t>
      </w:r>
      <w:r>
        <w:rPr>
          <w:sz w:val="20"/>
          <w:szCs w:val="20"/>
          <w:color w:val="auto"/>
        </w:rPr>
        <w:tab/>
      </w:r>
      <w:r>
        <w:rPr>
          <w:rFonts w:ascii="Times New Roman" w:cs="Times New Roman" w:eastAsia="Times New Roman" w:hAnsi="Times New Roman"/>
          <w:sz w:val="16"/>
          <w:szCs w:val="16"/>
          <w:color w:val="auto"/>
        </w:rPr>
        <w:t>975,000 shares.</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6"/>
          <w:szCs w:val="16"/>
          <w:color w:val="auto"/>
        </w:rPr>
        <w:t>We estimate that the net proceeds from this offering, after deducting</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underwriting discounts and estimated offering expenses, will be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approximately $100.0 million, assuming the shares are offered at $17.00 per</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share, which is the mid-point of the estimated offering price range set forth</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on the cover page of this prospectus. Except for funding a $685,848 dividend</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to Thermo as described in "Dividend Policy and Restrictions," we intend to</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use the entire net proceeds from this offering to fund in part the procurement</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and launch of our second-generation satellite constellation and related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upgrades to our gateways and other ground facilities. We estimate that the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cost to procure and launch these satellites and upgrade these facilities will be</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approximately $1.0 billion to $1.2 billion. We intend to fund the balance of</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those costs principally from borrowings of the delayed draw term loans under</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our credit agreement and cash generated by our business. We intend to use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any net proceeds we receive from any shares sold pursuant to the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underwriters' over-allotment option for the same purpose. See "Use of</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Proceeds" and "Dividend Policy and Restrictions."</w:t>
      </w:r>
    </w:p>
    <w:p>
      <w:pPr>
        <w:spacing w:after="0" w:line="21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6"/>
          <w:szCs w:val="16"/>
          <w:color w:val="auto"/>
        </w:rPr>
        <w:t>Other than the distribution to Thermo referred to above and the six-for-one</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stock split described below, we do not presently anticipate paying any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dividends on our common stock. Our credit agreement currently prohibits the</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payment of cash dividends.</w:t>
      </w:r>
    </w:p>
    <w:p>
      <w:pPr>
        <w:spacing w:after="0" w:line="21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NASDAQ Global Market symbol</w:t>
      </w:r>
      <w:r>
        <w:rPr>
          <w:sz w:val="20"/>
          <w:szCs w:val="20"/>
          <w:color w:val="auto"/>
        </w:rPr>
        <w:tab/>
      </w:r>
      <w:r>
        <w:rPr>
          <w:rFonts w:ascii="Times New Roman" w:cs="Times New Roman" w:eastAsia="Times New Roman" w:hAnsi="Times New Roman"/>
          <w:sz w:val="16"/>
          <w:szCs w:val="16"/>
          <w:color w:val="auto"/>
        </w:rPr>
        <w:t>"GSAT."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we specifically state otherwise, all information in this prospectus:</w:t>
      </w:r>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over-allotment option;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six-for-one stock split to be effective immediately prior to this offering;</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the conversion of our three series of common stock into one class of common stock to be effective immediately prior to this offering;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type w:val="continuous"/>
        </w:sectPr>
      </w:pPr>
    </w:p>
    <w:bookmarkStart w:id="10" w:name="page11"/>
    <w:bookmarkEnd w:id="10"/>
    <w:p>
      <w:pPr>
        <w:ind w:left="108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1,200,000 shares of common stock reserved for issuance under the Globalstar, Inc. 2006 Equity Incentive Plan, none of which have been issued as of the date of this prospectus; we expect to issue approximately 265,000 shares of restricted stock under this plan upon completion of this offering;</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120,000 shares of common stock reserved for issuance under a stock option granted to one of our directors (See "Management—Board of Directors"); and</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310" w:lineRule="auto"/>
        <w:tabs>
          <w:tab w:leader="none" w:pos="10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11,443,296 shares of common stock reserved for issuance under the irrevocable standby stock purchase agreement with Thermo Funding Company and up to 2,988,990 shares of common stock which may be purchased or reserved for issuance to other stockholders pursuant to our pre-emptive rights offering. See "Certain Relationships and Related Party Transactions—Irrevocable Standby Stock Purchase Agreement."</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40" w:firstLine="439"/>
        <w:spacing w:after="0" w:line="275" w:lineRule="auto"/>
        <w:rPr>
          <w:sz w:val="20"/>
          <w:szCs w:val="20"/>
          <w:color w:val="auto"/>
        </w:rPr>
      </w:pPr>
      <w:r>
        <w:rPr>
          <w:rFonts w:ascii="Times New Roman" w:cs="Times New Roman" w:eastAsia="Times New Roman" w:hAnsi="Times New Roman"/>
          <w:sz w:val="18"/>
          <w:szCs w:val="18"/>
          <w:color w:val="auto"/>
        </w:rPr>
        <w:t>Investing in our common stock involves substantial risk. You should carefully consider all of the information set forth in this prospectus and, in particular, you should evaluate the specific factors set forth under "Risk Factors" before deciding whether to invest in our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7"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The following table presents our summary historical consolidated financial information and other data for the period from January 1, 2003 through December 4, 2003, the period from December 5, 2003 through December 31, 2003, the years ended December 31, 2004 and 2005 and the six months ended June 30, 2005 and 2006, and as of December 31, 2003, 2004 and 2005 and June 30, 2006. Our summary historical consolidated financial information for the period from January 1, 2003 to December 4, 2003 (Predecessor), the period from December 5, 2003 to December 31, 2003 (Successor), and the years ended December 31, 2004 and 2005 (Successor), and as of December 31, 2004 and 2005, has been derived from our audited consolidated financial statements which are included in this prospectus. Our summary historical consolidated financial information for the six months ended June 30, 2005 and 2006, and as of June 30, 2006, is derived from our unaudited consolidated financial statements which also are included in this prospectus. In the opinion of management, the unaudited financial information includes all adjustments, consisting of only normal recurring adjustments, considered necessary for a fair presentation of this information. The results of operations for interim periods are not necessarily indicative of the results that may be expected for the entire year.</w:t>
      </w:r>
    </w:p>
    <w:p>
      <w:pPr>
        <w:spacing w:after="0" w:line="197" w:lineRule="exact"/>
        <w:rPr>
          <w:sz w:val="20"/>
          <w:szCs w:val="20"/>
          <w:color w:val="auto"/>
        </w:rPr>
      </w:pPr>
    </w:p>
    <w:p>
      <w:pPr>
        <w:ind w:right="220" w:firstLine="436"/>
        <w:spacing w:after="0" w:line="275" w:lineRule="auto"/>
        <w:rPr>
          <w:sz w:val="20"/>
          <w:szCs w:val="20"/>
          <w:color w:val="auto"/>
        </w:rPr>
      </w:pPr>
      <w:r>
        <w:rPr>
          <w:rFonts w:ascii="Times New Roman" w:cs="Times New Roman" w:eastAsia="Times New Roman" w:hAnsi="Times New Roman"/>
          <w:sz w:val="18"/>
          <w:szCs w:val="18"/>
          <w:color w:val="auto"/>
        </w:rPr>
        <w:t>The column in the following table entitled "Predecessor" contains financial information with respect to the business and operations of Old Globalstar for periods prior to December 5, 2003, the date on which we obtained control of its assets.</w:t>
      </w:r>
    </w:p>
    <w:p>
      <w:pPr>
        <w:spacing w:after="0" w:line="174"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For all periods presented ended on or before December 31, 2005, we and Predecessor operated as a limited partnership or limited liability company and were not subject to U.S. federal and certain state income taxes. Our historical income tax expense consisted only of certain foreign, state and local income taxes. On January 1, 2006, we elected to become subject to U.S. federal and certain state and local income taxes applicable to C corporations. See "Management's Discussion and Analysis of Financial Condition and Results of Operations—Critical Accounting Policies and Estimates—Income Taxes" and Note 13 to our consolidated financial statements.</w:t>
      </w:r>
    </w:p>
    <w:p>
      <w:pPr>
        <w:spacing w:after="0" w:line="19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You should read the summary historical consolidated financial and other data set forth below together with our consolidated financial statements and the related notes, "Selected Historical Consolidated Financial Data" and "Management's Discussion and Analysis of Financial Condition and Results of Operations," all included elsewhere in this prospectus. The summary historical consolidated financial information and other data set forth below are not necessarily indicative of the results of future operations.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January 1</w:t>
            </w:r>
          </w:p>
        </w:tc>
        <w:tc>
          <w:tcPr>
            <w:tcW w:w="10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240" w:type="dxa"/>
            <w:vAlign w:val="bottom"/>
          </w:tcPr>
          <w:p>
            <w:pPr>
              <w:spacing w:after="0"/>
              <w:rPr>
                <w:sz w:val="15"/>
                <w:szCs w:val="15"/>
                <w:color w:val="auto"/>
              </w:rPr>
            </w:pPr>
          </w:p>
        </w:tc>
        <w:tc>
          <w:tcPr>
            <w:tcW w:w="138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2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11"/>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(Dollars in thousands, except for per share data, average monthly</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gridSpan w:val="11"/>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revenue per user, average monthly churn rate and cost per gross addition)</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40,048</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57,927</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34,965</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Subscriber equipment sales(1)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56,343</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84,368</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127,147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50,325</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6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shown separately below)</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26,629</w:t>
            </w: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25,208</w:t>
            </w:r>
          </w:p>
        </w:tc>
        <w:tc>
          <w:tcPr>
            <w:tcW w:w="12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13,780</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subscriber equipment sales(2)</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38,742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Marketing, general and administrative</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28,814</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32,151</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16,626</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31,473</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assets</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317,032</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8,331</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87,909</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105,277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43,901</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6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(260,689)</w:t>
            </w:r>
          </w:p>
        </w:tc>
        <w:tc>
          <w:tcPr>
            <w:tcW w:w="1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(4,474)</w:t>
            </w:r>
          </w:p>
        </w:tc>
        <w:tc>
          <w:tcPr>
            <w:tcW w:w="2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(3,541)</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expense(3)</w:t>
            </w:r>
          </w:p>
        </w:tc>
        <w:tc>
          <w:tcPr>
            <w:tcW w:w="18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3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3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8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w:t>
            </w:r>
          </w:p>
        </w:tc>
        <w:tc>
          <w:tcPr>
            <w:tcW w:w="3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(649)</w:t>
            </w: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(670)</w:t>
            </w:r>
          </w:p>
        </w:tc>
        <w:tc>
          <w:tcPr>
            <w:tcW w:w="32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(261,710)</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2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(4,314)</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Data(4):</w:t>
            </w: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80" w:type="dxa"/>
            <w:vAlign w:val="bottom"/>
            <w:gridSpan w:val="2"/>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6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Earnings (loss) per common share—basic</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Earnings (loss) per common share—diluted</w:t>
            </w:r>
          </w:p>
        </w:tc>
        <w:tc>
          <w:tcPr>
            <w:tcW w:w="1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2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2"/>
                <w:szCs w:val="12"/>
                <w:color w:val="auto"/>
              </w:rPr>
            </w:pPr>
          </w:p>
        </w:tc>
        <w:tc>
          <w:tcPr>
            <w:tcW w:w="320" w:type="dxa"/>
            <w:vAlign w:val="bottom"/>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shares—basic</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60,463,917</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61,957,906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shares—diluted</w:t>
            </w:r>
          </w:p>
        </w:tc>
        <w:tc>
          <w:tcPr>
            <w:tcW w:w="1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60,463,917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62,287,618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Pro forma (unaudited) earnings (loss) per share—diluted</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(including all shares subject to the irrevocable standby stock</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 agreement with Thermo Funding Company and all</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subject to the pre-emptive rights offering)</w:t>
            </w:r>
          </w:p>
        </w:tc>
        <w:tc>
          <w:tcPr>
            <w:tcW w:w="18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(0.06)</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Pro forma (unaudited) weighted average shares—diluted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(including all shares subject to the irrevocable standby stock</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 agreement with Thermo Funding Company and all</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subject to the pre-emptive rights offering)</w:t>
            </w:r>
          </w:p>
        </w:tc>
        <w:tc>
          <w:tcPr>
            <w:tcW w:w="1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75,360,126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75,824,043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77,316,000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77,316,000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77,637,492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 Forma C Corporation Data(5) (unaudited):</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Historical income before income taxes</w:t>
            </w:r>
          </w:p>
        </w:tc>
        <w:tc>
          <w:tcPr>
            <w:tcW w:w="1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2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 forma income tax expense</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 forma income</w:t>
            </w:r>
          </w:p>
        </w:tc>
        <w:tc>
          <w:tcPr>
            <w:tcW w:w="1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14,290</w:t>
            </w:r>
          </w:p>
        </w:tc>
        <w:tc>
          <w:tcPr>
            <w:tcW w:w="120" w:type="dxa"/>
            <w:vAlign w:val="bottom"/>
          </w:tcPr>
          <w:p>
            <w:pPr>
              <w:spacing w:after="0"/>
              <w:rPr>
                <w:sz w:val="23"/>
                <w:szCs w:val="23"/>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 forma earnings per share—basic</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 forma earnings per share—diluted</w:t>
            </w:r>
          </w:p>
        </w:tc>
        <w:tc>
          <w:tcPr>
            <w:tcW w:w="1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shares—basic</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shares—diluted</w:t>
            </w:r>
          </w:p>
        </w:tc>
        <w:tc>
          <w:tcPr>
            <w:tcW w:w="1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Data (for the period) (unaudited):</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monthly revenue per user(6)</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69.66</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62.90</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Independent gateway operators</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Simplex</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Number of subscribers</w:t>
            </w:r>
          </w:p>
        </w:tc>
        <w:tc>
          <w:tcPr>
            <w:tcW w:w="1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109,503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141,450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195,968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158,071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 monthly churn rate(7)</w:t>
            </w:r>
          </w:p>
        </w:tc>
        <w:tc>
          <w:tcPr>
            <w:tcW w:w="180" w:type="dxa"/>
            <w:vAlign w:val="bottom"/>
            <w:shd w:val="clear" w:color="auto" w:fill="CCEEFF"/>
          </w:tcPr>
          <w:p>
            <w:pPr>
              <w:spacing w:after="0"/>
              <w:rPr>
                <w:sz w:val="12"/>
                <w:szCs w:val="12"/>
                <w:color w:val="auto"/>
              </w:rPr>
            </w:pPr>
          </w:p>
        </w:tc>
        <w:tc>
          <w:tcPr>
            <w:tcW w:w="13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3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EBITDA(8)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(228,731)</w:t>
            </w: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(4,305)</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w:t>
            </w:r>
          </w:p>
        </w:tc>
        <w:tc>
          <w:tcPr>
            <w:tcW w:w="12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7,126</w:t>
            </w:r>
          </w:p>
        </w:tc>
        <w:tc>
          <w:tcPr>
            <w:tcW w:w="140" w:type="dxa"/>
            <w:vAlign w:val="bottom"/>
          </w:tcPr>
          <w:p>
            <w:pPr>
              <w:spacing w:after="0"/>
              <w:rPr>
                <w:sz w:val="12"/>
                <w:szCs w:val="12"/>
                <w:color w:val="auto"/>
              </w:rPr>
            </w:pPr>
          </w:p>
        </w:tc>
        <w:tc>
          <w:tcPr>
            <w:tcW w:w="320" w:type="dxa"/>
            <w:vAlign w:val="bottom"/>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w:t>
            </w: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per gross addition(9)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40" w:type="dxa"/>
            <w:vAlign w:val="bottom"/>
          </w:tcPr>
          <w:p>
            <w:pPr>
              <w:spacing w:after="0"/>
              <w:rPr>
                <w:sz w:val="15"/>
                <w:szCs w:val="15"/>
                <w:color w:val="auto"/>
              </w:rPr>
            </w:pP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5"/>
                <w:szCs w:val="15"/>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40" w:type="dxa"/>
            <w:vAlign w:val="bottom"/>
          </w:tcPr>
          <w:p>
            <w:pPr>
              <w:spacing w:after="0"/>
              <w:rPr>
                <w:sz w:val="15"/>
                <w:szCs w:val="15"/>
                <w:color w:val="auto"/>
              </w:rPr>
            </w:pPr>
          </w:p>
        </w:tc>
        <w:tc>
          <w:tcPr>
            <w:tcW w:w="320" w:type="dxa"/>
            <w:vAlign w:val="bottom"/>
          </w:tcPr>
          <w:p>
            <w:pPr>
              <w:jc w:val="right"/>
              <w:ind w:right="25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-7806690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-7806690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-7626985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-7626985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-7421245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-7421245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-7421245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-7421245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-7094855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-7094855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-7094855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-7094855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-7094855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-7094855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-7094855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-7094855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-7094855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-7094855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-7094855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-7094855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-5971540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-5971540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-5971540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-5971540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-5971540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-5971540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-5971540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-5971540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-5971540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-5971540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-5971540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-5971540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-5723255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-5723255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-5723255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-5723255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-5723255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-5723255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-5723255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-5723255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-5723255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-5723255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-5723255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-5723255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-4813935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-4813935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-4813935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-4813935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-4813935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-4813935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-4813935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-4813935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-4813935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-4813935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-4813935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-4813935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-4565015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-4565015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-4565015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-4565015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-4565015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-4565015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-4565015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-4565015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-4565015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-4565015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-4565015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-4565015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-4033520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-4033520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-4033520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-4033520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-4033520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-4033520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-4033520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-4033520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-4033520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-4033520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-4033520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-4033520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-3596005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-3596005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-3596005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-3596005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-3596005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-3596005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-3596005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-3596005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-3596005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-3596005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-3596005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-3596005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-1666875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-1666875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-1666875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-1666875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-1417955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-1417955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-1417955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-1417955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Pr>
          <w:p>
            <w:pPr>
              <w:spacing w:after="0"/>
              <w:rPr>
                <w:sz w:val="13"/>
                <w:szCs w:val="13"/>
                <w:color w:val="auto"/>
              </w:rPr>
            </w:pPr>
          </w:p>
        </w:tc>
        <w:tc>
          <w:tcPr>
            <w:tcW w:w="13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40" w:type="dxa"/>
            <w:vAlign w:val="bottom"/>
          </w:tcPr>
          <w:p>
            <w:pPr>
              <w:spacing w:after="0"/>
              <w:rPr>
                <w:sz w:val="12"/>
                <w:szCs w:val="12"/>
                <w:color w:val="auto"/>
              </w:rPr>
            </w:pPr>
          </w:p>
        </w:tc>
        <w:tc>
          <w:tcPr>
            <w:tcW w:w="13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20,026</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13,330</w:t>
            </w:r>
          </w:p>
        </w:tc>
        <w:tc>
          <w:tcPr>
            <w:tcW w:w="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20,270</w:t>
            </w: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48,214</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63,897</w:t>
            </w:r>
          </w:p>
        </w:tc>
        <w:tc>
          <w:tcPr>
            <w:tcW w:w="5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113,545</w:t>
            </w: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debt(10)</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3,426,338</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Redeemable common stock</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Ownership equity (deficit)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(3,415,195)</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71,430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109,200</w:t>
            </w:r>
          </w:p>
        </w:tc>
        <w:tc>
          <w:tcPr>
            <w:tcW w:w="0" w:type="dxa"/>
            <w:vAlign w:val="bottom"/>
          </w:tcPr>
          <w:p>
            <w:pPr>
              <w:spacing w:after="0"/>
              <w:rPr>
                <w:sz w:val="1"/>
                <w:szCs w:val="1"/>
                <w:color w:val="auto"/>
              </w:rPr>
            </w:pPr>
          </w:p>
        </w:tc>
      </w:tr>
      <w:tr>
        <w:trPr>
          <w:trHeight w:val="93"/>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-1231900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-1231900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-1231900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-1231900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-1231900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-1231900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-1231900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sales of $440 for the year ended December 31, 2005.</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of related party sales of $314 for the year ended December 31, 2005.</w:t>
      </w:r>
    </w:p>
    <w:p>
      <w:pPr>
        <w:spacing w:after="0" w:line="122" w:lineRule="exact"/>
        <w:rPr>
          <w:rFonts w:ascii="Times New Roman" w:cs="Times New Roman" w:eastAsia="Times New Roman" w:hAnsi="Times New Roman"/>
          <w:sz w:val="14"/>
          <w:szCs w:val="14"/>
          <w:color w:val="auto"/>
        </w:rPr>
      </w:pPr>
    </w:p>
    <w:p>
      <w:pPr>
        <w:ind w:left="540" w:hanging="532"/>
        <w:spacing w:after="0" w:line="241"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$337 (January 1, 2003 - December 4, 2003), $131 (December 5, 2003 - December 31, 2003), $1,324 (year ended December 31, 2004), $176 (year ended December 31, 2005), and $117 and $0 (six months ended June 30, 2005 and 2006, respectively).</w:t>
      </w:r>
    </w:p>
    <w:p>
      <w:pPr>
        <w:spacing w:after="0" w:line="108" w:lineRule="exact"/>
        <w:rPr>
          <w:rFonts w:ascii="Times New Roman" w:cs="Times New Roman" w:eastAsia="Times New Roman" w:hAnsi="Times New Roman"/>
          <w:sz w:val="14"/>
          <w:szCs w:val="14"/>
          <w:color w:val="auto"/>
        </w:rPr>
      </w:pPr>
    </w:p>
    <w:p>
      <w:pPr>
        <w:ind w:left="540" w:right="120" w:hanging="532"/>
        <w:spacing w:after="0" w:line="229"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earnings (loss) per share have been calculated in accordance with the Securities and Exchange Commission rules for initial public offerings which require that the weighted average shares calculation give retroactive effect to any changes in our capital structure. Therefore, weighted average shares for purposes of the basic and diluted earnings per share calculation have been adjusted to reflect the six-for-one stock split we expect to effect immediately prior to this offering. Weighted average shares for purposes of the pro forma diluted per share calculations have also been adjusted to reflect the sale of all of the shares subject to the irrevocable standby stock purchase agreement with Thermo Funding Company and all of the shares subject to our pre-emptive rights offering as if such sales occurred on December 5, 2003.</w:t>
      </w:r>
    </w:p>
    <w:p>
      <w:pPr>
        <w:spacing w:after="0" w:line="109" w:lineRule="exact"/>
        <w:rPr>
          <w:rFonts w:ascii="Times New Roman" w:cs="Times New Roman" w:eastAsia="Times New Roman" w:hAnsi="Times New Roman"/>
          <w:sz w:val="14"/>
          <w:szCs w:val="14"/>
          <w:color w:val="auto"/>
        </w:rPr>
      </w:pPr>
    </w:p>
    <w:p>
      <w:pPr>
        <w:ind w:left="540" w:right="220" w:hanging="532"/>
        <w:spacing w:after="0" w:line="229"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January 1, 2006, we and Predecessor were treated as a partnership for federal income tax purposes. A partnership passes through essentially all taxable income and losses to its partners or members and does not pay federal income taxes at the partnership level. Historical income tax expense consists mainly of foreign, state and local income taxes. On January 1, 2006, we elected to be taxed as a C corporation. For comparative purposes, we have included a pro forma provision for income taxes assuming we (or Predecessor) had been taxed as a C corporation for the year ended December 31, 2005 and the six months ended June 30, 2006. See "Management's Discussion and Analysis of Financial Condition and Results of Operations—Critical Accounting Policies and Estimates—Income Taxes" and Note 13 to our consolidated financial statements.</w:t>
      </w:r>
    </w:p>
    <w:p>
      <w:pPr>
        <w:spacing w:after="0" w:line="109" w:lineRule="exact"/>
        <w:rPr>
          <w:rFonts w:ascii="Times New Roman" w:cs="Times New Roman" w:eastAsia="Times New Roman" w:hAnsi="Times New Roman"/>
          <w:sz w:val="14"/>
          <w:szCs w:val="14"/>
          <w:color w:val="auto"/>
        </w:rPr>
      </w:pPr>
    </w:p>
    <w:p>
      <w:pPr>
        <w:ind w:left="540" w:right="160" w:hanging="532"/>
        <w:spacing w:after="0" w:line="231"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user measures service revenues per month divided by the average number of subscribers during that month. Average monthly revenue per user as so defined may not be similar to average monthly revenue per user as defined by other companies in our industry, is not a measurement under GAAP and should be considered in addition to, but not as a substitute for, the information contained in our statement of operations. We believe that average monthly revenue per user provides useful information concerning the appeal of our rate plans and service offerings and our performance in attracting and retaining high value customers.</w:t>
      </w:r>
    </w:p>
    <w:p>
      <w:pPr>
        <w:spacing w:after="0" w:line="109" w:lineRule="exact"/>
        <w:rPr>
          <w:rFonts w:ascii="Times New Roman" w:cs="Times New Roman" w:eastAsia="Times New Roman" w:hAnsi="Times New Roman"/>
          <w:sz w:val="14"/>
          <w:szCs w:val="14"/>
          <w:color w:val="auto"/>
        </w:rPr>
      </w:pPr>
    </w:p>
    <w:p>
      <w:pPr>
        <w:ind w:left="540" w:right="100" w:hanging="532"/>
        <w:spacing w:after="0" w:line="231"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churn rate as the aggregate number of our retail subscribers (excluding Simplex customers and customers of the independent gateway operators) who cancel service during a month, divided by the average number of retail subscribers during the month. Others in our industry may calculate churn rate differently. Churn rate is not a measurement under GAAP and should be considered in addition to, but not as a substitute for, the information contained in our statement of operations. We believe that churn rate provides useful information concerning customer satisfaction with our services and products.</w:t>
      </w:r>
    </w:p>
    <w:p>
      <w:pPr>
        <w:spacing w:after="0" w:line="109" w:lineRule="exact"/>
        <w:rPr>
          <w:rFonts w:ascii="Times New Roman" w:cs="Times New Roman" w:eastAsia="Times New Roman" w:hAnsi="Times New Roman"/>
          <w:sz w:val="14"/>
          <w:szCs w:val="14"/>
          <w:color w:val="auto"/>
        </w:rPr>
      </w:pPr>
    </w:p>
    <w:p>
      <w:pPr>
        <w:ind w:left="540" w:right="140" w:hanging="532"/>
        <w:spacing w:after="0" w:line="241"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represents earnings before interest, income taxes, depreciation and amortization. EBITDA does not represent and should not be considered as an alternative to GAAP measurements, such as net income, and our calculations thereof may not be comparable to similarly entitled measures reported by other companies.</w:t>
      </w:r>
    </w:p>
    <w:p>
      <w:pPr>
        <w:spacing w:after="0" w:line="189" w:lineRule="exact"/>
        <w:rPr>
          <w:rFonts w:ascii="Times New Roman" w:cs="Times New Roman" w:eastAsia="Times New Roman" w:hAnsi="Times New Roman"/>
          <w:sz w:val="14"/>
          <w:szCs w:val="14"/>
          <w:color w:val="auto"/>
        </w:rPr>
      </w:pPr>
    </w:p>
    <w:p>
      <w:pPr>
        <w:ind w:left="540" w:right="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We use EBITDA as the primary measurement of our operating performance because, by eliminating interest, taxes and the non-cash items of depreciation and amortization, we believe it best reflects changes across time in our performance, including the effects of pricing, cost control and other operational decisions. Our management uses EBITDA for planning purposes, including the preparation of our annual operating budget. We believe that EBITDA also is useful to investors because it is frequently used by securities analysts, investors and other interested parties in their evaluation of companies in industries similar to ours. As indicated, EBITDA does not include interest expense on borrowed money or depreciation expense on our capital assets or the payment of taxes, which are necessary elements of our operations. Because EBITDA does not account for these expenses, its utility as a measure of our operating performance has material limitations. Because of these limitations, management does not view EBITDA in isolation and also uses other measures, such as net income, revenues and operating profit, to measure operating performance.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4" w:name="page15"/>
    <w:bookmarkEnd w:id="14"/>
    <w:p>
      <w:pPr>
        <w:ind w:left="540"/>
        <w:spacing w:after="0"/>
        <w:rPr>
          <w:sz w:val="20"/>
          <w:szCs w:val="20"/>
          <w:color w:val="auto"/>
        </w:rPr>
      </w:pPr>
      <w:r>
        <w:rPr>
          <w:rFonts w:ascii="Times New Roman" w:cs="Times New Roman" w:eastAsia="Times New Roman" w:hAnsi="Times New Roman"/>
          <w:sz w:val="14"/>
          <w:szCs w:val="14"/>
          <w:color w:val="auto"/>
        </w:rPr>
        <w:t>The following is a reconciliation of EBITDA to net income (loss):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January 1</w:t>
            </w:r>
          </w:p>
        </w:tc>
        <w:tc>
          <w:tcPr>
            <w:tcW w:w="100" w:type="dxa"/>
            <w:vAlign w:val="bottom"/>
          </w:tcPr>
          <w:p>
            <w:pPr>
              <w:spacing w:after="0"/>
              <w:rPr>
                <w:sz w:val="15"/>
                <w:szCs w:val="15"/>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160" w:type="dxa"/>
            <w:vAlign w:val="bottom"/>
          </w:tcPr>
          <w:p>
            <w:pPr>
              <w:spacing w:after="0"/>
              <w:rPr>
                <w:sz w:val="15"/>
                <w:szCs w:val="15"/>
                <w:color w:val="auto"/>
              </w:rPr>
            </w:pPr>
          </w:p>
        </w:tc>
        <w:tc>
          <w:tcPr>
            <w:tcW w:w="15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Ended June 30,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100" w:type="dxa"/>
            <w:vAlign w:val="bottom"/>
          </w:tcPr>
          <w:p>
            <w:pPr>
              <w:spacing w:after="0"/>
              <w:rPr>
                <w:sz w:val="5"/>
                <w:szCs w:val="5"/>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85"/>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4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(benefit)(a)</w:t>
            </w: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(228,731)</w:t>
            </w: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(4,305)</w:t>
            </w: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7,126</w:t>
            </w:r>
          </w:p>
        </w:tc>
        <w:tc>
          <w:tcPr>
            <w:tcW w:w="4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-1926590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-1926590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-1746885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-1746885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-1540510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-1540510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-1540510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-1540510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-1214755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-1214755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-1214755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-1214755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-1214755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-1214755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-1214755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-1214755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-1214755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-1214755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-1214755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-1214755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-434340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-434340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-434340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-434340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-434340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-434340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-434340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-434340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-434340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-434340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-434340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-434340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5 above.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provides supplemental information as to unusual and other items that are reflected in EBITDA:</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January 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Ended June 30,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Satellite failures(a)</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ELSACOM settlement(b)</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Pension adjustment(c)</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UT writeoff recovery(d)</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 impairment(e)</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211,854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(other)(f)</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5,381</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88"/>
              </w:rPr>
              <w:t>5,078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-1695450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-1695450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-1515110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-1515110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-1309370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-1309370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-1309370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-1309370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-983615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-983615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-983615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-983615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-983615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-983615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-983615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-983615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-983615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-983615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-983615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-983615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write-off for failed satellites.</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write-off in settlement of an overdue gateway receivable from an independent gateway operator.</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benefit of pension and benefit adjustments.</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recovery of overdue accounts receivable previously written off.</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impairment charge related to allocation of the price we paid in the Reorganization for the assets and business of Old Globalstar.</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relating to the restructuring of Old Globalstar that we assumed in the Reorganization.</w:t>
      </w:r>
    </w:p>
    <w:p>
      <w:pPr>
        <w:spacing w:after="0" w:line="338" w:lineRule="exact"/>
        <w:rPr>
          <w:rFonts w:ascii="Times New Roman" w:cs="Times New Roman" w:eastAsia="Times New Roman" w:hAnsi="Times New Roman"/>
          <w:sz w:val="14"/>
          <w:szCs w:val="14"/>
          <w:color w:val="auto"/>
        </w:rPr>
      </w:pPr>
    </w:p>
    <w:p>
      <w:pPr>
        <w:ind w:left="540" w:hanging="532"/>
        <w:spacing w:after="0" w:line="234"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cost per gross addition as total sales and marketing costs and agent and internal salesperson commissions in a given period relating to retail customers divided by the total number of retail subscriber activations over the same period. Cost per gross addition is not a measurement under GAAP and should be considered in addition to, but not as a substitute for, the information contained in our statement of operations. We believe that cost per gross addition provides useful information concerning the cost of increasing our number of subscribers.</w:t>
      </w:r>
    </w:p>
    <w:p>
      <w:pPr>
        <w:spacing w:after="0" w:line="109"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liabilities subject to compromise as of December 31, 2003 in the amount of $3,421,967.</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67" w:right="3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right="38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risks. You should carefully consider the risks described below, together with the other information in this prospectus, before you make a decision to purchase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3" w:lineRule="exact"/>
        <w:rPr>
          <w:sz w:val="20"/>
          <w:szCs w:val="20"/>
          <w:color w:val="auto"/>
        </w:rPr>
      </w:pPr>
    </w:p>
    <w:p>
      <w:pPr>
        <w:ind w:right="36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123"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could exert downward pressure on prices, or both. This, in turn, could decrease our revenues and profitability and our ability to increase our revenues and profitability over time.</w:t>
      </w:r>
    </w:p>
    <w:p>
      <w:pPr>
        <w:spacing w:after="0" w:line="190" w:lineRule="exact"/>
        <w:rPr>
          <w:sz w:val="20"/>
          <w:szCs w:val="20"/>
          <w:color w:val="auto"/>
        </w:rPr>
      </w:pPr>
    </w:p>
    <w:p>
      <w:pPr>
        <w:ind w:right="140" w:firstLine="439"/>
        <w:spacing w:after="0" w:line="255" w:lineRule="auto"/>
        <w:rPr>
          <w:sz w:val="20"/>
          <w:szCs w:val="20"/>
          <w:color w:val="auto"/>
        </w:rPr>
      </w:pPr>
      <w:r>
        <w:rPr>
          <w:rFonts w:ascii="Times New Roman" w:cs="Times New Roman" w:eastAsia="Times New Roman" w:hAnsi="Times New Roman"/>
          <w:sz w:val="18"/>
          <w:szCs w:val="18"/>
          <w:color w:val="auto"/>
        </w:rPr>
        <w:t>If we can integrate ATC services with our existing business, we will be able to use the spectrum currently licensed to us to provide telecommunications through both our satellite and ground station system and through a terrestrial-based cellular system. If successful, this will allow us to address a broader market for our products and services by allowing us to provide communications services where satellite-based service is impractical, such as in urban areas and inside buildings, thereby increasing our revenue and profitability and the value of our licenses. However, neither we nor any other company has yet successfully integrated ATC services with satellite services, and we may be unable to do so. If we fail to do so, we will not obtain the benefits described above and any investment we make in developing ATC services will be lost.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success of our business plan, including the integration of ATC services within our existing business, will depend on a number of factors, including:</w:t>
      </w:r>
    </w:p>
    <w:p>
      <w:pPr>
        <w:spacing w:after="0" w:line="262"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and demand for all of our services;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services and products that meet this market demand;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business using our existing spectrum resources both in the United States and internationally;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the costs of developing an integrated network providing related products and services;</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satellite services with ATC services, to develop our second-generation satellites, and to upgrade our ground facilities consistent with various regulations governing ownership and operation of satellite assets and ATC services;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partner with others, if necessary, to maximize the value of our ATC license;</w:t>
      </w:r>
    </w:p>
    <w:p>
      <w:pPr>
        <w:spacing w:after="0" w:line="238"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innovative network management techniques to permit mobile devices to transition between satellite and terrestrial modes;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health, capacity and control of our existing satellite network, including the successful launch of spare satellites;</w:t>
      </w:r>
    </w:p>
    <w:p>
      <w:pPr>
        <w:spacing w:after="0" w:line="238"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for the design, construction, delivery and launch of our second-generation satellites and, once launched, our ability to maintain their health, capacity and control;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competitors in developing and offering similar services and products.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39" w:right="319" w:bottom="1440" w:gutter="0" w:footer="0" w:header="0"/>
        </w:sectPr>
      </w:pPr>
    </w:p>
    <w:bookmarkStart w:id="16" w:name="page17"/>
    <w:bookmarkEnd w:id="16"/>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in large part on the efforts of third parties for the retail sale of our services and products. The inability of these third parties to sell our services and products successfully may decrease our revenue and profitability.</w:t>
      </w:r>
    </w:p>
    <w:p>
      <w:pPr>
        <w:spacing w:after="0" w:line="169" w:lineRule="exact"/>
        <w:rPr>
          <w:sz w:val="20"/>
          <w:szCs w:val="20"/>
          <w:color w:val="auto"/>
        </w:rPr>
      </w:pPr>
    </w:p>
    <w:p>
      <w:pPr>
        <w:ind w:right="80" w:firstLine="439"/>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approximately 90% of our U.S. revenue and almost 100% of our non-U.S. revenue was derived from products and services sold through independent agents, dealers and resellers, including, outside the United States, independent gateway operators. If these third parties are unable to continue to improve their ability to market our products and services successfully, our revenue and profitability may decrease.</w:t>
      </w:r>
    </w:p>
    <w:p>
      <w:pPr>
        <w:spacing w:after="0" w:line="18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169" w:lineRule="exact"/>
        <w:rPr>
          <w:sz w:val="20"/>
          <w:szCs w:val="20"/>
          <w:color w:val="auto"/>
        </w:rPr>
      </w:pPr>
    </w:p>
    <w:p>
      <w:pPr>
        <w:ind w:right="80" w:firstLine="429"/>
        <w:spacing w:after="0" w:line="288" w:lineRule="auto"/>
        <w:rPr>
          <w:sz w:val="20"/>
          <w:szCs w:val="20"/>
          <w:color w:val="auto"/>
        </w:rPr>
      </w:pPr>
      <w:r>
        <w:rPr>
          <w:rFonts w:ascii="Times New Roman" w:cs="Times New Roman" w:eastAsia="Times New Roman" w:hAnsi="Times New Roman"/>
          <w:sz w:val="16"/>
          <w:szCs w:val="16"/>
          <w:color w:val="auto"/>
        </w:rPr>
        <w:t>Although we derive most of our revenue from retail sales to end users in the United States, Canada, a portion of Western Europe, Central America and the northern portion of South America, either directly or through agents, dealers and resellers, we depend on independent gateway operators to purchase, install, operate and maintain gateway equipment, to sell phones and data user terminals, and to market our services in other regions where these independent gateway operators hold exclusive or 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Although we have implemented a strategy for the acquisition of certain independent gateway operators when circumstances permit, we may not be able to continue to implement this strategy on favorable terms and may not be able to realize the additional efficiencies that we anticipate from this strategy. In some regions it is impracticable to consolidate the independent gateway operators either because local regulatory requirements or business or cultural norms do not permit consolidation, because the expected revenue increase from consolidation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3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currently are unable to offer service in important regions of the world due to the absence of gateways in those areas, which is limiting our growth and our ability to compete.</w:t>
      </w:r>
    </w:p>
    <w:p>
      <w:pPr>
        <w:spacing w:after="0" w:line="169"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find capable independent gateway operators for several important regions and countries, including Central and South Africa, India, Malaysia and Indonesia, the Philippines and certain other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8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169"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hardware and software utilized in operating our gateways were designed and manufactured over 10 years ago and portions are becoming obsolete. As they continue to age, they may become less reliable and will be more difficult and expensive to service. Although we maintain inventories of spare parts, it nonetheless may be difficult or impossible to obtain all necessary replacement parts for the hardware. Our business plan contemplates updating or replacing this hardware and software, but we may not be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successful in these efforts, and the cost may exceed our estimates. We may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For us to keep up with technological changes and remain competitive, we may need to make significant capital expenditures. Customer acceptance of the services and products that we offer will continually be affected by technology-based differences in our product and service offerings. New technologies may be protected by patents or other intellectual property laws and therefore may not be available to us.</w:t>
      </w:r>
    </w:p>
    <w:p>
      <w:pPr>
        <w:spacing w:after="0" w:line="18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satellites have a limited life and may fail prematurely, which would cause our network to be compromised and materially and adversely affect our business, prospects and profitability.</w:t>
      </w:r>
    </w:p>
    <w:p>
      <w:pPr>
        <w:spacing w:after="0" w:line="169" w:lineRule="exact"/>
        <w:rPr>
          <w:sz w:val="20"/>
          <w:szCs w:val="20"/>
          <w:color w:val="auto"/>
        </w:rPr>
      </w:pPr>
    </w:p>
    <w:p>
      <w:pPr>
        <w:ind w:right="200" w:firstLine="439"/>
        <w:spacing w:after="0" w:line="296" w:lineRule="auto"/>
        <w:rPr>
          <w:sz w:val="20"/>
          <w:szCs w:val="20"/>
          <w:color w:val="auto"/>
        </w:rPr>
      </w:pPr>
      <w:r>
        <w:rPr>
          <w:rFonts w:ascii="Times New Roman" w:cs="Times New Roman" w:eastAsia="Times New Roman" w:hAnsi="Times New Roman"/>
          <w:sz w:val="16"/>
          <w:szCs w:val="16"/>
          <w:color w:val="auto"/>
        </w:rPr>
        <w:t>Since the first Old Globalstar satellites were launched in 1998, nine have failed in orbit, and others may fail in the future. In-orbit failure may result from various causes, including component failure, loss of power or fuel, inability to control positioning of the satellite, solar or other astronomical events, including solar radiation and flares, and space debris. As our constellation has aged, the quality of our satellites' signals has diminished, and may continue to diminish, adversely affecting the reliability of our service, which could adversely affect our results of operations, cash flow and financial condition. Although we do not incur any direct cash costs related to the failure of a satellite, if a satellite fails, we record an impairment charge reflecting its net book value.</w:t>
      </w:r>
    </w:p>
    <w:p>
      <w:pPr>
        <w:spacing w:after="0" w:line="162" w:lineRule="exact"/>
        <w:rPr>
          <w:sz w:val="20"/>
          <w:szCs w:val="20"/>
          <w:color w:val="auto"/>
        </w:rPr>
      </w:pPr>
    </w:p>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We have been advised by our customers and others of temporary intermittent losses of signal cutting off calls in progress or preventing completions of calls when made. If these problems increase, they could affect adversely our business and our ability to complete our business plan.</w:t>
      </w:r>
    </w:p>
    <w:p>
      <w:pPr>
        <w:spacing w:after="0" w:line="174" w:lineRule="exact"/>
        <w:rPr>
          <w:sz w:val="20"/>
          <w:szCs w:val="20"/>
          <w:color w:val="auto"/>
        </w:rPr>
      </w:pPr>
    </w:p>
    <w:p>
      <w:pPr>
        <w:jc w:val="both"/>
        <w:ind w:right="140" w:firstLine="439"/>
        <w:spacing w:after="0" w:line="262" w:lineRule="auto"/>
        <w:rPr>
          <w:sz w:val="20"/>
          <w:szCs w:val="20"/>
          <w:color w:val="auto"/>
        </w:rPr>
      </w:pPr>
      <w:r>
        <w:rPr>
          <w:rFonts w:ascii="Times New Roman" w:cs="Times New Roman" w:eastAsia="Times New Roman" w:hAnsi="Times New Roman"/>
          <w:sz w:val="18"/>
          <w:szCs w:val="18"/>
          <w:color w:val="auto"/>
        </w:rPr>
        <w:t>Other factors that could affect the useful lives of our satellites include the quality of construction, gradual degradation of solar panels and the durability of components. Radiation induced failure of satellite components may result in damage to or loss of a satellite before the end of its expected life. As a result, fewer than 43 of our in-orbit satellites may be fully functioning at any time.</w:t>
      </w:r>
    </w:p>
    <w:p>
      <w:pPr>
        <w:spacing w:after="0" w:line="186"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Old Globalstar launched our first-generation constellation beginning in 1998 and ending in 2000. Eight of our nine satellite failures have been attributed to a common anomaly in the satellite communications subsystem S-band antenna. This anomaly has occurred in 16 of our other satellites, a majority of which have been or are in the process of being returned to service. In part as a response to this anomaly, we reduced our operating constellation structure from a "Walker" 48 (six satellites in each of eight planes) to a "Walker" 40 (five satellites in each of eight planes). A majority of our satellites also have experienced other anomalies which have not yet severely impacted services to customers but which may in the future limit the capacity of our existing network. We may be required in the future to make further changes to the structure of our constellation to maintain or improve its performance or to accommodate the launch of our eight spare satellites. Any such changes will require FCC approval. In addition, from time to time we may reposition our satellites within the constellation in order to optimize our service, which could result in degraded service during the repositioning period.</w:t>
      </w:r>
    </w:p>
    <w:p>
      <w:pPr>
        <w:spacing w:after="0" w:line="192" w:lineRule="exact"/>
        <w:rPr>
          <w:sz w:val="20"/>
          <w:szCs w:val="20"/>
          <w:color w:val="auto"/>
        </w:rPr>
      </w:pPr>
    </w:p>
    <w:p>
      <w:pPr>
        <w:ind w:firstLine="429"/>
        <w:spacing w:after="0" w:line="275" w:lineRule="auto"/>
        <w:rPr>
          <w:sz w:val="20"/>
          <w:szCs w:val="20"/>
          <w:color w:val="auto"/>
        </w:rPr>
      </w:pPr>
      <w:r>
        <w:rPr>
          <w:rFonts w:ascii="Times New Roman" w:cs="Times New Roman" w:eastAsia="Times New Roman" w:hAnsi="Times New Roman"/>
          <w:sz w:val="18"/>
          <w:szCs w:val="18"/>
          <w:color w:val="auto"/>
        </w:rPr>
        <w:t>Although there are some remote tools we use to remedy certain types of problems affecting the performance of our satellites, the physical repair of satellites in space is not feasible. We do not insure our satellites against in-orbit failures, whether such failures are caused by internal or external factors.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deploy our second-generation satellite constellation before our current satellite constellation ceases to provide commercially viable service, we will incur a decline in revenues and profitability.</w:t>
      </w:r>
    </w:p>
    <w:p>
      <w:pPr>
        <w:spacing w:after="0" w:line="169" w:lineRule="exact"/>
        <w:rPr>
          <w:sz w:val="20"/>
          <w:szCs w:val="20"/>
          <w:color w:val="auto"/>
        </w:rPr>
      </w:pPr>
    </w:p>
    <w:p>
      <w:pPr>
        <w:ind w:right="80" w:firstLine="436"/>
        <w:spacing w:after="0" w:line="301" w:lineRule="auto"/>
        <w:rPr>
          <w:sz w:val="20"/>
          <w:szCs w:val="20"/>
          <w:color w:val="auto"/>
        </w:rPr>
      </w:pPr>
      <w:r>
        <w:rPr>
          <w:rFonts w:ascii="Times New Roman" w:cs="Times New Roman" w:eastAsia="Times New Roman" w:hAnsi="Times New Roman"/>
          <w:sz w:val="16"/>
          <w:szCs w:val="16"/>
          <w:color w:val="auto"/>
        </w:rPr>
        <w:t>We expect that our current satellite constellation will provide commercially viable service into 2010 and plan to deploy our second-generation satellite constellation beginning in 2009. If we are unable for any reason, including manufacturing or launch delays, launch failures, delays in receiving regulatory approvals or insufficient funds, to deploy our second-generation constellation before our current constellation ceases to provide commercially viable service, we are likely to lose subscribers, and will incur a decline in revenues and profitability as our ability to provide commercially viable service declines.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natural disaster could diminish our ability to provide communications service.</w:t>
      </w:r>
    </w:p>
    <w:p>
      <w:pPr>
        <w:spacing w:after="0" w:line="229"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Natural disasters could damage or destroy our ground stations resulting in a disruption of service to our customers. We currently have the technology to safeguard our antennas and protect our ground stations during natural disasters such as a hurricane, but the collateral effects of such disasters such as flooding may impair the functioning of our ground equipment. During the Gulf Coast hurricane activity in 2005, the operations at our gateway located in Sebring, Florida were impaired temporarily, causing a temporary degradation of the service level in the affected area. If a future natural disaster impairs or destroys any of our ground facilities, we may be unable to provide service to our customers in the affected area for a period of time.</w:t>
      </w:r>
    </w:p>
    <w:p>
      <w:pPr>
        <w:spacing w:after="0" w:line="193" w:lineRule="exact"/>
        <w:rPr>
          <w:sz w:val="20"/>
          <w:szCs w:val="20"/>
          <w:color w:val="auto"/>
        </w:rPr>
      </w:pPr>
    </w:p>
    <w:p>
      <w:pPr>
        <w:ind w:right="580" w:firstLine="439"/>
        <w:spacing w:after="0" w:line="275" w:lineRule="auto"/>
        <w:rPr>
          <w:sz w:val="20"/>
          <w:szCs w:val="20"/>
          <w:color w:val="auto"/>
        </w:rPr>
      </w:pPr>
      <w:r>
        <w:rPr>
          <w:rFonts w:ascii="Times New Roman" w:cs="Times New Roman" w:eastAsia="Times New Roman" w:hAnsi="Times New Roman"/>
          <w:sz w:val="18"/>
          <w:szCs w:val="18"/>
          <w:color w:val="auto"/>
        </w:rPr>
        <w:t>In addition, even if our gateways are not affected by natural disasters, our service could be disrupted if a natural disaster damages the public switch telephone network or our ability to connect to the public switch telephone network.</w:t>
      </w:r>
    </w:p>
    <w:p>
      <w:pPr>
        <w:spacing w:after="0" w:line="17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launch our satellites successfully. Loss of a satellite during launch could delay or impair our ability to offer our services or reduce our revenues, and launch insurance, even if it is available, will not cover fully this risk.</w:t>
      </w:r>
    </w:p>
    <w:p>
      <w:pPr>
        <w:spacing w:after="0" w:line="169" w:lineRule="exact"/>
        <w:rPr>
          <w:sz w:val="20"/>
          <w:szCs w:val="20"/>
          <w:color w:val="auto"/>
        </w:rPr>
      </w:pPr>
    </w:p>
    <w:p>
      <w:pPr>
        <w:ind w:right="260" w:firstLine="436"/>
        <w:spacing w:after="0" w:line="256" w:lineRule="auto"/>
        <w:rPr>
          <w:sz w:val="20"/>
          <w:szCs w:val="20"/>
          <w:color w:val="auto"/>
        </w:rPr>
      </w:pPr>
      <w:r>
        <w:rPr>
          <w:rFonts w:ascii="Times New Roman" w:cs="Times New Roman" w:eastAsia="Times New Roman" w:hAnsi="Times New Roman"/>
          <w:sz w:val="18"/>
          <w:szCs w:val="18"/>
          <w:color w:val="auto"/>
        </w:rPr>
        <w:t>We intend to insure the launch of our eight spare satellites to supplement our existing low earth orbit constellation, but we do not, and do not intend to, insure our existing satellites during their remaining in-orbit operational lives. We anticipate our eight spare satellites will be launched on two rockets, each carrying four satellites. Launch insurance currently costs approximately 5% to 10% of the insured value of the satellite (including launch costs), but may vary depending on market conditions and the safety record of the launch vehicle. Even if a lost satellite is fully insured, acquiring a replacement satellite may be difficult and time consuming. Furthermore, the insurance does not cover lost revenue.</w:t>
      </w:r>
    </w:p>
    <w:p>
      <w:pPr>
        <w:spacing w:after="0" w:line="19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We expect any launch failure insurance policies that we obtain to include specified exclusions, deductibles and material change limitations. Typically, these insurance policies exclude coverage for damage arising from acts of war, lasers, and other similar potential risks for which exclusions are customary in the industry at the time the policy is written.</w:t>
      </w:r>
    </w:p>
    <w:p>
      <w:pPr>
        <w:spacing w:after="0" w:line="186" w:lineRule="exact"/>
        <w:rPr>
          <w:sz w:val="20"/>
          <w:szCs w:val="20"/>
          <w:color w:val="auto"/>
        </w:rPr>
      </w:pPr>
    </w:p>
    <w:p>
      <w:pPr>
        <w:ind w:right="100" w:firstLine="439"/>
        <w:spacing w:after="0" w:line="255" w:lineRule="auto"/>
        <w:rPr>
          <w:sz w:val="20"/>
          <w:szCs w:val="20"/>
          <w:color w:val="auto"/>
        </w:rPr>
      </w:pPr>
      <w:r>
        <w:rPr>
          <w:rFonts w:ascii="Times New Roman" w:cs="Times New Roman" w:eastAsia="Times New Roman" w:hAnsi="Times New Roman"/>
          <w:sz w:val="18"/>
          <w:szCs w:val="18"/>
          <w:color w:val="auto"/>
        </w:rPr>
        <w:t>If launch insurance rates were to rise substantially, our future launch costs would increase. In addition, in light of increasing costs, the scope of insurance exclusions and limitations on the nature of the losses for which we can obtain insurance, or other business reasons, we may conclude that it does not make business sense to obtain third-party insurance and may decide to pursue other strategies for mitigating the risk of a satellite launch failure, such as purchasing additional spare satellites or obtaining relaunch guaranties from the launch provider. It is also possible that insurance could become unavailable, either generally or for a specific launch vehicle, or that new insurance could be subject to broader exclusions on coverage, in which event we would bear the risk of launch failures.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9" w:name="page20"/>
    <w:bookmarkEnd w:id="19"/>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plan includes exploiting our ATC license by combining ATC services with our existing business. If we are unable to accomplish this effectively, our anticipated future revenues and profitability will be reduced and we will lose our investment in developing ATC services.</w:t>
      </w:r>
    </w:p>
    <w:p>
      <w:pPr>
        <w:spacing w:after="0" w:line="169"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We plan to integrate ATC services with our existing satellite services and products, initially using our existing communications network, while developing a second-generation satellite network and upgrading our existing ground facilities. To date, neither we nor any other company has developed an integrated commercial network combining satellite services with ATC services, and we may be unable to do so.</w:t>
      </w:r>
    </w:p>
    <w:p>
      <w:pPr>
        <w:spacing w:after="0" w:line="186" w:lineRule="exact"/>
        <w:rPr>
          <w:sz w:val="20"/>
          <w:szCs w:val="20"/>
          <w:color w:val="auto"/>
        </w:rPr>
      </w:pPr>
    </w:p>
    <w:p>
      <w:pPr>
        <w:ind w:right="180" w:firstLine="439"/>
        <w:spacing w:after="0" w:line="293" w:lineRule="auto"/>
        <w:rPr>
          <w:sz w:val="20"/>
          <w:szCs w:val="20"/>
          <w:color w:val="auto"/>
        </w:rPr>
      </w:pPr>
      <w:r>
        <w:rPr>
          <w:rFonts w:ascii="Times New Roman" w:cs="Times New Roman" w:eastAsia="Times New Roman" w:hAnsi="Times New Roman"/>
          <w:sz w:val="16"/>
          <w:szCs w:val="16"/>
          <w:color w:val="auto"/>
        </w:rPr>
        <w:t>Northern Sky Research estimates that development of a terrestrial network to provide ATC services could cost $2.5 to $3.0 billion in the United States alone. Therefore, full exploitation of our ATC opportunity probably will require us to form partnerships, service contracts or other joint venture arrangements with other telecommunications or spectrum-based service providers. We may not be able to establish such arrangements at all or on favorable terms and, if such arrangements are established, the other parties may not fulfill their obligations. If we are unable to form a suitable partnership or enter into a service contract or joint venture agreement, we may not be able to realize our plan to offer ATC services, which would limit our ability to expand our business and reduce our revenues and profitability. In addition, in such event we will lose any resources we have invested in developing ATC services, which may be substantial.</w:t>
      </w:r>
    </w:p>
    <w:p>
      <w:pPr>
        <w:spacing w:after="0" w:line="16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ATC spectrum access is limited by regulatory and technological factors. If we are unable to work within these limitations, our anticipated future revenues and profitability will be reduced, and we could lose all or much of our investment in developing ATC services.</w:t>
      </w:r>
    </w:p>
    <w:p>
      <w:pPr>
        <w:spacing w:after="0" w:line="169"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We have been granted authority to use a finite quantity of radio spectrum for ATC services. Our ATC license currently is limited to 11 MHz, i.e., 5.5 MHz of spectrum in each of the L and S bands. Any ATC use of more than 11 MHz of spectrum would require a change in or waiver of FCC rules. No such change may occur and we may not receive any such waiver. In addition, our authority to provide ATC services is contingent on our continuing to offer satellite services to our customers. Accordingly, we must continue to provide communication between our satellites and the gateways when we commence providing ATC services through our network. If we are not able to manage our satellite and ATC spectrum use dynamically and efficiently, we may not be able to realize the full value of our ATC license.</w:t>
      </w:r>
    </w:p>
    <w:p>
      <w:pPr>
        <w:spacing w:after="0" w:line="193" w:lineRule="exact"/>
        <w:rPr>
          <w:sz w:val="20"/>
          <w:szCs w:val="20"/>
          <w:color w:val="auto"/>
        </w:rPr>
      </w:pPr>
    </w:p>
    <w:p>
      <w:pPr>
        <w:ind w:firstLine="436"/>
        <w:spacing w:after="0" w:line="290" w:lineRule="auto"/>
        <w:rPr>
          <w:sz w:val="20"/>
          <w:szCs w:val="20"/>
          <w:color w:val="auto"/>
        </w:rPr>
      </w:pPr>
      <w:r>
        <w:rPr>
          <w:rFonts w:ascii="Times New Roman" w:cs="Times New Roman" w:eastAsia="Times New Roman" w:hAnsi="Times New Roman"/>
          <w:sz w:val="16"/>
          <w:szCs w:val="16"/>
          <w:color w:val="auto"/>
        </w:rPr>
        <w:t>The FCC rules governing ATC are relatively new and are subject to interpretation. These rules require ATC service providers to demonstrate that their mobile satellite and ATC services constitute an "integrated service offering." The FCC has indicated that one means of meeting this requirement is through the use of dual-mode mobile satellite services/ATC handset phones. Although we believe we can obtain and sell dual-mode mobile satellite services/ATC handset phones that will comply with the ATC rules, the scope of ATC services that we will be permitted and required to provide under our existing FCC license is unclear and we may be required to seek amendments to our ATC license to execute our business plan. 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6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FCC were to reduce our existing spectrum allocation or impose additional spectrum-sharing requirements on us, our services and operations could be adversely affected.</w:t>
      </w:r>
    </w:p>
    <w:p>
      <w:pPr>
        <w:spacing w:after="0" w:line="169" w:lineRule="exact"/>
        <w:rPr>
          <w:sz w:val="20"/>
          <w:szCs w:val="20"/>
          <w:color w:val="auto"/>
        </w:rPr>
      </w:pPr>
    </w:p>
    <w:p>
      <w:pPr>
        <w:ind w:right="320" w:firstLine="439"/>
        <w:spacing w:after="0" w:line="339" w:lineRule="auto"/>
        <w:rPr>
          <w:sz w:val="20"/>
          <w:szCs w:val="20"/>
          <w:color w:val="auto"/>
        </w:rPr>
      </w:pPr>
      <w:r>
        <w:rPr>
          <w:rFonts w:ascii="Times New Roman" w:cs="Times New Roman" w:eastAsia="Times New Roman" w:hAnsi="Times New Roman"/>
          <w:sz w:val="16"/>
          <w:szCs w:val="16"/>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we do not believe anyone is requesting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right="260"/>
        <w:spacing w:after="0" w:line="296" w:lineRule="auto"/>
        <w:rPr>
          <w:sz w:val="20"/>
          <w:szCs w:val="20"/>
          <w:color w:val="auto"/>
        </w:rPr>
      </w:pPr>
      <w:r>
        <w:rPr>
          <w:rFonts w:ascii="Times New Roman" w:cs="Times New Roman" w:eastAsia="Times New Roman" w:hAnsi="Times New Roman"/>
          <w:sz w:val="16"/>
          <w:szCs w:val="16"/>
          <w:color w:val="auto"/>
        </w:rPr>
        <w:t>such an authorization. In July 2004, the FCC released new rules which require us to share 3.1 MHz of the 1610.25 to 1621.35 MHz portion of our uplink band with Iridium and the 2496 to 2500 MHz portion of our downlink band with operators providing broadband radio service. The FCC also asked for comment on whether Iridium should be allowed to share the 1616 to 1618.25 MHz portion of the 1.6 GHz band. Although we have continued to contest vigorously any proposed additional sharing of our spectrum, we may not retain exclusive use of all of our existing spectrum. If we are required to share additional frequency bands or if Iridium or an operator of a CDMA system uses these frequencies, it may cause interference with our signal and decrease the value of our spectrum.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Spectrum values historically have been volatile, which could cause the value of our company to fluctuate.</w:t>
      </w:r>
    </w:p>
    <w:p>
      <w:pPr>
        <w:spacing w:after="0" w:line="229" w:lineRule="exact"/>
        <w:rPr>
          <w:sz w:val="20"/>
          <w:szCs w:val="20"/>
          <w:color w:val="auto"/>
        </w:rPr>
      </w:pPr>
    </w:p>
    <w:p>
      <w:pPr>
        <w:ind w:right="40" w:firstLine="439"/>
        <w:spacing w:after="0" w:line="293" w:lineRule="auto"/>
        <w:rPr>
          <w:sz w:val="20"/>
          <w:szCs w:val="20"/>
          <w:color w:val="auto"/>
        </w:rPr>
      </w:pPr>
      <w:r>
        <w:rPr>
          <w:rFonts w:ascii="Times New Roman" w:cs="Times New Roman" w:eastAsia="Times New Roman" w:hAnsi="Times New Roman"/>
          <w:sz w:val="16"/>
          <w:szCs w:val="16"/>
          <w:color w:val="auto"/>
        </w:rPr>
        <w:t>Our business plan is evolving and it may include forming strategic partnerships to maximize value for our spectrum, network assets and combined service offerings in the United States and internationally. Values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the value of our business and the price of our common stock.</w:t>
      </w:r>
    </w:p>
    <w:p>
      <w:pPr>
        <w:spacing w:after="0" w:line="16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could lose market share and revenues as a result of increasing competition from companies in the wireless communications industry, including other satellite operators, and from the extension of land-based communication services.</w:t>
      </w:r>
    </w:p>
    <w:p>
      <w:pPr>
        <w:spacing w:after="0" w:line="169" w:lineRule="exact"/>
        <w:rPr>
          <w:sz w:val="20"/>
          <w:szCs w:val="20"/>
          <w:color w:val="auto"/>
        </w:rPr>
      </w:pPr>
    </w:p>
    <w:p>
      <w:pPr>
        <w:ind w:right="240" w:firstLine="436"/>
        <w:spacing w:after="0" w:line="275" w:lineRule="auto"/>
        <w:rPr>
          <w:sz w:val="20"/>
          <w:szCs w:val="20"/>
          <w:color w:val="auto"/>
        </w:rPr>
      </w:pPr>
      <w:r>
        <w:rPr>
          <w:rFonts w:ascii="Times New Roman" w:cs="Times New Roman" w:eastAsia="Times New Roman" w:hAnsi="Times New Roman"/>
          <w:sz w:val="18"/>
          <w:szCs w:val="18"/>
          <w:color w:val="auto"/>
        </w:rPr>
        <w:t>We face intense competition in all of our markets, which could result in a loss of customers and lower revenues and make it more difficult for us to enter new markets.</w:t>
      </w:r>
    </w:p>
    <w:p>
      <w:pPr>
        <w:spacing w:after="0" w:line="174"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There are currently five other satellite operators providing services similar to ours on a global or regional basis: Iridium L.L.C., Inmarsat, Mobile Satellite Ventures, Thuraya Satellite Communications Company and Asian Cellular Satellites. In addition, ICO Global Communications Company and TMI/TerreStar plan to launch their new satellite systems within the next few years. The provision of satellite-based products and services is subject to downward price pressure when the capacity exceeds demand.</w:t>
      </w:r>
    </w:p>
    <w:p>
      <w:pPr>
        <w:spacing w:after="0" w:line="190" w:lineRule="exact"/>
        <w:rPr>
          <w:sz w:val="20"/>
          <w:szCs w:val="20"/>
          <w:color w:val="auto"/>
        </w:rPr>
      </w:pPr>
    </w:p>
    <w:p>
      <w:pPr>
        <w:ind w:right="160" w:firstLine="439"/>
        <w:spacing w:after="0" w:line="293" w:lineRule="auto"/>
        <w:rPr>
          <w:sz w:val="20"/>
          <w:szCs w:val="20"/>
          <w:color w:val="auto"/>
        </w:rPr>
      </w:pPr>
      <w:r>
        <w:rPr>
          <w:rFonts w:ascii="Times New Roman" w:cs="Times New Roman" w:eastAsia="Times New Roman" w:hAnsi="Times New Roman"/>
          <w:sz w:val="16"/>
          <w:szCs w:val="16"/>
          <w:color w:val="auto"/>
        </w:rPr>
        <w:t>In April 2001, Iridium, our principal worldwide mobile satellite competitor, exited bankruptcy and resumed commercial service in competition with us. Iridium has a long-term contract from the United States Department of Defense. ICO Global Communications raised additional funding during 2005 to fund the construction of its 2 GHz satellite system and is expected to complete its system and compete with us in the future. TMI/TerreStar also holds a 2 GHz satellite license and is constructing a system that may compete with us in the future. In addition, we may face competition from new competitors or new technologies, which may materially adversely affect our business plan. With so many companies targeting many of the same customers, we may not be able to retain successfully our existing customers and attract new customers and as a result may not grow our customer base and revenue as much as we expect.</w:t>
      </w:r>
    </w:p>
    <w:p>
      <w:pPr>
        <w:spacing w:after="0" w:line="165" w:lineRule="exact"/>
        <w:rPr>
          <w:sz w:val="20"/>
          <w:szCs w:val="20"/>
          <w:color w:val="auto"/>
        </w:rPr>
      </w:pPr>
    </w:p>
    <w:p>
      <w:pPr>
        <w:jc w:val="both"/>
        <w:ind w:right="60" w:firstLine="439"/>
        <w:spacing w:after="0" w:line="258" w:lineRule="auto"/>
        <w:rPr>
          <w:sz w:val="20"/>
          <w:szCs w:val="20"/>
          <w:color w:val="auto"/>
        </w:rPr>
      </w:pPr>
      <w:r>
        <w:rPr>
          <w:rFonts w:ascii="Times New Roman" w:cs="Times New Roman" w:eastAsia="Times New Roman" w:hAnsi="Times New Roman"/>
          <w:sz w:val="18"/>
          <w:szCs w:val="18"/>
          <w:color w:val="auto"/>
        </w:rPr>
        <w:t>In addition to our satellite-based competitors, terrestrial wireless voice and data service providers are expanding into rural and remote areas and providing the same general types of services and products that we provide through our satellite-based system. Many of these companies have greater resources, wider name recognition and newer technologies than we do. Industry consolidation could adversely affect us by increasing the scale or scope of our competitors and thereby making it more difficult for us to compete.</w:t>
      </w:r>
    </w:p>
    <w:p>
      <w:pPr>
        <w:spacing w:after="0" w:line="190" w:lineRule="exact"/>
        <w:rPr>
          <w:sz w:val="20"/>
          <w:szCs w:val="20"/>
          <w:color w:val="auto"/>
        </w:rPr>
      </w:pPr>
    </w:p>
    <w:p>
      <w:pPr>
        <w:ind w:firstLine="429"/>
        <w:spacing w:after="0" w:line="339" w:lineRule="auto"/>
        <w:rPr>
          <w:sz w:val="20"/>
          <w:szCs w:val="20"/>
          <w:color w:val="auto"/>
        </w:rPr>
      </w:pPr>
      <w:r>
        <w:rPr>
          <w:rFonts w:ascii="Times New Roman" w:cs="Times New Roman" w:eastAsia="Times New Roman" w:hAnsi="Times New Roman"/>
          <w:sz w:val="16"/>
          <w:szCs w:val="16"/>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right="120" w:firstLine="429"/>
        <w:spacing w:after="0" w:line="255" w:lineRule="auto"/>
        <w:rPr>
          <w:sz w:val="20"/>
          <w:szCs w:val="20"/>
          <w:color w:val="auto"/>
        </w:rPr>
      </w:pPr>
      <w:r>
        <w:rPr>
          <w:rFonts w:ascii="Times New Roman" w:cs="Times New Roman" w:eastAsia="Times New Roman" w:hAnsi="Times New Roman"/>
          <w:sz w:val="18"/>
          <w:szCs w:val="18"/>
          <w:color w:val="auto"/>
        </w:rPr>
        <w:t>Additionally, the extension of terrestrial telecommunications services to regions previously underserved or not served by wireline or wireless services may reduce demand for our service in those regions. These land-based telecommunications services have been built more quickly than we anticipated; therefore, demand for our products and services may decline in these areas more rapidly than we assumed in formulating our business plan. This development has led, in part, to our efforts to identify and sell into geographically remote and certain vertical markets and further the deployment of user terminals and data products. If we are unable to attract new customers in these regions, our customer base may decrease, which could have a material adverse effect on our business prospects,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customers, particularly our large customers, may reduce our future revenues.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We may lose customers due to competition, consolidation, regulatory developments, business developments affecting our customers or their customers,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reasons. Our top 10 customers for the year ended December 31, 2005 accounted for, in the aggregate, approximately 20% of our total revenues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$127.1 million. For the year ended December 31, 2005, revenues from our largest customer were $5.0 million, or 4% of our total revenues. If we fail to maintain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relationships with our major customers, if we lose them and fail to replace them with other similar customers, or if we experience reduced demand from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customers, it could result in a significant reduction in our profitability through the loss of revenues and the requirement to record additional costs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extent that amounts due from these customers are considered uncollectible. More generally, our customers may fail to renew or may cancel their service contracts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us, which could negatively affect future revenues and profitability.</w:t>
      </w:r>
    </w:p>
    <w:p>
      <w:pPr>
        <w:spacing w:after="0" w:line="213" w:lineRule="exact"/>
        <w:rPr>
          <w:sz w:val="20"/>
          <w:szCs w:val="20"/>
          <w:color w:val="auto"/>
        </w:rPr>
      </w:pPr>
    </w:p>
    <w:p>
      <w:pPr>
        <w:ind w:right="60" w:firstLine="439"/>
        <w:spacing w:after="0" w:line="258" w:lineRule="auto"/>
        <w:rPr>
          <w:sz w:val="20"/>
          <w:szCs w:val="20"/>
          <w:color w:val="auto"/>
        </w:rPr>
      </w:pPr>
      <w:r>
        <w:rPr>
          <w:rFonts w:ascii="Times New Roman" w:cs="Times New Roman" w:eastAsia="Times New Roman" w:hAnsi="Times New Roman"/>
          <w:sz w:val="18"/>
          <w:szCs w:val="18"/>
          <w:color w:val="auto"/>
        </w:rPr>
        <w:t>Our customers include multiple agencies of the U.S. government. Aggregate sales to U.S. government agencies constituted approximately 15% and 16% of our revenue for the year ended December 31, 2005 and the six months ended June 30, 2006, respectively. Government sales are made pursuant to individual purchase orders placed from time to time by the governmental agencies and are not related to long-term contracts. U.S. government agencies may terminate their business with us at any time without penalty.</w:t>
      </w:r>
    </w:p>
    <w:p>
      <w:pPr>
        <w:spacing w:after="0" w:line="18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maintain our network and to pursue future growth opportunities. If we fail to obtain sufficient capital, we will not be able to complete our business plan.</w:t>
      </w:r>
    </w:p>
    <w:p>
      <w:pPr>
        <w:spacing w:after="0" w:line="169"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Our business plan calls for the launch of spare and new satellites, upgrading our ground stations, phones and data terminals and entering into joint ventures to develop ATC and other international services and products. We believe the net proceeds from this offering, together with cash on hand, cash generated from our operations and cash available under our credit agreement and irrevocable standby stock purchase agreement, will be sufficient to enable us to implement our business plan. If we are wrong, we may not be able to obtain in a timely manner sufficient funds to develop and launch such satellites, upgrade our ground component or develop our ATC services and products. If we do not receive the net proceeds from this offering, we will not be able to complete our current business plan, and will be required to revise the plan to one that can be accomplished with our available capital, which could make us less competitive and reduce our future revenue and profitability.</w:t>
      </w:r>
    </w:p>
    <w:p>
      <w:pPr>
        <w:spacing w:after="0" w:line="191"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69"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not continue to permit our operations as presently conducted or as we plan to conduct such operations. For example, as described under "Regulation," the FCC cancelled and has refused, to date, to reinstate our license for spectrum in the 2 GHz band. In addition, several terrestrial wireless companies are attempting to convince the FCC to modify adversely our license for spectrum in the S-band (2496-2500 MHz).</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80" w:firstLine="439"/>
        <w:spacing w:after="0" w:line="275" w:lineRule="auto"/>
        <w:rPr>
          <w:sz w:val="20"/>
          <w:szCs w:val="20"/>
          <w:color w:val="auto"/>
        </w:rPr>
      </w:pPr>
      <w:r>
        <w:rPr>
          <w:rFonts w:ascii="Times New Roman" w:cs="Times New Roman" w:eastAsia="Times New Roman" w:hAnsi="Times New Roman"/>
          <w:sz w:val="18"/>
          <w:szCs w:val="18"/>
          <w:color w:val="auto"/>
        </w:rPr>
        <w:t>Failure to provide services in accordance with the terms of our licenses or failure to operate our satellites or ground stations as required by our licenses and applicable government regulations could result in the imposition of government sanctions on us, up to and including cancellation of our licenses.</w:t>
      </w:r>
    </w:p>
    <w:p>
      <w:pPr>
        <w:spacing w:after="0" w:line="174" w:lineRule="exact"/>
        <w:rPr>
          <w:sz w:val="20"/>
          <w:szCs w:val="20"/>
          <w:color w:val="auto"/>
        </w:rPr>
      </w:pPr>
    </w:p>
    <w:p>
      <w:pPr>
        <w:ind w:right="100" w:firstLine="439"/>
        <w:spacing w:after="0" w:line="255" w:lineRule="auto"/>
        <w:rPr>
          <w:sz w:val="20"/>
          <w:szCs w:val="20"/>
          <w:color w:val="auto"/>
        </w:rPr>
      </w:pPr>
      <w:r>
        <w:rPr>
          <w:rFonts w:ascii="Times New Roman" w:cs="Times New Roman" w:eastAsia="Times New Roman" w:hAnsi="Times New Roman"/>
          <w:sz w:val="18"/>
          <w:szCs w:val="18"/>
          <w:color w:val="auto"/>
        </w:rPr>
        <w:t>Our system must be authorized in each of the markets in which we or the independent gateway operators provide service. We and the independent gateway operators may not be able to obtain or retain all regulatory approvals needed for operations. For example, the company with which Old Globalstar contracted to establish an independent gateway operation in South Africa was unable to obtain an operating license from the Republic of South Africa and abandoned the business in 2001.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193" w:lineRule="exact"/>
        <w:rPr>
          <w:sz w:val="20"/>
          <w:szCs w:val="20"/>
          <w:color w:val="auto"/>
        </w:rPr>
      </w:pPr>
    </w:p>
    <w:p>
      <w:pPr>
        <w:ind w:right="240" w:firstLine="439"/>
        <w:spacing w:after="0" w:line="262" w:lineRule="auto"/>
        <w:rPr>
          <w:sz w:val="20"/>
          <w:szCs w:val="20"/>
          <w:color w:val="auto"/>
        </w:rPr>
      </w:pPr>
      <w:r>
        <w:rPr>
          <w:rFonts w:ascii="Times New Roman" w:cs="Times New Roman" w:eastAsia="Times New Roman" w:hAnsi="Times New Roman"/>
          <w:sz w:val="18"/>
          <w:szCs w:val="18"/>
          <w:color w:val="auto"/>
        </w:rPr>
        <w:t>Our current regulatory approvals could now be, or could become, insufficient in the view of foreign regulatory authorities, any additional necessary approvals may not be granted on a timely basis, or at all, in all jurisdictions in which we wish to offer services, and applicable restrictions in those jurisdictions could become unduly burdensome.</w:t>
      </w:r>
    </w:p>
    <w:p>
      <w:pPr>
        <w:spacing w:after="0" w:line="186"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Our operations are subject to certain regulations of the United States State Department's Office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19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acquire and maintain proprietary information and intellectual property rights, it could limit the growth of our business and reduce our market share.</w:t>
      </w:r>
    </w:p>
    <w:p>
      <w:pPr>
        <w:spacing w:after="0" w:line="169"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Our business depends on technical knowledge, and we believe that our future success is based, in part, on our ability to keep up with new technological developments and incorporate them in our products and services. We own or have the right to use certain of our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of sales. Although no third party has filed a lawsuit or asserted a written claim against us for allegedly infringing on its proprietary rights, such claims could be made in the future.</w:t>
      </w:r>
    </w:p>
    <w:p>
      <w:pPr>
        <w:spacing w:after="0" w:line="195"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Much of the software we require to support critical gateway operations and customer service functions, including billing, is licensed from third parties, including QUALCOMM and Space Systems/Loral Inc., and was developed or customized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special risks by doing business in developing markets, including currency and expropriation risks, which could increase our costs or reduce our revenues in these areas.</w:t>
      </w:r>
    </w:p>
    <w:p>
      <w:pPr>
        <w:spacing w:after="0" w:line="169" w:lineRule="exact"/>
        <w:rPr>
          <w:sz w:val="20"/>
          <w:szCs w:val="20"/>
          <w:color w:val="auto"/>
        </w:rPr>
      </w:pPr>
    </w:p>
    <w:p>
      <w:pPr>
        <w:ind w:right="120" w:firstLine="429"/>
        <w:spacing w:after="0" w:line="256" w:lineRule="auto"/>
        <w:rPr>
          <w:sz w:val="20"/>
          <w:szCs w:val="20"/>
          <w:color w:val="auto"/>
        </w:rPr>
      </w:pPr>
      <w:r>
        <w:rPr>
          <w:rFonts w:ascii="Times New Roman" w:cs="Times New Roman" w:eastAsia="Times New Roman" w:hAnsi="Times New Roman"/>
          <w:sz w:val="18"/>
          <w:szCs w:val="18"/>
          <w:color w:val="auto"/>
        </w:rPr>
        <w:t>Although our most economically important geographic markets currently are the United States and Canada, we have substantial markets for our mobile satellite services in developing countries or regions that are underserved by existing telecommunications systems, such as rural Venezuela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93" w:lineRule="exact"/>
        <w:rPr>
          <w:sz w:val="20"/>
          <w:szCs w:val="20"/>
          <w:color w:val="auto"/>
        </w:rPr>
      </w:pPr>
    </w:p>
    <w:p>
      <w:pPr>
        <w:ind w:right="420" w:firstLine="429"/>
        <w:spacing w:after="0" w:line="258" w:lineRule="auto"/>
        <w:rPr>
          <w:sz w:val="20"/>
          <w:szCs w:val="20"/>
          <w:color w:val="auto"/>
        </w:rPr>
      </w:pPr>
      <w:r>
        <w:rPr>
          <w:rFonts w:ascii="Times New Roman" w:cs="Times New Roman" w:eastAsia="Times New Roman" w:hAnsi="Times New Roman"/>
          <w:sz w:val="18"/>
          <w:szCs w:val="18"/>
          <w:color w:val="auto"/>
        </w:rPr>
        <w:t>Although a majority of our revenues are received in U.S. dollars, and our independent gateway operators are required to pay us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adversely impact our financial results.</w:t>
      </w:r>
    </w:p>
    <w:p>
      <w:pPr>
        <w:spacing w:after="0" w:line="229" w:lineRule="exact"/>
        <w:rPr>
          <w:sz w:val="20"/>
          <w:szCs w:val="20"/>
          <w:color w:val="auto"/>
        </w:rPr>
      </w:pPr>
    </w:p>
    <w:p>
      <w:pPr>
        <w:ind w:firstLine="439"/>
        <w:spacing w:after="0" w:line="291" w:lineRule="auto"/>
        <w:rPr>
          <w:sz w:val="20"/>
          <w:szCs w:val="20"/>
          <w:color w:val="auto"/>
        </w:rPr>
      </w:pPr>
      <w:r>
        <w:rPr>
          <w:rFonts w:ascii="Times New Roman" w:cs="Times New Roman" w:eastAsia="Times New Roman" w:hAnsi="Times New Roman"/>
          <w:sz w:val="16"/>
          <w:szCs w:val="16"/>
          <w:color w:val="auto"/>
        </w:rPr>
        <w:t>Our operations involve transactions in a variety of currencies. Sales denominated in foreign currencies primarily involve the Canadian dollar and the Euro. Our contract for the launch of our eight spare satellites is denominated in Euros. Accordingly, our operating results may be significantly affected by fluctuations in the exchange rates for these currencies. Approximately 43%, 45%, 38% and 34% of our total sales were to customers in Canada and Europe during 2003, 2004, 2005 and the first six months of 2006, respectively. Our results of operations for the six months ended June 30, 2006 reflected a loss of $1.8 million on foreign currency transactions. We may be unable to offset unfavorable currency movements as they adversely effect our revenue and expenses. Our inability to do so could have a substantial negative impact on our operating results and cash flows. Our obligations for the procurement and launch of our next-generation satellite constellation also may be denominated in Euros. If this occurs, our exposure to fluctuations in currency exchange rates will be substantially larger.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become subject to unanticipated foreign tax liabilities, it could materially increase our costs.</w:t>
      </w:r>
    </w:p>
    <w:p>
      <w:pPr>
        <w:spacing w:after="0" w:line="229"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color w:val="auto"/>
        </w:rPr>
        <w:t>We operate in various foreign tax jurisdictions.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retroactive effect.</w:t>
      </w:r>
    </w:p>
    <w:p>
      <w:pPr>
        <w:spacing w:after="0" w:line="18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69"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We depend on QUALCOMM for gateway hardware and software, and also as the exclusive manufacturer of phones using the IS-41 CDMA North American standard, which incorporates QUALCOMM proprietary technology. Ericsson OMC Limited and Telit, which until 2000 manufactured phones and other products for us, have discontinued manufacturing these products, and QUALCOMM may choose to terminate its business relationship with us when its current contractual obligations are completed in approximately four years. If QUALCOMM terminates this relationship, we may not be able to find a replacement supplier. Although the QUALCOMM relationship might be replaced, there could be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280"/>
        <w:spacing w:after="0" w:line="275" w:lineRule="auto"/>
        <w:rPr>
          <w:sz w:val="20"/>
          <w:szCs w:val="20"/>
          <w:color w:val="auto"/>
        </w:rPr>
      </w:pPr>
      <w:r>
        <w:rPr>
          <w:rFonts w:ascii="Times New Roman" w:cs="Times New Roman" w:eastAsia="Times New Roman" w:hAnsi="Times New Roman"/>
          <w:sz w:val="18"/>
          <w:szCs w:val="18"/>
          <w:color w:val="auto"/>
        </w:rPr>
        <w:t>a substantial period of time in which our products are not available and any new relationship may involve a significantly different cost structure, development schedule and delivery times.</w:t>
      </w:r>
    </w:p>
    <w:p>
      <w:pPr>
        <w:spacing w:after="0" w:line="174"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We depend on Axonn LLC to produce and sell the data modems through which we provide our Simplex service. These devices incorporate Axonn proprietary technology. As a sole supplier, if Axonn were to cease producing and selling these data modems, we would be unable to grow our Simplex services as currently anticipated. We have no long-term contract with Axonn for the production and sale of these data modems.</w:t>
      </w:r>
    </w:p>
    <w:p>
      <w:pPr>
        <w:spacing w:after="0" w:line="186"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Space Systems/Loral has completed production of our eight spare satellites, all of which are being prepared for launch in 2007. Those satellites were acquired by Old Globalstar in 2003, as part of a settlement with Loral, and are now owned by us. We are currently engaged in litigation with an affiliate of Loral as described under "Business—Legal Proceedings." We are dependent on third parties to test, prepare for launch and provide certain services in support of the launch of our spare satellites. We have contracted with Starsem to launch these satellites in 2007. We expect the cost of testing and launching these eight spare satellites (including launch insurance) to be approximately $110 million.</w:t>
      </w:r>
    </w:p>
    <w:p>
      <w:pPr>
        <w:spacing w:after="0" w:line="193" w:lineRule="exact"/>
        <w:rPr>
          <w:sz w:val="20"/>
          <w:szCs w:val="20"/>
          <w:color w:val="auto"/>
        </w:rPr>
      </w:pPr>
    </w:p>
    <w:p>
      <w:pPr>
        <w:ind w:right="180" w:firstLine="436"/>
        <w:spacing w:after="0" w:line="262" w:lineRule="auto"/>
        <w:rPr>
          <w:sz w:val="20"/>
          <w:szCs w:val="20"/>
          <w:color w:val="auto"/>
        </w:rPr>
      </w:pPr>
      <w:r>
        <w:rPr>
          <w:rFonts w:ascii="Times New Roman" w:cs="Times New Roman" w:eastAsia="Times New Roman" w:hAnsi="Times New Roman"/>
          <w:sz w:val="18"/>
          <w:szCs w:val="18"/>
          <w:color w:val="auto"/>
        </w:rPr>
        <w:t>We are currently soliciting proposals to procure and launch our second-generation satellite constellation. The architecture for these satellites has not yet been determined. We may not receive tenders to provide the second-generation on favorable terms or at all. If either occurred, we would be unable to fulfill our business plan.</w:t>
      </w:r>
    </w:p>
    <w:p>
      <w:pPr>
        <w:spacing w:after="0" w:line="18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Wireless devices may pose health and safety risks and, as a result, we may be subject to new regulations, demand for our services may decrease and we could face liability based on alleged health risks.</w:t>
      </w:r>
    </w:p>
    <w:p>
      <w:pPr>
        <w:spacing w:after="0" w:line="169"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There has been adverse publicity concerning alleged health risks associated with radio frequency transmissions from portable hand-held telephones that have transmitting antennae. Lawsuits have been filed against participants in the wireless industry alleging various adverse health consequences, including cancer, as a result of wireless phone usage. The U.S. Supreme Court recently declined to review a lower federal court's decision remanding for trial in state courts several cases alleging such injuries. Our subsidiary, Globalstar USA, LLC, was a defendant in a similar case in a Georgia state court. Vodafone Americas, Inc. conducted our defense pursuant to a prior indemnification obligation. The plaintiff, on behalf of cellular consumers in Georgia, claimed that defendants (cell phone manufacturers and operators) knew that their cell phone products emitted radio frequency radiation that posed future health risks. Based on the defendants' failure to warn of such risks and alleged breaches of warranty, plaintiff sought a variety of monetary damages as well as headsets for each cell phone consumer in Georgia. In March 2005, the case was consolidated with four other cases in the United States District Court in Maryland. On January 30, 2006, because of the consolidation, the plaintiff voluntarily dismissed the Georgia state court case.</w:t>
      </w:r>
    </w:p>
    <w:p>
      <w:pPr>
        <w:spacing w:after="0" w:line="197" w:lineRule="exact"/>
        <w:rPr>
          <w:sz w:val="20"/>
          <w:szCs w:val="20"/>
          <w:color w:val="auto"/>
        </w:rPr>
      </w:pPr>
    </w:p>
    <w:p>
      <w:pPr>
        <w:ind w:right="220" w:firstLine="429"/>
        <w:spacing w:after="0" w:line="262" w:lineRule="auto"/>
        <w:rPr>
          <w:sz w:val="20"/>
          <w:szCs w:val="20"/>
          <w:color w:val="auto"/>
        </w:rPr>
      </w:pPr>
      <w:r>
        <w:rPr>
          <w:rFonts w:ascii="Times New Roman" w:cs="Times New Roman" w:eastAsia="Times New Roman" w:hAnsi="Times New Roman"/>
          <w:sz w:val="18"/>
          <w:szCs w:val="18"/>
          <w:color w:val="auto"/>
        </w:rPr>
        <w:t>Although we do not believe that there is valid scientific evidence that use of our phones poses a health risk, courts or governmental agencies could find otherwise. Any such finding could reduce our revenues and profitability and expose us and other wireless providers to litigation, which, even if not successful, could be costly to defend.</w:t>
      </w:r>
    </w:p>
    <w:p>
      <w:pPr>
        <w:spacing w:after="0" w:line="186" w:lineRule="exact"/>
        <w:rPr>
          <w:sz w:val="20"/>
          <w:szCs w:val="20"/>
          <w:color w:val="auto"/>
        </w:rPr>
      </w:pPr>
    </w:p>
    <w:p>
      <w:pPr>
        <w:ind w:right="300" w:firstLine="439"/>
        <w:spacing w:after="0" w:line="262" w:lineRule="auto"/>
        <w:rPr>
          <w:sz w:val="20"/>
          <w:szCs w:val="20"/>
          <w:color w:val="auto"/>
        </w:rPr>
      </w:pPr>
      <w:r>
        <w:rPr>
          <w:rFonts w:ascii="Times New Roman" w:cs="Times New Roman" w:eastAsia="Times New Roman" w:hAnsi="Times New Roman"/>
          <w:sz w:val="18"/>
          <w:szCs w:val="18"/>
          <w:color w:val="auto"/>
        </w:rPr>
        <w:t>If consumers' health concerns over radio frequency emissions increase, they may be discouraged from using wireless handsets. Further, government authorities might increase regulation of wireless handsets as a result of these health concerns. The actual or perceived risk of radio frequency emissions could reduce our subscriber growth rate, reduce the number of our subscribers or impair our ability to obtain future financing.</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transactions may cause us to incur additional risks.</w:t>
      </w:r>
    </w:p>
    <w:p>
      <w:pPr>
        <w:spacing w:after="0" w:line="229" w:lineRule="exact"/>
        <w:rPr>
          <w:sz w:val="20"/>
          <w:szCs w:val="20"/>
          <w:color w:val="auto"/>
        </w:rPr>
      </w:pPr>
    </w:p>
    <w:p>
      <w:pPr>
        <w:jc w:val="both"/>
        <w:ind w:right="60" w:firstLine="436"/>
        <w:spacing w:after="0" w:line="262" w:lineRule="auto"/>
        <w:rPr>
          <w:sz w:val="20"/>
          <w:szCs w:val="20"/>
          <w:color w:val="auto"/>
        </w:rPr>
      </w:pPr>
      <w:r>
        <w:rPr>
          <w:rFonts w:ascii="Times New Roman" w:cs="Times New Roman" w:eastAsia="Times New Roman" w:hAnsi="Times New Roman"/>
          <w:sz w:val="18"/>
          <w:szCs w:val="18"/>
          <w:color w:val="auto"/>
        </w:rPr>
        <w:t>We may pursue acquisitions, joint ventures or other strategic transactions on an opportunistic basis, although no such transactions that would be financially significant to us are probable at this time. We may face costs and risks arising from any such transactions, including integrating a new business into our business or managing a joint venture. These may include legal, organizational, financial and other costs and risks.</w:t>
      </w:r>
    </w:p>
    <w:p>
      <w:pPr>
        <w:spacing w:after="0" w:line="186" w:lineRule="exact"/>
        <w:rPr>
          <w:sz w:val="20"/>
          <w:szCs w:val="20"/>
          <w:color w:val="auto"/>
        </w:rPr>
      </w:pPr>
    </w:p>
    <w:p>
      <w:pPr>
        <w:ind w:right="180" w:firstLine="439"/>
        <w:spacing w:after="0" w:line="258" w:lineRule="auto"/>
        <w:rPr>
          <w:sz w:val="20"/>
          <w:szCs w:val="20"/>
          <w:color w:val="auto"/>
        </w:rPr>
      </w:pPr>
      <w:r>
        <w:rPr>
          <w:rFonts w:ascii="Times New Roman" w:cs="Times New Roman" w:eastAsia="Times New Roman" w:hAnsi="Times New Roman"/>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impair our ability to react to changes in our business and may limit our ability to use debt to fund future capital needs.</w:t>
      </w:r>
    </w:p>
    <w:p>
      <w:pPr>
        <w:spacing w:after="0" w:line="229" w:lineRule="exact"/>
        <w:rPr>
          <w:sz w:val="20"/>
          <w:szCs w:val="20"/>
          <w:color w:val="auto"/>
        </w:rPr>
      </w:pPr>
    </w:p>
    <w:p>
      <w:pPr>
        <w:ind w:right="240" w:firstLine="439"/>
        <w:spacing w:after="0" w:line="262" w:lineRule="auto"/>
        <w:rPr>
          <w:sz w:val="20"/>
          <w:szCs w:val="20"/>
          <w:color w:val="auto"/>
        </w:rPr>
      </w:pPr>
      <w:r>
        <w:rPr>
          <w:rFonts w:ascii="Times New Roman" w:cs="Times New Roman" w:eastAsia="Times New Roman" w:hAnsi="Times New Roman"/>
          <w:sz w:val="18"/>
          <w:szCs w:val="18"/>
          <w:color w:val="auto"/>
        </w:rPr>
        <w:t>Our indebtedness could adversely affect our financial condition. If our credit agreement had been in effect and the $150.0 million in committed facilities fully drawn at June 30, 2006, our indebtedness would have been $151.4 million. This would have resulted in annual interest expense of approximately $16.7 million, assuming an interest rate of 11.0%. Our indebtedness could:</w:t>
      </w:r>
    </w:p>
    <w:p>
      <w:pPr>
        <w:spacing w:after="0" w:line="200" w:lineRule="exact"/>
        <w:rPr>
          <w:sz w:val="20"/>
          <w:szCs w:val="20"/>
          <w:color w:val="auto"/>
        </w:rPr>
      </w:pPr>
    </w:p>
    <w:p>
      <w:pPr>
        <w:ind w:left="1080" w:right="320" w:hanging="532"/>
        <w:spacing w:after="0" w:line="339" w:lineRule="auto"/>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our cash flow from operations to principal payments on our debt in years when the debt matures, thereby reducing the availability of our cash flow to fund working capital, capital expenditures and other general corporate expenditures;</w:t>
      </w:r>
    </w:p>
    <w:p>
      <w:pPr>
        <w:spacing w:after="0" w:line="155" w:lineRule="exact"/>
        <w:rPr>
          <w:rFonts w:ascii="Times New Roman" w:cs="Times New Roman" w:eastAsia="Times New Roman" w:hAnsi="Times New Roman"/>
          <w:sz w:val="16"/>
          <w:szCs w:val="16"/>
          <w:color w:val="auto"/>
        </w:rPr>
      </w:pPr>
    </w:p>
    <w:p>
      <w:pPr>
        <w:ind w:left="1080" w:right="34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comply with the restrictive covenants contained in our credit agreement, which event of default could result in all of our debt becoming immediately due and payable;</w:t>
      </w:r>
    </w:p>
    <w:p>
      <w:pPr>
        <w:spacing w:after="0" w:line="18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general economic or industry conditions because our debt could mature at a time when those conditions make it difficult to refinance and our cash flow is insufficient to repay the debt in full, forcing us to sell assets at disadvantageous prices or to default on the debt, and because a decline in our profitability could cause us to be unable to comply with the forward fixed charge coverage ratio in our credit agreement and result in a default on, and acceleration of, our debt;</w:t>
      </w:r>
    </w:p>
    <w:p>
      <w:pPr>
        <w:spacing w:after="0" w:line="203"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competition and/or changes in our business or our industry by limiting our ability to incur additional debt, to make acquisitions and divestitures or to engage in transactions that could be beneficial to us;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introducing new products or services or exploiting business opportunities;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competitors that have less debt or greater financial resources.</w:t>
      </w:r>
    </w:p>
    <w:p>
      <w:pPr>
        <w:spacing w:after="0" w:line="225" w:lineRule="exact"/>
        <w:rPr>
          <w:sz w:val="20"/>
          <w:szCs w:val="20"/>
          <w:color w:val="auto"/>
        </w:rPr>
      </w:pPr>
    </w:p>
    <w:p>
      <w:pPr>
        <w:jc w:val="both"/>
        <w:ind w:right="160" w:firstLine="439"/>
        <w:spacing w:after="0" w:line="262" w:lineRule="auto"/>
        <w:rPr>
          <w:sz w:val="20"/>
          <w:szCs w:val="20"/>
          <w:color w:val="auto"/>
        </w:rPr>
      </w:pPr>
      <w:r>
        <w:rPr>
          <w:rFonts w:ascii="Times New Roman" w:cs="Times New Roman" w:eastAsia="Times New Roman" w:hAnsi="Times New Roman"/>
          <w:sz w:val="18"/>
          <w:szCs w:val="18"/>
          <w:color w:val="auto"/>
        </w:rPr>
        <w:t>Furthermore, if an event of default were to occur with respect to our credit agreement or other indebtedness, our creditors could accelerate the maturity of our indebtedness. Our indebtedness under our credit agreement is secured by a lien on substantially all of our assets and the assets of our domestic subsidiaries and the lenders could foreclose on these assets to repay the indebtedness.</w:t>
      </w:r>
    </w:p>
    <w:p>
      <w:pPr>
        <w:spacing w:after="0" w:line="186" w:lineRule="exact"/>
        <w:rPr>
          <w:sz w:val="20"/>
          <w:szCs w:val="20"/>
          <w:color w:val="auto"/>
        </w:rPr>
      </w:pPr>
    </w:p>
    <w:p>
      <w:pPr>
        <w:ind w:right="120" w:firstLine="439"/>
        <w:spacing w:after="0" w:line="262" w:lineRule="auto"/>
        <w:rPr>
          <w:sz w:val="20"/>
          <w:szCs w:val="20"/>
          <w:color w:val="auto"/>
        </w:rPr>
      </w:pPr>
      <w:r>
        <w:rPr>
          <w:rFonts w:ascii="Times New Roman" w:cs="Times New Roman" w:eastAsia="Times New Roman" w:hAnsi="Times New Roman"/>
          <w:sz w:val="18"/>
          <w:szCs w:val="18"/>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 sufficient to permit us to pay the principal,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p>
      <w:pPr>
        <w:ind w:right="220"/>
        <w:spacing w:after="0" w:line="258" w:lineRule="auto"/>
        <w:rPr>
          <w:sz w:val="20"/>
          <w:szCs w:val="20"/>
          <w:color w:val="auto"/>
        </w:rPr>
      </w:pPr>
      <w:r>
        <w:rPr>
          <w:rFonts w:ascii="Times New Roman" w:cs="Times New Roman" w:eastAsia="Times New Roman" w:hAnsi="Times New Roman"/>
          <w:sz w:val="18"/>
          <w:szCs w:val="18"/>
          <w:color w:val="auto"/>
        </w:rPr>
        <w:t>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able to incur additional indebtedness or other obligations in the future, which would exacerbate the risks discussed above.</w:t>
      </w:r>
    </w:p>
    <w:p>
      <w:pPr>
        <w:spacing w:after="0" w:line="229"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 xml:space="preserve">Our credit agreement permits us to incur, in addition to the $150.0 million of revolving credit and delayed draw term loans that the lenders have committed to advance under the credit agreement, other indebtedness under certain conditions, including up to $150.0 million of additional equally and ratably secured,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passu</w:t>
      </w:r>
      <w:r>
        <w:rPr>
          <w:rFonts w:ascii="Times New Roman" w:cs="Times New Roman" w:eastAsia="Times New Roman" w:hAnsi="Times New Roman"/>
          <w:sz w:val="18"/>
          <w:szCs w:val="18"/>
          <w:color w:val="auto"/>
        </w:rPr>
        <w:t>, term loans, up to $200.0 million of unsecured debt and up to $20.0 million of purchase money indebtedness or capitalized leases. We may incur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indebtedness only if no event of default under our credit agreement then exists, if we are in pro forma compliance with all of the financial covenants of our credit agreement, and if, after giving effect thereto, our consolidated total leverage ratio does not exceed 5.5 to 1.0. Our credit agreement also permits us to incur obligations that do not constitute "indebtedness" as defined in the credit agreement, including obligations to satellite vendors that are not evidenced by a note and not secured by assets other than those purchased with such obligations. To the extent additional debt or other obligations are added to our currently anticipated debt levels, the substantial indebtedness risks described above would increase.</w:t>
      </w:r>
    </w:p>
    <w:p>
      <w:pPr>
        <w:spacing w:after="0" w:line="192" w:lineRule="exact"/>
        <w:rPr>
          <w:sz w:val="20"/>
          <w:szCs w:val="20"/>
          <w:color w:val="auto"/>
        </w:rPr>
      </w:pPr>
    </w:p>
    <w:p>
      <w:pPr>
        <w:ind w:right="320" w:firstLine="436"/>
        <w:spacing w:after="0" w:line="275" w:lineRule="auto"/>
        <w:rPr>
          <w:sz w:val="20"/>
          <w:szCs w:val="20"/>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such indebtedness, which may not be successful.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our credit agreement impose restrictions that may limit our operating and financial flexibility.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credit agreement contains a number of significant restrictions and covenants that limit our ability to:</w:t>
      </w:r>
    </w:p>
    <w:p>
      <w:pPr>
        <w:spacing w:after="0" w:line="239"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to our stockholders;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or capital expenditures;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or redeem capital stock or subordinated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our assets;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subsidiaries to pay dividends or to make other payments to us;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our affiliates;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obligations to vendors of satellites;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 or transfer all or substantially all of our assets;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5"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Complying with these restrictive covenants, as well as those that may be contained in any agreements governing future indebtedness, may impair our ability to finance our operations or capital needs or to take advantage of other favorable business opportunities. Our ability to comply with these restrictive covenants will depend on our future performance, which may be affected by events beyond our control. If we violate any of these covenants and are unable to obtain waivers, we would be in default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line="293" w:lineRule="auto"/>
        <w:rPr>
          <w:sz w:val="20"/>
          <w:szCs w:val="20"/>
          <w:color w:val="auto"/>
        </w:rPr>
      </w:pPr>
      <w:r>
        <w:rPr>
          <w:rFonts w:ascii="Times New Roman" w:cs="Times New Roman" w:eastAsia="Times New Roman" w:hAnsi="Times New Roman"/>
          <w:sz w:val="16"/>
          <w:szCs w:val="16"/>
          <w:color w:val="auto"/>
        </w:rPr>
        <w:t>under the agreement and payment of the indebtedness could be accelerated.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 execute our business plan and compete against companies who are not subject to such restrictions.</w:t>
      </w:r>
    </w:p>
    <w:p>
      <w:pPr>
        <w:spacing w:after="0" w:line="16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address successfully the material weakness in our internal controls, or our other control deficiencies, our ability to report our financial results on a timely and accurate basis and to comply with disclosure and other requirements may be adversely affected; public reporting obligations will put significant demands on our financial, operational and management resources.</w:t>
      </w:r>
    </w:p>
    <w:p>
      <w:pPr>
        <w:spacing w:after="0" w:line="183" w:lineRule="exact"/>
        <w:rPr>
          <w:sz w:val="20"/>
          <w:szCs w:val="20"/>
          <w:color w:val="auto"/>
        </w:rPr>
      </w:pPr>
    </w:p>
    <w:p>
      <w:pPr>
        <w:ind w:right="20" w:firstLine="436"/>
        <w:spacing w:after="0" w:line="288" w:lineRule="auto"/>
        <w:rPr>
          <w:sz w:val="20"/>
          <w:szCs w:val="20"/>
          <w:color w:val="auto"/>
        </w:rPr>
      </w:pPr>
      <w:r>
        <w:rPr>
          <w:rFonts w:ascii="Times New Roman" w:cs="Times New Roman" w:eastAsia="Times New Roman" w:hAnsi="Times New Roman"/>
          <w:sz w:val="16"/>
          <w:szCs w:val="16"/>
          <w:color w:val="auto"/>
        </w:rPr>
        <w:t>We are not currently required to comply with Section 404 of the Sarbanes-Oxley Act of 2002, and are therefore not required to make an assessment of the effectiveness of our internal controls over financial reporting for that purpose. However, in connection with its audit of our 2005 consolidated financial statements, our independent registered public accounting firm, Crowe Chizek and Company LLP, identified a material weakness in our processes, procedures and controls related to our failure to eliminate inter-company profit from sales of inventory and surplus or spare fixed assets related to gateway equipment to our subsidiaries, and informed members of our senior management and our board of directors that these processes, procedures and controls were not adequate to ensure that our financial statements were prepared in accordance with generally accepted accounting principles. A material weakness is defined as a significant deficiency, or a combination of significant deficiencies, that results in more than a remote likelihood that a material misstatement of the annual or interim financial statements will not be prevented or detected. We failed to eliminate approximately $0.9 million in inter-company profit resulting from these sales in our initial preparation of our 2005 financial statements. This control deficiency could have resulted in an overstatement of our earnings for 2005 that would not have been prevented or detected. Accordingly, our management concluded that this deficiency in internal control over financial reporting was a material weakness.</w:t>
      </w:r>
    </w:p>
    <w:p>
      <w:pPr>
        <w:spacing w:after="0" w:line="169" w:lineRule="exact"/>
        <w:rPr>
          <w:sz w:val="20"/>
          <w:szCs w:val="20"/>
          <w:color w:val="auto"/>
        </w:rPr>
      </w:pPr>
    </w:p>
    <w:p>
      <w:pPr>
        <w:ind w:right="280" w:firstLine="436"/>
        <w:spacing w:after="0" w:line="339" w:lineRule="auto"/>
        <w:rPr>
          <w:sz w:val="20"/>
          <w:szCs w:val="20"/>
          <w:color w:val="auto"/>
        </w:rPr>
      </w:pPr>
      <w:r>
        <w:rPr>
          <w:rFonts w:ascii="Times New Roman" w:cs="Times New Roman" w:eastAsia="Times New Roman" w:hAnsi="Times New Roman"/>
          <w:sz w:val="16"/>
          <w:szCs w:val="16"/>
          <w:color w:val="auto"/>
        </w:rPr>
        <w:t>We have corrected this error in our year-end adjustments in connection with finalizing the financial statements included in this prospectus. We intend to implement additional controls to verify that all future inter-company profits are captured and tracked properly and eliminated in the consolidation.</w:t>
      </w:r>
    </w:p>
    <w:p>
      <w:pPr>
        <w:spacing w:after="0" w:line="128" w:lineRule="exact"/>
        <w:rPr>
          <w:sz w:val="20"/>
          <w:szCs w:val="20"/>
          <w:color w:val="auto"/>
        </w:rPr>
      </w:pPr>
    </w:p>
    <w:p>
      <w:pPr>
        <w:ind w:right="60" w:firstLine="439"/>
        <w:spacing w:after="0" w:line="288" w:lineRule="auto"/>
        <w:rPr>
          <w:sz w:val="20"/>
          <w:szCs w:val="20"/>
          <w:color w:val="auto"/>
        </w:rPr>
      </w:pPr>
      <w:r>
        <w:rPr>
          <w:rFonts w:ascii="Times New Roman" w:cs="Times New Roman" w:eastAsia="Times New Roman" w:hAnsi="Times New Roman"/>
          <w:sz w:val="16"/>
          <w:szCs w:val="16"/>
          <w:color w:val="auto"/>
        </w:rPr>
        <w:t>In connection with their audit of our 2005 financial statements, Crowe Chizek also advised our management and board of directors that it had identified other significant deficiencies in our internal controls. A significant deficiency is defined as a control deficiency, or a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Crowe Chizek recommended that we consider taking remedial actions, including hiring additional accounting resources in our significantly understaffed corporate accounting department, establishing a monthly close checklist and timetable, reviewing and supervising manual journal entries, historical estimates and consistency of accounting policies, segregating duties in our accounts payable department, reviewing calculations of allowance for doubtful accounts and inventory and warranty reserves, and simplifying and automating our reporting process, particularly in the consolidation of our foreign subsidiaries' financial information. We have begun to implement these recommendations. We have implemented additional management oversight over inter-company transactions and additional controls with respect to reconciliation of inter-</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ind w:right="180"/>
        <w:spacing w:after="0" w:line="310" w:lineRule="auto"/>
        <w:rPr>
          <w:sz w:val="20"/>
          <w:szCs w:val="20"/>
          <w:color w:val="auto"/>
        </w:rPr>
      </w:pPr>
      <w:r>
        <w:rPr>
          <w:rFonts w:ascii="Times New Roman" w:cs="Times New Roman" w:eastAsia="Times New Roman" w:hAnsi="Times New Roman"/>
          <w:sz w:val="16"/>
          <w:szCs w:val="16"/>
          <w:color w:val="auto"/>
        </w:rPr>
        <w:t>company balances at quarter-end. We also intend to hire additional staff to address further our deficiencies in that area. The remediation process is ongoing. We expect to incur additional costs associated with being a public company going forward. Although significant, we do not expect these additional costs to be material to our operations. We intend to pay for these additional costs from our working capital generated by our continuing operations.</w:t>
      </w:r>
    </w:p>
    <w:p>
      <w:pPr>
        <w:spacing w:after="0" w:line="151" w:lineRule="exact"/>
        <w:rPr>
          <w:sz w:val="20"/>
          <w:szCs w:val="20"/>
          <w:color w:val="auto"/>
        </w:rPr>
      </w:pPr>
    </w:p>
    <w:p>
      <w:pPr>
        <w:ind w:right="220" w:firstLine="436"/>
        <w:spacing w:after="0" w:line="262" w:lineRule="auto"/>
        <w:rPr>
          <w:sz w:val="20"/>
          <w:szCs w:val="20"/>
          <w:color w:val="auto"/>
        </w:rPr>
      </w:pPr>
      <w:r>
        <w:rPr>
          <w:rFonts w:ascii="Times New Roman" w:cs="Times New Roman" w:eastAsia="Times New Roman" w:hAnsi="Times New Roman"/>
          <w:sz w:val="18"/>
          <w:szCs w:val="18"/>
          <w:color w:val="auto"/>
        </w:rPr>
        <w:t>We will continue to monitor the effectiveness of these and other processes, procedures and controls and will make any further changes management determines appropriate, including to effect compliance with Section 404 of the Sarbanes-Oxley Act of 2002 at or before December 31, 2007, the date by which we are required to comply with it.</w:t>
      </w:r>
    </w:p>
    <w:p>
      <w:pPr>
        <w:spacing w:after="0" w:line="186" w:lineRule="exact"/>
        <w:rPr>
          <w:sz w:val="20"/>
          <w:szCs w:val="20"/>
          <w:color w:val="auto"/>
        </w:rPr>
      </w:pPr>
    </w:p>
    <w:p>
      <w:pPr>
        <w:ind w:right="240" w:firstLine="429"/>
        <w:spacing w:after="0" w:line="258" w:lineRule="auto"/>
        <w:rPr>
          <w:sz w:val="20"/>
          <w:szCs w:val="20"/>
          <w:color w:val="auto"/>
        </w:rPr>
      </w:pPr>
      <w:r>
        <w:rPr>
          <w:rFonts w:ascii="Times New Roman" w:cs="Times New Roman" w:eastAsia="Times New Roman" w:hAnsi="Times New Roman"/>
          <w:sz w:val="18"/>
          <w:szCs w:val="18"/>
          <w:color w:val="auto"/>
        </w:rPr>
        <w:t>Any material weakness or other deficiencies in our control systems may affect our ability to comply with SEC reporting requirements and NASDAQ Global Market listing standards or cause our financial statements to contain material misstatements, which could negatively affect the market price and trading liquidity of our common stock, cause investors to lose confidence in our reported financial information, as well as subject us to civil or criminal investigations and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on our common stock in the foreseeable future.</w:t>
      </w:r>
    </w:p>
    <w:p>
      <w:pPr>
        <w:spacing w:after="0" w:line="229"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Except for a one-time payment of $685,848 to Thermo as described under "Dividend Policy and Restrictions," we do not expect to pay cash dividends on our common stock, including the common stock issued in this offering. Any future dividend payments are within the absolute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credit agreement currently prohibits the payment of cash dividends. See "Dividend Policy and Restrictions."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existing market for our common stock, and one may not develop to provide you with adequate liquidity.</w:t>
      </w:r>
    </w:p>
    <w:p>
      <w:pPr>
        <w:spacing w:after="0" w:line="229"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common stock. We have applied to list our common stock on the NASDAQ Global Market. However, we cannot predict the extent to which investor interest in our company will lead to the development of a trading market on the NASDAQ Global Market or otherwise or how liquid that market might become. If an active trading market does not develop, you may have difficulty selling any of our common stock that you buy. The initial public offering price for the shares was determined by negotiations between us and the representatives of the underwriters based on numerous factors that we discuss in the "Underwriting" section of this prospectus and may not be indicative of prices that will prevail in the open market following this offering.</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Consequently, you may not be able to sell our common stock at prices equal to or greater than the price you paid in this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trading price of our common stock may be subject to wide fluctuations. Factors affecting the trading price of our common stock may include:</w:t>
      </w:r>
    </w:p>
    <w:p>
      <w:pPr>
        <w:spacing w:after="0" w:line="23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ind w:left="1080" w:right="8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economic, political or market conditions, such as recessions or international currency fluctuations;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regulatory environment affecting our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industry peers;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acquisitions, strategic partnerships, divestitures, joint ventures or other strategic initiatives.</w:t>
      </w:r>
    </w:p>
    <w:p>
      <w:pPr>
        <w:spacing w:after="0" w:line="248" w:lineRule="exact"/>
        <w:rPr>
          <w:sz w:val="20"/>
          <w:szCs w:val="20"/>
          <w:color w:val="auto"/>
        </w:rPr>
      </w:pPr>
    </w:p>
    <w:p>
      <w:pPr>
        <w:ind w:right="480" w:firstLine="436"/>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might also decline in reaction to events that affect other companies in our industry even if these events do not directly affect us. You may be unable to resell your shares of our common stock at or above the initial public offering price.</w:t>
      </w:r>
    </w:p>
    <w:p>
      <w:pPr>
        <w:spacing w:after="0" w:line="1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in the public market, or the possibility or perception of these sales, could cause our stock price to decline.</w:t>
      </w:r>
    </w:p>
    <w:p>
      <w:pPr>
        <w:spacing w:after="0" w:line="169"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common stock in the market after this offering or the perception that such sales could occur. These sales, or the possibility that significant sales may occur, also might make it more difficult for us to sell equity securities in the future at a time and at a price that we deem appropriate. We, Thermo, Columbia Ventures Corporation, QUALCOMM Incorporated, Loral Skynet Corporation, any of our other stockholders that are parties to the irrevocable standby stock purchase agreement and our directors and executive officers have agreed with the underwriters not to sell, dispose of or hedge any shares of our common stock or securities convertible into or exchangeable for shares of our common stock, subject to specified exceptions, during the period from the date of this prospectus continuing through the date that is 180 days after the date of this prospectus, except with the prior written consent of Wachovia Capital Markets, LLC and J.P. Morgan Securities Inc. The lock-up agreement with Columbia Ventures Corporation covers 70% of the shares beneficially owned by it. See "Underwriting." Our other stockholders, who own an aggregate of approximately 20% of our common stock on the date of this prospectus, are not subject to these restrictions and may sell their shares immediately after this offering to the extent permitted by law.</w:t>
      </w:r>
    </w:p>
    <w:p>
      <w:pPr>
        <w:spacing w:after="0" w:line="195"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have 69,375,494 shares of common stock outstanding, assuming no exercise of the underwriters' option to purchase additional shares, no issuance of the remaining shares subject to the irrevocable standby stock purchase agreement with Thermo Funding Company or any shares to our other stockholders in our pre-emptive rights offering and no issuance of shares pursuant to our 2006 Equity Incentive Plan. Of the outstanding shares, all of the shares sold in this offering, as well as 18,287,946 unrestricted shares already outstanding that were issued in the Reorganization and are not held by our "affiliates," as defined under Rule 144 of the Securities Act, will be freely tradable without restriction or further registration under the Securities Act. Any shares owned by our "affiliates" may be sold only in compliance with the limitations of that Rule. The remaining 52,227,060 outstanding shares of common stock will be deemed "restricted securities" as that term is defined under Rule 144. Restricted securities may be sold in the public market only if registered or if they qualify for an exemption from registration under Rule 144.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book value of shares of common stock purchased in this offering will be immediately diluted and may be subject to additional dilution in the future.</w:t>
      </w:r>
    </w:p>
    <w:p>
      <w:pPr>
        <w:spacing w:after="0" w:line="229" w:lineRule="exact"/>
        <w:rPr>
          <w:sz w:val="20"/>
          <w:szCs w:val="20"/>
          <w:color w:val="auto"/>
        </w:rPr>
      </w:pPr>
    </w:p>
    <w:p>
      <w:pPr>
        <w:ind w:right="500" w:firstLine="436"/>
        <w:spacing w:after="0" w:line="339" w:lineRule="auto"/>
        <w:rPr>
          <w:sz w:val="20"/>
          <w:szCs w:val="20"/>
          <w:color w:val="auto"/>
        </w:rPr>
      </w:pPr>
      <w:r>
        <w:rPr>
          <w:rFonts w:ascii="Times New Roman" w:cs="Times New Roman" w:eastAsia="Times New Roman" w:hAnsi="Times New Roman"/>
          <w:sz w:val="16"/>
          <w:szCs w:val="16"/>
          <w:color w:val="auto"/>
        </w:rPr>
        <w:t>The initial public offering price per share of our common stock is substantially higher than the net tangible book value per share of our outstanding common stock. Accordingly, if you purchase common stock in this offering, you will suffer immediate and substantial dilution of your investment. If, as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30" w:name="page31"/>
    <w:bookmarkEnd w:id="30"/>
    <w:p>
      <w:pPr>
        <w:ind w:right="80"/>
        <w:spacing w:after="0" w:line="256" w:lineRule="auto"/>
        <w:rPr>
          <w:sz w:val="20"/>
          <w:szCs w:val="20"/>
          <w:color w:val="auto"/>
        </w:rPr>
      </w:pPr>
      <w:r>
        <w:rPr>
          <w:rFonts w:ascii="Times New Roman" w:cs="Times New Roman" w:eastAsia="Times New Roman" w:hAnsi="Times New Roman"/>
          <w:sz w:val="18"/>
          <w:szCs w:val="18"/>
          <w:color w:val="auto"/>
        </w:rPr>
        <w:t>June 30, 2006, we had issued and sold 6,500,000 shares of common stock at an assumed initial public offering price of $17.00 per share (the mid-point of the initial public offering price range indicated on the cover of this prospectus), you would have incurred immediate dilution of $13.96 in the net tangible book value per share. This dilution would have been $12.10 if we assume issuance of all of the common stock subject to the irrevocable standby stock purchase agreement with Thermo Funding Company and $11.70 if we also assume the issuance of all of the shares subject to our pre-emptive rights offering. Any issuance of shares pursuant to our 2006 Equity Incentive Plan will result in further dilution.</w:t>
      </w:r>
    </w:p>
    <w:p>
      <w:pPr>
        <w:spacing w:after="0" w:line="18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credit agreement and provisions of Delaware law may discourage takeovers, which could affect the rights of holders of our common stock.</w:t>
      </w:r>
    </w:p>
    <w:p>
      <w:pPr>
        <w:spacing w:after="0" w:line="169"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8"/>
          <w:szCs w:val="18"/>
          <w:color w:val="auto"/>
        </w:rPr>
        <w:t>Provisions of Delaware law and our amended and restated certificate of incorporation, amended and restated bylaws and our credit agreement could hamper a third party's acquisition of us or discourage a third party from attempting to acquire control of us. These provisions include:</w:t>
      </w:r>
    </w:p>
    <w:p>
      <w:pPr>
        <w:spacing w:after="0" w:line="187" w:lineRule="exact"/>
        <w:rPr>
          <w:sz w:val="20"/>
          <w:szCs w:val="20"/>
          <w:color w:val="auto"/>
        </w:rPr>
      </w:pPr>
    </w:p>
    <w:p>
      <w:pPr>
        <w:ind w:left="1080" w:right="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in the election of our directors, which means that the holders of a majority of our common stock may elect all of the directors standing for election;</w:t>
      </w:r>
    </w:p>
    <w:p>
      <w:pPr>
        <w:spacing w:after="0" w:line="200"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with voting rights or with rights senior to those of the common stock without any further vote or action by the holders of our common stock;</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separate classes serving staggered three-year terms;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2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at such time when Thermo does not own a majority of our outstanding capital stock entitled to vote in the election of directors, to remove our directors only for cause and only by the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shares of capital stock entitled to vote in the election of directors;</w:t>
      </w:r>
    </w:p>
    <w:p>
      <w:pPr>
        <w:spacing w:after="0" w:line="231"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at such time when Thermo does not own a majority of our outstanding capital stock entitled to vote in the election of directors, on our stockholders acting by written consent;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our stockholders calling special meetings of stockholders or filling vacancies on our board of directors;</w:t>
      </w:r>
    </w:p>
    <w:p>
      <w:pPr>
        <w:spacing w:after="0" w:line="238" w:lineRule="exact"/>
        <w:rPr>
          <w:rFonts w:ascii="Times New Roman" w:cs="Times New Roman" w:eastAsia="Times New Roman" w:hAnsi="Times New Roman"/>
          <w:sz w:val="18"/>
          <w:szCs w:val="18"/>
          <w:color w:val="auto"/>
        </w:rPr>
      </w:pPr>
    </w:p>
    <w:p>
      <w:pPr>
        <w:ind w:left="1080" w:right="240" w:hanging="532"/>
        <w:spacing w:after="0" w:line="339" w:lineRule="auto"/>
        <w:tabs>
          <w:tab w:leader="none" w:pos="10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155" w:lineRule="exact"/>
        <w:rPr>
          <w:rFonts w:ascii="Times New Roman" w:cs="Times New Roman" w:eastAsia="Times New Roman" w:hAnsi="Times New Roman"/>
          <w:sz w:val="16"/>
          <w:szCs w:val="16"/>
          <w:color w:val="auto"/>
        </w:rPr>
      </w:pPr>
    </w:p>
    <w:p>
      <w:pPr>
        <w:ind w:left="10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credit agreement, which provides that a change of control will constitute an event of default and, unless waived by the lenders, will result in the acceleration of the maturity of all indebtedness under the credit agreement; and</w:t>
      </w:r>
    </w:p>
    <w:p>
      <w:pPr>
        <w:spacing w:after="0" w:line="187"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2006 Equity Incentive Plan, which provides that a change of control may accelerate the vesting of all outstanding stock options, stock appreciation rights and restricted stock.</w:t>
      </w:r>
    </w:p>
    <w:p>
      <w:pPr>
        <w:spacing w:after="0" w:line="174" w:lineRule="exact"/>
        <w:rPr>
          <w:sz w:val="20"/>
          <w:szCs w:val="20"/>
          <w:color w:val="auto"/>
        </w:rPr>
      </w:pPr>
    </w:p>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w:t>
      </w:r>
    </w:p>
    <w:p>
      <w:pPr>
        <w:spacing w:after="0" w:line="186"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8"/>
          <w:szCs w:val="18"/>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Thermo, whose interests may conflict with yours.</w:t>
      </w:r>
    </w:p>
    <w:p>
      <w:pPr>
        <w:spacing w:after="0" w:line="229"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Thermo will own approximately 58% of our outstanding common stock. If Thermo were to purchase all of the common stock it has agreed to purchase in the irrevocable standby stock purchase agreement, its ownership would increase to approximately 64%. Thermo will be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190"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Thermo is controlled by James Monroe III, our chairman and chief executive officer. Through Thermo, Mr. Monroe holds equity interests in, and serves as an executive officer or director of, a diverse group of privately-owned businesses not otherwise related to us. Although Mr. Monroe receives no compensation from us, he has advised us that he intends to devote whatever portion of his time is necessary to perform his duties as our chairman and chief executive officer. We do reimburse Thermo and Mr. Monroe for certain expenses they incur in connection with our business. See "Management—Executive Compensation" and "Certain Relationships and Related Party Transactions—Services Provided by Thermo."</w:t>
      </w:r>
    </w:p>
    <w:p>
      <w:pPr>
        <w:spacing w:after="0" w:line="193" w:lineRule="exact"/>
        <w:rPr>
          <w:sz w:val="20"/>
          <w:szCs w:val="20"/>
          <w:color w:val="auto"/>
        </w:rPr>
      </w:pPr>
    </w:p>
    <w:p>
      <w:pPr>
        <w:ind w:right="120" w:firstLine="436"/>
        <w:spacing w:after="0" w:line="275" w:lineRule="auto"/>
        <w:rPr>
          <w:sz w:val="20"/>
          <w:szCs w:val="20"/>
          <w:color w:val="auto"/>
        </w:rPr>
      </w:pPr>
      <w:r>
        <w:rPr>
          <w:rFonts w:ascii="Times New Roman" w:cs="Times New Roman" w:eastAsia="Times New Roman" w:hAnsi="Times New Roman"/>
          <w:sz w:val="18"/>
          <w:szCs w:val="18"/>
          <w:color w:val="auto"/>
        </w:rPr>
        <w:t>The interests of Thermo may conflict with the interests of our other stockholders. Thermo may take actions it believes will benefit its equity investment in us even though such actions might not be in your best interests as a holder of our common stock.</w:t>
      </w:r>
    </w:p>
    <w:p>
      <w:pPr>
        <w:spacing w:after="0" w:line="17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as defined in the NASDAQ Marketplace Rules, we will qualify for, and intend to rely on, exemptions from certain corporate governance requirements.</w:t>
      </w:r>
    </w:p>
    <w:p>
      <w:pPr>
        <w:spacing w:after="0" w:line="169" w:lineRule="exact"/>
        <w:rPr>
          <w:sz w:val="20"/>
          <w:szCs w:val="20"/>
          <w:color w:val="auto"/>
        </w:rPr>
      </w:pPr>
    </w:p>
    <w:p>
      <w:pPr>
        <w:ind w:firstLine="439"/>
        <w:spacing w:after="0" w:line="289" w:lineRule="auto"/>
        <w:rPr>
          <w:sz w:val="20"/>
          <w:szCs w:val="20"/>
          <w:color w:val="auto"/>
        </w:rPr>
      </w:pPr>
      <w:r>
        <w:rPr>
          <w:rFonts w:ascii="Times New Roman" w:cs="Times New Roman" w:eastAsia="Times New Roman" w:hAnsi="Times New Roman"/>
          <w:sz w:val="16"/>
          <w:szCs w:val="16"/>
          <w:color w:val="auto"/>
        </w:rPr>
        <w:t>Upon completion of this offering, Thermo will own common stock representing more than a majority of the voting power in election of our directors. As a result, we will be considered a "controlled company" within the meaning of the corporate governance standards in the NASDAQ Marketplace Rules. Under these rules, a "controlled company" may elect not to comply with certain corporate governance requirements, including (1) the requirement that a majority of its board of directors consist of independent directors, (2) the requirement that it have a nominating/corporate governance committee that is composed entirely of independent directors with a written charter addressing the committee's purpose and responsibilities and (3) the requirement that it have a compensation committee that is composed entirely of independent directors with a written charter addressing the committee's purpose and responsibilities. Following this offering, we intend to elect to be treated as a controlled company and thus utilize these exemptions. As a result, we will not have a majority of independent directors nor will we have compensation and nominating/corporate governance committees consisting entirely of independent directors. Accordingly, you will not have the same protection afforded to stockholders of companies that are subject to all of the NASDAQ Marketplace corporate governance requirements.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120" w:firstLine="439"/>
        <w:spacing w:after="0" w:line="262" w:lineRule="auto"/>
        <w:rPr>
          <w:sz w:val="20"/>
          <w:szCs w:val="20"/>
          <w:color w:val="auto"/>
        </w:rPr>
      </w:pPr>
      <w:r>
        <w:rPr>
          <w:rFonts w:ascii="Times New Roman" w:cs="Times New Roman" w:eastAsia="Times New Roman" w:hAnsi="Times New Roman"/>
          <w:sz w:val="18"/>
          <w:szCs w:val="18"/>
          <w:color w:val="auto"/>
        </w:rPr>
        <w:t>Certain statements in this prospectus are not historical facts and are "forward-looking statements" within the meaning of the U.S. federal securities laws. Words such as "believes," "expects," "estimates," "may," "intends," "should" or "anticipates" and similar expressions or their negatives identify forward-looking statements.</w:t>
      </w:r>
    </w:p>
    <w:p>
      <w:pPr>
        <w:spacing w:after="0" w:line="186" w:lineRule="exact"/>
        <w:rPr>
          <w:sz w:val="20"/>
          <w:szCs w:val="20"/>
          <w:color w:val="auto"/>
        </w:rPr>
      </w:pPr>
    </w:p>
    <w:p>
      <w:pPr>
        <w:ind w:right="100" w:firstLine="439"/>
        <w:spacing w:after="0" w:line="253" w:lineRule="auto"/>
        <w:rPr>
          <w:sz w:val="20"/>
          <w:szCs w:val="20"/>
          <w:color w:val="auto"/>
        </w:rPr>
      </w:pPr>
      <w:r>
        <w:rPr>
          <w:rFonts w:ascii="Times New Roman" w:cs="Times New Roman" w:eastAsia="Times New Roman" w:hAnsi="Times New Roman"/>
          <w:sz w:val="18"/>
          <w:szCs w:val="18"/>
          <w:color w:val="auto"/>
        </w:rPr>
        <w:t>Forward-looking statements, such as the statements regarding our ability to develop and expand our business,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in this prospectus regarding matters that are not historical facts, involve predictions. These and similar statements involve known and unknown risks, uncertainties and other factors that may cause our actual results, performance or achievements or industry results to be materially different from any future results, performance or achievements expressed or implied by the statements. These risks and uncertainties include, among other things:</w:t>
      </w:r>
    </w:p>
    <w:p>
      <w:pPr>
        <w:spacing w:after="0" w:line="211" w:lineRule="exact"/>
        <w:rPr>
          <w:sz w:val="20"/>
          <w:szCs w:val="20"/>
          <w:color w:val="auto"/>
        </w:rPr>
      </w:pPr>
    </w:p>
    <w:p>
      <w:pPr>
        <w:ind w:left="1080" w:right="22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type of demand for our products and services, including the extent to which changes in demand and our competitive position may result in changes to our future products and services and in pricing pressure and overcapacity in the markets in which we compete;</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respect to the construction, launch or in-orbit performance of our existing and future satellites, including possible future losses on the launch of satellites that are not fully covered by insurance, with the performance of the ground-based facilities operated by us or by the independent gateway operators, or with the performance of our system as a whole;</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sufficient additional funding if needed to meet our future capital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our competitiveness vis-à-vis other providers of satellite and ground-based products and services;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effects of industry consolidation;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launch insurance on commercially reasonable terms, and the effects of any insurance exclusions;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or development plans;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economic, geopolitical and business conditions and risks associated with doing business on a global basis;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by our controlling stockholder;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tax developments, including changes in domestic and international government regulation;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under "Risk Factors."</w:t>
      </w:r>
    </w:p>
    <w:p>
      <w:pPr>
        <w:spacing w:after="0" w:line="225"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is not exclusive. These risks and uncertainties could cause actual results to vary materially from future results indicated, expressed or implied in any forward-looking statements. In addition, in light of these risks and uncertainties, the matters referred to in the forward-looking statements contained in this prospectus may not in fact occur. We undertake no obligation to update or revise publicly any forward-looking statement as a result of new information, future events or otherwise, except as required by law.</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160" w:firstLine="436"/>
        <w:spacing w:after="0" w:line="310" w:lineRule="auto"/>
        <w:rPr>
          <w:sz w:val="20"/>
          <w:szCs w:val="20"/>
          <w:color w:val="auto"/>
        </w:rPr>
      </w:pPr>
      <w:r>
        <w:rPr>
          <w:rFonts w:ascii="Times New Roman" w:cs="Times New Roman" w:eastAsia="Times New Roman" w:hAnsi="Times New Roman"/>
          <w:sz w:val="16"/>
          <w:szCs w:val="16"/>
          <w:color w:val="auto"/>
        </w:rPr>
        <w:t>We estimate that the net proceeds from the sale of the 6,500,000 shares of common stock offered by this prospectus will be approximately $100.0 million, assuming an initial public offering price of $17.00 per share (the mid-point of the estimated price range shown on the cover page of this prospectus) and after deducting estimated underwriting discounts and commissions and estimated offering expenses aggregating approximately $10.5 million that are payable by us.</w:t>
      </w:r>
    </w:p>
    <w:p>
      <w:pPr>
        <w:spacing w:after="0" w:line="151"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Except for funding a $685,848 dividend to Thermo as described under "Dividend Policy and Restrictions," we intend to use the entire net proceeds from this offering to fund in part the procurement and launch of our second-generation satellite constellation and related upgrades to our gateways and other ground facilities. We estimate that the cost to procure and launch these satellites and upgrade these facilities will be approximately $1.0 billion to $1.2 billion between now and 2014. We intend to fund the balance of those costs principally from $100 million of proceeds from the delayed draw term loans under our credit agreement, the remaining proceeds of sales of our common stock under Thermo Funding Company's irrevocable standby stock purchase agreement and approximately $600 million to $800 million in cash generated by our business. Although we expect our cash flow will be sufficient to pay these costs when due, if our future revenues or profitability are substantially below our expectations, we will require additional financing, which may be difficult or expensive to obtain, or we will have to modify our plans.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use the net proceeds from any shares sold pursuant to the underwriters' over-allotment option for the same purpose.</w:t>
      </w:r>
    </w:p>
    <w:p>
      <w:pPr>
        <w:spacing w:after="0" w:line="225" w:lineRule="exact"/>
        <w:rPr>
          <w:sz w:val="20"/>
          <w:szCs w:val="20"/>
          <w:color w:val="auto"/>
        </w:rPr>
      </w:pPr>
    </w:p>
    <w:p>
      <w:pPr>
        <w:ind w:right="40" w:firstLine="429"/>
        <w:spacing w:after="0" w:line="255" w:lineRule="auto"/>
        <w:rPr>
          <w:sz w:val="20"/>
          <w:szCs w:val="20"/>
          <w:color w:val="auto"/>
        </w:rPr>
      </w:pPr>
      <w:r>
        <w:rPr>
          <w:rFonts w:ascii="Times New Roman" w:cs="Times New Roman" w:eastAsia="Times New Roman" w:hAnsi="Times New Roman"/>
          <w:sz w:val="18"/>
          <w:szCs w:val="18"/>
          <w:color w:val="auto"/>
        </w:rPr>
        <w:t>An increase (decrease) of 1,000,000 shares from the expected number of shares to be sold in this offering, assuming no change in the assumed initial public offering price per share, would increase (decrease) the net proceeds from this offering by $15.8 million. A $0.25 increase (decrease) in the assumed public offering price per share of the common stock (the mid-point of the range on the cover page of this prospectus) would increase (decrease) the net proceeds that we receive in this offering by approximately $1.5 million, after deducting underwriting discounts and other fees and expenses payable by us, assuming the number of shares being offered, as set forth on the cover page of this prospectus, does not change. In the event of such a decrease in net proceeds, we will need to seek the balance of the funds from additional cash generated by our business or from additional financing sources.</w:t>
      </w:r>
    </w:p>
    <w:p>
      <w:pPr>
        <w:spacing w:after="0" w:line="193" w:lineRule="exact"/>
        <w:rPr>
          <w:sz w:val="20"/>
          <w:szCs w:val="20"/>
          <w:color w:val="auto"/>
        </w:rPr>
      </w:pPr>
    </w:p>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We intend to invest the net proceeds from this offering in short-term, interest-bearing marketable securities until they are required for the purpose described above.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 AND RESTRICTIONS</w:t>
      </w:r>
    </w:p>
    <w:p>
      <w:pPr>
        <w:spacing w:after="0" w:line="227" w:lineRule="exact"/>
        <w:rPr>
          <w:sz w:val="20"/>
          <w:szCs w:val="20"/>
          <w:color w:val="auto"/>
        </w:rPr>
      </w:pPr>
    </w:p>
    <w:p>
      <w:pPr>
        <w:ind w:firstLine="436"/>
        <w:spacing w:after="0" w:line="289" w:lineRule="auto"/>
        <w:rPr>
          <w:sz w:val="20"/>
          <w:szCs w:val="20"/>
          <w:color w:val="auto"/>
        </w:rPr>
      </w:pPr>
      <w:r>
        <w:rPr>
          <w:rFonts w:ascii="Times New Roman" w:cs="Times New Roman" w:eastAsia="Times New Roman" w:hAnsi="Times New Roman"/>
          <w:sz w:val="16"/>
          <w:szCs w:val="16"/>
          <w:color w:val="auto"/>
        </w:rPr>
        <w:t>The operating agreement of Globalstar LLC required that we distribute $685,848 to Thermo at the time of our conversion to a Delaware corporation, which occurred on March 17, 2006. This amount represents a deferred payment of interest that accrued from December 6, 2003 to April 14, 2004 on loans made by Thermo to us that were converted to equity on April 14, 2004. In connection with the negotiation of our credit agreement, Thermo agreed to defer receipt of this payment until we complete this offering. Accordingly, as permitted by our credit agreement, we will distribute the $685,848 to Thermo immediately upon completion of this offering. Otherwise, we have not declared or paid dividends on our common stock in the past, and we do not presently anticipate doing so in the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any other factors our board of directors may deem relevant. Our credit agreement currently prohibits the payment of cash dividends on our common stock. See "Management's Discussion and Analysis of Financial Condition and Results of Operations—Liquidity and Capital Resources—Credit Agreement."</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2006 (1) on an actual basis (adjusted to reflect the six-for-one split of our common stock and the conversion of our three series of common stock into one class of common stock to be effective immediately prior to this offering), (2) on an as-adjusted basis after giving effect to:</w:t>
      </w:r>
    </w:p>
    <w:p>
      <w:pPr>
        <w:spacing w:after="0" w:line="200" w:lineRule="exact"/>
        <w:rPr>
          <w:sz w:val="20"/>
          <w:szCs w:val="20"/>
          <w:color w:val="auto"/>
        </w:rPr>
      </w:pPr>
    </w:p>
    <w:p>
      <w:pPr>
        <w:ind w:left="1080" w:right="40" w:hanging="532"/>
        <w:spacing w:after="0" w:line="262"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6,500,000 shares of our common stock in this offering at an assumed initial public offering price of $17.00 per share (the mid-point of the estimated price range shown on the cover page of this prospectus), after deducting estimated underwriting discounts and commissions and estimated offering expenses;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redeemable common stock to stockholders' equity;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net proceeds from this offering;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after giving effect to the foregoing adjustments and the following additional adjustments:</w:t>
      </w:r>
    </w:p>
    <w:p>
      <w:pPr>
        <w:spacing w:after="0" w:line="238" w:lineRule="exact"/>
        <w:rPr>
          <w:rFonts w:ascii="Times New Roman" w:cs="Times New Roman" w:eastAsia="Times New Roman" w:hAnsi="Times New Roman"/>
          <w:sz w:val="18"/>
          <w:szCs w:val="18"/>
          <w:color w:val="auto"/>
        </w:rPr>
      </w:pPr>
    </w:p>
    <w:p>
      <w:pPr>
        <w:jc w:val="both"/>
        <w:ind w:left="1080" w:right="380" w:hanging="532"/>
        <w:spacing w:after="0" w:line="262"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all 11,443,296 remaining shares of common stock subject to the irrevocable standby stock purchase agreement with Thermo Funding Company described in "Certain Relationships and Related Party Transactions—Irrevocable Standby Stock Purchase Agreement" in exchange for $185.0 million;</w:t>
      </w:r>
    </w:p>
    <w:p>
      <w:pPr>
        <w:spacing w:after="0" w:line="213"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the remaining $35.0 million revolving credit loan and the $100.0 million delayed draw term loan under our credit agreement on or before August 15, 2009;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net proceeds of the sale of such stock and those loans.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39" w:right="339" w:bottom="1440" w:gutter="0" w:footer="0" w:header="0"/>
        </w:sectPr>
      </w:pPr>
    </w:p>
    <w:bookmarkStart w:id="36" w:name="page37"/>
    <w:bookmarkEnd w:id="36"/>
    <w:p>
      <w:pPr>
        <w:ind w:right="20" w:firstLine="432"/>
        <w:spacing w:after="0" w:line="275" w:lineRule="auto"/>
        <w:rPr>
          <w:sz w:val="20"/>
          <w:szCs w:val="20"/>
          <w:color w:val="auto"/>
        </w:rPr>
      </w:pPr>
      <w:r>
        <w:rPr>
          <w:rFonts w:ascii="Times New Roman" w:cs="Times New Roman" w:eastAsia="Times New Roman" w:hAnsi="Times New Roman"/>
          <w:sz w:val="18"/>
          <w:szCs w:val="18"/>
          <w:color w:val="auto"/>
        </w:rPr>
        <w:t>You should read this information in conjunction with "Management's Discussion and Analysis of Financial Condition and Results of Operations," "Selected Historical Consolidated Financial Data" and the audited consolidated financial statements and related notes included elsewhere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As of June 30, 2006</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Further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(Dollars in thousands)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3"/>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0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Revolving loans under credit agreement(1)</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 loans under credit agreement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debt</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long-term debt(2)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Redeemable common stock, par value $0.0001 per share, 91,986 shares issued and</w:t>
            </w:r>
          </w:p>
        </w:tc>
        <w:tc>
          <w:tcPr>
            <w:tcW w:w="24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Borders>
              <w:left w:val="single" w:sz="8" w:color="CCEEFF"/>
            </w:tcBorders>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1"/>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Preferred stock, par value $0.0001 per share, no shares authorized, actual,</w:t>
            </w:r>
          </w:p>
        </w:tc>
        <w:tc>
          <w:tcPr>
            <w:tcW w:w="24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100,000,000 shares authorized, as adjusted and as further adjusted, no shares</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par value $0.0001 per share, 800,000,000 shares authorized,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62,783,508 shares issued and outstanding, actual, 69,375,494 shares issued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as adjusted, and 80,818,790 shares issued and outstanding, as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further adjusted(3)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-4585335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-4585335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-4242435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-4242435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-4242435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-4242435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-4242435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-4242435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-2981325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-2981325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-2981325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-2981325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-2981325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-2981325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-768985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-768985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-768985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-768985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-768985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-768985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-477520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-477520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-477520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-477520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-477520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-477520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and as adjusted excludes the remaining $35.0 million at June 30, 2006 available under the revolving credit facility of our credit agreement.</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$0.9 million of short-term indebtedness.</w:t>
      </w:r>
    </w:p>
    <w:p>
      <w:pPr>
        <w:spacing w:after="0" w:line="122" w:lineRule="exact"/>
        <w:rPr>
          <w:rFonts w:ascii="Times New Roman" w:cs="Times New Roman" w:eastAsia="Times New Roman" w:hAnsi="Times New Roman"/>
          <w:sz w:val="14"/>
          <w:szCs w:val="14"/>
          <w:color w:val="auto"/>
        </w:rPr>
      </w:pPr>
    </w:p>
    <w:p>
      <w:pPr>
        <w:ind w:left="540" w:hanging="532"/>
        <w:spacing w:after="0" w:line="227" w:lineRule="auto"/>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we change the number of shares of common stock we sell in this offering from the shares we expect to sell or we change the initial public offering price from the $17.00 per share assumed initial offering price, or any combination of these events occurs, our net proceeds from this offering and as adjusted additional paid-in capital may increase or decrease. A $0.25 increase (decrease) in the assumed initial public offering price per share of the common stock, assuming no change in the number of shares of common stock to be sold, would increase (decrease) the net proceeds that we receive in this offering and our as adjusted additional paid-in capital by $1.5 million and an increase (decrease) of 1,000,000 shares from the expected number of shares to be sold in this offering, assuming no change in the assumed initial public offering price per share, would increase (decrease) each of the net proceeds from this offering and our as adjusted additional paid-in capital by approximately $15.8 million.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7"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common stock to be sold in this offering will exceed the net tangible book value per share of common stock after the offering. The net tangible book value per share presented below is equal to the amount of our total tangible assets (total assets less intangible assets of $4.1 million) less total liabilities as of June 30, 2006, divided by the number of shares of our common stock outstanding as of that date. As of June 30, 2006, we had a net tangible book value of $110.3 million, or $1.75 per share (as adjusted to reflect a six-for-one stock split to be effective immediately prior to this offering).</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 pro forma basis, after giving effect to the stock split and:</w:t>
      </w:r>
    </w:p>
    <w:p>
      <w:pPr>
        <w:spacing w:after="0" w:line="239" w:lineRule="exact"/>
        <w:rPr>
          <w:sz w:val="20"/>
          <w:szCs w:val="20"/>
          <w:color w:val="auto"/>
        </w:rPr>
      </w:pPr>
    </w:p>
    <w:p>
      <w:pPr>
        <w:ind w:left="1080" w:right="14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6,500,000 shares of common stock in this offering at an assumed initial public offering price of $17.00 per share (the mid-point of the price range on the cover of this prospectus);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estimated net proceeds as described under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 forma net tangible book value as of June 30, 2006 would have been $210.8 million, or $3.04 per share of common stock.</w:t>
      </w:r>
    </w:p>
    <w:p>
      <w:pPr>
        <w:spacing w:after="0" w:line="225" w:lineRule="exact"/>
        <w:rPr>
          <w:sz w:val="20"/>
          <w:szCs w:val="20"/>
          <w:color w:val="auto"/>
        </w:rPr>
      </w:pPr>
    </w:p>
    <w:p>
      <w:pPr>
        <w:ind w:right="60" w:firstLine="436"/>
        <w:spacing w:after="0" w:line="339" w:lineRule="auto"/>
        <w:rPr>
          <w:sz w:val="20"/>
          <w:szCs w:val="20"/>
          <w:color w:val="auto"/>
        </w:rPr>
      </w:pPr>
      <w:r>
        <w:rPr>
          <w:rFonts w:ascii="Times New Roman" w:cs="Times New Roman" w:eastAsia="Times New Roman" w:hAnsi="Times New Roman"/>
          <w:sz w:val="16"/>
          <w:szCs w:val="16"/>
          <w:color w:val="auto"/>
        </w:rPr>
        <w:t>This represents an immediate increase in net tangible book value of $1.29 per share to existing stockholders and an immediate dilution in net tangible book value of $13.96 per share to new investors purchasing shares of common stock in this offering. The following table illustrates this dilution on a per share basis: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tangible book value per share at June 30, 2006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the offering</w:t>
            </w:r>
          </w:p>
        </w:tc>
        <w:tc>
          <w:tcPr>
            <w:tcW w:w="7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319"/>
        </w:trPr>
        <w:tc>
          <w:tcPr>
            <w:tcW w:w="60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-597535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-597535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-306070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-306070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80" w:firstLine="429"/>
        <w:spacing w:after="0" w:line="275" w:lineRule="auto"/>
        <w:rPr>
          <w:sz w:val="20"/>
          <w:szCs w:val="20"/>
          <w:color w:val="auto"/>
        </w:rPr>
      </w:pPr>
      <w:r>
        <w:rPr>
          <w:rFonts w:ascii="Times New Roman" w:cs="Times New Roman" w:eastAsia="Times New Roman" w:hAnsi="Times New Roman"/>
          <w:sz w:val="18"/>
          <w:szCs w:val="18"/>
          <w:color w:val="auto"/>
        </w:rPr>
        <w:t>Assuming the underwriters exercise their over-allotment option in full, existing shareholders would have an immediate increase in adjusted tangible book value of $1.46 per share and investors in this offering would have an immediate dilution of $13.79 per share.</w:t>
      </w:r>
    </w:p>
    <w:p>
      <w:pPr>
        <w:spacing w:after="0" w:line="174" w:lineRule="exact"/>
        <w:rPr>
          <w:sz w:val="20"/>
          <w:szCs w:val="20"/>
          <w:color w:val="auto"/>
        </w:rPr>
      </w:pPr>
    </w:p>
    <w:p>
      <w:pPr>
        <w:ind w:firstLine="429"/>
        <w:spacing w:after="0" w:line="253" w:lineRule="auto"/>
        <w:rPr>
          <w:sz w:val="20"/>
          <w:szCs w:val="20"/>
          <w:color w:val="auto"/>
        </w:rPr>
      </w:pPr>
      <w:r>
        <w:rPr>
          <w:rFonts w:ascii="Times New Roman" w:cs="Times New Roman" w:eastAsia="Times New Roman" w:hAnsi="Times New Roman"/>
          <w:sz w:val="18"/>
          <w:szCs w:val="18"/>
          <w:color w:val="auto"/>
        </w:rPr>
        <w:t>A $0.25 increase (decrease) in the initial public offering price from the assumed initial public offering price of $17.00 per share would decrease (increase) our net tangible book value after giving effect to this offering by approximately $1.5 million, our pro forma net tangible book value per share after giving effect to the offering by $.02 per share and the dilution in net tangible book value per share to new investors in this offering by $.02 per share, after deducting the estimated underwriting discounts and commissions and estimated aggregate offering expenses payable by us and assuming no other change to the number of shares offered by us as set forth on the cover page of this prospectus. An increase (decrease) of 1,000,000 shares from the expected number of shares to be sold in the offering, assuming no change in the initial public offering price from the price assumed above, would decrease (increase) our net tangible book value after giving effect to this offering by approximately $15.8 million, decrease (increase) our pro forma net tangible book value per share after giving effect to this offering by $.18 per share, and increase (decrease) the dilution in net tangible book value per share to new investors in this offering by $.18 per share, after deducting the estimated underwriting discounts and commissions and estimated aggregate offering expenses payable by us.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38" w:name="page39"/>
    <w:bookmarkEnd w:id="38"/>
    <w:p>
      <w:pPr>
        <w:ind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June 30, 2006, the total number of shares of common stock purchased from us, the total consideration paid to us and the average price per share paid by the existing stockholders and by new investors purchasing shares in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62,875,494</w:t>
            </w: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58,000,000</w:t>
            </w:r>
          </w:p>
        </w:tc>
        <w:tc>
          <w:tcPr>
            <w:tcW w:w="1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69,375,494</w:t>
            </w: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168,500,000</w:t>
            </w:r>
          </w:p>
        </w:tc>
        <w:tc>
          <w:tcPr>
            <w:tcW w:w="1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80" w:type="dxa"/>
            <w:vAlign w:val="bottom"/>
            <w:tcBorders>
              <w:right w:val="single" w:sz="8" w:color="808080"/>
            </w:tcBorders>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-1043305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-1043305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-1043305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-1043305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-751840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-751840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-751840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-751840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-751840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-751840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-751840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-751840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-323215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-323215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-323215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-323215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foregoing information assuming, in addition, the issuance of all remaining shares of common stock subject to the irrevocable standby stock purchase agreement with Thermo Funding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stockholders(1)</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74,318,790</w:t>
            </w: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243,000,000</w:t>
            </w:r>
          </w:p>
        </w:tc>
        <w:tc>
          <w:tcPr>
            <w:tcW w:w="1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80,818,790</w:t>
            </w: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353,500,000</w:t>
            </w:r>
          </w:p>
        </w:tc>
        <w:tc>
          <w:tcPr>
            <w:tcW w:w="1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40" w:type="dxa"/>
            <w:vAlign w:val="bottom"/>
            <w:tcBorders>
              <w:right w:val="single" w:sz="8" w:color="808080"/>
            </w:tcBorders>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-1197610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-1197610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-1197610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-1197610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-906145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-906145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-906145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-906145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-906145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-906145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-906145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-906145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-906145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-906145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-477520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-477520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-477520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-477520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-477520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340" w:hanging="532"/>
        <w:spacing w:after="0" w:line="275"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other stockholders elect to purchase all 2,988,990 shares of common stock subject to our pre-emptive rights offering, the table would appear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2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77,307,780</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 $</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291,322,105</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110,500,000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83,807,780</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401,822,105</w:t>
            </w:r>
          </w:p>
        </w:tc>
        <w:tc>
          <w:tcPr>
            <w:tcW w:w="20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-1043305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-1043305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-1043305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-1043305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-751840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-751840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-751840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-751840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-751840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-751840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-751840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-751840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-323215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-323215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-323215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-323215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-323215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80" w:firstLine="439"/>
        <w:spacing w:after="0" w:line="262" w:lineRule="auto"/>
        <w:rPr>
          <w:sz w:val="20"/>
          <w:szCs w:val="20"/>
          <w:color w:val="auto"/>
        </w:rPr>
      </w:pPr>
      <w:r>
        <w:rPr>
          <w:rFonts w:ascii="Times New Roman" w:cs="Times New Roman" w:eastAsia="Times New Roman" w:hAnsi="Times New Roman"/>
          <w:sz w:val="18"/>
          <w:szCs w:val="18"/>
          <w:color w:val="auto"/>
        </w:rPr>
        <w:t>Upon completion of the offering, we expect to issue an aggregate of approximately 265,000 restricted shares of our common stock as a bonus to substantially all of our employees. See "Management—Equity Incentive Plan." These issuances will result in further dilution to new investors. To the extent that we grant additional stock awards in the future, there may be further dilution to new investors.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presents our selected historical consolidated financial information and other data for the years ended December 31, 2001 and 2002, 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from January 1, 2003 through December 4, 2003, for the period from December 5, 2003 through December 31, 2003,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2004 and 2005 and for the six months ended June 30, 2005 and 2006, and as of December 31, 2001, 2002, 2003, 2004 and 2005 and June 30, 2006.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selected historical consolidated financial data of Old Globalstar (Predecessor) for the years ended December 31, 2001 and 2002 has been derived from Old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Globalstar's consolidated financial statements, which are not included in this prospectus. Our selected historical consolidated financial data for the period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 2003 to December 4, 2003 (Predecessor), the period from December 5, 2003 to December 31, 2003 (Successor), and the years ended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and 2005, and as of December 31, 2004 and 2005, has been derived from our audited consolidated financial statements, which are included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Our selected historical consolidated financial data for the six months ended June 30, 2005 and 2006, and as of June 30, 2006, is derived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consolidated financial statements, which also are included in this prospectus. In the opinion of management, the unaudited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all adjustments, consisting of only normal recurring adjustments, considered necessary for a fair presentation of this information. The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interim periods are not necessarily indicative of the results that may be expected for the entire year.</w:t>
      </w:r>
    </w:p>
    <w:p>
      <w:pPr>
        <w:spacing w:after="0" w:line="213" w:lineRule="exact"/>
        <w:rPr>
          <w:sz w:val="20"/>
          <w:szCs w:val="20"/>
          <w:color w:val="auto"/>
        </w:rPr>
      </w:pPr>
    </w:p>
    <w:p>
      <w:pPr>
        <w:ind w:right="160" w:firstLine="436"/>
        <w:spacing w:after="0" w:line="275" w:lineRule="auto"/>
        <w:rPr>
          <w:sz w:val="20"/>
          <w:szCs w:val="20"/>
          <w:color w:val="auto"/>
        </w:rPr>
      </w:pPr>
      <w:r>
        <w:rPr>
          <w:rFonts w:ascii="Times New Roman" w:cs="Times New Roman" w:eastAsia="Times New Roman" w:hAnsi="Times New Roman"/>
          <w:sz w:val="18"/>
          <w:szCs w:val="18"/>
          <w:color w:val="auto"/>
        </w:rPr>
        <w:t>The columns in the following tables entitled "Predecessor" contain financial information with respect to the business and operations of Old Globalstar for periods prior to December 5, 2003, the date on which we obtained control of its assets.</w:t>
      </w:r>
    </w:p>
    <w:p>
      <w:pPr>
        <w:spacing w:after="0" w:line="174" w:lineRule="exact"/>
        <w:rPr>
          <w:sz w:val="20"/>
          <w:szCs w:val="20"/>
          <w:color w:val="auto"/>
        </w:rPr>
      </w:pPr>
    </w:p>
    <w:p>
      <w:pPr>
        <w:jc w:val="both"/>
        <w:ind w:right="60" w:firstLine="432"/>
        <w:spacing w:after="0" w:line="262" w:lineRule="auto"/>
        <w:rPr>
          <w:sz w:val="20"/>
          <w:szCs w:val="20"/>
          <w:color w:val="auto"/>
        </w:rPr>
      </w:pPr>
      <w:r>
        <w:rPr>
          <w:rFonts w:ascii="Times New Roman" w:cs="Times New Roman" w:eastAsia="Times New Roman" w:hAnsi="Times New Roman"/>
          <w:sz w:val="18"/>
          <w:szCs w:val="18"/>
          <w:color w:val="auto"/>
        </w:rPr>
        <w:t>You should read the selected historical consolidated financial data set forth below together with our consolidated financial statements and the related notes and "Management's Discussion and Analysis of Financial Condition and Results of Operations," all included elsewhere in this prospectus. The selected historical consolidated financial data set forth below are not necessarily indicative of the results of future operations.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40" w:name="page41"/>
    <w:bookmarkEnd w:id="40"/>
    <w:tbl>
      <w:tblPr>
        <w:tblLayout w:type="fixed"/>
        <w:tblInd w:w="216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300" w:type="dxa"/>
            <w:vAlign w:val="bottom"/>
            <w:gridSpan w:val="3"/>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22"/>
                <w:szCs w:val="2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1</w:t>
            </w:r>
          </w:p>
        </w:tc>
        <w:tc>
          <w:tcPr>
            <w:tcW w:w="120" w:type="dxa"/>
            <w:vAlign w:val="bottom"/>
          </w:tcPr>
          <w:p>
            <w:pPr>
              <w:spacing w:after="0"/>
              <w:rPr>
                <w:sz w:val="22"/>
                <w:szCs w:val="2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740" w:type="dxa"/>
            <w:vAlign w:val="bottom"/>
          </w:tcPr>
          <w:p>
            <w:pPr>
              <w:spacing w:after="0"/>
              <w:rPr>
                <w:sz w:val="22"/>
                <w:szCs w:val="22"/>
                <w:color w:val="auto"/>
              </w:rPr>
            </w:pPr>
          </w:p>
        </w:tc>
        <w:tc>
          <w:tcPr>
            <w:tcW w:w="1620" w:type="dxa"/>
            <w:vAlign w:val="bottom"/>
            <w:gridSpan w:val="3"/>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88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3"/>
          </w:tcPr>
          <w:p>
            <w:pPr>
              <w:jc w:val="center"/>
              <w:ind w:right="672"/>
              <w:spacing w:after="0" w:line="13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2360" w:type="dxa"/>
            <w:vAlign w:val="bottom"/>
            <w:gridSpan w:val="4"/>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5"/>
        </w:trPr>
        <w:tc>
          <w:tcPr>
            <w:tcW w:w="5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December 4,</w:t>
            </w: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13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2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2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2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105"/>
        </w:trPr>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0" w:type="dxa"/>
            <w:vAlign w:val="bottom"/>
          </w:tcPr>
          <w:p>
            <w:pPr>
              <w:spacing w:after="0"/>
              <w:rPr>
                <w:sz w:val="23"/>
                <w:szCs w:val="23"/>
                <w:color w:val="auto"/>
              </w:rPr>
            </w:pPr>
          </w:p>
        </w:tc>
        <w:tc>
          <w:tcPr>
            <w:tcW w:w="1300" w:type="dxa"/>
            <w:vAlign w:val="bottom"/>
            <w:gridSpan w:val="3"/>
          </w:tcPr>
          <w:p>
            <w:pPr>
              <w:jc w:val="center"/>
              <w:ind w:right="51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-809625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-809625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-809625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-809625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-449580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-449580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-449580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-449580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-183515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-183515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-183515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-183515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-449580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-449580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-183515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-183515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-183515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-183515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-183515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-183515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-183515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-183515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-183515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-183515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-183515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-183515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 average monthly revenue per user, average monthly churn rate and cost per gross addition)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2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40,048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57,927</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34,965</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Subscriber equipment sales(1)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84,368</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127,147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50,325</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1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Cost of services (exclusive of</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shown separately below)</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56,074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25,208</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13,780</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Cost of subscriber equipment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Marketing, general and</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administrative</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32,151</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16,626</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Launch termination costs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1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(198,781)</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(103,471)</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(260,689)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(4,474)</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6,424</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expense(3)</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(381,170)</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(46,523)</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(622)</w:t>
            </w:r>
          </w:p>
        </w:tc>
        <w:tc>
          <w:tcPr>
            <w:tcW w:w="3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(538)</w:t>
            </w:r>
          </w:p>
        </w:tc>
        <w:tc>
          <w:tcPr>
            <w:tcW w:w="2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(376,657)</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(46,422)</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(575,438)</w:t>
            </w:r>
          </w:p>
        </w:tc>
        <w:tc>
          <w:tcPr>
            <w:tcW w:w="2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(149,893)</w:t>
            </w: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(261,710)</w:t>
            </w: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118"/>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180" w:type="dxa"/>
            <w:vAlign w:val="bottom"/>
            <w:gridSpan w:val="2"/>
            <w:vMerge w:val="continue"/>
          </w:tcPr>
          <w:p>
            <w:pPr>
              <w:spacing w:after="0"/>
              <w:rPr>
                <w:sz w:val="23"/>
                <w:szCs w:val="23"/>
                <w:color w:val="auto"/>
              </w:rPr>
            </w:pP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(575,511)</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(149,959)</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(261,880)</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(4,517)</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23"/>
                <w:szCs w:val="23"/>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100" w:type="dxa"/>
            <w:vAlign w:val="bottom"/>
          </w:tcPr>
          <w:p>
            <w:pPr>
              <w:spacing w:after="0"/>
              <w:rPr>
                <w:sz w:val="23"/>
                <w:szCs w:val="23"/>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20" w:type="dxa"/>
            <w:vAlign w:val="bottom"/>
          </w:tcPr>
          <w:p>
            <w:pPr>
              <w:spacing w:after="0"/>
              <w:rPr>
                <w:sz w:val="23"/>
                <w:szCs w:val="23"/>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(Loss) Per Share Data(4):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Earnings (loss) per common</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share—basic</w:t>
            </w:r>
          </w:p>
        </w:tc>
        <w:tc>
          <w:tcPr>
            <w:tcW w:w="2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(0.08)</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Earnings (loss) per common</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share—diluted</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(0.08)</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Weighted average shares—basic</w:t>
            </w:r>
          </w:p>
        </w:tc>
        <w:tc>
          <w:tcPr>
            <w:tcW w:w="2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60,463,917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61,957,906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Weighted average shares—</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60,463,917</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61,955,874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62,287,618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Pro forma (unaudited) earnings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per share—diluted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(including all shares subject to</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the irrevocable standby stock</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agreement with Thermo</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Funding Company and all shares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subject to the pre-emptive rights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w:t>
            </w:r>
          </w:p>
        </w:tc>
        <w:tc>
          <w:tcPr>
            <w:tcW w:w="2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Pro forma (unaudited) weighted</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average shares—diluted</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(including all shares subject to</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the irrevocable standby stock</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agreement with Thermo</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Funding Company and all shares</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subject to the pre-emptive rights</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offering)</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75,360,126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75,824,043</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77,316,000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77,316,000</w:t>
            </w: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77,637,492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-5363845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-5363845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-5363845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-5363845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-5363845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-5363845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-5363845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-5363845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-5363845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-5363845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-5363845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-5363845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-5363845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-5363845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-5363845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-5363845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-5114925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-5114925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-5114925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-5114925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-5114925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-5114925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-5114925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-5114925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-5114925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-5114925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-5114925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-5114925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-5114925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-5114925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-5114925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-5114925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-3828415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-3828415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-3828415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-3828415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-3828415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-3828415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-3828415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-3828415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-3828415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-3828415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-3828415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-3828415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-3828415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-3828415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-3828415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-3828415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-3579495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-3579495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-3579495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-3579495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-3579495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-3579495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-3579495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-3579495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-3579495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-3579495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-3579495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-3579495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-3579495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-3579495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-3579495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-3579495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-3048000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-3048000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-3048000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-3048000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-3048000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-3048000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-3048000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-3048000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-3048000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-3048000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-3048000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-3048000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-3048000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-3048000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-3048000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-3048000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-2610485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-2610485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-2610485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-2610485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-2610485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-2610485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-2610485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-2610485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-2610485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-2610485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-2610485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-2610485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-2610485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-2610485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-2610485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-2610485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 Forma C Corporation Data(5)</w:t>
            </w: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Historical income before</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1"/>
              </w:rPr>
              <w:t>N/A</w:t>
            </w:r>
          </w:p>
        </w:tc>
        <w:tc>
          <w:tcPr>
            <w:tcW w:w="380" w:type="dxa"/>
            <w:vAlign w:val="bottom"/>
            <w:gridSpan w:val="2"/>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gridSpan w:val="3"/>
          </w:tcPr>
          <w:p>
            <w:pPr>
              <w:ind w:left="220"/>
              <w:spacing w:after="0" w:line="136" w:lineRule="exact"/>
              <w:rPr>
                <w:sz w:val="20"/>
                <w:szCs w:val="20"/>
                <w:color w:val="auto"/>
              </w:rPr>
            </w:pPr>
            <w:r>
              <w:rPr>
                <w:rFonts w:ascii="Times New Roman" w:cs="Times New Roman" w:eastAsia="Times New Roman" w:hAnsi="Times New Roman"/>
                <w:sz w:val="14"/>
                <w:szCs w:val="14"/>
                <w:color w:val="auto"/>
              </w:rPr>
              <w:t>Pro forma income tax expense</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(benefit)</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1"/>
              </w:rPr>
              <w:t>N/A</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 forma net earnings</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1"/>
              </w:rPr>
              <w:t>N/A</w:t>
            </w:r>
          </w:p>
        </w:tc>
        <w:tc>
          <w:tcPr>
            <w:tcW w:w="380" w:type="dxa"/>
            <w:vAlign w:val="bottom"/>
            <w:gridSpan w:val="2"/>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14,290</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Pro forma net earnings per share</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1"/>
              </w:rPr>
              <w:t>N/A</w:t>
            </w:r>
          </w:p>
        </w:tc>
        <w:tc>
          <w:tcPr>
            <w:tcW w:w="38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gridSpan w:val="3"/>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Pro forma net earnings per share</w:t>
            </w: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4"/>
                <w:szCs w:val="14"/>
                <w:color w:val="auto"/>
                <w:w w:val="91"/>
              </w:rPr>
              <w:t>N/A</w:t>
            </w:r>
          </w:p>
        </w:tc>
        <w:tc>
          <w:tcPr>
            <w:tcW w:w="3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Weighted average shares—basic</w:t>
            </w: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left="172"/>
              <w:spacing w:after="0" w:line="149" w:lineRule="exact"/>
              <w:rPr>
                <w:sz w:val="20"/>
                <w:szCs w:val="20"/>
                <w:color w:val="auto"/>
              </w:rPr>
            </w:pPr>
            <w:r>
              <w:rPr>
                <w:rFonts w:ascii="Times New Roman" w:cs="Times New Roman" w:eastAsia="Times New Roman" w:hAnsi="Times New Roman"/>
                <w:sz w:val="14"/>
                <w:szCs w:val="14"/>
                <w:color w:val="auto"/>
                <w:w w:val="91"/>
              </w:rPr>
              <w:t>N/A</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gridSpan w:val="3"/>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4"/>
                <w:szCs w:val="14"/>
                <w:color w:val="auto"/>
                <w:w w:val="91"/>
              </w:rPr>
              <w:t>N/A</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61,955,874</w:t>
            </w: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gridSpan w:val="3"/>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Other Data (for the period)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 monthly revenue per user(6)</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69.66</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62.90</w:t>
            </w:r>
          </w:p>
        </w:tc>
        <w:tc>
          <w:tcPr>
            <w:tcW w:w="2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67.93</w:t>
            </w:r>
          </w:p>
        </w:tc>
        <w:tc>
          <w:tcPr>
            <w:tcW w:w="380" w:type="dxa"/>
            <w:vAlign w:val="bottom"/>
            <w:gridSpan w:val="2"/>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68.10</w:t>
            </w:r>
          </w:p>
        </w:tc>
        <w:tc>
          <w:tcPr>
            <w:tcW w:w="120" w:type="dxa"/>
            <w:vAlign w:val="bottom"/>
          </w:tcPr>
          <w:p>
            <w:pPr>
              <w:spacing w:after="0"/>
              <w:rPr>
                <w:sz w:val="12"/>
                <w:szCs w:val="12"/>
                <w:color w:val="auto"/>
              </w:rPr>
            </w:pP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w:t>
            </w:r>
          </w:p>
        </w:tc>
        <w:tc>
          <w:tcPr>
            <w:tcW w:w="3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Independent gateway operators</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Simplex</w:t>
            </w: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340" w:type="dxa"/>
            <w:vAlign w:val="bottom"/>
          </w:tcPr>
          <w:p>
            <w:pPr>
              <w:spacing w:after="0"/>
              <w:rPr>
                <w:sz w:val="12"/>
                <w:szCs w:val="12"/>
                <w:color w:val="auto"/>
              </w:rPr>
            </w:pPr>
          </w:p>
        </w:tc>
        <w:tc>
          <w:tcPr>
            <w:tcW w:w="9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Number of subscribers</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105,571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109,503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141,450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195,968</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158,071</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236,515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Average monthly churn rate(7)</w:t>
            </w: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34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EBITDA(8)</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(228,731)</w:t>
            </w: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(4,305)</w:t>
            </w: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380" w:type="dxa"/>
            <w:vAlign w:val="bottom"/>
            <w:gridSpan w:val="2"/>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7,126</w:t>
            </w:r>
          </w:p>
        </w:tc>
        <w:tc>
          <w:tcPr>
            <w:tcW w:w="3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380" w:type="dxa"/>
            <w:vAlign w:val="bottom"/>
            <w:gridSpan w:val="2"/>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w:t>
            </w:r>
          </w:p>
        </w:tc>
        <w:tc>
          <w:tcPr>
            <w:tcW w:w="120" w:type="dxa"/>
            <w:vAlign w:val="bottom"/>
          </w:tcPr>
          <w:p>
            <w:pPr>
              <w:spacing w:after="0"/>
              <w:rPr>
                <w:sz w:val="12"/>
                <w:szCs w:val="12"/>
                <w:color w:val="auto"/>
              </w:rPr>
            </w:pP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w:t>
            </w:r>
          </w:p>
        </w:tc>
        <w:tc>
          <w:tcPr>
            <w:tcW w:w="3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42,480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per gross addition(9)</w:t>
            </w:r>
          </w:p>
        </w:tc>
        <w:tc>
          <w:tcPr>
            <w:tcW w:w="4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380" w:type="dxa"/>
            <w:vAlign w:val="bottom"/>
            <w:gridSpan w:val="2"/>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3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gridSpan w:val="3"/>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Pr>
          <w:p>
            <w:pPr>
              <w:spacing w:after="0"/>
              <w:rPr>
                <w:sz w:val="20"/>
                <w:szCs w:val="20"/>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000" w:type="dxa"/>
            <w:vAlign w:val="bottom"/>
            <w:gridSpan w:val="3"/>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2"/>
                <w:szCs w:val="12"/>
                <w:color w:val="auto"/>
              </w:rPr>
            </w:pPr>
          </w:p>
        </w:tc>
        <w:tc>
          <w:tcPr>
            <w:tcW w:w="11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1720" w:type="dxa"/>
            <w:vAlign w:val="bottom"/>
            <w:gridSpan w:val="4"/>
          </w:tcPr>
          <w:p>
            <w:pPr>
              <w:jc w:val="center"/>
              <w:ind w:right="4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400" w:type="dxa"/>
            <w:vAlign w:val="bottom"/>
          </w:tcPr>
          <w:p>
            <w:pPr>
              <w:spacing w:after="0"/>
              <w:rPr>
                <w:sz w:val="15"/>
                <w:szCs w:val="15"/>
                <w:color w:val="auto"/>
              </w:rPr>
            </w:pPr>
          </w:p>
        </w:tc>
        <w:tc>
          <w:tcPr>
            <w:tcW w:w="820" w:type="dxa"/>
            <w:vAlign w:val="bottom"/>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gridSpan w:val="3"/>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4"/>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55,265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15,248</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13,330</w:t>
            </w:r>
          </w:p>
        </w:tc>
        <w:tc>
          <w:tcPr>
            <w:tcW w:w="800" w:type="dxa"/>
            <w:vAlign w:val="bottom"/>
            <w:tcBorders>
              <w:right w:val="single" w:sz="8" w:color="CCEEFF"/>
            </w:tcBorders>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21,074</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456,391</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294,374</w:t>
            </w:r>
          </w:p>
        </w:tc>
        <w:tc>
          <w:tcPr>
            <w:tcW w:w="14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48,214</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63,897</w:t>
            </w:r>
          </w:p>
        </w:tc>
        <w:tc>
          <w:tcPr>
            <w:tcW w:w="80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6"/>
              </w:rPr>
              <w:t>113,545</w:t>
            </w:r>
          </w:p>
        </w:tc>
        <w:tc>
          <w:tcPr>
            <w:tcW w:w="66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196,232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debt(10)</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3,425,921</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3,426,338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800" w:type="dxa"/>
            <w:vAlign w:val="bottom"/>
            <w:tcBorders>
              <w:right w:val="single" w:sz="8" w:color="CCEEFF"/>
            </w:tcBorders>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15,504</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Redeemable common stock</w:t>
            </w: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Ownership equity (deficit)</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(2,997,753)</w:t>
            </w: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(3,150,598)</w:t>
            </w: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(3,415,195)</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40,421</w:t>
            </w:r>
          </w:p>
        </w:tc>
        <w:tc>
          <w:tcPr>
            <w:tcW w:w="800" w:type="dxa"/>
            <w:vAlign w:val="bottom"/>
            <w:tcBorders>
              <w:right w:val="single" w:sz="8" w:color="CCEEFF"/>
            </w:tcBorders>
            <w:gridSpan w:val="2"/>
            <w:shd w:val="clear" w:color="auto" w:fill="CCEEFF"/>
          </w:tcPr>
          <w:p>
            <w:pPr>
              <w:jc w:val="right"/>
              <w:ind w:right="4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71,430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109,200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-3787775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-3787775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-3787775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-3787775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-1574800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-1574800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-1574800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-1574800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-1137920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-1137920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-1137920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-1137920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-1137920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-1137920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-1137920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-1137920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-1137920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-1137920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-1137920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-1137920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-1137920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-1137920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sales of $440 for the year ended December 31, 2005.</w:t>
      </w:r>
    </w:p>
    <w:p>
      <w:pPr>
        <w:spacing w:after="0" w:line="122"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of related party sales of $314 for the year ended December 31, 2005.</w:t>
      </w:r>
    </w:p>
    <w:p>
      <w:pPr>
        <w:spacing w:after="0" w:line="122" w:lineRule="exact"/>
        <w:rPr>
          <w:rFonts w:ascii="Times New Roman" w:cs="Times New Roman" w:eastAsia="Times New Roman" w:hAnsi="Times New Roman"/>
          <w:sz w:val="14"/>
          <w:szCs w:val="14"/>
          <w:color w:val="auto"/>
        </w:rPr>
      </w:pPr>
    </w:p>
    <w:p>
      <w:pPr>
        <w:ind w:left="540" w:hanging="532"/>
        <w:spacing w:after="0" w:line="24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$337 (January 1, 2003 - December 4, 2003), $131 (December 5, 2003 - December 31, 2003), $1,324 (year ended December 31, 2004), $176 (year ended December 31, 2005) and $117 and $0 (six months ended June 30, 2005 and 2006, respectively).</w:t>
      </w:r>
    </w:p>
    <w:p>
      <w:pPr>
        <w:spacing w:after="0" w:line="108" w:lineRule="exact"/>
        <w:rPr>
          <w:rFonts w:ascii="Times New Roman" w:cs="Times New Roman" w:eastAsia="Times New Roman" w:hAnsi="Times New Roman"/>
          <w:sz w:val="14"/>
          <w:szCs w:val="14"/>
          <w:color w:val="auto"/>
        </w:rPr>
      </w:pPr>
    </w:p>
    <w:p>
      <w:pPr>
        <w:ind w:left="540" w:right="100" w:hanging="532"/>
        <w:spacing w:after="0" w:line="229"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earnings (loss) per share have been calculated in accordance with the SEC rules for initial public offerings. These rules require that the weighted average share calculation give retroactive effect to any changes in our capital structure. Therefore, weighted average shares for purposes of the basic and diluted earnings per share calculation has been adjusted to reflect the six-for-one stock split we expect to effect immediately prior to this offering and the issuance of the 6,500,000 shares of our common stock being offered hereby. Weighted average shares for purposes of the pro forma diluted per share calculations have also been adjusted to reflect the sale of all of the shares subject to the irrevocable standby stock purchase agreement with Thermo Funding Company and all of the shares subject to our pre-emptive rights offering as if such sales occurred on December 5, 2003.</w:t>
      </w:r>
    </w:p>
    <w:p>
      <w:pPr>
        <w:spacing w:after="0" w:line="109" w:lineRule="exact"/>
        <w:rPr>
          <w:rFonts w:ascii="Times New Roman" w:cs="Times New Roman" w:eastAsia="Times New Roman" w:hAnsi="Times New Roman"/>
          <w:sz w:val="14"/>
          <w:szCs w:val="14"/>
          <w:color w:val="auto"/>
        </w:rPr>
      </w:pPr>
    </w:p>
    <w:p>
      <w:pPr>
        <w:ind w:left="540" w:right="220" w:hanging="532"/>
        <w:spacing w:after="0" w:line="229"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January 1, 2006, we and Predecessor were treated as a partnership for federal income tax purposes. A partnership passes through essentially all taxable income and losses to its partners or members and does not pay federal income taxes at the partnership level. Historical income tax expense consists mainly of foreign, state and local income taxes. On January 1, 2006, we elected to be taxed as a C corporation. For comparative purposes, we have included a pro forma provision for income taxes assuming we (or Predecessor) had been taxed as a C corporation for the year ended December 31, 2005 and the six months ended June 30, 2005. See "Management's Discussion and Analysis of Financial Condition and Results of Operations—Critical Accounting Policies and Estimates—Income Taxes" and Note 13 to our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2" w:name="page43"/>
    <w:bookmarkEnd w:id="42"/>
    <w:p>
      <w:pPr>
        <w:ind w:left="540" w:right="160" w:hanging="532"/>
        <w:spacing w:after="0" w:line="23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user measures service revenues per month divided by the average number of subscribers during that month. Average monthly revenue per user as so defined may not be similar to average monthly revenue per user as defined by other companies in our industry, is not a measurement under GAAP and should be considered in addition to, but not as a substitute for, the information contained in our statement of operations. We believe that average monthly revenue per user provides useful information concerning the appeal of our rate plans and service offerings and our performance in attracting and retaining high value customers.</w:t>
      </w:r>
    </w:p>
    <w:p>
      <w:pPr>
        <w:spacing w:after="0" w:line="109" w:lineRule="exact"/>
        <w:rPr>
          <w:rFonts w:ascii="Times New Roman" w:cs="Times New Roman" w:eastAsia="Times New Roman" w:hAnsi="Times New Roman"/>
          <w:sz w:val="14"/>
          <w:szCs w:val="14"/>
          <w:color w:val="auto"/>
        </w:rPr>
      </w:pPr>
    </w:p>
    <w:p>
      <w:pPr>
        <w:ind w:left="540" w:right="100" w:hanging="532"/>
        <w:spacing w:after="0" w:line="23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churn rate as the aggregate number of our retail subscribers (excluding Simplex customers and customers of the independent gateway operators) who cancel service during a month, divided by the average number of retail subscribers during the month. Others in our industry may calculate churn rate differently. Churn rate is not a measurement under GAAP and should be considered in addition to, but not as a substitute for, the information contained in our statement of operations. We believe that churn rate provides useful information concerning customer satisfaction with our services and products.</w:t>
      </w:r>
    </w:p>
    <w:p>
      <w:pPr>
        <w:spacing w:after="0" w:line="109" w:lineRule="exact"/>
        <w:rPr>
          <w:rFonts w:ascii="Times New Roman" w:cs="Times New Roman" w:eastAsia="Times New Roman" w:hAnsi="Times New Roman"/>
          <w:sz w:val="14"/>
          <w:szCs w:val="14"/>
          <w:color w:val="auto"/>
        </w:rPr>
      </w:pPr>
    </w:p>
    <w:p>
      <w:pPr>
        <w:ind w:left="540" w:right="140" w:hanging="532"/>
        <w:spacing w:after="0" w:line="241"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represents earnings before interest, income taxes, depreciation and amortization. EBITDA does not represent and should not be considered as an alternative to GAAP measurements, such as net income, and our calculations thereof may not be comparable to similarly entitled measures reported by other companies.</w:t>
      </w:r>
    </w:p>
    <w:p>
      <w:pPr>
        <w:spacing w:after="0" w:line="162" w:lineRule="exact"/>
        <w:rPr>
          <w:rFonts w:ascii="Times New Roman" w:cs="Times New Roman" w:eastAsia="Times New Roman" w:hAnsi="Times New Roman"/>
          <w:sz w:val="14"/>
          <w:szCs w:val="14"/>
          <w:color w:val="auto"/>
        </w:rPr>
      </w:pPr>
    </w:p>
    <w:p>
      <w:pPr>
        <w:ind w:left="540" w:right="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We use EBITDA as the primary measurement of our operating performance because, by eliminating interest, taxes and the non-cash items of depreciation and amortization, we believe it best reflects changes across time in our performance, including the effects of pricing, cost control and other operational decisions. Our management uses EBITDA for planning purposes, including the preparation of our annual operating budget. We believe that EBITDA also is useful to investors because it is frequently used by securities analysts, investors and other interested parties in their evaluation of companies in industries similar to ours. As indicated, EBITDA does not include interest expense on borrowed money or depreciation expense on our capital assets or the payment of taxes, which are necessary elements of our operations. Because EBITDA does not account for these expenses, its utility as a measure of our operating performance has material limitations. Because of these limitations, management does not view EBITDA in isolation and also uses other measures, such as net income, revenues and operating profit, to measure operating performance.</w:t>
      </w:r>
    </w:p>
    <w:p>
      <w:pPr>
        <w:spacing w:after="0" w:line="159"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reconciliation of EBITDA to net income (loss):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January 1</w:t>
            </w:r>
          </w:p>
        </w:tc>
        <w:tc>
          <w:tcPr>
            <w:tcW w:w="120" w:type="dxa"/>
            <w:vAlign w:val="bottom"/>
          </w:tcPr>
          <w:p>
            <w:pPr>
              <w:spacing w:after="0"/>
              <w:rPr>
                <w:sz w:val="24"/>
                <w:szCs w:val="24"/>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60" w:type="dxa"/>
            <w:vAlign w:val="bottom"/>
          </w:tcPr>
          <w:p>
            <w:pPr>
              <w:spacing w:after="0"/>
              <w:rPr>
                <w:sz w:val="24"/>
                <w:szCs w:val="24"/>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2"/>
          </w:tcPr>
          <w:p>
            <w:pPr>
              <w:jc w:val="center"/>
              <w:ind w:right="320"/>
              <w:spacing w:after="0" w:line="102" w:lineRule="exact"/>
              <w:rPr>
                <w:sz w:val="20"/>
                <w:szCs w:val="20"/>
                <w:color w:val="auto"/>
              </w:rPr>
            </w:pPr>
            <w:r>
              <w:rPr>
                <w:rFonts w:ascii="Times New Roman" w:cs="Times New Roman" w:eastAsia="Times New Roman" w:hAnsi="Times New Roman"/>
                <w:sz w:val="11"/>
                <w:szCs w:val="11"/>
                <w:b w:val="1"/>
                <w:bCs w:val="1"/>
                <w:color w:val="auto"/>
              </w:rPr>
              <w:t>through</w:t>
            </w:r>
          </w:p>
        </w:tc>
        <w:tc>
          <w:tcPr>
            <w:tcW w:w="120" w:type="dxa"/>
            <w:vAlign w:val="bottom"/>
          </w:tcPr>
          <w:p>
            <w:pPr>
              <w:spacing w:after="0"/>
              <w:rPr>
                <w:sz w:val="8"/>
                <w:szCs w:val="8"/>
                <w:color w:val="auto"/>
              </w:rPr>
            </w:pPr>
          </w:p>
        </w:tc>
        <w:tc>
          <w:tcPr>
            <w:tcW w:w="14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through</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(575,511)</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(149,959)</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center"/>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expense (income), net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376,657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(benefit)(a)</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(163,227)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(72,567)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(228,731)</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60" w:type="dxa"/>
            <w:vAlign w:val="bottom"/>
            <w:shd w:val="clear" w:color="auto" w:fill="CCEEFF"/>
          </w:tcPr>
          <w:p>
            <w:pPr>
              <w:jc w:val="center"/>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-1866900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-1866900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-1866900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-1866900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-1566545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-1566545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-1566545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-1566545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-1566545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-1566545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-1214755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-1214755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-1214755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-1214755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-1214755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-1214755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-1214755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-1214755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-1214755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-1214755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-1214755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-1214755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-1214755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-1214755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-1214755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-1214755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-434340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-434340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-434340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-434340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-434340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-434340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-434340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-434340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-434340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-434340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-434340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-434340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-434340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-434340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-434340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-434340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5 above.</w:t>
      </w:r>
    </w:p>
    <w:p>
      <w:pPr>
        <w:spacing w:after="0" w:line="3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provides supplemental information as to unusual and other items that are reflected in EBITDA: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January 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5"/>
              </w:rPr>
              <w:t>December 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vMerge w:val="restart"/>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1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Satellite failures(a)</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3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ELSACOM settlement(b)</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Pension adjustment(c)</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UT writeoff recovery(d)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 impairment(e)</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211,854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(other)(f)</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93"/>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-1686560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-1686560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-1686560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-1686560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-1300480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-1300480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-1300480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-1300480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-983615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-983615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-983615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-983615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-983615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-983615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-983615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-983615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-983615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-983615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-983615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-983615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write-off for failed satellites.</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write-off in settlement of an overdue gateway receivable from an independent gateway operator.</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benefit of pension and benefit adjustments.</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recovery of overdue accounts receivable previously written off.</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impairment charge related to allocation of the price we paid in the Reorganization for the assets and business of Old Globalstar.</w:t>
      </w:r>
    </w:p>
    <w:p>
      <w:pPr>
        <w:spacing w:after="0" w:line="122" w:lineRule="exact"/>
        <w:rPr>
          <w:rFonts w:ascii="Times New Roman" w:cs="Times New Roman" w:eastAsia="Times New Roman" w:hAnsi="Times New Roman"/>
          <w:sz w:val="14"/>
          <w:szCs w:val="14"/>
          <w:color w:val="auto"/>
        </w:rPr>
      </w:pPr>
    </w:p>
    <w:p>
      <w:pPr>
        <w:ind w:left="1080" w:hanging="532"/>
        <w:spacing w:after="0"/>
        <w:tabs>
          <w:tab w:leader="none" w:pos="10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relating to the restructuring of Old Globalstar that we assumed in the Reorganization.</w:t>
      </w:r>
    </w:p>
    <w:p>
      <w:pPr>
        <w:spacing w:after="0" w:line="338" w:lineRule="exact"/>
        <w:rPr>
          <w:rFonts w:ascii="Times New Roman" w:cs="Times New Roman" w:eastAsia="Times New Roman" w:hAnsi="Times New Roman"/>
          <w:sz w:val="14"/>
          <w:szCs w:val="14"/>
          <w:color w:val="auto"/>
        </w:rPr>
      </w:pPr>
    </w:p>
    <w:p>
      <w:pPr>
        <w:ind w:left="540" w:right="120" w:hanging="532"/>
        <w:spacing w:after="0" w:line="234"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cost per gross addition as total sales and marketing costs and agent and internal salesperson commissions in a given period relating to retail customers divided by the total number of retail subscriber activations over the same period. Cost per gross addition is not a measurement under GAAP and should be considered in addition to, but not as a substitute for, the information contained in our statement of operations. We believe that cost per gross addition provides useful information concerning the cost of increasing our number of subscribers.</w:t>
      </w:r>
    </w:p>
    <w:p>
      <w:pPr>
        <w:spacing w:after="0" w:line="109"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liabilities subject to compromise as of December 31, 2002 and 2003 in the amount of $3,425,921 and $3,421,967, respectively.</w:t>
      </w:r>
    </w:p>
    <w:p>
      <w:pPr>
        <w:sectPr>
          <w:pgSz w:w="11900" w:h="16838" w:orient="portrait"/>
          <w:cols w:equalWidth="0" w:num="1">
            <w:col w:w="11420"/>
          </w:cols>
          <w:pgMar w:left="240" w:top="127"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3" w:name="page44"/>
    <w:bookmarkEnd w:id="43"/>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1"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audited and unaudited consolidated financial statements and the related notes appearing elsewhere in this prospectus. In doing so, you should keep in mind that the discussion, except for the six months ended June 30, 2006, relates to periods prior to the formation of Globalstar, Inc., that it includes discussions of the financial condition and results of operations of Globalstar LLC and its predecessor Old Globalstar and that, in that connection, it relates in part to periods prior to the consummation of the Reorganization.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We are a leading provider of mobile voice and data communication services via satellite. Our communications platform extends telecommunications beyond the boundaries of terrestrial wireline and wireless telecommunications networks to serve our customer's desire for connectivity and reliable service at all times and locations. Using 43 in-orbit satellites and 25 ground stations, which we call gateways, we offer voice and data communications services to government agencies, businesses and other customers in over 120 countries.</w:t>
      </w:r>
    </w:p>
    <w:p>
      <w:pPr>
        <w:spacing w:after="0" w:line="190" w:lineRule="exact"/>
        <w:rPr>
          <w:sz w:val="20"/>
          <w:szCs w:val="20"/>
          <w:color w:val="auto"/>
        </w:rPr>
      </w:pPr>
    </w:p>
    <w:p>
      <w:pPr>
        <w:ind w:firstLine="429"/>
        <w:spacing w:after="0" w:line="256" w:lineRule="auto"/>
        <w:rPr>
          <w:sz w:val="20"/>
          <w:szCs w:val="20"/>
          <w:color w:val="auto"/>
        </w:rPr>
      </w:pPr>
      <w:r>
        <w:rPr>
          <w:rFonts w:ascii="Times New Roman" w:cs="Times New Roman" w:eastAsia="Times New Roman" w:hAnsi="Times New Roman"/>
          <w:sz w:val="18"/>
          <w:szCs w:val="18"/>
          <w:color w:val="auto"/>
        </w:rPr>
        <w:t>As described under "Company History," on February 15, 2002, Old Globalstar and three of its subsidiaries filed voluntary petitions under Chapter 11 of the United States Bankruptcy Code. We were formed in Delaware in November 2003 for the purpose of acquiring substantially all the assets of Old Globalstar and its subsidiaries. With Bankruptcy Court approval, we acquired Old Globalstar's assets and assumed certain of its liabilities in a two-step transaction, with the first step completed on December 5, 2003, and the second step on April 14, 2004. On January 1, 2006, we elected to be taxed as a C corporation, and on March 17, 2006, we converted from a Delaware limited liability company to a Delaware corporation.</w:t>
      </w:r>
    </w:p>
    <w:p>
      <w:pPr>
        <w:spacing w:after="0" w:line="193" w:lineRule="exact"/>
        <w:rPr>
          <w:sz w:val="20"/>
          <w:szCs w:val="20"/>
          <w:color w:val="auto"/>
        </w:rPr>
      </w:pPr>
    </w:p>
    <w:p>
      <w:pPr>
        <w:ind w:right="80" w:firstLine="439"/>
        <w:spacing w:after="0" w:line="258" w:lineRule="auto"/>
        <w:rPr>
          <w:sz w:val="20"/>
          <w:szCs w:val="20"/>
          <w:color w:val="auto"/>
        </w:rPr>
      </w:pPr>
      <w:r>
        <w:rPr>
          <w:rFonts w:ascii="Times New Roman" w:cs="Times New Roman" w:eastAsia="Times New Roman" w:hAnsi="Times New Roman"/>
          <w:sz w:val="18"/>
          <w:szCs w:val="18"/>
          <w:color w:val="auto"/>
        </w:rPr>
        <w:t>Management determined that operational control of our business passed to us with the completion of the first step of the acquisition on December 5, 2003. Accordingly, Old Globalstar's results of operations, financial position and cash flows prior to December 5, 2003 are presented as "Predecessor" or "Predecessor Period(s)." The results of operations, financial position and cash flows thereafter are collectively presented as "Successor" or "Successor Period(s)." The acquisition was accounted for using the purchase method of accounting.</w:t>
      </w:r>
    </w:p>
    <w:p>
      <w:pPr>
        <w:spacing w:after="0" w:line="188" w:lineRule="exact"/>
        <w:rPr>
          <w:sz w:val="20"/>
          <w:szCs w:val="20"/>
          <w:color w:val="auto"/>
        </w:rPr>
      </w:pPr>
    </w:p>
    <w:p>
      <w:pPr>
        <w:ind w:right="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Material Trends and Uncertainties. </w:t>
      </w:r>
      <w:r>
        <w:rPr>
          <w:rFonts w:ascii="Times New Roman" w:cs="Times New Roman" w:eastAsia="Times New Roman" w:hAnsi="Times New Roman"/>
          <w:sz w:val="18"/>
          <w:szCs w:val="18"/>
          <w:color w:val="auto"/>
        </w:rPr>
        <w:t>Our satellite communications business, by providing critical, reliable mobile communications to our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principally the following markets: government, public safety and disaster relief; recreation and personal; maritime and fishing; business, financial and insurance; natural resources, mining and forestry; oil and gas; construction; utilities; and transportation. Both our industry and our own subscriber base have been growing rapidly as a result of:</w:t>
      </w:r>
    </w:p>
    <w:p>
      <w:pPr>
        <w:spacing w:after="0" w:line="202"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market reaction to new pricing plans with lower service charges;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the need for remote and reliable communication services;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reliable communication services by disaster and relief agencies and emergency first responders;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voice and data transmission quality;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reduction in prices of user equipment.</w:t>
      </w:r>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addition, our industry as a whole has benefited from the improved financial condition of most industry participants following their financial reorganizations or conversions to private ownership.</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Nonetheless, we face a number of challenges and uncertainties, including:</w:t>
      </w:r>
    </w:p>
    <w:p>
      <w:pPr>
        <w:spacing w:after="0" w:line="237" w:lineRule="exact"/>
        <w:rPr>
          <w:sz w:val="20"/>
          <w:szCs w:val="20"/>
          <w:color w:val="auto"/>
        </w:rPr>
      </w:pPr>
    </w:p>
    <w:p>
      <w:pPr>
        <w:ind w:left="640" w:right="100" w:hanging="532"/>
        <w:spacing w:after="0" w:line="255"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Constellation life and health. </w:t>
      </w:r>
      <w:r>
        <w:rPr>
          <w:rFonts w:ascii="Times New Roman" w:cs="Times New Roman" w:eastAsia="Times New Roman" w:hAnsi="Times New Roman"/>
          <w:sz w:val="18"/>
          <w:szCs w:val="18"/>
          <w:color w:val="auto"/>
        </w:rPr>
        <w:t>Our current satellite constellation was launched from 1998 to 2000. We plan to launch our eight spare satellites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2007. Assuming the successful launch of these spare satellites, we believe our current satellite constellation will provide a commercially acceptable quality of service into 2010. However, nine of our satellites have failed in orbit and others have encountered problems that have been remedied. If the health of our current constellation were to decline more rapidly than we expect and we were unable to offer commercially acceptable service until we can deploy our second-generation constellation, which we expect to do beginning in 2009, our number of subscribers, revenue and cash flow would be negatively impacted.</w:t>
      </w:r>
    </w:p>
    <w:p>
      <w:pPr>
        <w:spacing w:after="0" w:line="220" w:lineRule="exact"/>
        <w:rPr>
          <w:rFonts w:ascii="Times New Roman" w:cs="Times New Roman" w:eastAsia="Times New Roman" w:hAnsi="Times New Roman"/>
          <w:sz w:val="18"/>
          <w:szCs w:val="18"/>
          <w:color w:val="auto"/>
        </w:rPr>
      </w:pPr>
    </w:p>
    <w:p>
      <w:pPr>
        <w:ind w:left="640" w:right="60" w:hanging="532"/>
        <w:spacing w:after="0" w:line="293" w:lineRule="auto"/>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Competition and pricing pressures. </w:t>
      </w:r>
      <w:r>
        <w:rPr>
          <w:rFonts w:ascii="Times New Roman" w:cs="Times New Roman" w:eastAsia="Times New Roman" w:hAnsi="Times New Roman"/>
          <w:sz w:val="16"/>
          <w:szCs w:val="16"/>
          <w:color w:val="auto"/>
        </w:rPr>
        <w:t>We face increased competition from both the expansion of terrestrial-based cellular phone systems and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mobile satellite service providers. For example, Inmarsat plans to commence offering satellite services to handheld devices in the United States around 2008, and several competitors, such as ICO Communications, have received financing to deploy new satellite constellations. Increased numbers of competitors, and the introduction of new services and products by competitors, increases competition for subscribers and pressures all providers, including us, to reduce prices. Accordingly, increased competition may result in loss of subscribers, decreased revenue, decreased gross margins, increased cost per gross addition, higher churn rates, and, ultimately, decreased profitability and cash flows.</w:t>
      </w:r>
    </w:p>
    <w:p>
      <w:pPr>
        <w:spacing w:after="0" w:line="178" w:lineRule="exact"/>
        <w:rPr>
          <w:rFonts w:ascii="Times New Roman" w:cs="Times New Roman" w:eastAsia="Times New Roman" w:hAnsi="Times New Roman"/>
          <w:sz w:val="16"/>
          <w:szCs w:val="16"/>
          <w:color w:val="auto"/>
        </w:rPr>
      </w:pPr>
    </w:p>
    <w:p>
      <w:pPr>
        <w:ind w:left="640" w:hanging="532"/>
        <w:spacing w:after="0" w:line="257"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Technological changes. </w:t>
      </w:r>
      <w:r>
        <w:rPr>
          <w:rFonts w:ascii="Times New Roman" w:cs="Times New Roman" w:eastAsia="Times New Roman" w:hAnsi="Times New Roman"/>
          <w:sz w:val="18"/>
          <w:szCs w:val="18"/>
          <w:color w:val="auto"/>
        </w:rPr>
        <w:t>It is difficult for us promptly to match major technological innovations by our competitors because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modifying or replacing our basic technology, satellites or gateways is time consuming and very expensive. Approximately 40% of our total assets at June 30, 2006 represented fixed assets. Although we believe our current technology and fixed assets are competitive with those of our competitors, and we plan to procure and deploy our second-generation satellite constellation and upgrade our gateways and other ground facilities, we are vulnerable to the unexpected introduction of superior technology by our competitors.</w:t>
      </w:r>
    </w:p>
    <w:p>
      <w:pPr>
        <w:spacing w:after="0" w:line="201" w:lineRule="exact"/>
        <w:rPr>
          <w:rFonts w:ascii="Times New Roman" w:cs="Times New Roman" w:eastAsia="Times New Roman" w:hAnsi="Times New Roman"/>
          <w:sz w:val="18"/>
          <w:szCs w:val="18"/>
          <w:color w:val="auto"/>
        </w:rPr>
      </w:pPr>
    </w:p>
    <w:p>
      <w:pPr>
        <w:ind w:left="640" w:hanging="532"/>
        <w:spacing w:after="0" w:line="253"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Launching our eight spare satellites to augment our current constellation will cost approximately $110.0 million,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$53.0 million had been paid or accrued by June 30, 2006. We plan to fund the balance of this cost from the sale of our common stock to Thermo Funding Company LLC pursuant to its irrevocable standby stock purchase agreement described under "—Liquidity and Capital Resources— Irrevocable Standby Stock Purchase Agreement." Procuring and deploying our second-generation satellite constellation and upgrading our gateways and other ground facilities will cost $1.0 to $1.2 billion, which we expect will be reflected in capital expenditures through 2014. We plan to fund approximately $400.0 million of this from the proceeds from this offering, the $100.0 million delayed draw term loans under our credit agreement and the remaining proceeds from sales of our common stock under the standby stock purchase agreement. We plan to fund the remaining cost of approximately $600.0 million to $800.0 million from cash generated by our business. Although we expect our cash flow will be sufficient to pay these costs when due, if our future revenues or profitability are substantially below our expectations, we will require additional financing, which may be difficult or expensive to obtain, or we will have to modify our plans. Substantially all of these costs will be capitalized, which will increase our depreciation expense significantly in future periods. We are not yet able to estimate the likely depreciation expense, and resulting impact on results of operations, on an annual basis.</w:t>
      </w:r>
    </w:p>
    <w:p>
      <w:pPr>
        <w:spacing w:after="0" w:line="217" w:lineRule="exact"/>
        <w:rPr>
          <w:rFonts w:ascii="Times New Roman" w:cs="Times New Roman" w:eastAsia="Times New Roman" w:hAnsi="Times New Roman"/>
          <w:sz w:val="18"/>
          <w:szCs w:val="18"/>
          <w:color w:val="auto"/>
        </w:rPr>
      </w:pPr>
    </w:p>
    <w:p>
      <w:pPr>
        <w:ind w:left="640" w:right="220" w:hanging="532"/>
        <w:spacing w:after="0" w:line="259"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Introduction of new products. </w:t>
      </w:r>
      <w:r>
        <w:rPr>
          <w:rFonts w:ascii="Times New Roman" w:cs="Times New Roman" w:eastAsia="Times New Roman" w:hAnsi="Times New Roman"/>
          <w:sz w:val="18"/>
          <w:szCs w:val="18"/>
          <w:color w:val="auto"/>
        </w:rPr>
        <w:t>We work continuously with the manufacturers of the products we sell to offer our customers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products. Virtually all engineering, research and development costs of these new products are paid by the manufacturers. However, to the extent the costs are reflected in increased inventory costs to us, and we are unable to raise our prices to our subscribers correspondingly, our margins and profitability would be reduced.</w:t>
      </w:r>
    </w:p>
    <w:p>
      <w:pPr>
        <w:spacing w:after="0" w:line="18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80" w:top="584" w:right="259" w:bottom="1440" w:gutter="0" w:footer="0" w:header="0"/>
        </w:sectPr>
      </w:pPr>
    </w:p>
    <w:bookmarkStart w:id="45" w:name="page46"/>
    <w:bookmarkEnd w:id="45"/>
    <w:p>
      <w:pPr>
        <w:ind w:left="1080" w:hanging="532"/>
        <w:spacing w:after="0" w:line="257"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Fluctuations in interest and currency rates. </w:t>
      </w:r>
      <w:r>
        <w:rPr>
          <w:rFonts w:ascii="Times New Roman" w:cs="Times New Roman" w:eastAsia="Times New Roman" w:hAnsi="Times New Roman"/>
          <w:sz w:val="18"/>
          <w:szCs w:val="18"/>
          <w:color w:val="auto"/>
        </w:rPr>
        <w:t>Debt under our credit agreement bears interest at a floating rate. Therefore, increases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increase our interest costs. A substantial portion of our revenue (36% in the first six months of 2006) is denominated in foreign currencies. In addition, our contract for the launch of our spare satellites is, and our contract for our second-generation constellation may be, denominated in a foreign currency. Accordingly, any decline in the relative value of the U.S. dollar may adversely affect our revenues and increase our capital expenditures. We may hedge against a portion of these interest rate and currency risks.</w:t>
      </w:r>
    </w:p>
    <w:p>
      <w:pPr>
        <w:spacing w:after="0" w:line="188" w:lineRule="exact"/>
        <w:rPr>
          <w:sz w:val="20"/>
          <w:szCs w:val="20"/>
          <w:color w:val="auto"/>
        </w:rPr>
      </w:pPr>
    </w:p>
    <w:p>
      <w:pPr>
        <w:ind w:firstLine="439"/>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Service Revenues. </w:t>
      </w:r>
      <w:r>
        <w:rPr>
          <w:rFonts w:ascii="Times New Roman" w:cs="Times New Roman" w:eastAsia="Times New Roman" w:hAnsi="Times New Roman"/>
          <w:sz w:val="16"/>
          <w:szCs w:val="16"/>
          <w:color w:val="auto"/>
        </w:rPr>
        <w:t>We earn revenues primarily from the sale of satellite communications services to direct customers, resellers and independent gateway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operators. These services include mobile and fixed voice and data services and asset tracking and monitoring services. We generated approximately 70%, 69%, 64% and 61% of our consolidated revenues from the sale of our satellite communication services in 2003, 2004, 2005 and the first six months of 2006, respectively. The decrease in service revenue as a percentage of total revenue has resulted primarily from a substantial increase in product sales. Additionally, beginning in 2005 we significantly increased sales of our Liberty Plans for which payment is received in advance but revenue is recognized based on usage, thereby increasing our deferred revenue due to the prepaid nature of the Plans while decreasing our current recognized revenue. These sales should result in higher service revenue in future periods. In 2005, we also experienced increasing demand for our services driven by increased awareness of the need for reliable communication services in the wake of Hurricanes Katrina, Rita and Wilma and the Asian tsunami. As of December 31, 2005 and June 30, 2006, we served approximately 196,000 and 236,500 subscribers, respectively, which represented 39% and 50% increases over our subscribers at December 31, 2004 and June 30, 2005, respectively. Although the majority of our subscribers utilize our network principally for voice communication services, an increasing portion of our revenue is derived from the sale of high and low speed data services, including our Simplex one-way data transmission service. Simplex is especially useful for remotely tracking the location of a subscriber's remote assets, such as shipping containers. As a result of the above-mentioned factors and our marketing efforts, our subscriber base has continued to grow. Accordingly, our service revenue during the year ended December 31, 2005 and the six months ended June 30, 2006 increased by 41% and 21% over the year ended December 31, 2004 and the six months ended June 30, 2005, respectively.</w:t>
      </w:r>
    </w:p>
    <w:p>
      <w:pPr>
        <w:spacing w:after="0" w:line="391"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Subscriber Equipment Sales Revenue. </w:t>
      </w:r>
      <w:r>
        <w:rPr>
          <w:rFonts w:ascii="Times New Roman" w:cs="Times New Roman" w:eastAsia="Times New Roman" w:hAnsi="Times New Roman"/>
          <w:sz w:val="18"/>
          <w:szCs w:val="18"/>
          <w:color w:val="auto"/>
        </w:rPr>
        <w:t>We also sell related voice and data equipment to our customers. We generated approximately 30%, 31%, 36%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 of our consolidated revenues from subscriber equipment sales in 2003, 2004, 2005 and the first six months of 2006, respectively. As a percentage of our revenue, equipment sales increased faster than our service revenues in 2005 and the first six months of 2006 primarily as a result of significant customer growth in our major markets and the Liberty Plan effect described above. Our subscriber equipment sales revenue increased by 73% for each of the year ended December 31, 2005 and the six months ended June 30, 2006 compared to 2004 and the first six months of 2005, respectively. We believe that these increases in equipment sales revenue were the result of better marketing efforts, heightened awareness of emergency preparedness and increased knowledge by our customers of the competitive pricing of our product offerings. We price our subscriber equipment sales to maintain an overall positive margin on these sales rather than using the sales as "loss leaders" to promote the sale of our services.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7" w:right="279" w:bottom="1440" w:gutter="0" w:footer="0" w:header="0"/>
        </w:sectPr>
      </w:pPr>
    </w:p>
    <w:bookmarkStart w:id="46" w:name="page47"/>
    <w:bookmarkEnd w:id="46"/>
    <w:p>
      <w:pPr>
        <w:ind w:right="260" w:firstLine="436"/>
        <w:spacing w:after="0" w:line="275" w:lineRule="auto"/>
        <w:rPr>
          <w:sz w:val="20"/>
          <w:szCs w:val="20"/>
          <w:color w:val="auto"/>
        </w:rPr>
      </w:pPr>
      <w:r>
        <w:rPr>
          <w:rFonts w:ascii="Times New Roman" w:cs="Times New Roman" w:eastAsia="Times New Roman" w:hAnsi="Times New Roman"/>
          <w:sz w:val="18"/>
          <w:szCs w:val="18"/>
          <w:color w:val="auto"/>
        </w:rPr>
        <w:t>The table below sets forth amounts and percentages of our revenue by type of service and equipment sales for the years ended December 31, 2003, 2004 and 2005 and the six months ended June 30, 2005 and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0" w:type="dxa"/>
            <w:vAlign w:val="bottom"/>
            <w:gridSpan w:val="5"/>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0" w:type="dxa"/>
            <w:vAlign w:val="bottom"/>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660" w:type="dxa"/>
            <w:vAlign w:val="bottom"/>
            <w:gridSpan w:val="4"/>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2003 Combined(1)</w:t>
            </w: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18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December 31, 2005</w:t>
            </w:r>
          </w:p>
        </w:tc>
        <w:tc>
          <w:tcPr>
            <w:tcW w:w="18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2005</w:t>
            </w:r>
          </w:p>
        </w:tc>
        <w:tc>
          <w:tcPr>
            <w:tcW w:w="16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Mobile (voice and data)</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30,453</w:t>
            </w: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43,661</w:t>
            </w:r>
          </w:p>
        </w:tc>
        <w:tc>
          <w:tcPr>
            <w:tcW w:w="12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60,092</w:t>
            </w:r>
          </w:p>
        </w:tc>
        <w:tc>
          <w:tcPr>
            <w:tcW w:w="12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25,975</w:t>
            </w:r>
          </w:p>
        </w:tc>
        <w:tc>
          <w:tcPr>
            <w:tcW w:w="1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31,930</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Fixed (voice and data)</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5,315</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Satellite data modems (data)</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tracking and monitoring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Independent gateway operators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7,089</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42,435</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57,927</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81,472</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34,965</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42,202</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Subscriber Equipment Sales: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Mobile equipment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23,662</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Fixed equipment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5,278</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Data equipment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Accessories/misc.</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8,719</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17,765</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26,441</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45,675</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60,200</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84,368</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127,147</w:t>
            </w:r>
          </w:p>
        </w:tc>
        <w:tc>
          <w:tcPr>
            <w:tcW w:w="1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50,325</w:t>
            </w: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68,741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-3058795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-3058795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-3058795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-3058795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-3058795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-3058795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-3058795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-3058795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-3058795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-3058795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-2621280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-2621280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-2621280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-2621280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-2621280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-2621280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-2621280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-2621280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-2621280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-2621280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-2621280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-2621280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-2621280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-2621280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-2621280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-2621280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-2621280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-2621280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-2621280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-1557655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-1557655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-1557655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-1557655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-1557655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-1557655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-1557655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-1557655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-1557655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-1557655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-1557655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-1557655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-1557655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-1557655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-1557655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-1557655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-1557655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-1309370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-1309370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-1309370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-1309370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-1309370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-1309370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-1309370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-1309370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-1309370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-1309370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-1309370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-1309370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-1309370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-1309370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-1309370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-1309370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-1309370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-1309370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-1309370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-1309370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-683260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-683260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-683260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-683260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-683260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-683260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-683260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-683260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-683260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-683260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-683260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-683260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-683260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-683260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-683260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-683260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-683260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-683260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-683260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-683260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-434340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-434340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-434340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-434340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-434340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-434340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-434340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-434340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-434340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-434340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-434340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-434340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-434340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-434340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-434340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-434340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-434340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-434340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-434340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-434340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right="100" w:hanging="532"/>
        <w:spacing w:after="0" w:line="226" w:lineRule="auto"/>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provide a comparison for purposes of the discussion of our results of operations for the years ended December 31, 2004 and 2005 and the six months ended June 30, 2005 and 2006,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Revenues and operating expenses of the Predecessor and the Successor entities are comparable in nature, however, the write down of assets due to the Reorganization reduced post-Reorganization depreciation expense and resulted in a one-time charge to the Predecessor. Because we and Old Globalstar are different reporting entities, this information should be considered as supplemental information only.</w:t>
      </w:r>
    </w:p>
    <w:p>
      <w:pPr>
        <w:spacing w:after="0" w:line="113" w:lineRule="exact"/>
        <w:rPr>
          <w:rFonts w:ascii="Times New Roman" w:cs="Times New Roman" w:eastAsia="Times New Roman" w:hAnsi="Times New Roman"/>
          <w:sz w:val="14"/>
          <w:szCs w:val="14"/>
          <w:color w:val="auto"/>
        </w:rPr>
      </w:pPr>
    </w:p>
    <w:p>
      <w:pPr>
        <w:ind w:left="540" w:hanging="532"/>
        <w:spacing w:after="0"/>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activation fees and engineering service revenue.</w:t>
      </w:r>
    </w:p>
    <w:p>
      <w:pPr>
        <w:spacing w:after="0" w:line="200" w:lineRule="exact"/>
        <w:rPr>
          <w:sz w:val="20"/>
          <w:szCs w:val="20"/>
          <w:color w:val="auto"/>
        </w:rPr>
      </w:pPr>
    </w:p>
    <w:p>
      <w:pPr>
        <w:ind w:left="440"/>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Operating Expenses.</w:t>
      </w:r>
      <w:r>
        <w:rPr>
          <w:sz w:val="20"/>
          <w:szCs w:val="20"/>
          <w:color w:val="auto"/>
        </w:rPr>
        <w:tab/>
      </w:r>
      <w:r>
        <w:rPr>
          <w:rFonts w:ascii="Times New Roman" w:cs="Times New Roman" w:eastAsia="Times New Roman" w:hAnsi="Times New Roman"/>
          <w:sz w:val="16"/>
          <w:szCs w:val="16"/>
          <w:color w:val="auto"/>
        </w:rPr>
        <w:t>Our operating expenses are comprised principally of:</w:t>
      </w:r>
    </w:p>
    <w:p>
      <w:pPr>
        <w:spacing w:after="0" w:line="241" w:lineRule="exact"/>
        <w:rPr>
          <w:sz w:val="20"/>
          <w:szCs w:val="20"/>
          <w:color w:val="auto"/>
        </w:rPr>
      </w:pPr>
    </w:p>
    <w:p>
      <w:pPr>
        <w:ind w:left="1080" w:right="10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services, which are costs directly related to the operation and maintenance of our network, such as satellite tracking and monitoring, gateway monitoring, trouble shooting and sub-system maintenance, and the ordering, billing and provisioning of our services, including customer care and phone activations;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subscriber equipment sales, which is the recognition of inventory carrying cost into expense when equipment is sold;</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general and administrative expenses, which are the salaries and related costs, including expenses related to our 2006 Equity Incentive Plan and other employee benefits, for employees other than those involved in operations and engineering, and the marketing and administrative costs of operating our business;</w:t>
      </w:r>
    </w:p>
    <w:p>
      <w:pPr>
        <w:spacing w:after="0" w:line="199" w:lineRule="exact"/>
        <w:rPr>
          <w:rFonts w:ascii="Times New Roman" w:cs="Times New Roman" w:eastAsia="Times New Roman" w:hAnsi="Times New Roman"/>
          <w:sz w:val="18"/>
          <w:szCs w:val="18"/>
          <w:color w:val="auto"/>
        </w:rPr>
      </w:pPr>
    </w:p>
    <w:p>
      <w:pPr>
        <w:ind w:left="1080" w:right="76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expenses, which represent expenses incurred by us relating to certain restructuring obligations we assumed relating to Old Globalstar; and</w:t>
      </w:r>
    </w:p>
    <w:p>
      <w:pPr>
        <w:spacing w:after="0" w:line="200"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represent the depreciation and amortization of our space and ground facilities, property and equipment, as well as amortization of certain intangible assets.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8"/>
          <w:szCs w:val="18"/>
          <w:color w:val="auto"/>
        </w:rPr>
        <w:t>Due to the fixed nature of our network costs, our cost of services has been fairly consistent over the past three fiscal years. Our increased sales and number of subscribers have caused increases both in our cost of subscriber equipment and in our marketing, general and administrative expenses. Customer</w:t>
      </w:r>
    </w:p>
    <w:p>
      <w:pPr>
        <w:sectPr>
          <w:pgSz w:w="11900" w:h="16838" w:orient="portrait"/>
          <w:cols w:equalWidth="0" w:num="1">
            <w:col w:w="11420"/>
          </w:cols>
          <w:pgMar w:left="240" w:top="584"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7" w:name="page48"/>
    <w:bookmarkEnd w:id="47"/>
    <w:p>
      <w:pPr>
        <w:ind w:right="100"/>
        <w:spacing w:after="0" w:line="256" w:lineRule="auto"/>
        <w:rPr>
          <w:sz w:val="20"/>
          <w:szCs w:val="20"/>
          <w:color w:val="auto"/>
        </w:rPr>
      </w:pPr>
      <w:r>
        <w:rPr>
          <w:rFonts w:ascii="Times New Roman" w:cs="Times New Roman" w:eastAsia="Times New Roman" w:hAnsi="Times New Roman"/>
          <w:sz w:val="18"/>
          <w:szCs w:val="18"/>
          <w:color w:val="auto"/>
        </w:rPr>
        <w:t>acquisition costs have ranged from $200 to $250 per gross addition over the last three fiscal years. We expect to experience growth in general and administrative costs associated with increased revenue, such as bad debt allowance, human resources and collections, as well as costs associated with being a public company including Sarbanes-Oxley related compliance costs. We anticipate these compliance costs will be approximately $1.0 to $1.5 million in 2007. We expect the rate of growth of these costs to be substantially lower than the growth rate of our revenue. Acquisition of new fixed assets, especially gateways acquired from independent gateway operators and new gateways built by us, has increased our depreciation and amortization expense.</w:t>
      </w:r>
    </w:p>
    <w:p>
      <w:pPr>
        <w:spacing w:after="0" w:line="191" w:lineRule="exact"/>
        <w:rPr>
          <w:sz w:val="20"/>
          <w:szCs w:val="20"/>
          <w:color w:val="auto"/>
        </w:rPr>
      </w:pPr>
    </w:p>
    <w:p>
      <w:pPr>
        <w:ind w:firstLine="43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As a result of our planned issuance of approximately 265,000 shares of restricted stock under our 2006 Equity Incentive Plan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bonus to substantially all of our employees upon completion of this offering, we will incur a pre-tax non-cash charge of approximately $1.1 million in the fourth quarter of 2006 and approximately $3.4 million will be amortized over the shares' three-year vesting period. See "Management—Equity Incentive Plan." In 2005 we accrued $1.9 million with respect to our executive incentive compensation plan. See "Management—Executive Incentive Compensation Plan."</w:t>
      </w:r>
    </w:p>
    <w:p>
      <w:pPr>
        <w:spacing w:after="0" w:line="154" w:lineRule="exact"/>
        <w:rPr>
          <w:sz w:val="20"/>
          <w:szCs w:val="20"/>
          <w:color w:val="auto"/>
        </w:rPr>
      </w:pPr>
    </w:p>
    <w:p>
      <w:pPr>
        <w:ind w:right="80" w:firstLine="439"/>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Operating Income (Loss). </w:t>
      </w:r>
      <w:r>
        <w:rPr>
          <w:rFonts w:ascii="Times New Roman" w:cs="Times New Roman" w:eastAsia="Times New Roman" w:hAnsi="Times New Roman"/>
          <w:sz w:val="16"/>
          <w:szCs w:val="16"/>
          <w:color w:val="auto"/>
        </w:rPr>
        <w:t>Our operating income (loss) grew from an operating loss of $3.5 million for the year ended December 31, 2004, to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of $21.9 million for the year ended December 31, 2005. Our operating income grew between 2004 and 2005 due principally to increased revenue which resulted from growth in our number of subscribers from approximately 141,500 to 196,000. Our operating income for the six months ended June 30, 2006 was $5.7 million compared to $6.4 million for the same period in 2005, a decrease of $0.7 million, or 11.3%. This $0.7 million decrease was a result of slightly lower margins on equipment sales in the first six months of 2006, the Liberty Plan effect on recognition of service revenue described above, and customer acquisition costs related to a 24,000 increase in wholesale and retail subscribers compared to the first six months of 2005. Our operating income margin, which is operating income or loss divided by total revenue, was 17.2% for the year ended December 31, 2005, and 8.3% for the six months ended June 30, 2006. Our operating income margin for the six months ended June 30, 2006 was 8.3% compared to 12.8% for the same period in 2005. Due to the fixed cost nature of our network, our operating income margin is particularly sensitive to increases in costs of subscriber equipment and customer acquisition costs.</w:t>
      </w:r>
    </w:p>
    <w:p>
      <w:pPr>
        <w:spacing w:after="0" w:line="167" w:lineRule="exact"/>
        <w:rPr>
          <w:sz w:val="20"/>
          <w:szCs w:val="20"/>
          <w:color w:val="auto"/>
        </w:rPr>
      </w:pPr>
    </w:p>
    <w:p>
      <w:pPr>
        <w:ind w:right="1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At June 30, 2006, we had recorded $3.6 million of deferred financing costs relating to our credit agreement. These costs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amortized over the term of the credit agreement. In addition, as of June 30, 2006, we had incurred deferred transaction costs related to our initial public offering of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Gateway Acquisition Strategy</w:t>
      </w:r>
    </w:p>
    <w:p>
      <w:pPr>
        <w:spacing w:after="0" w:line="227"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Currently 16 of the gateways in our network are owned and operated by unaffiliated companies, which we call independent gateway operators, some of whom operate more than one gateway. Some of these independent gateway operators have been unable to grow their businesses adequately due in part to limited resources. Old Globalstar initially developed the independent gateway strategy to establish operations in multiple territories with reduced demands on its capital. In addition, for political or other reasons, there are territories in which it is impractical for us to operate directly. We sell services to the independent gateway operators on a wholesale basis and they resell them to their customers on a retail basis.</w:t>
      </w:r>
    </w:p>
    <w:p>
      <w:pPr>
        <w:spacing w:after="0" w:line="193"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We have acquired, and intend to continue to pursue the acquisition of, independent gateway operators when we believe we can do so on favorable terms. We believe that these acquisitions can enhance our results of operations in three respects. First, we believe that, with our greater financial and technical resources, we can grow our subscriber base and revenue faster than some of the independent gateway operators. Second, we realize greater margin on retail sales to individual subscribers than we do on wholesale sales to independent gateway operators. Third, we believe expanding the territory we serve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t>directly will better position us to market our services directly to multinational customers who require a global communications provider. However, acquisitions of independent gateway operators do require us to commit capital for acquisition of their assets, as well as management resources and working capital to support the gateway operations, and therefore increase our risk in operating in these territories directly rather than through the independent gateway operators. In addition, operating the acquired gateways increases our marketing, general and administrative expenses. Our credit agreement limits to $25.0 million the aggregate amount we may invest in foreign acquisitions without the consent of our lenders.</w:t>
      </w:r>
    </w:p>
    <w:p>
      <w:pPr>
        <w:spacing w:after="0" w:line="193" w:lineRule="exact"/>
        <w:rPr>
          <w:sz w:val="20"/>
          <w:szCs w:val="20"/>
          <w:color w:val="auto"/>
        </w:rPr>
      </w:pPr>
    </w:p>
    <w:p>
      <w:pPr>
        <w:ind w:right="260" w:firstLine="439"/>
        <w:spacing w:after="0" w:line="258" w:lineRule="auto"/>
        <w:rPr>
          <w:sz w:val="20"/>
          <w:szCs w:val="20"/>
          <w:color w:val="auto"/>
        </w:rPr>
      </w:pPr>
      <w:r>
        <w:rPr>
          <w:rFonts w:ascii="Times New Roman" w:cs="Times New Roman" w:eastAsia="Times New Roman" w:hAnsi="Times New Roman"/>
          <w:sz w:val="18"/>
          <w:szCs w:val="18"/>
          <w:color w:val="auto"/>
        </w:rPr>
        <w:t>Prior to the Reorganization, Old Globalstar acquired three independent gateway operators in the United States, Canada and Western Europe for minimal costs. In February 2005, we purchased the Venezuela gateway for $1.6 million in cash to be paid over four years. Effective January 1, 2006, we acquired the Central American gateway and other real property assets for $5.2 million, paid principally in shares of our common stock. Because independent gateway operations vary in size and value, we are unable to predict the timing or cost of further acquisions.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Indicators</w:t>
      </w:r>
    </w:p>
    <w:p>
      <w:pPr>
        <w:spacing w:after="0" w:line="227" w:lineRule="exact"/>
        <w:rPr>
          <w:sz w:val="20"/>
          <w:szCs w:val="20"/>
          <w:color w:val="auto"/>
        </w:rPr>
      </w:pPr>
    </w:p>
    <w:p>
      <w:pPr>
        <w:ind w:right="680" w:firstLine="439"/>
        <w:spacing w:after="0" w:line="275" w:lineRule="auto"/>
        <w:rPr>
          <w:sz w:val="20"/>
          <w:szCs w:val="20"/>
          <w:color w:val="auto"/>
        </w:rPr>
      </w:pPr>
      <w:r>
        <w:rPr>
          <w:rFonts w:ascii="Times New Roman" w:cs="Times New Roman" w:eastAsia="Times New Roman" w:hAnsi="Times New Roman"/>
          <w:sz w:val="18"/>
          <w:szCs w:val="18"/>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18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which is an indicator of our overall business growth;</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growth and churn rate, which are both indicators of the satisfaction of our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user, which is an indicator of our ability to obtain effectively long-term, high-value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per gross addition, which is a measure of the cost of increasing our number of subscribers;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which is an indication of our performance and liquidity;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which is an indicator of our financial performance;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are an indicator of future revenue growth potential and cash requirements.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200" w:firstLine="439"/>
        <w:spacing w:after="0" w:line="262" w:lineRule="auto"/>
        <w:rPr>
          <w:sz w:val="20"/>
          <w:szCs w:val="20"/>
          <w:color w:val="auto"/>
        </w:rPr>
      </w:pPr>
      <w:r>
        <w:rPr>
          <w:rFonts w:ascii="Times New Roman" w:cs="Times New Roman" w:eastAsia="Times New Roman" w:hAnsi="Times New Roman"/>
          <w:sz w:val="18"/>
          <w:szCs w:val="18"/>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inventory, long-lived assets, income taxes and pension obligations,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firstLine="439"/>
        <w:spacing w:after="0" w:line="262" w:lineRule="auto"/>
        <w:rPr>
          <w:sz w:val="20"/>
          <w:szCs w:val="20"/>
          <w:color w:val="auto"/>
        </w:rPr>
      </w:pPr>
      <w:r>
        <w:rPr>
          <w:rFonts w:ascii="Times New Roman" w:cs="Times New Roman" w:eastAsia="Times New Roman" w:hAnsi="Times New Roman"/>
          <w:sz w:val="18"/>
          <w:szCs w:val="18"/>
          <w:color w:val="auto"/>
        </w:rPr>
        <w:t>Customer activation fees are deferred and recognized over four to five year periods, which approximates the estimated average life of the customer relationship. We periodically evaluate the estimated customer relationship life. Historically, changes in the estimated life have not been material to our financial statements.</w:t>
      </w:r>
    </w:p>
    <w:p>
      <w:pPr>
        <w:spacing w:after="0" w:line="186" w:lineRule="exact"/>
        <w:rPr>
          <w:sz w:val="20"/>
          <w:szCs w:val="20"/>
          <w:color w:val="auto"/>
        </w:rPr>
      </w:pPr>
    </w:p>
    <w:p>
      <w:pPr>
        <w:ind w:right="140" w:firstLine="439"/>
        <w:spacing w:after="0" w:line="258" w:lineRule="auto"/>
        <w:rPr>
          <w:sz w:val="20"/>
          <w:szCs w:val="20"/>
          <w:color w:val="auto"/>
        </w:rPr>
      </w:pPr>
      <w:r>
        <w:rPr>
          <w:rFonts w:ascii="Times New Roman" w:cs="Times New Roman" w:eastAsia="Times New Roman" w:hAnsi="Times New Roman"/>
          <w:sz w:val="18"/>
          <w:szCs w:val="18"/>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billing cycle. To the extent that billing cycles fall during the course of a given month and a portion of the monthly services has not been delivered at month end, fees are prorated and fees associated with the undelivered portion of a given month are deferred.</w:t>
      </w:r>
    </w:p>
    <w:p>
      <w:pPr>
        <w:spacing w:after="0" w:line="190"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We also provide certain engineering services to assist customers in developing new technologies related to our system. The revenues associated with these services are recorded when the services are rendered, and the expenses are recorded when incurred. During the year ended December 31, 2005 and the first six months of 2006, we recorded engineering services revenues of $3.5 million and $1.1 million, respectively, and related costs of $1.7 million and $0.9 million. Engineering services revenues and cost of services were not significant in 2003 and 2004.</w:t>
      </w:r>
    </w:p>
    <w:p>
      <w:pPr>
        <w:spacing w:after="0" w:line="190"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Our Liberty Plans were introduced in August 2004 and grew substantially in 2005 and 2006. These Plans require users to pre-pay usage charges for an entire 12-month period, which results in the deferral of certain of our revenues. Under our revenue recognition policy for Liberty Plans, we defer revenue until the earlier of when the minutes are used or when these minutes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At June 30, 2006, our deferred revenue aggregated approximately $21.8 million. Accordingly, we expect significant revenues from 2005 and 2006 purchases of Liberty Plans to be recognized during the remainder of 2006 and in 2007 as the minutes are used or expire.</w:t>
      </w:r>
    </w:p>
    <w:p>
      <w:pPr>
        <w:spacing w:after="0" w:line="195" w:lineRule="exact"/>
        <w:rPr>
          <w:sz w:val="20"/>
          <w:szCs w:val="20"/>
          <w:color w:val="auto"/>
        </w:rPr>
      </w:pPr>
    </w:p>
    <w:p>
      <w:pPr>
        <w:ind w:right="140" w:firstLine="436"/>
        <w:spacing w:after="0" w:line="310" w:lineRule="auto"/>
        <w:rPr>
          <w:sz w:val="20"/>
          <w:szCs w:val="20"/>
          <w:color w:val="auto"/>
        </w:rPr>
      </w:pPr>
      <w:r>
        <w:rPr>
          <w:rFonts w:ascii="Times New Roman" w:cs="Times New Roman" w:eastAsia="Times New Roman" w:hAnsi="Times New Roman"/>
          <w:sz w:val="16"/>
          <w:szCs w:val="16"/>
          <w:color w:val="auto"/>
        </w:rPr>
        <w:t>We own and operate our satellite constellation and earn a portion of our revenues through the sale of airtime minutes on a wholesale basis to the independent gateway operators. Revenue from services provided to independent gateway operators is recognized based upon airtime minutes used by customers of independent gateway operators and contractual fee arrangements. Where collection is uncertain, revenue is recognized when cash payment is received.</w:t>
      </w:r>
    </w:p>
    <w:p>
      <w:pPr>
        <w:spacing w:after="0" w:line="151" w:lineRule="exact"/>
        <w:rPr>
          <w:sz w:val="20"/>
          <w:szCs w:val="20"/>
          <w:color w:val="auto"/>
        </w:rPr>
      </w:pPr>
    </w:p>
    <w:p>
      <w:pPr>
        <w:ind w:right="160" w:firstLine="439"/>
        <w:spacing w:after="0" w:line="275" w:lineRule="auto"/>
        <w:rPr>
          <w:sz w:val="20"/>
          <w:szCs w:val="20"/>
          <w:color w:val="auto"/>
        </w:rPr>
      </w:pPr>
      <w:r>
        <w:rPr>
          <w:rFonts w:ascii="Times New Roman" w:cs="Times New Roman" w:eastAsia="Times New Roman" w:hAnsi="Times New Roman"/>
          <w:sz w:val="18"/>
          <w:szCs w:val="18"/>
          <w:color w:val="auto"/>
        </w:rPr>
        <w:t>Subscriber equipment revenue represents the sale of fixed and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74"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account separately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Inventory consists of purchased products, including fixed and mobile user terminals, accessories and gateway spare parts. Prior to December 5, 2003, inventory was stated at the lower of cost or market. Inventory acquired on December 5, 2003 was stated at fair value at the date of our acquisition of the assets of Old Globalstar and subsequent inventory transactions are stated at the lower of cost or market. At the end of each quarter, product sales and returns from the previous twelve months are reviewed and any excess and obsolete inventory is written off. Cost is computed using the first-in, first-out (FIFO) method. Inventory allowances for inventories with a lower market value or that are slow moving are recorded in the period of determination.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Globalstar System, Property and Equipment</w:t>
      </w:r>
    </w:p>
    <w:p>
      <w:pPr>
        <w:spacing w:after="0" w:line="229" w:lineRule="exact"/>
        <w:rPr>
          <w:sz w:val="20"/>
          <w:szCs w:val="20"/>
          <w:color w:val="auto"/>
        </w:rPr>
      </w:pPr>
    </w:p>
    <w:p>
      <w:pPr>
        <w:ind w:right="240" w:firstLine="439"/>
        <w:spacing w:after="0" w:line="262" w:lineRule="auto"/>
        <w:rPr>
          <w:sz w:val="20"/>
          <w:szCs w:val="20"/>
          <w:color w:val="auto"/>
        </w:rPr>
      </w:pPr>
      <w:r>
        <w:rPr>
          <w:rFonts w:ascii="Times New Roman" w:cs="Times New Roman" w:eastAsia="Times New Roman" w:hAnsi="Times New Roman"/>
          <w:sz w:val="18"/>
          <w:szCs w:val="18"/>
          <w:color w:val="auto"/>
        </w:rPr>
        <w:t>Our Globalstar System assets include costs for the design, manufacture, test, and launch of a constellation of low earth orbit satellites, including in-orbit spare satellites, which we refer to as the space segment, and primary and backup terrestrial control centers and gateways, which we refer to as the ground segment.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from an in-orbit failure of a satellite is recognized as an expense in the period it is determined that the satellite is not recoverable.</w:t>
      </w:r>
    </w:p>
    <w:p>
      <w:pPr>
        <w:spacing w:after="0" w:line="225" w:lineRule="exact"/>
        <w:rPr>
          <w:sz w:val="20"/>
          <w:szCs w:val="20"/>
          <w:color w:val="auto"/>
        </w:rPr>
      </w:pPr>
    </w:p>
    <w:p>
      <w:pPr>
        <w:jc w:val="both"/>
        <w:ind w:right="180" w:firstLine="436"/>
        <w:spacing w:after="0" w:line="310" w:lineRule="auto"/>
        <w:rPr>
          <w:sz w:val="20"/>
          <w:szCs w:val="20"/>
          <w:color w:val="auto"/>
        </w:rPr>
      </w:pPr>
      <w:r>
        <w:rPr>
          <w:rFonts w:ascii="Times New Roman" w:cs="Times New Roman" w:eastAsia="Times New Roman" w:hAnsi="Times New Roman"/>
          <w:sz w:val="16"/>
          <w:szCs w:val="16"/>
          <w:color w:val="auto"/>
        </w:rPr>
        <w:t>The carrying value of the Globalstar System is reviewed for impairment whenever events or changes in circumstances indicate that the recorded value of the space segment and ground segment, taken as a whole, may not be recoverable. We look to current and future undiscounted cash flows, excluding financing costs, as primary indicators of recoverability. If an impairment is determined to exist, any related impairment loss is calculated based on fair value.</w:t>
      </w:r>
    </w:p>
    <w:p>
      <w:pPr>
        <w:spacing w:after="0" w:line="151" w:lineRule="exact"/>
        <w:rPr>
          <w:sz w:val="20"/>
          <w:szCs w:val="20"/>
          <w:color w:val="auto"/>
        </w:rPr>
      </w:pPr>
    </w:p>
    <w:p>
      <w:pPr>
        <w:ind w:right="40" w:firstLine="439"/>
        <w:spacing w:after="0" w:line="288" w:lineRule="auto"/>
        <w:rPr>
          <w:sz w:val="20"/>
          <w:szCs w:val="20"/>
          <w:color w:val="auto"/>
        </w:rPr>
      </w:pPr>
      <w:r>
        <w:rPr>
          <w:rFonts w:ascii="Times New Roman" w:cs="Times New Roman" w:eastAsia="Times New Roman" w:hAnsi="Times New Roman"/>
          <w:sz w:val="16"/>
          <w:szCs w:val="16"/>
          <w:color w:val="auto"/>
        </w:rPr>
        <w:t>Property and equipment was stated at historical cost, less accumulated depreciation and impairment charges until December 5, 2003, when the assets were acquired by us and recorded based on our allocation of acquisition cost. Because the acquisition cost of these assets was substantially below their historic cost or replacement cost, current depreciation and amortization costs have been reduced substantially for GAAP purposes, thereby increasing net income or decreasing net loss. As we increase our capital expenditures, especially to procure and launch our second-generation satellite constellation, we expect GAAP depreciation to increase substantially. Depreciation is provided using the straight-line method over the estimated useful lives. For this purpose, we have estimated that our satellites have an estimated useful life of 10 years from commencement of service, or through December 31, 2009. To verify the life of our satellites, we commissioned a report by an independent consultant to assess the health and life of our current constellation. Leasehold improvements are amortized on a straight-line basis over the shorter of the estimated useful life of the improvement or the term of the lease, generally five years.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 items are expensed as incurred.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60" w:firstLine="439"/>
        <w:spacing w:after="0" w:line="255" w:lineRule="auto"/>
        <w:rPr>
          <w:sz w:val="20"/>
          <w:szCs w:val="20"/>
          <w:color w:val="auto"/>
        </w:rPr>
      </w:pPr>
      <w:r>
        <w:rPr>
          <w:rFonts w:ascii="Times New Roman" w:cs="Times New Roman" w:eastAsia="Times New Roman" w:hAnsi="Times New Roman"/>
          <w:sz w:val="18"/>
          <w:szCs w:val="18"/>
          <w:color w:val="auto"/>
        </w:rPr>
        <w:t xml:space="preserve">Until January 1, 2006, we were treated as a partnership for U.S. tax purposes. Generally, our taxable income or loss, deductions and credits were passed through to our members. We did have some corporate subsidiaries that required a tax provision or benefit using the asset and liability method of accounting for income taxes as prescribed by Statement of Financial Accounting Standards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(SFAS No. 109). Effective January 1, 2006, we elected to be taxed as a C corporation in the United States. When an enterprise changes its tax status from non-taxable to taxable, under SFAS No. 109 the effect of recognizing deferred tax assets and liabilities is included in income from continuing operations in the period of change. As a result, we recognized a gross deferred tax asset of $204.2 million</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t>and a gross deferred tax liability of $0.1 million on January 1, 2006. SFAS No. 109 also requires that deferred tax assets be reduced by a valuation allowance if it is more likely than not that some portion or all of the deferred tax asset will not be realized. In evaluating the need for a valuation allowance, we take into account various factors including the expected level of future taxable income and available tax planning strategies. Accordingly, we also determined that it was more likely than not that we would not recognize the entire deferred tax asset; therefore, we established a valuation allowance of $182.7 million, resulting in recognition of a net deferred tax benefit of $21.4 million. We will continue to monitor the situation to ensure that, if and when we are more likely than not to be able to utilize more of the deferred tax asset, we will be able to reduce the valuation allowance accordingly.</w:t>
      </w:r>
    </w:p>
    <w:p>
      <w:pPr>
        <w:spacing w:after="0" w:line="193" w:lineRule="exact"/>
        <w:rPr>
          <w:sz w:val="20"/>
          <w:szCs w:val="20"/>
          <w:color w:val="auto"/>
        </w:rPr>
      </w:pPr>
    </w:p>
    <w:p>
      <w:pPr>
        <w:ind w:right="80" w:firstLine="429"/>
        <w:spacing w:after="0" w:line="258" w:lineRule="auto"/>
        <w:rPr>
          <w:sz w:val="20"/>
          <w:szCs w:val="20"/>
          <w:color w:val="auto"/>
        </w:rPr>
      </w:pPr>
      <w:r>
        <w:rPr>
          <w:rFonts w:ascii="Times New Roman" w:cs="Times New Roman" w:eastAsia="Times New Roman" w:hAnsi="Times New Roman"/>
          <w:sz w:val="18"/>
          <w:szCs w:val="18"/>
          <w:color w:val="auto"/>
        </w:rPr>
        <w:t>As of December 31, 2004 and 2005, our corporate subsidiaries had gross deferred tax assets of approximately $10.6 million and $7.6 million, respectively. Valuation reserves of $5.9 million and $5.2 million at December 31, 2004 and 2005, respectively, reflect concerns about our ability to generate sufficient income in those corporate subsidiaries to utilize the deferred tax assets. The amount of the deferred tax asset considered realizable could be reduced in the near term if estimates of future taxable income during the carry forward period are reduced.</w:t>
      </w:r>
    </w:p>
    <w:p>
      <w:pPr>
        <w:spacing w:after="0" w:line="190" w:lineRule="exact"/>
        <w:rPr>
          <w:sz w:val="20"/>
          <w:szCs w:val="20"/>
          <w:color w:val="auto"/>
        </w:rPr>
      </w:pPr>
    </w:p>
    <w:p>
      <w:pPr>
        <w:ind w:right="20" w:firstLine="436"/>
        <w:spacing w:after="0" w:line="296" w:lineRule="auto"/>
        <w:rPr>
          <w:sz w:val="20"/>
          <w:szCs w:val="20"/>
          <w:color w:val="auto"/>
        </w:rPr>
      </w:pPr>
      <w:r>
        <w:rPr>
          <w:rFonts w:ascii="Times New Roman" w:cs="Times New Roman" w:eastAsia="Times New Roman" w:hAnsi="Times New Roman"/>
          <w:sz w:val="16"/>
          <w:szCs w:val="16"/>
          <w:color w:val="auto"/>
        </w:rPr>
        <w:t>We have substantially more basis in our U.S. assets for net tax purposes than we do for book purposes. We estimate that as of January 1, 2006, the tax basis of our assets was approximately $497.8 million in excess of our book basis. Assuming an average U.S. tax rate of 41%, depreciation of these net assets could reduce our income taxes payable by approximately $204.1 million in the future. The $497.8 million represents the historical cost of the net assets purchased by Old Globalstar net of any tax depreciation or amortization taken to date. When we purchased Old Globalstar in 2004, the acquisition was treated as a purchase of assets under GAAP. For tax purposes, the transaction was treated as a contribution of assets to a partnership and resulted in a carryover of tax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Spare Satellites and Launch Costs</w:t>
      </w:r>
    </w:p>
    <w:p>
      <w:pPr>
        <w:spacing w:after="0" w:line="229"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Old Globalstar purchased eight additional satellites in 1998 for $148.0 million (including performance incentives of up to $16.0 million) to serve as on-ground spares. Costs of $147.0 million (including a portion of the performance incentives) were previously recognized for these spare satellites. Prior to 2002, Old Globalstar recorded an impairment of these costs, and at December 31, 2002 they were carried at $24.2 million. All eight satellites have been completed, and are being readied for launch. Depreciation of these assets will not begin until the satellites are placed in service. As of December 31, 2004 and 2005, these assets were recorded at $0.9 million and $3.0 million, respectively, of which $0.9 million was based on our allocation of the Reorganization cost on December 5, 2003. We expect to launch these satellites during 2007.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Obligations</w:t>
      </w:r>
    </w:p>
    <w:p>
      <w:pPr>
        <w:spacing w:after="0" w:line="229"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have various company-sponsored retirement plans covering certain current and past U.S. based employees. Until June 1, 2004, substantially all of Old and New Globalstar's employees and retirees who participated and/or met the vesting criteria for the plan were participants in the Retirement Plan of Space Systems/Loral, Inc.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compensation, length of service with the company and age of the participant. On June 1, 2004, the assets and frozen pension obligations of the segment attributable to our employees were transferred into a new Globalstar Retirement Plan (the "Globalstar Plan"). The Globalstar Plan remains frozen and participants are not currently accruing benefits beyond those accrued as of October 23, 2003. Our funding policy is to fund the Globalstar Plan in accordance with the Internal Revenue Code and regulations.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2" w:name="page53"/>
    <w:bookmarkEnd w:id="52"/>
    <w:p>
      <w:pPr>
        <w:ind w:right="80" w:firstLine="436"/>
        <w:spacing w:after="0" w:line="293" w:lineRule="auto"/>
        <w:rPr>
          <w:sz w:val="20"/>
          <w:szCs w:val="20"/>
          <w:color w:val="auto"/>
        </w:rPr>
      </w:pPr>
      <w:r>
        <w:rPr>
          <w:rFonts w:ascii="Times New Roman" w:cs="Times New Roman" w:eastAsia="Times New Roman" w:hAnsi="Times New Roman"/>
          <w:sz w:val="16"/>
          <w:szCs w:val="16"/>
          <w:color w:val="auto"/>
        </w:rPr>
        <w:t xml:space="preserve">We account for our defined benefit pension and life insurance benefit plans in accordance with Statement of Financial Accounting Standards No. 87, </w:t>
      </w:r>
      <w:r>
        <w:rPr>
          <w:rFonts w:ascii="Times New Roman" w:cs="Times New Roman" w:eastAsia="Times New Roman" w:hAnsi="Times New Roman"/>
          <w:sz w:val="16"/>
          <w:szCs w:val="16"/>
          <w:i w:val="1"/>
          <w:iCs w:val="1"/>
          <w:color w:val="auto"/>
        </w:rPr>
        <w:t xml:space="preserve">Employers' Accounting for Pensions </w:t>
      </w:r>
      <w:r>
        <w:rPr>
          <w:rFonts w:ascii="Times New Roman" w:cs="Times New Roman" w:eastAsia="Times New Roman" w:hAnsi="Times New Roman"/>
          <w:sz w:val="16"/>
          <w:szCs w:val="16"/>
          <w:color w:val="auto"/>
        </w:rPr>
        <w:t>and SFAS No. 106,</w:t>
      </w:r>
      <w:r>
        <w:rPr>
          <w:rFonts w:ascii="Times New Roman" w:cs="Times New Roman" w:eastAsia="Times New Roman" w:hAnsi="Times New Roman"/>
          <w:sz w:val="16"/>
          <w:szCs w:val="16"/>
          <w:i w:val="1"/>
          <w:iCs w:val="1"/>
          <w:color w:val="auto"/>
        </w:rPr>
        <w:t xml:space="preserve"> Employer's Accounting for Postretirement Benefits Other than Pensions</w:t>
      </w:r>
      <w:r>
        <w:rPr>
          <w:rFonts w:ascii="Times New Roman" w:cs="Times New Roman" w:eastAsia="Times New Roman" w:hAnsi="Times New Roman"/>
          <w:sz w:val="16"/>
          <w:szCs w:val="16"/>
          <w:color w:val="auto"/>
        </w:rPr>
        <w:t>, which require that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recognized in financial statements be determined on an actuarial basis. Pension benefits associated with these plans are generally based primarily on each participant's years of service, compensation, and age at retirement or termination. Two critical assumptions, the discount rate and the expected return on plan assets, are important elements of expense and liability measurement. See Note 12 to the Consolidated Financial Statements for additional discussion of actuarial assumptions used in determining the pension liability and expense. We utilize the services of a third party to perform these actuarial calculations.</w:t>
      </w:r>
    </w:p>
    <w:p>
      <w:pPr>
        <w:spacing w:after="0" w:line="16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We determine the discount rate used to measure plan liabilities as of the December 31 measurement date for the U.S. pension plan. The discount rate reflects the current rate at which the associated liabilities could be effectively settled at the end of the year. In estimating this rate, we look at rates of return on fixed-income investments of similar duration to the liabilities in the plan that receive high, investment grade ratings by recognized ratings agencies. Using these methodologies, we determined a discount rate of 5.5% to be appropriate as of December 31, 2005, which is a reduction of 0.25 percentage points from the rate used as of December 31, 2004. An increase of 1.0% in the discount rate would have decreased our plan liabilities as of December 31, 2005 by $1.6 million and a decrease of 1.0% could have increased our plan liabilities by $2.0 million.</w:t>
      </w:r>
    </w:p>
    <w:p>
      <w:pPr>
        <w:spacing w:after="0" w:line="193" w:lineRule="exact"/>
        <w:rPr>
          <w:sz w:val="20"/>
          <w:szCs w:val="20"/>
          <w:color w:val="auto"/>
        </w:rPr>
      </w:pPr>
    </w:p>
    <w:p>
      <w:pPr>
        <w:ind w:right="40" w:firstLine="429"/>
        <w:spacing w:after="0" w:line="258" w:lineRule="auto"/>
        <w:rPr>
          <w:sz w:val="20"/>
          <w:szCs w:val="20"/>
          <w:color w:val="auto"/>
        </w:rPr>
      </w:pPr>
      <w:r>
        <w:rPr>
          <w:rFonts w:ascii="Times New Roman" w:cs="Times New Roman" w:eastAsia="Times New Roman" w:hAnsi="Times New Roman"/>
          <w:sz w:val="18"/>
          <w:szCs w:val="18"/>
          <w:color w:val="auto"/>
        </w:rPr>
        <w:t>A significant element in determining our pension expense in accordance with SFAS No. 87 is the expected return on plan assets, which is based on historical results for similar allocations among asset classes. For the U.S. pension plan, our assumption for the expected return on plan assets was 7.5% for 2005. See Note 12 to the Consolidated Financial Statements for information on how this rate is determined. An increase (decrease) of 1.0% in the expected return on plan assets would have decreased (increased) our pension expense for 2005 by less than $0.1 million.</w:t>
      </w:r>
    </w:p>
    <w:p>
      <w:pPr>
        <w:spacing w:after="0" w:line="190"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difference between the expected return and the actual return on plan assets is deferred and, under certain circumstances, amortized over future years of service. Therefore, the net deferral of past asset gains (losses) ultimately affects future pension expense. This is also true of changes to actuarial assumptions. As of December 31, 2005, we had net unrecognized pension actuarial losses of $2.6 million. These amounts represent potential future pension and postretirement expenses that would be amortized over average future service periods.</w:t>
      </w:r>
    </w:p>
    <w:p>
      <w:pPr>
        <w:spacing w:after="0" w:line="190" w:lineRule="exact"/>
        <w:rPr>
          <w:sz w:val="20"/>
          <w:szCs w:val="20"/>
          <w:color w:val="auto"/>
        </w:rPr>
      </w:pPr>
    </w:p>
    <w:p>
      <w:pPr>
        <w:ind w:right="220" w:firstLine="439"/>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we recognized total pre-tax pension expense (after settlements, curtailments and special termination benefits) of $0.2 million, up from less than $0.1 million in 2004. Pension expense (before settlements, curtailments and special termination benefits) is anticipated to be approximately $0.1 million in 2006.</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Six Months Ended June 30, 2005 and 2006</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20" w:type="dxa"/>
            <w:vAlign w:val="bottom"/>
          </w:tcPr>
          <w:p>
            <w:pPr>
              <w:spacing w:after="0"/>
              <w:rPr>
                <w:sz w:val="24"/>
                <w:szCs w:val="24"/>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22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5"/>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68,741</w:t>
            </w:r>
          </w:p>
        </w:tc>
        <w:tc>
          <w:tcPr>
            <w:tcW w:w="2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Cost of services (exclusive of depreciation and amortization shown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18"/>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118"/>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(17,459)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8"/>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20" w:type="dxa"/>
            <w:vAlign w:val="bottom"/>
            <w:gridSpan w:val="3"/>
            <w:vMerge w:val="continue"/>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2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2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-4164965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-4164965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-4164965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-4164965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-4164965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-4164965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-4164965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-3307715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-3307715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-3307715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-3307715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-3015615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-3015615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-3015615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-3015615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-1901190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-1901190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-1901190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-1901190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-1609090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-1609090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-1609090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-1609090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-906145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-906145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-906145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-906145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-477520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-477520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-477520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-477520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$117 for the six months ended June 30, 2005 and $0 for the six months ended June 30, 2006.</w:t>
      </w:r>
    </w:p>
    <w:p>
      <w:pPr>
        <w:spacing w:after="0" w:line="221" w:lineRule="exact"/>
        <w:rPr>
          <w:sz w:val="20"/>
          <w:szCs w:val="20"/>
          <w:color w:val="auto"/>
        </w:rPr>
      </w:pPr>
    </w:p>
    <w:p>
      <w:pPr>
        <w:ind w:firstLine="43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Total revenue increased by $18.4 million, or approximately 36.6%, to $68.7 million for the six months ended June 30, 2006, from $50.3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months ended June 30, 2005, due principally to continued growth in our core markets in North America, increased subscribers, and stronger performance by the independent gateway operators. Total revenue growth in the six months ended June 30, 2006 also benefited from our sale of over 3,000 fixed units to our independent gateway operator in China for $0.7 million and our sale of three Simplex appliqués (switching equipment) for $1.3 million. Our average retail revenue per user during the six months ended June 30, 2006 decreased by 14.0% to $57.52 from $66.88 for the six months ended June 30, 2005. This decline resulted from the rapid acceptance of our Liberty Plans, which were introduced broadly in April 2005 and which require subscribers to pre-pay for a year of service. Liberty Plans reduce current period revenue because revenue is not recognized until minutes are used or expire. Unused minutes are recognized as revenue at the expiration of a Plan. Subscribers generally do not use all of the minutes for which they have prepaid. Accordingly, we expect an increase in our average retail revenue per user in later periods as the minutes related to Liberty Plans sold in prior periods are used or expire. Average monthly subscriber churn was unchanged at 1.1% for the six months ended June 30, 2006 compared to the six months ended June 30, 2005.</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54" w:name="page55"/>
    <w:bookmarkEnd w:id="54"/>
    <w:p>
      <w:pPr>
        <w:ind w:right="18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$7.2 million, or approximately 20.7%, to $42.2 million for the six months ended June 30, 2006,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$35.0 million for the six months ended June 30, 2005. This increase was driven by our 50% subscriber growth over the prior period and increased usage of minutes related to the higher number of subscribers. Simplex subscribers grew from approximately 11,000 at June 30, 2005 to approximately 41,000 at June 30, 2006. This growth in Simplex subscribers was due to an expanded availability of products and marketing efforts by our data sales group.</w:t>
      </w:r>
    </w:p>
    <w:p>
      <w:pPr>
        <w:spacing w:after="0" w:line="187" w:lineRule="exact"/>
        <w:rPr>
          <w:sz w:val="20"/>
          <w:szCs w:val="20"/>
          <w:color w:val="auto"/>
        </w:rPr>
      </w:pPr>
    </w:p>
    <w:p>
      <w:pPr>
        <w:ind w:right="80" w:firstLine="43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Subscriber Equipment Sales. </w:t>
      </w:r>
      <w:r>
        <w:rPr>
          <w:rFonts w:ascii="Times New Roman" w:cs="Times New Roman" w:eastAsia="Times New Roman" w:hAnsi="Times New Roman"/>
          <w:sz w:val="16"/>
          <w:szCs w:val="16"/>
          <w:color w:val="auto"/>
        </w:rPr>
        <w:t>Subscriber equipment sales increased by $11.2 million, or approximately 72.8%, to $26.5 million for the six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2006, from $15.4 million for the six months ended June 30, 2005. This increase was driven by growth in the number of our subscribers and the desire of agents and resellers to stock up on inventory before the 2006 hurricane season in response to product shortages experienced by them during the 2005 hurricane season. Subscriber equipment sales for the six months ended June 30, 2006 included the sales of fixed units and Simplex appliqués described above.</w:t>
      </w:r>
    </w:p>
    <w:p>
      <w:pPr>
        <w:spacing w:after="0" w:line="152"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Total operating expenses increased $19.1 million, or approximately 43.6%, to $63.0 million for the six months ended June 30,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$43.9 million for the six months ended June 30, 2005. This increase was due primarily to higher cost of subscriber equipment and marketing, general and administrative expenses, as well as increased depreciation and amortization.</w:t>
      </w:r>
    </w:p>
    <w:p>
      <w:pPr>
        <w:spacing w:after="0" w:line="181" w:lineRule="exact"/>
        <w:rPr>
          <w:sz w:val="20"/>
          <w:szCs w:val="20"/>
          <w:color w:val="auto"/>
        </w:rPr>
      </w:pPr>
    </w:p>
    <w:p>
      <w:pPr>
        <w:ind w:right="6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Our cost of services remained generally flat, with only a slight increase of $0.1 million, or approximately 0.8%, to $13.9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2006, from $13.8 million for the six months ended June 30, 2005. Our cost of services is comprised primarily of network operating costs, which are generally fixed in nature. There were some increases to our headcount and telecommunication costs associated with having more subscribers and usage. However, these were partially offset by reimbursement of $1.8 million from our independent gateway operators for their portion of the costs associated with maintaining the gateway network software and hardware. Maintenance costs related to all 25 gateways are paid by us and then divided equally among all gateway operators. As independent gateway operators reimburse us for their portion, we record this as an expense reduction.</w:t>
      </w:r>
    </w:p>
    <w:p>
      <w:pPr>
        <w:spacing w:after="0" w:line="193" w:lineRule="exact"/>
        <w:rPr>
          <w:sz w:val="20"/>
          <w:szCs w:val="20"/>
          <w:color w:val="auto"/>
        </w:rPr>
      </w:pPr>
    </w:p>
    <w:p>
      <w:pPr>
        <w:ind w:right="6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Subscriber Equipment Sales. </w:t>
      </w:r>
      <w:r>
        <w:rPr>
          <w:rFonts w:ascii="Times New Roman" w:cs="Times New Roman" w:eastAsia="Times New Roman" w:hAnsi="Times New Roman"/>
          <w:sz w:val="18"/>
          <w:szCs w:val="18"/>
          <w:color w:val="auto"/>
        </w:rPr>
        <w:t>Cost of subscriber equipment sales increased $13.6 million, or approximately 110.9%, to $25.8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2006, from $12.2 million for the six months ended June 30, 2005. This increase was due in part to the costs of the fixed units and Simplex appliqués described above. Costs of subscriber equipment sales increased at a faster rate than subscriber equipment sales as we exhausted our inventory of lower priced equipment purchased from QUALCOMM.</w:t>
      </w:r>
    </w:p>
    <w:p>
      <w:pPr>
        <w:spacing w:after="0" w:line="18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Marketing, General and Administrative. </w:t>
      </w:r>
      <w:r>
        <w:rPr>
          <w:rFonts w:ascii="Times New Roman" w:cs="Times New Roman" w:eastAsia="Times New Roman" w:hAnsi="Times New Roman"/>
          <w:sz w:val="18"/>
          <w:szCs w:val="18"/>
          <w:color w:val="auto"/>
        </w:rPr>
        <w:t>Marketing, general and administrative expenses increased $4.1 million, or approximately 24.4%, to $20.7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2006, from $16.6 million for the six months ended June 30, 2005. This increase was due primarily to increased sales and marketing efforts. Although our cost per gross addition dropped to $248 for the six months ended June 30, 2006 from $334 for the six months ended June 30, 2005, our overall sales and marketing expenses grew as a result of adding approximately 41,000 subscribers in the six months ended June 30, 2006 compared to the approximately 17,000 we added in the first six months of 2005. Our cost per gross addition includes expenses incurred for advertising, marketing support, and direct customer acquisition costs. We also increased our headcount in the sales and marketing area and support staff for the six months ended June 30, 2006. In addition, our marketing and general administration costs in the six months ended June 30, 2006 increased by approximately $0.9 million as a result of consolidating the Central American independent gateway operation.</w:t>
      </w:r>
    </w:p>
    <w:p>
      <w:pPr>
        <w:spacing w:after="0" w:line="192" w:lineRule="exact"/>
        <w:rPr>
          <w:sz w:val="20"/>
          <w:szCs w:val="20"/>
          <w:color w:val="auto"/>
        </w:rPr>
      </w:pPr>
    </w:p>
    <w:p>
      <w:pPr>
        <w:ind w:right="500" w:firstLine="43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w:t>
      </w:r>
      <w:r>
        <w:rPr>
          <w:rFonts w:ascii="Times New Roman" w:cs="Times New Roman" w:eastAsia="Times New Roman" w:hAnsi="Times New Roman"/>
          <w:sz w:val="16"/>
          <w:szCs w:val="16"/>
          <w:color w:val="auto"/>
        </w:rPr>
        <w:t>Depreciation and amortization expense increased $1.5 million, or 117.6%, to $2.7 million for the six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2006, from $1.2 million for the six months ended June 30, 2005. This increase was due primarily to the depreciation associated with our Sebring,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5" w:name="page56"/>
    <w:bookmarkEnd w:id="55"/>
    <w:p>
      <w:pPr>
        <w:ind w:right="260"/>
        <w:spacing w:after="0" w:line="275" w:lineRule="auto"/>
        <w:rPr>
          <w:sz w:val="20"/>
          <w:szCs w:val="20"/>
          <w:color w:val="auto"/>
        </w:rPr>
      </w:pPr>
      <w:r>
        <w:rPr>
          <w:rFonts w:ascii="Times New Roman" w:cs="Times New Roman" w:eastAsia="Times New Roman" w:hAnsi="Times New Roman"/>
          <w:sz w:val="18"/>
          <w:szCs w:val="18"/>
          <w:color w:val="auto"/>
        </w:rPr>
        <w:t>Florida gateway, which became operational in July 2005. We also acquired an additional gateway in Central America. These acquisitions resulted in additional depreciation expense of $0.9 million for the six months ended June 30, 2006.</w:t>
      </w:r>
    </w:p>
    <w:p>
      <w:pPr>
        <w:spacing w:after="0" w:line="170" w:lineRule="exact"/>
        <w:rPr>
          <w:sz w:val="20"/>
          <w:szCs w:val="20"/>
          <w:color w:val="auto"/>
        </w:rPr>
      </w:pPr>
    </w:p>
    <w:p>
      <w:pPr>
        <w:ind w:left="440"/>
        <w:spacing w:after="0"/>
        <w:tabs>
          <w:tab w:leader="none" w:pos="1960" w:val="left"/>
        </w:tabs>
        <w:rPr>
          <w:sz w:val="20"/>
          <w:szCs w:val="20"/>
          <w:color w:val="auto"/>
        </w:rPr>
      </w:pPr>
      <w:r>
        <w:rPr>
          <w:rFonts w:ascii="Times New Roman" w:cs="Times New Roman" w:eastAsia="Times New Roman" w:hAnsi="Times New Roman"/>
          <w:sz w:val="18"/>
          <w:szCs w:val="18"/>
          <w:b w:val="1"/>
          <w:bCs w:val="1"/>
          <w:i w:val="1"/>
          <w:iCs w:val="1"/>
          <w:color w:val="auto"/>
        </w:rPr>
        <w:t>Operating Income.</w:t>
      </w:r>
      <w:r>
        <w:rPr>
          <w:sz w:val="20"/>
          <w:szCs w:val="20"/>
          <w:color w:val="auto"/>
        </w:rPr>
        <w:tab/>
      </w:r>
      <w:r>
        <w:rPr>
          <w:rFonts w:ascii="Times New Roman" w:cs="Times New Roman" w:eastAsia="Times New Roman" w:hAnsi="Times New Roman"/>
          <w:sz w:val="16"/>
          <w:szCs w:val="16"/>
          <w:color w:val="auto"/>
        </w:rPr>
        <w:t>Operating income decreased $0.7 million, or approximately 11.3%, to $5.7 million for the six months ended June 30, 2006,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$6.4 million for the six months ended June 30, 2005. The decrease was due to reductions in equipment margins, as our total equipment revenue increased 72.8%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our cost of subscriber equipment sales increased 110.9%. In addition, as discussed above, we added substantially more new subscribers during the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ended June 30, 2006 than during the first six months of 2005, which had the short-term effect of lowering current period margins because all subscriber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are expensed in the current period.</w:t>
      </w:r>
    </w:p>
    <w:p>
      <w:pPr>
        <w:spacing w:after="0" w:line="211" w:lineRule="exact"/>
        <w:rPr>
          <w:sz w:val="20"/>
          <w:szCs w:val="20"/>
          <w:color w:val="auto"/>
        </w:rPr>
      </w:pPr>
    </w:p>
    <w:p>
      <w:pPr>
        <w:ind w:right="14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to $0.4 million for the six months ended June 30, 2006 from $0.1 million in the first six months of 2005.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due to increased cash balances on hand and higher yields on those balances.</w:t>
      </w:r>
    </w:p>
    <w:p>
      <w:pPr>
        <w:spacing w:after="0" w:line="170" w:lineRule="exact"/>
        <w:rPr>
          <w:sz w:val="20"/>
          <w:szCs w:val="20"/>
          <w:color w:val="auto"/>
        </w:rPr>
      </w:pPr>
    </w:p>
    <w:p>
      <w:pPr>
        <w:ind w:right="6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$0.1 million, to $0.1 million for the six months ended June 30, 2006 from $0.2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2005. This decrease was due to a settlement with Loral effective July 31, 2005 which eliminated a note payable to Loral.</w:t>
      </w:r>
    </w:p>
    <w:p>
      <w:pPr>
        <w:spacing w:after="0" w:line="170" w:lineRule="exact"/>
        <w:rPr>
          <w:sz w:val="20"/>
          <w:szCs w:val="20"/>
          <w:color w:val="auto"/>
        </w:rPr>
      </w:pPr>
    </w:p>
    <w:p>
      <w:pPr>
        <w:ind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generally consists of foreign exchange transaction gains and losses. We recorded $1.8 million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losses in the six months ended June 30, 2006 compared to $0.5 million for the first six months of 2005. These losses related primarily to the performance of the U.S. dollar against the Canadian dollar and the Euro. Also, during the first six months of 2006 we engaged in a large Euro denominated transaction related to the scheduled 2007 launch of our spare satellites which we did not have in the first six months of 2005.</w:t>
      </w:r>
    </w:p>
    <w:p>
      <w:pPr>
        <w:spacing w:after="0" w:line="187" w:lineRule="exact"/>
        <w:rPr>
          <w:sz w:val="20"/>
          <w:szCs w:val="20"/>
          <w:color w:val="auto"/>
        </w:rPr>
      </w:pPr>
    </w:p>
    <w:p>
      <w:pPr>
        <w:ind w:right="160" w:firstLine="43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Income Tax Expense (Benefit). </w:t>
      </w:r>
      <w:r>
        <w:rPr>
          <w:rFonts w:ascii="Times New Roman" w:cs="Times New Roman" w:eastAsia="Times New Roman" w:hAnsi="Times New Roman"/>
          <w:sz w:val="16"/>
          <w:szCs w:val="16"/>
          <w:color w:val="auto"/>
        </w:rPr>
        <w:t>During the six months ended June 30, 2005, our domestic entities were treated as a partnership for U.S.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purposes and thus we did not have a tax provision for the domestic entities. We recognized a deferred tax expense of $2.5 million in foreign subsidiaries for that period. On January 1, 2006, we elected to be taxed as a C corporation for U.S. income tax purposes. The change in tax status resulted in the domestic entities recognizing a net deferred tax benefit of $21.4 million related to the establishment of deferred tax assets and liabilities. This $21.4 million deferred tax benefit was partially offset by $3.9 million of deferred and current income tax expense related to year to date operating income in the United States and Canada.</w:t>
      </w:r>
    </w:p>
    <w:p>
      <w:pPr>
        <w:spacing w:after="0" w:line="156" w:lineRule="exact"/>
        <w:rPr>
          <w:sz w:val="20"/>
          <w:szCs w:val="20"/>
          <w:color w:val="auto"/>
        </w:rPr>
      </w:pPr>
    </w:p>
    <w:p>
      <w:pPr>
        <w:ind w:right="40" w:firstLine="439"/>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Our net income increased $18.8 million to $21.7 million for the six months ended June 30, 2006, from $2.9 million for the six months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30, 2005. This increase resulted in large part from our income tax benefit. Excluding the income tax benefit, our net income for the six months ended</w:t>
      </w:r>
    </w:p>
    <w:p>
      <w:pPr>
        <w:spacing w:after="0" w:line="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June 30, 2006, would have been $0.3 million. If we had been taxed as a C corporation for the six months ended June 30, 2005, our net income for that period would have been $2.1 million.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2"/>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Years Ended December 31, 2004 and 2005</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440" w:type="dxa"/>
            <w:vAlign w:val="bottom"/>
          </w:tcPr>
          <w:p>
            <w:pPr>
              <w:spacing w:after="0"/>
              <w:rPr>
                <w:sz w:val="24"/>
                <w:szCs w:val="24"/>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4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4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200" w:type="dxa"/>
            <w:vAlign w:val="bottom"/>
          </w:tcPr>
          <w:p>
            <w:pPr>
              <w:spacing w:after="0"/>
              <w:rPr>
                <w:sz w:val="18"/>
                <w:szCs w:val="18"/>
                <w:color w:val="auto"/>
              </w:rPr>
            </w:pP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81,472</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Subscriber equipment sales(1)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127,147</w:t>
            </w:r>
          </w:p>
        </w:tc>
        <w:tc>
          <w:tcPr>
            <w:tcW w:w="2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shown separately below)</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subscriber equipment sales (2)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105,277</w:t>
            </w:r>
          </w:p>
        </w:tc>
        <w:tc>
          <w:tcPr>
            <w:tcW w:w="2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(3,541)</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(3,944)</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(4,314)</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-4302125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-4302125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-4302125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-4302125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-4302125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-4302125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-4302125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-4302125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-3444875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-3444875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-3444875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-3444875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-3152775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-3152775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-3152775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-3152775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-1901190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-1901190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-1901190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-1901190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-1609090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-1609090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-1609090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-1609090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-906145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-906145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-477520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-477520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-477520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$440 for the year ended December 31, 2005.</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$314 for the year ended December 31, 2005.</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$1,324 for the year ended December 31, 2004 and $176 for the year ended December 31, 2005.</w:t>
      </w:r>
    </w:p>
    <w:p>
      <w:pPr>
        <w:spacing w:after="0" w:line="221" w:lineRule="exact"/>
        <w:rPr>
          <w:sz w:val="20"/>
          <w:szCs w:val="20"/>
          <w:color w:val="auto"/>
        </w:rPr>
      </w:pPr>
    </w:p>
    <w:p>
      <w:pPr>
        <w:ind w:firstLine="439"/>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Total revenue increased by $42.8 million, or approximately 50.7%, to $127.1 million for the year ended December 31, 2005 from $84.4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2004, due principally to the growth of overall demand for our services, which resulted in increases in both our service revenue and subscriber equipment sales. At December 31, 2004, we had approximately 141,000 subscribers; by December 31, 2005, our number of subscribers had increased by 39.0% to approximately 196,000. Our average retail revenue per user during 2005 increased to $68.10 from $67.93 in 2004. This modest increase was the result of our continued effort to target customers who provide high average retail revenue per user. Average monthly subscriber churn for the year ended December 31, 2005 dropped to 1.3% compared to 1.5% for the year ended December 31, 2004. The primary reason for this decline was a one-time review of our billing system in April 2004 following our emergence from the Reorganization, which caused the average monthly churn for 2004 to be unusually high.</w:t>
      </w:r>
    </w:p>
    <w:p>
      <w:pPr>
        <w:spacing w:after="0" w:line="164" w:lineRule="exact"/>
        <w:rPr>
          <w:sz w:val="20"/>
          <w:szCs w:val="20"/>
          <w:color w:val="auto"/>
        </w:rPr>
      </w:pPr>
    </w:p>
    <w:p>
      <w:pPr>
        <w:ind w:left="44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Service Revenue.</w:t>
      </w:r>
      <w:r>
        <w:rPr>
          <w:sz w:val="20"/>
          <w:szCs w:val="20"/>
          <w:color w:val="auto"/>
        </w:rPr>
        <w:tab/>
      </w:r>
      <w:r>
        <w:rPr>
          <w:rFonts w:ascii="Times New Roman" w:cs="Times New Roman" w:eastAsia="Times New Roman" w:hAnsi="Times New Roman"/>
          <w:sz w:val="16"/>
          <w:szCs w:val="16"/>
          <w:color w:val="auto"/>
        </w:rPr>
        <w:t>Service revenue increased $23.5 million, or approximately 40.6%, to $81.5 million for the year ended December 31, 2005 from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$57.9 million in 2004. This growth was driven by increased demand for our mobile voice services by governmental agencies and substantial customer growth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markets. Our new pricing plans, which proved to be more attractive to customers than prior plans,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7" w:name="page58"/>
    <w:bookmarkEnd w:id="57"/>
    <w:p>
      <w:pPr>
        <w:ind w:right="580"/>
        <w:spacing w:after="0" w:line="275" w:lineRule="auto"/>
        <w:rPr>
          <w:sz w:val="20"/>
          <w:szCs w:val="20"/>
          <w:color w:val="auto"/>
        </w:rPr>
      </w:pPr>
      <w:r>
        <w:rPr>
          <w:rFonts w:ascii="Times New Roman" w:cs="Times New Roman" w:eastAsia="Times New Roman" w:hAnsi="Times New Roman"/>
          <w:sz w:val="18"/>
          <w:szCs w:val="18"/>
          <w:color w:val="auto"/>
        </w:rPr>
        <w:t>and the need for emergency communications capabilities during 2005's natural disasters contributed to this growth. We also continued to maintain a stable average revenue per user and low churn rate, compared to the prior period, both of which we believe contributed to our overall revenue growth.</w:t>
      </w:r>
    </w:p>
    <w:p>
      <w:pPr>
        <w:spacing w:after="0" w:line="174"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Our Liberty Plans were introduced in August 2004 and grew substantially in 2005. These Plans allow users to pre-pay usage charges for an entire 12-month period, which results in deferral of revenue until the minutes are used or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Accordingly, we expect significant revenue from 2005 and 2006 purchases of Liberty Plans to be recognized in 2006 and 2007 as the minutes are used or expire.</w:t>
      </w:r>
    </w:p>
    <w:p>
      <w:pPr>
        <w:spacing w:after="0" w:line="191" w:lineRule="exact"/>
        <w:rPr>
          <w:sz w:val="20"/>
          <w:szCs w:val="20"/>
          <w:color w:val="auto"/>
        </w:rPr>
      </w:pPr>
    </w:p>
    <w:p>
      <w:pPr>
        <w:ind w:right="8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Subscriber Equipment Sales. </w:t>
      </w:r>
      <w:r>
        <w:rPr>
          <w:rFonts w:ascii="Times New Roman" w:cs="Times New Roman" w:eastAsia="Times New Roman" w:hAnsi="Times New Roman"/>
          <w:sz w:val="18"/>
          <w:szCs w:val="18"/>
          <w:color w:val="auto"/>
        </w:rPr>
        <w:t>Subscriber equipment sales increased by $19.2 million, or approximately 72.7%, to $45.7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2005 from $26.4 million for 2004. Increased subscriber equipment sales were driven by the increase in our subscriber base, which resulted from more attractive pricing plans and the need for emergency communications during natural disasters in 2005. As a percentage of our revenue, subscriber equipment sales increased faster than our service revenue primarily as a result of significant growth in the acceptance of our Liberty Plans, which were introduced in August 2004 but whose popularity increased significantly in the latter half of 2005. The effect of our Liberty Plans and revenue recognition policies is to cause service revenues to lag behind equipment sales revenue related to the same subscriber.</w:t>
      </w:r>
    </w:p>
    <w:p>
      <w:pPr>
        <w:spacing w:after="0" w:line="191" w:lineRule="exact"/>
        <w:rPr>
          <w:sz w:val="20"/>
          <w:szCs w:val="20"/>
          <w:color w:val="auto"/>
        </w:rPr>
      </w:pPr>
    </w:p>
    <w:p>
      <w:pPr>
        <w:ind w:right="220" w:firstLine="439"/>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Expenses. </w:t>
      </w:r>
      <w:r>
        <w:rPr>
          <w:rFonts w:ascii="Times New Roman" w:cs="Times New Roman" w:eastAsia="Times New Roman" w:hAnsi="Times New Roman"/>
          <w:sz w:val="16"/>
          <w:szCs w:val="16"/>
          <w:color w:val="auto"/>
        </w:rPr>
        <w:t>Total operating expenses increased $17.4 million, or approximately 19.8%, to $105.3 million for the year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2005, from $87.9 million for 2004. This increase was due primarily to higher cost of subscriber equipment and increased marketing, general and administrative expenses related to the addition of approximately 55,000 subscribers, which was partially offset by our not incurring any restructuring charges in 2005.</w:t>
      </w:r>
    </w:p>
    <w:p>
      <w:pPr>
        <w:spacing w:after="0" w:line="146" w:lineRule="exact"/>
        <w:rPr>
          <w:sz w:val="20"/>
          <w:szCs w:val="20"/>
          <w:color w:val="auto"/>
        </w:rPr>
      </w:pPr>
    </w:p>
    <w:p>
      <w:pPr>
        <w:ind w:right="36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Our cost of services for the year ended December 31, 2005 increased by $0.2 million, or approximately 0.9%, to $25.4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$25.2 million for 2004. These costs generally remain flat due to the fixed nature of our network operating costs.</w:t>
      </w:r>
    </w:p>
    <w:p>
      <w:pPr>
        <w:spacing w:after="0" w:line="170" w:lineRule="exact"/>
        <w:rPr>
          <w:sz w:val="20"/>
          <w:szCs w:val="20"/>
          <w:color w:val="auto"/>
        </w:rPr>
      </w:pPr>
    </w:p>
    <w:p>
      <w:pPr>
        <w:ind w:right="8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Subscriber Equipment Sales. </w:t>
      </w:r>
      <w:r>
        <w:rPr>
          <w:rFonts w:ascii="Times New Roman" w:cs="Times New Roman" w:eastAsia="Times New Roman" w:hAnsi="Times New Roman"/>
          <w:sz w:val="18"/>
          <w:szCs w:val="18"/>
          <w:color w:val="auto"/>
        </w:rPr>
        <w:t>Cost of subscriber equipment sales increased by $15.3 million, or approximately 65.6%, to $38.7 million in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2005 from $23.4 million in 2004, primarily as a result of increased equipment sales due to continued improvement in demand for our products and related services in all markets and to selling lower cost QUALCOMM mobile units in 2004. These units were acquired throughout 2004 at a substantially lower cost than the units acquired from QUALCOMM in 2005.</w:t>
      </w:r>
    </w:p>
    <w:p>
      <w:pPr>
        <w:spacing w:after="0" w:line="187" w:lineRule="exact"/>
        <w:rPr>
          <w:sz w:val="20"/>
          <w:szCs w:val="20"/>
          <w:color w:val="auto"/>
        </w:rPr>
      </w:pPr>
    </w:p>
    <w:p>
      <w:pPr>
        <w:ind w:firstLine="43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Marketing, General and Administrative. </w:t>
      </w:r>
      <w:r>
        <w:rPr>
          <w:rFonts w:ascii="Times New Roman" w:cs="Times New Roman" w:eastAsia="Times New Roman" w:hAnsi="Times New Roman"/>
          <w:sz w:val="16"/>
          <w:szCs w:val="16"/>
          <w:color w:val="auto"/>
        </w:rPr>
        <w:t>Marketing, general and administrative expenses for the year ended December 31, 2005 increased by $5.8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approximately 18.0%, to $37.9 million compared to $32.2 million for 2004. Our cost per gross addition increased $18 to $248 for the year ended December 31, 2005 from $230 for the year ended December 31, 2004. This increase resulted from our adding additional sales and marketing personnel and increased marketing efforts following our emergence from the Reorganization. We also incurred increased legal expenses relating principally to litigation settlements. In addition, our marketing and general administration costs increased by approximately $1.4 million as a result of consolidating the Venezuelan independent gateway operation.</w:t>
      </w:r>
    </w:p>
    <w:p>
      <w:pPr>
        <w:spacing w:after="0" w:line="158" w:lineRule="exact"/>
        <w:rPr>
          <w:sz w:val="20"/>
          <w:szCs w:val="20"/>
          <w:color w:val="auto"/>
        </w:rPr>
      </w:pPr>
    </w:p>
    <w:p>
      <w:pPr>
        <w:ind w:right="1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For the year ended December 31, 2005, we recorded no restructuring expense. We recorded $5.1 million in 2004 for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relating to Old Globalstar which we assumed in the Reorganization. These restructuring expenses in 2004 consisted of employee retention payments, success fees related to the restructuring of Old Globalstar and related legal fees. We no longer have any restructuring obligations.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ind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$1.1 million, or 55.4%, to $3.0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from $2.0 million for 2004. This increase related to the Sebring, Florida gateway, which we placed in service in July 2005, and the purchase of the Venezuelan independent gateway operator.</w:t>
      </w:r>
    </w:p>
    <w:p>
      <w:pPr>
        <w:spacing w:after="0" w:line="181" w:lineRule="exact"/>
        <w:rPr>
          <w:sz w:val="20"/>
          <w:szCs w:val="20"/>
          <w:color w:val="auto"/>
        </w:rPr>
      </w:pPr>
    </w:p>
    <w:p>
      <w:pPr>
        <w:ind w:left="440"/>
        <w:spacing w:after="0"/>
        <w:tabs>
          <w:tab w:leader="none" w:pos="2120" w:val="left"/>
        </w:tabs>
        <w:rPr>
          <w:sz w:val="20"/>
          <w:szCs w:val="20"/>
          <w:color w:val="auto"/>
        </w:rPr>
      </w:pPr>
      <w:r>
        <w:rPr>
          <w:rFonts w:ascii="Times New Roman" w:cs="Times New Roman" w:eastAsia="Times New Roman" w:hAnsi="Times New Roman"/>
          <w:sz w:val="18"/>
          <w:szCs w:val="18"/>
          <w:i w:val="1"/>
          <w:iCs w:val="1"/>
          <w:color w:val="auto"/>
        </w:rPr>
        <w:t>Impairment of Assets.</w:t>
      </w:r>
      <w:r>
        <w:rPr>
          <w:sz w:val="20"/>
          <w:szCs w:val="20"/>
          <w:color w:val="auto"/>
        </w:rPr>
        <w:tab/>
      </w:r>
      <w:r>
        <w:rPr>
          <w:rFonts w:ascii="Times New Roman" w:cs="Times New Roman" w:eastAsia="Times New Roman" w:hAnsi="Times New Roman"/>
          <w:sz w:val="16"/>
          <w:szCs w:val="16"/>
          <w:color w:val="auto"/>
        </w:rPr>
        <w:t>We recorded impairment charges of $0.1 million for satellite failures in each of the years ended December 31, 2004 and 2005.</w:t>
      </w:r>
    </w:p>
    <w:p>
      <w:pPr>
        <w:spacing w:after="0" w:line="223"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(Loss). </w:t>
      </w:r>
      <w:r>
        <w:rPr>
          <w:rFonts w:ascii="Times New Roman" w:cs="Times New Roman" w:eastAsia="Times New Roman" w:hAnsi="Times New Roman"/>
          <w:sz w:val="18"/>
          <w:szCs w:val="18"/>
          <w:color w:val="auto"/>
        </w:rPr>
        <w:t>Operating income increased $25.4 million, to $21.9 million for the year ended December 31, 2005, compared to an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of $3.5 million for 2004. The increase was due primarily to increased subscribers and resulting service revenue and subscriber equipment sales and to not incurring any restructuring expense in 2005, as described above. The growth in marketing, general and administrative expenses was more than offset by increased service revenue and subscriber equipment sales. Additionally, our increased ability to collect reimbursable costs from the independent gateway operators contributed to improved financial performance as it reduced our operating costs.</w:t>
      </w:r>
    </w:p>
    <w:p>
      <w:pPr>
        <w:spacing w:after="0" w:line="190" w:lineRule="exact"/>
        <w:rPr>
          <w:sz w:val="20"/>
          <w:szCs w:val="20"/>
          <w:color w:val="auto"/>
        </w:rPr>
      </w:pPr>
    </w:p>
    <w:p>
      <w:pPr>
        <w:ind w:right="4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by $0.2 million, or 317.2%, to approximately $0.2 million in the year ended December 31, 2005 from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in 2004. This increase reflected increased cash balances on hand and higher yields on those balances.</w:t>
      </w:r>
    </w:p>
    <w:p>
      <w:pPr>
        <w:spacing w:after="0" w:line="170" w:lineRule="exact"/>
        <w:rPr>
          <w:sz w:val="20"/>
          <w:szCs w:val="20"/>
          <w:color w:val="auto"/>
        </w:rPr>
      </w:pPr>
    </w:p>
    <w:p>
      <w:pPr>
        <w:ind w:right="58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$1.1 million to $0.3 million in the year ended December 31, 2005 from $1.4 million in 2004.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resulted from lower levels of indebtedness in 2005.</w:t>
      </w:r>
    </w:p>
    <w:p>
      <w:pPr>
        <w:spacing w:after="0" w:line="170" w:lineRule="exact"/>
        <w:rPr>
          <w:sz w:val="20"/>
          <w:szCs w:val="20"/>
          <w:color w:val="auto"/>
        </w:rPr>
      </w:pPr>
    </w:p>
    <w:p>
      <w:pPr>
        <w:ind w:left="440"/>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Other Income (Expense).</w:t>
      </w:r>
      <w:r>
        <w:rPr>
          <w:sz w:val="20"/>
          <w:szCs w:val="20"/>
          <w:color w:val="auto"/>
        </w:rPr>
        <w:tab/>
      </w:r>
      <w:r>
        <w:rPr>
          <w:rFonts w:ascii="Times New Roman" w:cs="Times New Roman" w:eastAsia="Times New Roman" w:hAnsi="Times New Roman"/>
          <w:sz w:val="16"/>
          <w:szCs w:val="16"/>
          <w:color w:val="auto"/>
        </w:rPr>
        <w:t>Other income (expense) decreased by $1.5 million to an expense of $0.6 million in 2005 from income of $0.9 million in 2004.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resulted from less than favorable exchange rates between the U.S. dollar and the Euro.</w:t>
      </w:r>
    </w:p>
    <w:p>
      <w:pPr>
        <w:spacing w:after="0" w:line="211"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For the years ended 2004 and 2005, we were a partnership for United States tax purposes and thus did not have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 end, resulting in a net income tax benefit of $4.3 million. For the year ended December 31, 2005, we determined that the remaining $4.2 million deferred tax asset in our Canadian subsidiary also was "more likely than not" going to be recognized and reversed all remaining valuation allowance, and we utilized the deferred tax assets previously recognized, resulting in a net income tax expense of $2.5 million.</w:t>
      </w:r>
    </w:p>
    <w:p>
      <w:pPr>
        <w:spacing w:after="0" w:line="191" w:lineRule="exact"/>
        <w:rPr>
          <w:sz w:val="20"/>
          <w:szCs w:val="20"/>
          <w:color w:val="auto"/>
        </w:rPr>
      </w:pPr>
    </w:p>
    <w:p>
      <w:pPr>
        <w:ind w:right="80" w:firstLine="43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Our net income increased $18.3 million to $18.7 million for the year ended December 31, 2005, compared to net income of $0.4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as a result of robust revenue growth and recognition of the deferred tax assets described above. If we had been taxed as a C corporation in 2005, our net income would have been $14.3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2"/>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Years Ended December 31, 2003 and 2004</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Combined(1)</w:t>
            </w:r>
          </w:p>
        </w:tc>
        <w:tc>
          <w:tcPr>
            <w:tcW w:w="440" w:type="dxa"/>
            <w:vAlign w:val="bottom"/>
          </w:tcPr>
          <w:p>
            <w:pPr>
              <w:spacing w:after="0"/>
              <w:rPr>
                <w:sz w:val="20"/>
                <w:szCs w:val="20"/>
                <w:color w:val="auto"/>
              </w:rPr>
            </w:pPr>
          </w:p>
        </w:tc>
        <w:tc>
          <w:tcPr>
            <w:tcW w:w="150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200" w:type="dxa"/>
            <w:vAlign w:val="bottom"/>
          </w:tcPr>
          <w:p>
            <w:pPr>
              <w:spacing w:after="0"/>
              <w:rPr>
                <w:sz w:val="18"/>
                <w:szCs w:val="18"/>
                <w:color w:val="auto"/>
              </w:rPr>
            </w:pP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2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20"/>
        </w:trPr>
        <w:tc>
          <w:tcPr>
            <w:tcW w:w="1260" w:type="dxa"/>
            <w:vAlign w:val="bottom"/>
            <w:gridSpan w:val="2"/>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shown separately below)</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87,909</w:t>
            </w:r>
          </w:p>
        </w:tc>
        <w:tc>
          <w:tcPr>
            <w:tcW w:w="20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120"/>
        </w:trPr>
        <w:tc>
          <w:tcPr>
            <w:tcW w:w="1260" w:type="dxa"/>
            <w:vAlign w:val="bottom"/>
            <w:gridSpan w:val="2"/>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(265,163)</w:t>
            </w:r>
          </w:p>
        </w:tc>
        <w:tc>
          <w:tcPr>
            <w:tcW w:w="4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(3,541)</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(1,644)</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(266,264)</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(266,397)</w:t>
            </w: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-4610735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-4610735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-4610735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-4610735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-4610735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-4610735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-4610735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-4610735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-3753485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-3753485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-3753485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-3753485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-3462020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-3462020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-3462020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-3462020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-2055495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-2055495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-2055495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-2055495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-1764030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-1764030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-1764030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-1764030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-906145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-906145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-477520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-477520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-477520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line="290"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Revenues and operating expenses of the Predecessor and the Successor entities are comparable in nature, however, the write down of assets due to the Reorganization reduced post-Reorganization depreciation expense and resulted in a one-time charge to the Predecessor. Because we and Old Globalstar are different reporting entities, this information should be considered as supplemental information only.</w:t>
      </w:r>
    </w:p>
    <w:p>
      <w:pPr>
        <w:spacing w:after="0" w:line="193"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$468 and $1,324 for the years ended December 31, 2003 and December 31, 2004, respectively.</w:t>
      </w:r>
    </w:p>
    <w:p>
      <w:pPr>
        <w:spacing w:after="0" w:line="221" w:lineRule="exact"/>
        <w:rPr>
          <w:sz w:val="20"/>
          <w:szCs w:val="20"/>
          <w:color w:val="auto"/>
        </w:rPr>
      </w:pPr>
    </w:p>
    <w:p>
      <w:pPr>
        <w:ind w:right="80" w:firstLine="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Total revenue increased $24.2 million, or approximately 40.1%, to $84.4 million for the year ended December 31, 2004 from $60.2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year. This growth was due to an approximately 32,000 increase in our subscriber base as a result of our emergence from the Reorganization, which increased consumer confidence in our network and our ability to commit additional resources to our sales and marketing efforts. Our average retail revenue per user for the year ended December 31, 2004 decreased to $67.93 from $69.05 for the year ended December 31, 2003. Average monthly subscriber churn increased 0.6% to 1.5% for the year ended December 31, 2004 from 0.9%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right="140"/>
        <w:spacing w:after="0" w:line="275" w:lineRule="auto"/>
        <w:rPr>
          <w:sz w:val="20"/>
          <w:szCs w:val="20"/>
          <w:color w:val="auto"/>
        </w:rPr>
      </w:pPr>
      <w:r>
        <w:rPr>
          <w:rFonts w:ascii="Times New Roman" w:cs="Times New Roman" w:eastAsia="Times New Roman" w:hAnsi="Times New Roman"/>
          <w:sz w:val="18"/>
          <w:szCs w:val="18"/>
          <w:color w:val="auto"/>
        </w:rPr>
        <w:t>the year ended December 31, 2003. The primary reason for this increase in our churn rate was a one-time review of our billing system in April 2004, following our emergence from the Reorganization, which caused the average monthly churn for 2004 to be unusually high.</w:t>
      </w:r>
    </w:p>
    <w:p>
      <w:pPr>
        <w:spacing w:after="0" w:line="172" w:lineRule="exact"/>
        <w:rPr>
          <w:sz w:val="20"/>
          <w:szCs w:val="20"/>
          <w:color w:val="auto"/>
        </w:rPr>
      </w:pPr>
    </w:p>
    <w:p>
      <w:pPr>
        <w:ind w:right="5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for the year ended December 31, 2004 increased $15.5 million, or approximately 36.5%, to $57.9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$42.4 million for 2003. This increase was due primarily to increased demand for our mobile voice services as reflected in continued rapid growth in our subscriber base and acceptance of our higher priced plans.</w:t>
      </w:r>
    </w:p>
    <w:p>
      <w:pPr>
        <w:spacing w:after="0" w:line="181" w:lineRule="exact"/>
        <w:rPr>
          <w:sz w:val="20"/>
          <w:szCs w:val="20"/>
          <w:color w:val="auto"/>
        </w:rPr>
      </w:pPr>
    </w:p>
    <w:p>
      <w:pPr>
        <w:ind w:right="280" w:firstLine="439"/>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Subscriber Equipment Sales. </w:t>
      </w:r>
      <w:r>
        <w:rPr>
          <w:rFonts w:ascii="Times New Roman" w:cs="Times New Roman" w:eastAsia="Times New Roman" w:hAnsi="Times New Roman"/>
          <w:sz w:val="16"/>
          <w:szCs w:val="16"/>
          <w:color w:val="auto"/>
        </w:rPr>
        <w:t>Subscriber equipment sales increased by $8.7 million, or approximately 48.8%, to $26.4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2004, compared to $17.8 million for 2003. The increase was due primarily to an increase in sales of accessories. Demand for our services and equipment was also stimulated by the completion of the Reorganization, which resulted in greater awareness of our products and services in the marketplace.</w:t>
      </w:r>
    </w:p>
    <w:p>
      <w:pPr>
        <w:spacing w:after="0" w:line="145" w:lineRule="exact"/>
        <w:rPr>
          <w:sz w:val="20"/>
          <w:szCs w:val="20"/>
          <w:color w:val="auto"/>
        </w:rPr>
      </w:pPr>
    </w:p>
    <w:p>
      <w:pPr>
        <w:ind w:right="20" w:firstLine="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Total operating expenses decreased $237.5 million to $87.9 million, or approximately 73.0%,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compared to $325.4 million for 2003. This decrease was primarily a result of not having a significant impairment charge for 2004. In December 2003, Old Globalstar recorded a $211.9 million impairment of assets. This charge was the result of the purchase price allocation of our acquisition of the assets and certain of the liabilities of Old Globalstar.</w:t>
      </w:r>
    </w:p>
    <w:p>
      <w:pPr>
        <w:spacing w:after="0" w:line="185" w:lineRule="exact"/>
        <w:rPr>
          <w:sz w:val="20"/>
          <w:szCs w:val="20"/>
          <w:color w:val="auto"/>
        </w:rPr>
      </w:pPr>
    </w:p>
    <w:p>
      <w:pPr>
        <w:ind w:right="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decreased by $3.4 million, or approximately 11.7%, to $25.2 million for the year ended December 31, 2004,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$28.6 million for 2003. Cost of services is comprised primarily of network operation costs. These costs are fixed in nature and do not fluctuate significantly with service revenue. In 2003, we recorded a one-time expense of $2.5 million relating to a satellite failure, which made the expenses for 2003 unusually high. Without that expense, the variance in costs of services between the years ended December 31, 2004 and 2003 would have been only 3.4%.</w:t>
      </w:r>
    </w:p>
    <w:p>
      <w:pPr>
        <w:spacing w:after="0" w:line="187"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Cost of Subscriber Equipment Sales. </w:t>
      </w:r>
      <w:r>
        <w:rPr>
          <w:rFonts w:ascii="Times New Roman" w:cs="Times New Roman" w:eastAsia="Times New Roman" w:hAnsi="Times New Roman"/>
          <w:sz w:val="18"/>
          <w:szCs w:val="18"/>
          <w:color w:val="auto"/>
        </w:rPr>
        <w:t>Cost of subscriber equipment sales increased by $9.9 million, or approximately 73.1%, to $23.4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2004, compared to $13.5 million for 2003. This increase was the result of increased sales of our equipment in 2004 and higher equipment costs relative to 2003 because of higher priced inventory purchases in 2004.</w:t>
      </w:r>
    </w:p>
    <w:p>
      <w:pPr>
        <w:spacing w:after="0" w:line="181" w:lineRule="exact"/>
        <w:rPr>
          <w:sz w:val="20"/>
          <w:szCs w:val="20"/>
          <w:color w:val="auto"/>
        </w:rPr>
      </w:pPr>
    </w:p>
    <w:p>
      <w:pPr>
        <w:ind w:left="440"/>
        <w:spacing w:after="0"/>
        <w:tabs>
          <w:tab w:leader="none" w:pos="3420" w:val="left"/>
        </w:tabs>
        <w:rPr>
          <w:sz w:val="20"/>
          <w:szCs w:val="20"/>
          <w:color w:val="auto"/>
        </w:rPr>
      </w:pPr>
      <w:r>
        <w:rPr>
          <w:rFonts w:ascii="Times New Roman" w:cs="Times New Roman" w:eastAsia="Times New Roman" w:hAnsi="Times New Roman"/>
          <w:sz w:val="18"/>
          <w:szCs w:val="18"/>
          <w:i w:val="1"/>
          <w:iCs w:val="1"/>
          <w:color w:val="auto"/>
        </w:rPr>
        <w:t>Marketing, General and Administrative.</w:t>
      </w:r>
      <w:r>
        <w:rPr>
          <w:sz w:val="20"/>
          <w:szCs w:val="20"/>
          <w:color w:val="auto"/>
        </w:rPr>
        <w:tab/>
      </w:r>
      <w:r>
        <w:rPr>
          <w:rFonts w:ascii="Times New Roman" w:cs="Times New Roman" w:eastAsia="Times New Roman" w:hAnsi="Times New Roman"/>
          <w:sz w:val="16"/>
          <w:szCs w:val="16"/>
          <w:color w:val="auto"/>
        </w:rPr>
        <w:t>Marketing, general and administrative expenses decreased by $1.6 million, or approximately 4.8%, to</w:t>
      </w:r>
    </w:p>
    <w:p>
      <w:pPr>
        <w:spacing w:after="0" w:line="2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$32.2 million for the year ended December 31, 2004, compared to $33.8 million for 2003. This decrease in marketing, general, and administrative expenses was primarily the result of moving to a smaller, less expensive headquarters in April 2004 and reducing headcount upon emergence from restructuring. Our cost per gross addition decreased $27 to $230 for the year ended December 31, 2004 from $257 for the year ended December 31, 2003. As we continued to upgrade our sales and marketing activities in 2004, the resulting growth in subscribers caused our cost per gross addition to decline.</w:t>
      </w:r>
    </w:p>
    <w:p>
      <w:pPr>
        <w:spacing w:after="0" w:line="190" w:lineRule="exact"/>
        <w:rPr>
          <w:sz w:val="20"/>
          <w:szCs w:val="20"/>
          <w:color w:val="auto"/>
        </w:rPr>
      </w:pPr>
    </w:p>
    <w:p>
      <w:pPr>
        <w:ind w:right="1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Restructuring costs decreased $1.0 million, or approximately 16.4%, to $5.1 million for the year ended December 31, 2004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 million for 2003. This decrease reflected the winding down of the restructuring process in 2004 after the Reorganization.</w:t>
      </w:r>
    </w:p>
    <w:p>
      <w:pPr>
        <w:spacing w:after="0" w:line="170" w:lineRule="exact"/>
        <w:rPr>
          <w:sz w:val="20"/>
          <w:szCs w:val="20"/>
          <w:color w:val="auto"/>
        </w:rPr>
      </w:pPr>
    </w:p>
    <w:p>
      <w:pPr>
        <w:ind w:right="2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$29.6 million, or approximately 93.8%, to $2.0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2004 from $31.6 million for 2003. Depreciation expense for the periods is not comparable as these periods represent Predecessor and Successor entities with different book values of assets. This decrease was the result of a lower depreciable book basis of our fixed assets following the December 2003 impairment charge described below.</w:t>
      </w:r>
    </w:p>
    <w:p>
      <w:pPr>
        <w:spacing w:after="0" w:line="187" w:lineRule="exact"/>
        <w:rPr>
          <w:sz w:val="20"/>
          <w:szCs w:val="20"/>
          <w:color w:val="auto"/>
        </w:rPr>
      </w:pPr>
    </w:p>
    <w:p>
      <w:pPr>
        <w:ind w:right="100" w:firstLine="439"/>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Impairment of Assets. </w:t>
      </w:r>
      <w:r>
        <w:rPr>
          <w:rFonts w:ascii="Times New Roman" w:cs="Times New Roman" w:eastAsia="Times New Roman" w:hAnsi="Times New Roman"/>
          <w:sz w:val="16"/>
          <w:szCs w:val="16"/>
          <w:color w:val="auto"/>
        </w:rPr>
        <w:t>As a result of our acquisition of the assets and assumption of certain liabilities of Old Globalstar in the Reorganization, it became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necessary for Old Globalstar to treat certain assets as impaired after we allocated the purchase price. Old Globalstar recorded an impairment charge of</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1" w:name="page62"/>
    <w:bookmarkEnd w:id="61"/>
    <w:p>
      <w:pPr>
        <w:ind w:right="40"/>
        <w:spacing w:after="0" w:line="262" w:lineRule="auto"/>
        <w:rPr>
          <w:sz w:val="20"/>
          <w:szCs w:val="20"/>
          <w:color w:val="auto"/>
        </w:rPr>
      </w:pPr>
      <w:r>
        <w:rPr>
          <w:rFonts w:ascii="Times New Roman" w:cs="Times New Roman" w:eastAsia="Times New Roman" w:hAnsi="Times New Roman"/>
          <w:sz w:val="18"/>
          <w:szCs w:val="18"/>
          <w:color w:val="auto"/>
        </w:rPr>
        <w:t>$211.9 million in December 2003, immediately preceding the Reorganization. The vast majority of the assets that were impaired related to satellites and ground facilities. Due to this impairment charge, the carrying value of these assets on our balance sheet was reduced, resulting in substantially lower depreciation charges in future periods. In 2004, we experienced a satellite failure that resulted in a $0.1 million impairment charge.</w:t>
      </w:r>
    </w:p>
    <w:p>
      <w:pPr>
        <w:spacing w:after="0" w:line="182" w:lineRule="exact"/>
        <w:rPr>
          <w:sz w:val="20"/>
          <w:szCs w:val="20"/>
          <w:color w:val="auto"/>
        </w:rPr>
      </w:pPr>
    </w:p>
    <w:p>
      <w:pPr>
        <w:jc w:val="both"/>
        <w:ind w:right="20" w:firstLine="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(Loss). </w:t>
      </w:r>
      <w:r>
        <w:rPr>
          <w:rFonts w:ascii="Times New Roman" w:cs="Times New Roman" w:eastAsia="Times New Roman" w:hAnsi="Times New Roman"/>
          <w:sz w:val="18"/>
          <w:szCs w:val="18"/>
          <w:color w:val="auto"/>
        </w:rPr>
        <w:t>We decreased our operating loss by $261.6 million to a loss of $3.5 million for the year ended December 31, 2004, from a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$265.2 million for the year ended December 31, 2003. This decrease was due primarily to the absence in 2004 of the $211.9 million asset impairment charge in 2003 that resulted from our acquisition of the assets and certain of the liabilities of Old Globalstar. The impairment charge also resulted in lower depreciation and amortization expense. In addition, our revenue increased by 40.1% in 2004 due to growth in our subscribers.</w:t>
      </w:r>
    </w:p>
    <w:p>
      <w:pPr>
        <w:spacing w:after="0" w:line="185" w:lineRule="exact"/>
        <w:rPr>
          <w:sz w:val="20"/>
          <w:szCs w:val="20"/>
          <w:color w:val="auto"/>
        </w:rPr>
      </w:pPr>
    </w:p>
    <w:p>
      <w:pPr>
        <w:jc w:val="both"/>
        <w:ind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$0.3 million to $1.4 million in the year ended December 31, 2004, compared to $1.6 million in 2003.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resulted from incurring less debtor-in-possession financing in 2004.</w:t>
      </w:r>
    </w:p>
    <w:p>
      <w:pPr>
        <w:spacing w:after="0" w:line="170" w:lineRule="exact"/>
        <w:rPr>
          <w:sz w:val="20"/>
          <w:szCs w:val="20"/>
          <w:color w:val="auto"/>
        </w:rPr>
      </w:pPr>
    </w:p>
    <w:p>
      <w:pPr>
        <w:ind w:right="76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increased by $0.4 million, or 74.1%, to $0.9 million in the year ended December 31, 2004,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 million in 2003. This increase resulted from favorable exchange rates in Canada and Europe.</w:t>
      </w:r>
    </w:p>
    <w:p>
      <w:pPr>
        <w:spacing w:after="0" w:line="170" w:lineRule="exact"/>
        <w:rPr>
          <w:sz w:val="20"/>
          <w:szCs w:val="20"/>
          <w:color w:val="auto"/>
        </w:rPr>
      </w:pPr>
    </w:p>
    <w:p>
      <w:pPr>
        <w:ind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For the years ended 2003 and 2004, we were a partnership for United States tax purposes and thus did not have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year-end. Income tax expense of $0.1 million for 2003 relates to foreign taxes paid.</w:t>
      </w:r>
    </w:p>
    <w:p>
      <w:pPr>
        <w:spacing w:after="0" w:line="185" w:lineRule="exact"/>
        <w:rPr>
          <w:sz w:val="20"/>
          <w:szCs w:val="20"/>
          <w:color w:val="auto"/>
        </w:rPr>
      </w:pPr>
    </w:p>
    <w:p>
      <w:pPr>
        <w:jc w:val="both"/>
        <w:ind w:right="60" w:firstLine="43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w:t>
      </w:r>
      <w:r>
        <w:rPr>
          <w:rFonts w:ascii="Times New Roman" w:cs="Times New Roman" w:eastAsia="Times New Roman" w:hAnsi="Times New Roman"/>
          <w:sz w:val="18"/>
          <w:szCs w:val="18"/>
          <w:color w:val="auto"/>
        </w:rPr>
        <w:t>Our net income increased by $266.8 million to $0.4 million of income for the year ended December 31, 2004, compared to a net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$266.4 million for 2003. The results for 2003 were impacted by the $211.9 million asset impairment charge in December 2003. After eliminating the effects of this charge, our net income grew substantially due to sustained revenue growth in all areas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shows our cash flows from operating, investing and financing activities for the years ended December 31, 2003, 2004 and 2005 and the six months ended June 30, 2005 and 2006: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2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552"/>
              <w:spacing w:after="0" w:line="149" w:lineRule="exact"/>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Statements of Cash Flows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Combined(1)</w:t>
            </w:r>
          </w:p>
        </w:tc>
        <w:tc>
          <w:tcPr>
            <w:tcW w:w="220" w:type="dxa"/>
            <w:vAlign w:val="bottom"/>
          </w:tcPr>
          <w:p>
            <w:pPr>
              <w:spacing w:after="0"/>
              <w:rPr>
                <w:sz w:val="15"/>
                <w:szCs w:val="15"/>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(20,372)</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(4,849)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from investing activities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120" w:type="dxa"/>
            <w:vAlign w:val="bottom"/>
          </w:tcPr>
          <w:p>
            <w:pPr>
              <w:spacing w:after="0"/>
              <w:rPr>
                <w:sz w:val="12"/>
                <w:szCs w:val="12"/>
                <w:color w:val="auto"/>
              </w:rPr>
            </w:pPr>
          </w:p>
        </w:tc>
        <w:tc>
          <w:tcPr>
            <w:tcW w:w="1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(10,141)</w:t>
            </w:r>
          </w:p>
        </w:tc>
        <w:tc>
          <w:tcPr>
            <w:tcW w:w="20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(3,182)</w:t>
            </w:r>
          </w:p>
        </w:tc>
        <w:tc>
          <w:tcPr>
            <w:tcW w:w="20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from financing activities</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-1309370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-1309370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-1309370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-1309370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-1309370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-1309370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-1309370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-1309370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-1309370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-1309370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-1309370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-1309370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-528955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-528955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-528955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-528955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-528955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-528955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-528955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-528955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-528955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hanging="532"/>
        <w:spacing w:after="0" w:line="271" w:lineRule="auto"/>
        <w:tabs>
          <w:tab w:leader="none" w:pos="5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Revenues and operating expenses of the Predecessor and the Successor entities are comparable in nature, however, the write down of assets due to the Reorganization reduced post-Reorganization depreciation expense and resulted in a one-time charge to the Predecessor. Because we and Old Globalstar are different reporting entities, this information should be considered as supplemental information only.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right="280" w:firstLine="439"/>
        <w:spacing w:after="0" w:line="275" w:lineRule="auto"/>
        <w:rPr>
          <w:sz w:val="20"/>
          <w:szCs w:val="20"/>
          <w:color w:val="auto"/>
        </w:rPr>
      </w:pPr>
      <w:r>
        <w:rPr>
          <w:rFonts w:ascii="Times New Roman" w:cs="Times New Roman" w:eastAsia="Times New Roman" w:hAnsi="Times New Roman"/>
          <w:sz w:val="18"/>
          <w:szCs w:val="18"/>
          <w:color w:val="auto"/>
        </w:rPr>
        <w:t>Our principal sources of liquidity are our credit agreement and the irrevocable standby stock purchase agreement discussed below, our existing cash and internally generated cash flow from operations.</w:t>
      </w:r>
    </w:p>
    <w:p>
      <w:pPr>
        <w:spacing w:after="0" w:line="174"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Our principal short-term liquidity needs are to fund our working capital ($30.7 million at June 30, 2006, which our management believes is sufficient for our present requirements), to pay amounts due within 12 months for the launch of our eight spare satellites (approximately $57 million) and to make any initial payments to procure our second-generation satellite constellation and upgrade our gateways and other ground facilities, in an amount not yet determined. During 2006, we also expect to contribute an aggregate of $2.1 million to our pension plan. We expect to fund these requirements with cash on hand ($21.1 million at June 30, 2006), cash flow from operations ($3.2 million for the six months ended June 30, 2006), proceeds from the sale of our common stock to Thermo Funding Company (whose remaining commitment under the standby stock purchase agreement at June 30, 2006 was $185 million), and borrowings under the revolving credit facility of our credit agreement (of which $35.0 million was undrawn at June 30, 2006).</w:t>
      </w:r>
    </w:p>
    <w:p>
      <w:pPr>
        <w:spacing w:after="0" w:line="195" w:lineRule="exact"/>
        <w:rPr>
          <w:sz w:val="20"/>
          <w:szCs w:val="20"/>
          <w:color w:val="auto"/>
        </w:rPr>
      </w:pPr>
    </w:p>
    <w:p>
      <w:pPr>
        <w:ind w:right="60" w:firstLine="439"/>
        <w:spacing w:after="0" w:line="255" w:lineRule="auto"/>
        <w:rPr>
          <w:sz w:val="20"/>
          <w:szCs w:val="20"/>
          <w:color w:val="auto"/>
        </w:rPr>
      </w:pPr>
      <w:r>
        <w:rPr>
          <w:rFonts w:ascii="Times New Roman" w:cs="Times New Roman" w:eastAsia="Times New Roman" w:hAnsi="Times New Roman"/>
          <w:sz w:val="18"/>
          <w:szCs w:val="18"/>
          <w:color w:val="auto"/>
        </w:rPr>
        <w:t>Our principal long-term liquidity needs are to fund our working capital, including any growth in working capital required by growth in our business, to pay the costs of procuring and deploying our second-generation satellite constellation and upgrading our gateways and other ground facilities, which we expect to aggregate $1.0 to $1.2 billion between now and 2014, and to fund the costs of our independent gateway operator acquisition strategy, in an amount not determinable at this time. We expect to fund our long-term capital needs with the proceeds from this offering, the $100.0 million delayed draw term loans and the revolving credit facility under our credit agreement, the remaining funds available from sales of our common stock under Thermo Funding Company's standby stock purchase agreement and, most importantly, $600 million to $800 million of cash from our operations.</w:t>
      </w:r>
    </w:p>
    <w:p>
      <w:pPr>
        <w:spacing w:after="0" w:line="193" w:lineRule="exact"/>
        <w:rPr>
          <w:sz w:val="20"/>
          <w:szCs w:val="20"/>
          <w:color w:val="auto"/>
        </w:rPr>
      </w:pPr>
    </w:p>
    <w:p>
      <w:pPr>
        <w:ind w:right="560" w:firstLine="436"/>
        <w:spacing w:after="0" w:line="275" w:lineRule="auto"/>
        <w:rPr>
          <w:sz w:val="20"/>
          <w:szCs w:val="20"/>
          <w:color w:val="auto"/>
        </w:rPr>
      </w:pPr>
      <w:r>
        <w:rPr>
          <w:rFonts w:ascii="Times New Roman" w:cs="Times New Roman" w:eastAsia="Times New Roman" w:hAnsi="Times New Roman"/>
          <w:sz w:val="18"/>
          <w:szCs w:val="18"/>
          <w:color w:val="auto"/>
        </w:rPr>
        <w:t>To the extent additional funds are necessary to meet our long-term liquidity needs, we anticipate that they will be obtained through the incurrence of additional indebtedness, additional equity financings or a combination of these potential sources of funds.</w:t>
      </w:r>
    </w:p>
    <w:p>
      <w:pPr>
        <w:spacing w:after="0" w:line="174" w:lineRule="exact"/>
        <w:rPr>
          <w:sz w:val="20"/>
          <w:szCs w:val="20"/>
          <w:color w:val="auto"/>
        </w:rPr>
      </w:pPr>
    </w:p>
    <w:p>
      <w:pPr>
        <w:ind w:right="20" w:firstLine="429"/>
        <w:spacing w:after="0" w:line="254" w:lineRule="auto"/>
        <w:rPr>
          <w:sz w:val="20"/>
          <w:szCs w:val="20"/>
          <w:color w:val="auto"/>
        </w:rPr>
      </w:pPr>
      <w:r>
        <w:rPr>
          <w:rFonts w:ascii="Times New Roman" w:cs="Times New Roman" w:eastAsia="Times New Roman" w:hAnsi="Times New Roman"/>
          <w:sz w:val="18"/>
          <w:szCs w:val="18"/>
          <w:color w:val="auto"/>
        </w:rPr>
        <w:t>Although we believe that these sources will provide sufficient liquidity for us to meet our long-term liquidity requirements, our liquidity and our ability to fund these needs will depend to a significant extent on our future financial performance, which will be subject in part to general economic, financial, regulatory and other factors that are beyond our control, including trends in our industry and technology discussed elsewhere in this prospectus. In addition to these general economic and industry factors, the principal factors determining whether our cash flows will be sufficient to meet our long-term liquidity requirements will be our ability to continue to provide attractive and competitive services and products, maintain the health of our current satellite constellation until we can deploy our second-generation satellite constellation, increase our number of subscribers and average revenue per user, control our costs, and maintain our margins and profitability. If those factors change significantly or other unexpected factors adversely affect us, our business may not generate sufficient cash flow from operations and future financings may not be available on terms acceptable to us or at all to meet our liquidity needs.</w:t>
      </w:r>
    </w:p>
    <w:p>
      <w:pPr>
        <w:spacing w:after="0" w:line="192" w:lineRule="exact"/>
        <w:rPr>
          <w:sz w:val="20"/>
          <w:szCs w:val="20"/>
          <w:color w:val="auto"/>
        </w:rPr>
      </w:pPr>
    </w:p>
    <w:p>
      <w:pPr>
        <w:ind w:right="560" w:firstLine="436"/>
        <w:spacing w:after="0" w:line="275" w:lineRule="auto"/>
        <w:rPr>
          <w:sz w:val="20"/>
          <w:szCs w:val="20"/>
          <w:color w:val="auto"/>
        </w:rPr>
      </w:pPr>
      <w:r>
        <w:rPr>
          <w:rFonts w:ascii="Times New Roman" w:cs="Times New Roman" w:eastAsia="Times New Roman" w:hAnsi="Times New Roman"/>
          <w:sz w:val="18"/>
          <w:szCs w:val="18"/>
          <w:color w:val="auto"/>
        </w:rPr>
        <w:t>We derive additional liquidity from our Liberty Plans, which provide for payment in advance of a full year of services. Revenue is recognized as the services are provided or the contract expires. As a result, cash flow from the sale of Liberty Plans precedes recognition of the associated revenues.</w:t>
      </w:r>
    </w:p>
    <w:p>
      <w:pPr>
        <w:spacing w:after="0" w:line="174" w:lineRule="exact"/>
        <w:rPr>
          <w:sz w:val="20"/>
          <w:szCs w:val="20"/>
          <w:color w:val="auto"/>
        </w:rPr>
      </w:pPr>
    </w:p>
    <w:p>
      <w:pPr>
        <w:ind w:right="20" w:firstLine="439"/>
        <w:spacing w:after="0" w:line="339" w:lineRule="auto"/>
        <w:rPr>
          <w:sz w:val="20"/>
          <w:szCs w:val="20"/>
          <w:color w:val="auto"/>
        </w:rPr>
      </w:pPr>
      <w:r>
        <w:rPr>
          <w:rFonts w:ascii="Times New Roman" w:cs="Times New Roman" w:eastAsia="Times New Roman" w:hAnsi="Times New Roman"/>
          <w:sz w:val="16"/>
          <w:szCs w:val="16"/>
          <w:color w:val="auto"/>
        </w:rPr>
        <w:t>In assessing our liquidity, management reviews and analyzes our current cash on-hand, the average number of days our accounts receivable are outstanding, the contractual rates that we have established with our vendors, inventory turns, foreign exchange rates, capital expenditure commitments and income tax rates.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2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for the six-month period ended June 30, 2006 increased to $3.2 million from $1.4 million for the six month period ended June 30, 2005. This increase was attributable primarily to increased sales activity and rapid inventory turnover.</w:t>
      </w:r>
    </w:p>
    <w:p>
      <w:pPr>
        <w:spacing w:after="0" w:line="174" w:lineRule="exact"/>
        <w:rPr>
          <w:sz w:val="20"/>
          <w:szCs w:val="20"/>
          <w:color w:val="auto"/>
        </w:rPr>
      </w:pPr>
    </w:p>
    <w:p>
      <w:pPr>
        <w:ind w:right="20" w:firstLine="439"/>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2005 was $13.7 million compared to $4.8 million used in operating activities in 2004. This increase in cash from operations of $18.5 million was attributable mainly to substantial revenue growth driven by our increased subscriber base, better operating margins and the absence of restructuring costs in 2005.</w:t>
      </w:r>
    </w:p>
    <w:p>
      <w:pPr>
        <w:spacing w:after="0" w:line="186" w:lineRule="exact"/>
        <w:rPr>
          <w:sz w:val="20"/>
          <w:szCs w:val="20"/>
          <w:color w:val="auto"/>
        </w:rPr>
      </w:pPr>
    </w:p>
    <w:p>
      <w:pPr>
        <w:ind w:right="300" w:firstLine="439"/>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2004 decreased to $4.8 million from $20.4 million for 2003. The increase in cash provided by operations of $15.6 million was attributable mainly to substantial revenue growth, reduced operating expenses upon our emergence from the Reorganization and lower restructuring costs, partially offset by higher accounts receivable at year-end.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29"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was $42.7 million for the six months ended June 30, 2006, compared to $3.2 million for the same period in 2005. This increase was the result of capital expenditures for the launch of our spare satellites as well as for the construction of our new gateways in Florida and Alaska. The investment in the acquisition of independent gateway operations decreased from $0.4 million for the six-month period ended June 30, 2005 to $0.2 million for the same period in 2006 due to reduced acquisition activities. During the first six months of 2006, we also procured services related to the launch of our spare satellites in the amount of $38.7 million. The expenditures on property, plant and equipment increased by $1.2 million to $3.8 million for the six-month period ended June 30, 2006 from $2.6 million for the comparable period in 2005 due primarily to construction activity on the Alaskan gateway and information system upgrades.</w:t>
      </w:r>
    </w:p>
    <w:p>
      <w:pPr>
        <w:spacing w:after="0" w:line="195" w:lineRule="exact"/>
        <w:rPr>
          <w:sz w:val="20"/>
          <w:szCs w:val="20"/>
          <w:color w:val="auto"/>
        </w:rPr>
      </w:pPr>
    </w:p>
    <w:p>
      <w:pPr>
        <w:ind w:right="260" w:firstLine="439"/>
        <w:spacing w:after="0" w:line="339" w:lineRule="auto"/>
        <w:rPr>
          <w:sz w:val="20"/>
          <w:szCs w:val="20"/>
          <w:color w:val="auto"/>
        </w:rPr>
      </w:pPr>
      <w:r>
        <w:rPr>
          <w:rFonts w:ascii="Times New Roman" w:cs="Times New Roman" w:eastAsia="Times New Roman" w:hAnsi="Times New Roman"/>
          <w:sz w:val="16"/>
          <w:szCs w:val="16"/>
          <w:color w:val="auto"/>
        </w:rPr>
        <w:t>Cash used in investing activities for the year ended December 31, 2005 increased $6.1 million to $10.1 million from $4.0 million in 2004. This increase was due to capital expenditures relating to our Florida and Alaska gateways and procuring services for the test and launch of our eight spare satellites.</w:t>
      </w:r>
    </w:p>
    <w:p>
      <w:pPr>
        <w:spacing w:after="0" w:line="128"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2004 increased $4.9 million to $4.0 million as compared to cash flows provided by investing activities of $0.9 million for 2003. This increase was primarily due to capital expenditures for relocating our facilities and the commencement of construction of our gateway in Florida. The positive amount in 2003 was the result of payment received from ELSACOM (one of the independent gateway operators) for a past due production gateway receivable in the amount of $2.2 million that was classified as a long-term asset. This amount was partially offset by miscellaneous capital expenditures related to maintaining our network.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29" w:lineRule="exact"/>
        <w:rPr>
          <w:sz w:val="20"/>
          <w:szCs w:val="20"/>
          <w:color w:val="auto"/>
        </w:rPr>
      </w:pPr>
    </w:p>
    <w:p>
      <w:pPr>
        <w:ind w:right="300" w:firstLine="43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six-month period ended June 30, 2006 increased by $36.0 million to $40.1 million from $4.1 million provided by financing activities the same period in 2005. The increase was the result of drawing $15.0 million of the revolving credit facility under our credit agreement, receipt of $13.0 million from Thermo representing its remaining equity commitment in connection with the Reorganization, and receipt of $15.0 million from Thermo Funding Company for equity purchased pursuant to its irrevocable standby stock purchase agreement.</w:t>
      </w:r>
    </w:p>
    <w:p>
      <w:pPr>
        <w:spacing w:after="0" w:line="190" w:lineRule="exact"/>
        <w:rPr>
          <w:sz w:val="20"/>
          <w:szCs w:val="20"/>
          <w:color w:val="auto"/>
        </w:rPr>
      </w:pPr>
    </w:p>
    <w:p>
      <w:pPr>
        <w:ind w:right="140" w:firstLine="439"/>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2005 increased by $0.9 million to $2.9 million from $2.0 million in 2004. This increase was due to proceeds from subscriptions receivable exceeding payments on notes payable.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4" w:name="page65"/>
    <w:bookmarkEnd w:id="64"/>
    <w:p>
      <w:pPr>
        <w:ind w:right="80" w:firstLine="439"/>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2004 decreased by $22.2 million to $2.0 million from $24.2 million in 2003. This decrease was the result of less reliance on debtor-in-possession financing from Thermo or other sources due to rapidly improving operating results. In 2004, proceeds from both term loans and the sale of membership interests increased, but were offset by a $10.0 million repayment of term loans.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color w:val="auto"/>
        </w:rPr>
        <w:t>Our capital expenditures consist primarily of upgrading our satellite constellation and gateways and other ground facilities. In 2004, we began construction of a new gateway in Sebring, Florida to provide additional coverage to the Caribbean and the Gulf Coast region. The gateway became operational in July 2005. In 2005, we began construction of a new gateway in Wasilla, Alaska to cover the Alaskan territory and part of the Bering Sea. The Alaska gateway went into operation in July 2006. These gateways cost $2.9 million and $4.8 million (excluding $0.8 million for the purchase of real property), respectively. In 2005, we also commenced capital expenditures for the launch of our eight spare satellites. The majority of the capital expenditures for this purpose will occur in 2006 and 2007. Through June 30, 2006, we had accrued or paid $53.0 million for this launch. The total expected cost for the launch of the spare satellites is approximately $110.0 million. In the second half of 2006, we expect to enter into a contract for our second-generation satellite constellation. We intend to use the proceeds from this offering, cash flows from our operations, available liquidity from Thermo Funding Company's irrevocable from standby stock purchase agreement and funding available from our credit agreement to fund our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Position and Indebtedness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June 30, 2006, our total cash and cash equivalents were $21.1 million and we had total indebtedness of $16.4 million, compared to total cash and cash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equivalents and total indebtedness at June 30, 2005 of $15.9 million and $5.4 million, respectively. As of June 30, 2006, as adjusted to give effect to this offering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no exercise of the underwriters' option to purchase additional shares), our total cash and cash equivalents and total indebtedness would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$121.1 million and $16.4 million, respectively. As of June 30, 2006, as further adjusted to give effect to the borrowing of the then remaining $35.0 million of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and the entire $100.0 million delayed draw term loan under our credit agreement and the issuance of all common stock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standby stock purchase agreement with Thermo Funding Company, our total cash and cash equivalents and total indebtedness would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$441.1 million and $151.4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20" w:firstLine="439"/>
        <w:spacing w:after="0" w:line="288" w:lineRule="auto"/>
        <w:rPr>
          <w:sz w:val="20"/>
          <w:szCs w:val="20"/>
          <w:color w:val="auto"/>
        </w:rPr>
      </w:pPr>
      <w:r>
        <w:rPr>
          <w:rFonts w:ascii="Times New Roman" w:cs="Times New Roman" w:eastAsia="Times New Roman" w:hAnsi="Times New Roman"/>
          <w:sz w:val="16"/>
          <w:szCs w:val="16"/>
          <w:color w:val="auto"/>
        </w:rPr>
        <w:t>On April 24, 2006, we entered into a credit agreement providing for $200.0 million in the form of a five-year $150.0 million term loan and a four-year $50.0 million revolving credit facility with Wachovia Investment Holdings, LLC, as administrative agent. The term loan, which was not funded, included a $50.0 million delayed draw portion which could be drawn after the term loan was funded and prior to June 30, 2008, but only if we had received net cash proceeds of $100.0 million from sales of our common stock after April 24, 2006 and prior to the date of drawing (including sales pursuant to the standby stock purchase agreement). The credit agreement provided that the term loan would bear interest at LIBOR plus 4.0% or the prime rate plus 3.0% and revolving credit loans would bear interest at LIBOR plus 3.25% to 4.0%, or the prime rate plus 2.25% to 3.0%. The loans could be prepaid without penalty at any time. Our indebtedness under the credit agreement was guaranteed by our principal domestic subsidiaries and secured by a first lien on our and their property (subject to limitations on the grant of security interests on FCC licenses under applicable law). The credit agreement contained customary representations and warranties, covenants and conditions to borrowing, including financial covenants and covenants limiting our ability to dispose of assets, change our business, merge, make acquisitions or capital expenditures or incur vendor financing obligations, indebtedness or liens, pay dividends, make investments or engage in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5" w:name="page66"/>
    <w:bookmarkEnd w:id="65"/>
    <w:p>
      <w:pPr>
        <w:ind w:right="400"/>
        <w:spacing w:after="0" w:line="275" w:lineRule="auto"/>
        <w:rPr>
          <w:sz w:val="20"/>
          <w:szCs w:val="20"/>
          <w:color w:val="auto"/>
        </w:rPr>
      </w:pPr>
      <w:r>
        <w:rPr>
          <w:rFonts w:ascii="Times New Roman" w:cs="Times New Roman" w:eastAsia="Times New Roman" w:hAnsi="Times New Roman"/>
          <w:sz w:val="18"/>
          <w:szCs w:val="18"/>
          <w:color w:val="auto"/>
        </w:rPr>
        <w:t>certain transactions with affiliates. The credit agreement was amended as of June 16, June 23, June 30, July 28, and August 10, 2006 to extend the term loan funding deadline and related dates.</w:t>
      </w:r>
    </w:p>
    <w:p>
      <w:pPr>
        <w:spacing w:after="0" w:line="174"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The credit agreement replaced a loan and security agreement with the Union Bank of California that we entered into on December 14, 2005 and that provided for revolving credit loans of up to $15.0 million, which loans were secured by the personal property of our company and of our domestic subsidiaries. We did not borrow any funds under this agreement, which we terminated on April 19, 2006.</w:t>
      </w:r>
    </w:p>
    <w:p>
      <w:pPr>
        <w:spacing w:after="0" w:line="186"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 xml:space="preserve">On August 16, 2006, we entered into an amended and restated credit agreement with Wachovia Investment Holdings, LLC, as administrative agent and swingline lender, and Wachovia Bank, National Association, as issuing lender, which was subsequently amended on October 2, 2006. The amended and restated credit agreement provides for a $50.0 million revolving credit facility and a $100.0 million delayed draw term loan facility. The delayed draw term loan may be drawn after January 1, 2008 and prior to August 16, 2009, but only if we have received aggregate net cash proceeds of $200.0 million from sales after April 24, 2006 of our common stock (including sales pursuant to the irrevocable standby stock purchase agreement) prior to the draw date and if, after giving effect to the delayed draw term loan and thereafter at the end of each quarter while the delayed draw term loan is outstanding, our consolidated senior secured leverage ratio does not exceed 3.5 to 1.0. The delayed draw term loan facility will be reduced in an amount equal to the sum of 50% of the net proceeds of any sales of our common stock (other than sales pursuant to the irrevocable standby stock purchase agreement or the parallel offering to our other stockholders who are accredited investors and net proceeds of up to $100.0 million from any other issuance of our common stock after August 16, 2006, and up to $40 million additional proceeds from this offering), 100% of the proceeds of any additional term loans under the facility (described below) that we incur prior to the draw of the delayed draw term loan, and 50% of the proceeds of certain permitted unsecured debt financing that we incur prior to the draw of the delayed draw term loan. If drawn, the delayed draw term loan will be subject to prepayment in an amount equal to the sum of 50% of the net proceeds of such sales of common stock and 50% of the net proceeds of certain additional indebtedness, including any such additional term loans, that we incur subsequent to such draw. Other customary prepayment provisions also apply. In addition to the $150.0 million revolving and delayed draw term loan facilities, the amended and restated credit agreement permits us to incur additional term loans on an equally and ratably secured,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an aggregate amount of up to $150.0 million (plus the amount of any reduction in the delayed draw term loan facility or prepayment of the delayed draw term loan described above resulting from sales of common stock or any additional term loans) from the lenders under the credit agreement or other banks, financial institutions or investment funds approved by us and the administrative agent. We have not received any commitments for these additional term loans. These additional term loans may be incurred only if no event of default then exists, if we are in pro-forma compliance with all of the financial covenants of the credit agreement, and if, after giving effect thereto, our consolidated total leverage ratio does not exceed 5.5 to 1.0.</w:t>
      </w:r>
    </w:p>
    <w:p>
      <w:pPr>
        <w:spacing w:after="0" w:line="208" w:lineRule="exact"/>
        <w:rPr>
          <w:sz w:val="20"/>
          <w:szCs w:val="20"/>
          <w:color w:val="auto"/>
        </w:rPr>
      </w:pPr>
    </w:p>
    <w:p>
      <w:pPr>
        <w:ind w:right="420" w:firstLine="429"/>
        <w:spacing w:after="0" w:line="289" w:lineRule="auto"/>
        <w:rPr>
          <w:sz w:val="20"/>
          <w:szCs w:val="20"/>
          <w:color w:val="auto"/>
        </w:rPr>
      </w:pPr>
      <w:r>
        <w:rPr>
          <w:rFonts w:ascii="Times New Roman" w:cs="Times New Roman" w:eastAsia="Times New Roman" w:hAnsi="Times New Roman"/>
          <w:sz w:val="16"/>
          <w:szCs w:val="16"/>
          <w:color w:val="auto"/>
        </w:rPr>
        <w:t>As under the initial Wachovia credit facility described above, all revolving credit loans will mature on June 30, 2010 and all term loans will mature on June 30, 2011. Revolving credit loans will bear interest at LIBOR plus 4.25% to 4.75% or the greater of the prime rate or Federal Funds rate plus 3.25% to</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3.75%. The delayed draw term loan will bear interest at LIBOR plus 6.0% or the greater of the prime rate or Federal Funds rate plus 5.0%, and the delayed draw term loan facility bears an annual commitment fee of 2.0% until drawn or terminated. Additional term loans will bear interest at rates to be negotiated. The loans may be prepaid without penalty at any time.</w:t>
      </w:r>
    </w:p>
    <w:p>
      <w:pPr>
        <w:spacing w:after="0" w:line="192"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8"/>
          <w:szCs w:val="18"/>
          <w:color w:val="auto"/>
        </w:rPr>
        <w:t>The amended and restated credit agreement is guaranteed and secured in the same manner as, and contains other representations, warranties, covenants and conditions essentially identical to those of, the initial Wachovia credit agreement described above.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In particular, the amended and restated credit agreement requires that:</w:t>
      </w:r>
    </w:p>
    <w:p>
      <w:pPr>
        <w:spacing w:after="0" w:line="239" w:lineRule="exact"/>
        <w:rPr>
          <w:sz w:val="20"/>
          <w:szCs w:val="20"/>
          <w:color w:val="auto"/>
        </w:rPr>
      </w:pPr>
    </w:p>
    <w:p>
      <w:pPr>
        <w:ind w:left="640" w:right="80" w:hanging="532"/>
        <w:spacing w:after="0" w:line="275"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 permit our capital expenditures (other than capital expenditures funded with cash proceeds from insurance and condemnation events, asset sales or equity sales) to exceed the following amounts (with unused amounts permitted to be carried over to subsequent years):</w:t>
      </w:r>
    </w:p>
    <w:p>
      <w:pPr>
        <w:spacing w:after="0" w:line="200" w:lineRule="exact"/>
        <w:rPr>
          <w:sz w:val="20"/>
          <w:szCs w:val="20"/>
          <w:color w:val="auto"/>
        </w:rPr>
      </w:pP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178"/>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 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-1160780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-1160780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-1160780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-1160780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6" w:lineRule="exact"/>
        <w:rPr>
          <w:sz w:val="20"/>
          <w:szCs w:val="20"/>
          <w:color w:val="auto"/>
        </w:rPr>
      </w:pPr>
    </w:p>
    <w:p>
      <w:pPr>
        <w:ind w:left="640" w:hanging="5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liquidity (which is defined for this purpose to include up to $10.0 million available under the revolving credit facility and up to</w:t>
      </w:r>
    </w:p>
    <w:p>
      <w:pPr>
        <w:spacing w:after="0" w:line="21" w:lineRule="exact"/>
        <w:rPr>
          <w:rFonts w:ascii="Times New Roman" w:cs="Times New Roman" w:eastAsia="Times New Roman" w:hAnsi="Times New Roman"/>
          <w:sz w:val="18"/>
          <w:szCs w:val="18"/>
          <w:color w:val="auto"/>
        </w:rPr>
      </w:pPr>
    </w:p>
    <w:p>
      <w:pPr>
        <w:ind w:left="6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available under the standby stock purchase agreement) of not less than $25.0 million (our liquidity as so defined was $41.1 million at June 30, 2006 );</w:t>
      </w:r>
    </w:p>
    <w:p>
      <w:pPr>
        <w:spacing w:after="0" w:line="199" w:lineRule="exact"/>
        <w:rPr>
          <w:rFonts w:ascii="Times New Roman" w:cs="Times New Roman" w:eastAsia="Times New Roman" w:hAnsi="Times New Roman"/>
          <w:sz w:val="18"/>
          <w:szCs w:val="18"/>
          <w:color w:val="auto"/>
        </w:rPr>
      </w:pPr>
    </w:p>
    <w:p>
      <w:pPr>
        <w:ind w:left="640" w:right="40" w:hanging="532"/>
        <w:spacing w:after="0" w:line="255"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at the end of each quarter a minimum forward fixed charge coverage ratio (defined as the excess of the sum of adjusted consolidated EBITDA for the prior fiscal quarter plus cash and marketable securities in excess of $5.0 million, plus (to the extent positive) or less (to the extent negative), at all times after we have received aggregate net cash proceeds of $200.0 million from sales of our common stock after April 24, 2006, the unused portion of the revolving credit facility less $25.0 million, less, at all times prior to the receipt of such aggregate net cash proceeds, the amount of outstanding revolving credit loans, to the sum anticipated interest expense, principal payments and capital expenditures for the next quarter) of 1.0:1.0 (our forward fixed charge coverage ratio as so defined was 1.3:1.0 at June 30, 2006);</w:t>
      </w:r>
    </w:p>
    <w:p>
      <w:pPr>
        <w:spacing w:after="0" w:line="206" w:lineRule="exact"/>
        <w:rPr>
          <w:rFonts w:ascii="Times New Roman" w:cs="Times New Roman" w:eastAsia="Times New Roman" w:hAnsi="Times New Roman"/>
          <w:sz w:val="18"/>
          <w:szCs w:val="18"/>
          <w:color w:val="auto"/>
        </w:rPr>
      </w:pPr>
    </w:p>
    <w:p>
      <w:pPr>
        <w:ind w:left="640" w:right="400" w:hanging="532"/>
        <w:spacing w:after="0" w:line="339" w:lineRule="auto"/>
        <w:tabs>
          <w:tab w:leader="none" w:pos="6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while the delayed draw term loan is outstanding, we not permit our consolidated senior secured leverage (defined as the ratio of indebtedness under our credit agreement and any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debt to adjusted consolidated EBITDA for the prior four quarters) ratio to exceed 3.5 to 1.0;</w:t>
      </w:r>
    </w:p>
    <w:p>
      <w:pPr>
        <w:spacing w:after="0" w:line="155" w:lineRule="exact"/>
        <w:rPr>
          <w:rFonts w:ascii="Times New Roman" w:cs="Times New Roman" w:eastAsia="Times New Roman" w:hAnsi="Times New Roman"/>
          <w:sz w:val="16"/>
          <w:szCs w:val="16"/>
          <w:color w:val="auto"/>
        </w:rPr>
      </w:pPr>
    </w:p>
    <w:p>
      <w:pPr>
        <w:jc w:val="both"/>
        <w:ind w:left="640" w:hanging="532"/>
        <w:spacing w:after="0" w:line="26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November 15, 2006, we enter into an agreement for the procurement of our second-generation satellite constellation and its launch (if the launch is contracted for in connection with the procurement) in accordance with our business plan and financial model or receive aggregate net cash proceeds of at least $100.0 million from the sale of our common stock;</w:t>
      </w:r>
    </w:p>
    <w:p>
      <w:pPr>
        <w:spacing w:after="0" w:line="199" w:lineRule="exact"/>
        <w:rPr>
          <w:rFonts w:ascii="Times New Roman" w:cs="Times New Roman" w:eastAsia="Times New Roman" w:hAnsi="Times New Roman"/>
          <w:sz w:val="18"/>
          <w:szCs w:val="18"/>
          <w:color w:val="auto"/>
        </w:rPr>
      </w:pPr>
    </w:p>
    <w:p>
      <w:pPr>
        <w:ind w:left="640" w:hanging="5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June 30, 2008, we receive aggregate net cash proceeds of at least $100.0 million from the sale of our common stock; and</w:t>
      </w:r>
    </w:p>
    <w:p>
      <w:pPr>
        <w:spacing w:after="0" w:line="238" w:lineRule="exact"/>
        <w:rPr>
          <w:rFonts w:ascii="Times New Roman" w:cs="Times New Roman" w:eastAsia="Times New Roman" w:hAnsi="Times New Roman"/>
          <w:sz w:val="18"/>
          <w:szCs w:val="18"/>
          <w:color w:val="auto"/>
        </w:rPr>
      </w:pPr>
    </w:p>
    <w:p>
      <w:pPr>
        <w:ind w:left="640" w:hanging="5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December 31, 2009, we receive aggregate net cash proceeds of at least $200.0 million from the sale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credit agreement provides that we will not, with certain immaterial exceptions:</w:t>
      </w:r>
    </w:p>
    <w:p>
      <w:pPr>
        <w:spacing w:after="0" w:line="252" w:lineRule="exact"/>
        <w:rPr>
          <w:sz w:val="20"/>
          <w:szCs w:val="20"/>
          <w:color w:val="auto"/>
        </w:rPr>
      </w:pPr>
    </w:p>
    <w:p>
      <w:pPr>
        <w:ind w:left="640" w:hanging="5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other than: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180" w:hanging="532"/>
        <w:spacing w:after="0"/>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agreement, including the delayed draw term loan and the additional term loans described above;</w:t>
      </w:r>
    </w:p>
    <w:p>
      <w:pPr>
        <w:spacing w:after="0" w:line="238" w:lineRule="exact"/>
        <w:rPr>
          <w:rFonts w:ascii="Times New Roman" w:cs="Times New Roman" w:eastAsia="Times New Roman" w:hAnsi="Times New Roman"/>
          <w:sz w:val="18"/>
          <w:szCs w:val="18"/>
          <w:color w:val="auto"/>
        </w:rPr>
      </w:pPr>
    </w:p>
    <w:p>
      <w:pPr>
        <w:ind w:left="1180" w:hanging="532"/>
        <w:spacing w:after="0"/>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intercompany indebtedness;</w:t>
      </w:r>
    </w:p>
    <w:p>
      <w:pPr>
        <w:spacing w:after="0" w:line="252" w:lineRule="exact"/>
        <w:rPr>
          <w:rFonts w:ascii="Times New Roman" w:cs="Times New Roman" w:eastAsia="Times New Roman" w:hAnsi="Times New Roman"/>
          <w:sz w:val="18"/>
          <w:szCs w:val="18"/>
          <w:color w:val="auto"/>
        </w:rPr>
      </w:pPr>
    </w:p>
    <w:p>
      <w:pPr>
        <w:ind w:left="1180" w:hanging="532"/>
        <w:spacing w:after="0"/>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vendor obligations of the nature described below;</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80" w:top="584" w:right="259" w:bottom="1440" w:gutter="0" w:footer="0" w:header="0"/>
        </w:sectPr>
      </w:pPr>
    </w:p>
    <w:bookmarkStart w:id="67" w:name="page68"/>
    <w:bookmarkEnd w:id="67"/>
    <w:p>
      <w:pPr>
        <w:ind w:left="1620" w:hanging="53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leases and purchase money indebtedness in an aggregate outstanding amount not to exceed $25.0 million;</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person existing at the time it becomes our subsidiary in an aggregate outstanding amount not to exceed $10.0 million;</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our foreign subsidiaries in an aggregate outstanding amount not to exceed $2.0 million; and</w:t>
      </w:r>
    </w:p>
    <w:p>
      <w:pPr>
        <w:spacing w:after="0" w:line="238" w:lineRule="exact"/>
        <w:rPr>
          <w:rFonts w:ascii="Times New Roman" w:cs="Times New Roman" w:eastAsia="Times New Roman" w:hAnsi="Times New Roman"/>
          <w:sz w:val="18"/>
          <w:szCs w:val="18"/>
          <w:color w:val="auto"/>
        </w:rPr>
      </w:pPr>
    </w:p>
    <w:p>
      <w:pPr>
        <w:ind w:left="1620" w:right="280" w:hanging="532"/>
        <w:spacing w:after="0" w:line="26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unsecured indebtedness in an aggregate amount not to exceed $200.0 million, provided that such additional unsecured indebtedness has a maturity date at least six months after the maturity date of the loans under our credit agreement, does not have terms more restrictive than those in our credit agreement and is generally on market terms on the date of funding;</w:t>
      </w:r>
    </w:p>
    <w:p>
      <w:pPr>
        <w:spacing w:after="0" w:line="186" w:lineRule="exact"/>
        <w:rPr>
          <w:sz w:val="20"/>
          <w:szCs w:val="20"/>
          <w:color w:val="auto"/>
        </w:rPr>
      </w:pPr>
    </w:p>
    <w:p>
      <w:pPr>
        <w:ind w:left="1080" w:right="180"/>
        <w:spacing w:after="0" w:line="275" w:lineRule="auto"/>
        <w:rPr>
          <w:sz w:val="20"/>
          <w:szCs w:val="20"/>
          <w:color w:val="auto"/>
        </w:rPr>
      </w:pPr>
      <w:r>
        <w:rPr>
          <w:rFonts w:ascii="Times New Roman" w:cs="Times New Roman" w:eastAsia="Times New Roman" w:hAnsi="Times New Roman"/>
          <w:sz w:val="18"/>
          <w:szCs w:val="18"/>
          <w:color w:val="auto"/>
        </w:rPr>
        <w:t>provided that we can incur the indebtedness described in the preceding four items only if, before and after giving effect thereto, our consolidated total leverage does not exceed 5.5 to 1.0;</w:t>
      </w:r>
    </w:p>
    <w:p>
      <w:pPr>
        <w:spacing w:after="0" w:line="201"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the capital stock or assets of any unrelated entity other than: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assets in the ordinary course of business;</w:t>
      </w:r>
    </w:p>
    <w:p>
      <w:pPr>
        <w:spacing w:after="0" w:line="238" w:lineRule="exact"/>
        <w:rPr>
          <w:rFonts w:ascii="Times New Roman" w:cs="Times New Roman" w:eastAsia="Times New Roman" w:hAnsi="Times New Roman"/>
          <w:sz w:val="18"/>
          <w:szCs w:val="18"/>
          <w:color w:val="auto"/>
        </w:rPr>
      </w:pPr>
    </w:p>
    <w:p>
      <w:pPr>
        <w:jc w:val="both"/>
        <w:ind w:left="1620" w:right="200" w:hanging="532"/>
        <w:spacing w:after="0" w:line="262"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with the consent of the administrative agent and the required lenders, not to be unreasonably withheld, if an event of default has not occurred and the aggregate amount of all such acquisitions does not exceed $25.0 million in the aggregate during the term of the credit agreement; and</w:t>
      </w:r>
    </w:p>
    <w:p>
      <w:pPr>
        <w:spacing w:after="0" w:line="21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additional investments not exceeding $2.0 million in the aggregate in any fiscal year;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dissolve;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or loan more than $25.0 million in the aggregate in foreign subsidiaries;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outside the ordinary course of business in an amount exceeding $10.0 million in any fiscal year;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 other than in the ordinary course of business on arm's-length terms;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in any material respect the nature of our business; or</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satellite vendor obligations that are evidenced by a promissory note or are secured by a lien other than on the purchased property or that are in an amount reasonably expected to come due during the term of the amended and restated credit agreement in an aggregate amount in excess of the maximum amount of capital expenditures permitted under the amended and restated credit agreement less the actual amount of capital expenditures as of any date of determination.</w:t>
      </w:r>
    </w:p>
    <w:p>
      <w:pPr>
        <w:spacing w:after="0" w:line="190" w:lineRule="exact"/>
        <w:rPr>
          <w:sz w:val="20"/>
          <w:szCs w:val="20"/>
          <w:color w:val="auto"/>
        </w:rPr>
      </w:pPr>
    </w:p>
    <w:p>
      <w:pPr>
        <w:ind w:firstLine="436"/>
        <w:spacing w:after="0" w:line="275" w:lineRule="auto"/>
        <w:rPr>
          <w:sz w:val="20"/>
          <w:szCs w:val="20"/>
          <w:color w:val="auto"/>
        </w:rPr>
      </w:pPr>
      <w:r>
        <w:rPr>
          <w:rFonts w:ascii="Times New Roman" w:cs="Times New Roman" w:eastAsia="Times New Roman" w:hAnsi="Times New Roman"/>
          <w:sz w:val="18"/>
          <w:szCs w:val="18"/>
          <w:color w:val="auto"/>
        </w:rPr>
        <w:t>We are currently in compliance with the capital expenditure, liquidity and forward fixed charge coverage ratio tests described above and the other restrictive covenants of our amended and restated credit agreement.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amended and restated credit agreement specifies a number of events of default, including:</w:t>
      </w:r>
    </w:p>
    <w:p>
      <w:pPr>
        <w:spacing w:after="0" w:line="239"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payment of principal, interest or other obligations under the credit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material misrepresentation;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any covenant in the credit agreement;</w:t>
      </w:r>
    </w:p>
    <w:p>
      <w:pPr>
        <w:spacing w:after="0" w:line="238" w:lineRule="exact"/>
        <w:rPr>
          <w:rFonts w:ascii="Times New Roman" w:cs="Times New Roman" w:eastAsia="Times New Roman" w:hAnsi="Times New Roman"/>
          <w:sz w:val="18"/>
          <w:szCs w:val="18"/>
          <w:color w:val="auto"/>
        </w:rPr>
      </w:pPr>
    </w:p>
    <w:p>
      <w:pPr>
        <w:ind w:left="5620" w:right="4060" w:hanging="5072"/>
        <w:spacing w:after="0" w:line="525" w:lineRule="auto"/>
        <w:tabs>
          <w:tab w:leader="none" w:pos="10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under a hedging agreement where the termination value exceeds $1.0 million;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8" w:name="page69"/>
    <w:bookmarkEnd w:id="68"/>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under other indebtedness with a principal amount exceeding $5.0 million;</w:t>
      </w:r>
    </w:p>
    <w:p>
      <w:pPr>
        <w:spacing w:after="0" w:line="252"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control, which is defined to include any person other than Thermo obtaining ownership of more than 25% of our capital stock or voting power or, until we have received at least $200.0 million in aggregate net cash proceeds from sales of common stock, Thermo selling any of our stock which it owned on April 24, 2006;</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bankruptcy events;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of any material communications license;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Thermo Funding of the irrevocable standby stock purchase agreement; and</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subject to certain governmental disbarment or other investigatory proceedings or being a party to a material governmental contract that is terminated for our alleged fraud or willful misconduct.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firstLine="439"/>
        <w:spacing w:after="0" w:line="275" w:lineRule="auto"/>
        <w:rPr>
          <w:sz w:val="20"/>
          <w:szCs w:val="20"/>
          <w:color w:val="auto"/>
        </w:rPr>
      </w:pPr>
      <w:r>
        <w:rPr>
          <w:rFonts w:ascii="Times New Roman" w:cs="Times New Roman" w:eastAsia="Times New Roman" w:hAnsi="Times New Roman"/>
          <w:sz w:val="18"/>
          <w:szCs w:val="18"/>
          <w:color w:val="auto"/>
        </w:rPr>
        <w:t>Upon any event of default, the lenders may accelerate the maturity of all indebtedness under the amended and restated credit agreement and foreclose on the liens described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Irrevocable Standby Stock Purchase Agreement</w:t>
      </w:r>
    </w:p>
    <w:p>
      <w:pPr>
        <w:spacing w:after="0" w:line="229"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initial Wachovia credit agreement, we entered into an irrevocable standby stock purchase agreement with Thermo Funding Company pursuant to which it agreed to purchase under certain circumstances up to $200.0 million of our Series A common stock at a price of $97.00 per share. The price per share has been adjusted to approximately $16.17 in connection with our six-for-one stock split, will not be further adjusted as a result of this offering and will remain at approximately $16.17 per share without regard to any future increase in the trading price of our common stock. Our board of directors determined that the price per share represented the fair market value of our common stock on the date of the agreement. Thermo Funding Company's obligation to purchase these shares is secured by the escrow of cash and marketable securities in an amount equal to 105% of its unfunded commitment, initially $210.0 million.</w:t>
      </w:r>
    </w:p>
    <w:p>
      <w:pPr>
        <w:spacing w:after="0" w:line="195" w:lineRule="exact"/>
        <w:rPr>
          <w:sz w:val="20"/>
          <w:szCs w:val="20"/>
          <w:color w:val="auto"/>
        </w:rPr>
      </w:pPr>
    </w:p>
    <w:p>
      <w:pPr>
        <w:ind w:right="620" w:firstLine="439"/>
        <w:spacing w:after="0" w:line="275" w:lineRule="auto"/>
        <w:rPr>
          <w:sz w:val="20"/>
          <w:szCs w:val="20"/>
          <w:color w:val="auto"/>
        </w:rPr>
      </w:pPr>
      <w:r>
        <w:rPr>
          <w:rFonts w:ascii="Times New Roman" w:cs="Times New Roman" w:eastAsia="Times New Roman" w:hAnsi="Times New Roman"/>
          <w:sz w:val="18"/>
          <w:szCs w:val="18"/>
          <w:color w:val="auto"/>
        </w:rPr>
        <w:t>Pursuant to the agreement, Thermo Funding Company will be required to purchase shares of our Series A common stock (in minimum amounts of $5.0 million) as may be necessary:</w:t>
      </w:r>
    </w:p>
    <w:p>
      <w:pPr>
        <w:spacing w:after="0" w:line="187"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us to comply with the minimum liquidity and forward fixed charge coverage ratio tests of our credit agreement as described above;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 default in payment of regularly scheduled principal or interest under our credit agreement;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us to meet the milestone tests in our credit agreement.</w:t>
      </w:r>
    </w:p>
    <w:p>
      <w:pPr>
        <w:spacing w:after="0" w:line="225" w:lineRule="exact"/>
        <w:rPr>
          <w:sz w:val="20"/>
          <w:szCs w:val="20"/>
          <w:color w:val="auto"/>
        </w:rPr>
      </w:pPr>
    </w:p>
    <w:p>
      <w:pPr>
        <w:ind w:right="200" w:firstLine="436"/>
        <w:spacing w:after="0" w:line="256" w:lineRule="auto"/>
        <w:rPr>
          <w:sz w:val="20"/>
          <w:szCs w:val="20"/>
          <w:color w:val="auto"/>
        </w:rPr>
      </w:pPr>
      <w:r>
        <w:rPr>
          <w:rFonts w:ascii="Times New Roman" w:cs="Times New Roman" w:eastAsia="Times New Roman" w:hAnsi="Times New Roman"/>
          <w:sz w:val="18"/>
          <w:szCs w:val="18"/>
          <w:color w:val="auto"/>
        </w:rPr>
        <w:t>Thermo Funding Company may elect at any time to purchase any unpurchased Series A common stock at approximately $16.17 per share subject to its obligations under the irrevocable standby stock purchase agreement. The agreement terminates on the earliest of December 31, 2011, our payment in full of all obligations under the credit agreement or Thermo Funding Company's purchase of all of our Series A common stock subject to its obligations under the agreement. Pursuant to the agreement, on June 30, 2006, Thermo Funding Company purchased 927,840 shares of our Series A common stock for an aggregate purchase price of $15.0 million.</w:t>
      </w:r>
    </w:p>
    <w:p>
      <w:pPr>
        <w:spacing w:after="0" w:line="193" w:lineRule="exact"/>
        <w:rPr>
          <w:sz w:val="20"/>
          <w:szCs w:val="20"/>
          <w:color w:val="auto"/>
        </w:rPr>
      </w:pPr>
    </w:p>
    <w:p>
      <w:pPr>
        <w:ind w:right="100" w:firstLine="429"/>
        <w:spacing w:after="0" w:line="258" w:lineRule="auto"/>
        <w:rPr>
          <w:sz w:val="20"/>
          <w:szCs w:val="20"/>
          <w:color w:val="auto"/>
        </w:rPr>
      </w:pPr>
      <w:r>
        <w:rPr>
          <w:rFonts w:ascii="Times New Roman" w:cs="Times New Roman" w:eastAsia="Times New Roman" w:hAnsi="Times New Roman"/>
          <w:sz w:val="18"/>
          <w:szCs w:val="18"/>
          <w:color w:val="auto"/>
        </w:rPr>
        <w:t>As we were required to do by the pre-emptive rights provisions contained in our then current certificate of incorporation, we offered existing stockholders who are accredited investors as defined under the Securities Act the opportunity to participate in the transactions contemplated by the standby stock purchase agreement on a pro rata basis on substantially the same terms as Thermo Funding Company, except that stockholders are not subject to the escrow requirements described above. These stockholders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are entitled to purchase up to 2,988,990 additional shares of our Series A common stock at approximately $16.17 per share in the pre-emptive rights offering.</w:t>
      </w:r>
    </w:p>
    <w:p>
      <w:pPr>
        <w:spacing w:after="0" w:line="225" w:lineRule="exact"/>
        <w:rPr>
          <w:sz w:val="20"/>
          <w:szCs w:val="20"/>
          <w:color w:val="auto"/>
        </w:rPr>
      </w:pPr>
    </w:p>
    <w:p>
      <w:pPr>
        <w:jc w:val="both"/>
        <w:ind w:right="80" w:firstLine="436"/>
        <w:spacing w:after="0" w:line="310" w:lineRule="auto"/>
        <w:rPr>
          <w:sz w:val="20"/>
          <w:szCs w:val="20"/>
          <w:color w:val="auto"/>
        </w:rPr>
      </w:pPr>
      <w:r>
        <w:rPr>
          <w:rFonts w:ascii="Times New Roman" w:cs="Times New Roman" w:eastAsia="Times New Roman" w:hAnsi="Times New Roman"/>
          <w:sz w:val="16"/>
          <w:szCs w:val="16"/>
          <w:color w:val="auto"/>
        </w:rPr>
        <w:t>We plan to use the proceeds from our amended and restated credit agreement and the irrevocable standby stock purchase agreement, cash generated by our business and proceeds from other equity sales or debt financings to fund the procurement and launch of our second-generation satellite constellation, upgrades to our gateways and other ground facilities and the launch of eight spare satellites to augment our current constellation, as well as for general corporate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60" w:firstLine="439"/>
        <w:spacing w:after="0" w:line="253" w:lineRule="auto"/>
        <w:rPr>
          <w:sz w:val="20"/>
          <w:szCs w:val="20"/>
          <w:color w:val="auto"/>
        </w:rPr>
      </w:pPr>
      <w:r>
        <w:rPr>
          <w:rFonts w:ascii="Times New Roman" w:cs="Times New Roman" w:eastAsia="Times New Roman" w:hAnsi="Times New Roman"/>
          <w:sz w:val="18"/>
          <w:szCs w:val="18"/>
          <w:color w:val="auto"/>
        </w:rPr>
        <w:t>During 2004, 2005 and the six months ended June 30, 2006, we purchased $25.7 million, $49.3 million and $28.0 million, respectively, of mobile phones, services and other equipment under various commercial agreements with QUALCOMM. At June 30, 2006, we had a remaining commitment to purchase $123.1 million of equipment from QUALCOMM, which included $18.7 million of inventory advances. We believe the long-term equipment contract with QUALCOMM is necessary to obtain the best possible pricing for the development and purchase of our second-generation of handsets and accessories. Based on our long term growth predictions, we do not anticipate there will be a significant excess of equipment in the next few years. Also, we do not anticipate any obsolescence issues with unsold equipment prior to 2009. The satellite handset technology/innovation does not change as rapidly as a more standardized consumer product such as cellular phones and accessories. Our current handset has been unchanged and in service since our inception of commercial service six years ago, and demand for it still remains strong. Our second-generation handset will be smaller and contain more features; accordingly, we anticipate that demand for it also will be strong over a multi-year period. We expect to fund this remaining commitment from our working capital and funds generated by our operations. We do not intend to use any of the net proceeds from this offering for this purpose. See "Certain Relationships and Related Party Transactions—Loral and QUALCOMM Settlements" and "—Purchases from QUALCOMM."</w:t>
      </w:r>
    </w:p>
    <w:p>
      <w:pPr>
        <w:spacing w:after="0" w:line="193" w:lineRule="exact"/>
        <w:rPr>
          <w:sz w:val="20"/>
          <w:szCs w:val="20"/>
          <w:color w:val="auto"/>
        </w:rPr>
      </w:pPr>
    </w:p>
    <w:p>
      <w:pPr>
        <w:jc w:val="both"/>
        <w:ind w:right="140" w:firstLine="439"/>
        <w:spacing w:after="0" w:line="285" w:lineRule="auto"/>
        <w:rPr>
          <w:sz w:val="20"/>
          <w:szCs w:val="20"/>
          <w:color w:val="auto"/>
        </w:rPr>
      </w:pPr>
      <w:r>
        <w:rPr>
          <w:rFonts w:ascii="Times New Roman" w:cs="Times New Roman" w:eastAsia="Times New Roman" w:hAnsi="Times New Roman"/>
          <w:sz w:val="16"/>
          <w:szCs w:val="16"/>
          <w:color w:val="auto"/>
        </w:rPr>
        <w:t>On June 1, 2004, we entered into a master services agreement with Space Systems/Loral, Inc. providing for various services related to preparing our eight spare satellites for launch. Specific services provided under the agreement are governed by individual task orders whereby we agree on who will be responsible for providing services and authorize funding for each project. We make payments to Space Systems/Loral when invoices are received. As of June 30, 2006, we had authorized Space Systems/Loral, Inc. to spend up to approximately $19.0 million related to this agreement and related task orders, and approximately</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$5.0 million of those charges have been paid. The agreement renews annually for up to 10 years unless terminated earlier. We may terminate the agreement upon 30-days notice and any task order upon 10-days notice. Upon termination, we must pay for any costs related to services performed through termination and the 10-day transition period thereafter. Those costs may not exceed the amount previously authorized by us. We and Space Systems/Loral may terminate the agreement upon any uncured material breach of the terms of the agreement or any task order. We are currently engaged in litigation with an affiliate of Loral as described under "Business—Legal Proceedings."</w:t>
      </w:r>
    </w:p>
    <w:p>
      <w:pPr>
        <w:spacing w:after="0" w:line="19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On September 19, 2005, we executed a contract with Starsem providing for Starsem to launch our eight spare satellites in two launches of four satellites each. The contract also provides for a compatibility and feasibility study and certain post-launch services. Currently, the launches are scheduled to occur in the first half of 2007. We and Starsem have the right to postpone and reschedule the launches. Prolonged delays could cause us to pay additional fees to Starsem if we postpone. If Starsem postpones, we may be eligible to defer payments. Starsem is providing general liability insurance at no cost to us covering third party injuries caused by our activities or by Starsem and our respective associates at the launch site, and for any property loss or bodily injury caused by the launch vehicle, our satellites or any components for a limited period of time. As of June 30, 2006, we had incurred approximately $47.5 million in obligations to Starsem under the contract. Full payment under the contract will be made in Euros by April 2007. We will be subject to interest charges at a bank base rate plus three percent for any late payments. If we do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0" w:name="page71"/>
    <w:bookmarkEnd w:id="70"/>
    <w:p>
      <w:pPr>
        <w:ind w:right="40"/>
        <w:spacing w:after="0" w:line="258" w:lineRule="auto"/>
        <w:rPr>
          <w:sz w:val="20"/>
          <w:szCs w:val="20"/>
          <w:color w:val="auto"/>
        </w:rPr>
      </w:pPr>
      <w:r>
        <w:rPr>
          <w:rFonts w:ascii="Times New Roman" w:cs="Times New Roman" w:eastAsia="Times New Roman" w:hAnsi="Times New Roman"/>
          <w:sz w:val="18"/>
          <w:szCs w:val="18"/>
          <w:color w:val="auto"/>
        </w:rPr>
        <w:t>not cure non-payments after notice, Starsem may reschedule a launch and ultimately terminate the agreement. If Starsem terminates the agreement, Starsem may keep certain termination fee amounts. We have the right to terminate the agreement for any reason, but terminations not for cause are subject to a termination fee. We estimate that the total cost of completing, testing and launching our eight spare satellites (including launch insurance) will be approximately $110.0 million, including payments to Starsem.</w:t>
      </w:r>
    </w:p>
    <w:p>
      <w:pPr>
        <w:spacing w:after="0" w:line="190" w:lineRule="exact"/>
        <w:rPr>
          <w:sz w:val="20"/>
          <w:szCs w:val="20"/>
          <w:color w:val="auto"/>
        </w:rPr>
      </w:pPr>
    </w:p>
    <w:p>
      <w:pPr>
        <w:ind w:right="100" w:firstLine="439"/>
        <w:spacing w:after="0" w:line="262" w:lineRule="auto"/>
        <w:rPr>
          <w:sz w:val="20"/>
          <w:szCs w:val="20"/>
          <w:color w:val="auto"/>
        </w:rPr>
      </w:pPr>
      <w:r>
        <w:rPr>
          <w:rFonts w:ascii="Times New Roman" w:cs="Times New Roman" w:eastAsia="Times New Roman" w:hAnsi="Times New Roman"/>
          <w:sz w:val="18"/>
          <w:szCs w:val="18"/>
          <w:color w:val="auto"/>
        </w:rPr>
        <w:t>Pursuant to a memorandum dated as of June 1, 2005, we agreed to provide supplemental incentive compensation to certain of our executive officers in the form of cash bonuses which, upon the fulfillment of certain conditions, may aggregate up to $30.0 million. In 2005 we accrued $1.9 million in compensation expense with respect to this plan. See "Management—Executive Incentive Compensation Plan."</w:t>
      </w:r>
    </w:p>
    <w:p>
      <w:pPr>
        <w:spacing w:after="0" w:line="186"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Pursuant to our agreement for the purchase of our Central American gateway, we are obligated either to redeem our common stock issued in the transaction for $5.2 million in cash or to issue additional shares of our common stock or cash to the sellers if the value of our common stock issued in the transaction is less than $5.2 million on a designated date. See Note 17 to our Consolidated Financial Statements "Six Months 2006 Events (Unaudited)—</w:t>
      </w:r>
      <w:r>
        <w:rPr>
          <w:rFonts w:ascii="Times New Roman" w:cs="Times New Roman" w:eastAsia="Times New Roman" w:hAnsi="Times New Roman"/>
          <w:sz w:val="18"/>
          <w:szCs w:val="18"/>
          <w:i w:val="1"/>
          <w:iCs w:val="1"/>
          <w:color w:val="auto"/>
        </w:rPr>
        <w:t>Globalstar Americas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LTD."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Long-term obligations at June 30, 2006, assuming the borrowing of $100.0 million in delayed draw term loans under our credit agreement,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5 Years</w:t>
            </w:r>
          </w:p>
        </w:tc>
        <w:tc>
          <w:tcPr>
            <w:tcW w:w="2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bottom w:val="single" w:sz="8" w:color="808080"/>
            </w:tcBorders>
            <w:gridSpan w:val="2"/>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obligations(1)(2)</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(finance) obligations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obligations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83,155</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291,251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-1609090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-1609090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-1609090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-1609090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-1609090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-1609090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-1609090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-1609090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-1609090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-1609090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-1609090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-477520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-477520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-477520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-477520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-477520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-477520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-477520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-477520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260" w:hanging="532"/>
        <w:spacing w:after="0" w:line="26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interest on debt obligations. Substantially all of our debt bears interest at a floating rate and, accordingly, we are unable to predict interests costs in future years. In addition, future interest costs will depend on the outstanding balance from time to time of the revolving credit facility under our credit agreement and the date on which we borrow the delayed draw term loan. See "Credit Agreement" above.</w:t>
      </w:r>
    </w:p>
    <w:p>
      <w:pPr>
        <w:spacing w:after="0" w:line="213" w:lineRule="exact"/>
        <w:rPr>
          <w:rFonts w:ascii="Times New Roman" w:cs="Times New Roman" w:eastAsia="Times New Roman" w:hAnsi="Times New Roman"/>
          <w:sz w:val="18"/>
          <w:szCs w:val="18"/>
          <w:color w:val="auto"/>
        </w:rPr>
      </w:pPr>
    </w:p>
    <w:p>
      <w:pPr>
        <w:ind w:left="540" w:right="20" w:hanging="532"/>
        <w:spacing w:after="0" w:line="289"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indebtedness under our credit agreement may be accelerated by the lenders upon an event of default. See "—Liquidity and Capital Resources— Credit Agreement." Events of default under the credit agreement include default under a hedging agreement where the termination value exceeds</w:t>
      </w:r>
    </w:p>
    <w:p>
      <w:pPr>
        <w:spacing w:after="0" w:line="1" w:lineRule="exact"/>
        <w:rPr>
          <w:rFonts w:ascii="Times New Roman" w:cs="Times New Roman" w:eastAsia="Times New Roman" w:hAnsi="Times New Roman"/>
          <w:sz w:val="16"/>
          <w:szCs w:val="16"/>
          <w:color w:val="auto"/>
        </w:rPr>
      </w:pPr>
    </w:p>
    <w:p>
      <w:pPr>
        <w:ind w:left="540" w:right="2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 million and default under other indebtedness with a principal amount exceeding $5.0 million. Currently, we have no other indebtedness exceeding $5.0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to Thermo</w:t>
      </w:r>
    </w:p>
    <w:p>
      <w:pPr>
        <w:spacing w:after="0" w:line="229"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operating agreement of Globalstar LLC required that we distribute $685,848 to Thermo at the time of our conversion to a Delaware corporation, which occurred on March 17, 2006. This amount represents a deferred payment of interest that accrued from December 6, 2003 to April 14, 2004 on loans made by Thermo to us that were converted to equity on April 14, 2004. In connection with the negotiation of our credit agreement, Thermo agreed to defer receipt of this payment until we complete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this offering. Accordingly, as permitted by our credit agreement, we will distribute the $685,848 to Thermo immediately upon completion of this offering.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Regarding Market Risk</w:t>
      </w:r>
    </w:p>
    <w:p>
      <w:pPr>
        <w:spacing w:after="0" w:line="227"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Our services and products are sold, distributed or available in over 120 countries. Our international sales are made primarily in U.S. dollars, Canadian dollars and Euros. In some cases insufficient supplies of U.S. currency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However, our credit agreement requires us to do so on terms reasonably acceptable to the administrative agent not later than 90 days after the end of any quarter in which more than 25% of our revenue is originally denominated in a single currency other than U.S. or Canadian dollars.</w:t>
      </w:r>
    </w:p>
    <w:p>
      <w:pPr>
        <w:spacing w:after="0" w:line="193" w:lineRule="exact"/>
        <w:rPr>
          <w:sz w:val="20"/>
          <w:szCs w:val="20"/>
          <w:color w:val="auto"/>
        </w:rPr>
      </w:pPr>
    </w:p>
    <w:p>
      <w:pPr>
        <w:ind w:right="620" w:firstLine="429"/>
        <w:spacing w:after="0" w:line="275" w:lineRule="auto"/>
        <w:rPr>
          <w:sz w:val="20"/>
          <w:szCs w:val="20"/>
          <w:color w:val="auto"/>
        </w:rPr>
      </w:pPr>
      <w:r>
        <w:rPr>
          <w:rFonts w:ascii="Times New Roman" w:cs="Times New Roman" w:eastAsia="Times New Roman" w:hAnsi="Times New Roman"/>
          <w:sz w:val="18"/>
          <w:szCs w:val="18"/>
          <w:color w:val="auto"/>
        </w:rPr>
        <w:t>As discussed in "Contractual Obligations and Commitments," we have entered into a contract with Starsem to launch our eight spare satellites. Our obligations under the Starsem contract are denominated in Euros.</w:t>
      </w:r>
    </w:p>
    <w:p>
      <w:pPr>
        <w:spacing w:after="0" w:line="174" w:lineRule="exact"/>
        <w:rPr>
          <w:sz w:val="20"/>
          <w:szCs w:val="20"/>
          <w:color w:val="auto"/>
        </w:rPr>
      </w:pPr>
    </w:p>
    <w:p>
      <w:pPr>
        <w:ind w:firstLine="439"/>
        <w:spacing w:after="0" w:line="287" w:lineRule="auto"/>
        <w:rPr>
          <w:sz w:val="20"/>
          <w:szCs w:val="20"/>
          <w:color w:val="auto"/>
        </w:rPr>
      </w:pPr>
      <w:r>
        <w:rPr>
          <w:rFonts w:ascii="Times New Roman" w:cs="Times New Roman" w:eastAsia="Times New Roman" w:hAnsi="Times New Roman"/>
          <w:sz w:val="16"/>
          <w:szCs w:val="16"/>
          <w:color w:val="auto"/>
        </w:rPr>
        <w:t>Our interest rate risk arises from our variable rate debt under our credit agreement, under which loans bear interest at a floating rate based on the U.S. prime rate or LIBOR. Assuming that we borrowed the entire $150.0 million in revolving and term debt available under our credit agreement, and without giving effect to the hedging arrangement described in the next sentence, a 1.0% change in interest rates would result in a change to interest expense of approximately</w:t>
      </w:r>
    </w:p>
    <w:p>
      <w:pPr>
        <w:spacing w:after="0" w:line="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$1.5 million annually. To hedge a portion of our interest rate risk, we have entered into a five-year swap agreement with respect to a $100.0 million notional amount at a fixed rate of 5.59%.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 material off-balance sheet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 xml:space="preserve">In November 2004, the Financial Accounting Standards Board (the "FASB") issued Statement of Financing Accounting Standard ("SFAS") No. 151, </w:t>
      </w:r>
      <w:r>
        <w:rPr>
          <w:rFonts w:ascii="Times New Roman" w:cs="Times New Roman" w:eastAsia="Times New Roman" w:hAnsi="Times New Roman"/>
          <w:sz w:val="18"/>
          <w:szCs w:val="18"/>
          <w:i w:val="1"/>
          <w:iCs w:val="1"/>
          <w:color w:val="auto"/>
        </w:rPr>
        <w:t>Inventory Costs</w:t>
      </w:r>
      <w:r>
        <w:rPr>
          <w:rFonts w:ascii="Times New Roman" w:cs="Times New Roman" w:eastAsia="Times New Roman" w:hAnsi="Times New Roman"/>
          <w:sz w:val="18"/>
          <w:szCs w:val="18"/>
          <w:color w:val="auto"/>
        </w:rPr>
        <w:t>, which amended the guidance in ARB No. 43, Chapter 4,</w:t>
      </w:r>
      <w:r>
        <w:rPr>
          <w:rFonts w:ascii="Times New Roman" w:cs="Times New Roman" w:eastAsia="Times New Roman" w:hAnsi="Times New Roman"/>
          <w:sz w:val="18"/>
          <w:szCs w:val="18"/>
          <w:i w:val="1"/>
          <w:iCs w:val="1"/>
          <w:color w:val="auto"/>
        </w:rPr>
        <w:t xml:space="preserve"> Inventory Pricing</w:t>
      </w:r>
      <w:r>
        <w:rPr>
          <w:rFonts w:ascii="Times New Roman" w:cs="Times New Roman" w:eastAsia="Times New Roman" w:hAnsi="Times New Roman"/>
          <w:sz w:val="18"/>
          <w:szCs w:val="18"/>
          <w:color w:val="auto"/>
        </w:rPr>
        <w:t>, to clarify the accounting for abnormal amounts of idle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We will adopt SFAS No. 151 effective January 1, 2007. We have determined that the adoption of the statement will not have a material effect on our financial statements.</w:t>
      </w:r>
    </w:p>
    <w:p>
      <w:pPr>
        <w:spacing w:after="0" w:line="193" w:lineRule="exact"/>
        <w:rPr>
          <w:sz w:val="20"/>
          <w:szCs w:val="20"/>
          <w:color w:val="auto"/>
        </w:rPr>
      </w:pPr>
    </w:p>
    <w:p>
      <w:pPr>
        <w:ind w:firstLine="439"/>
        <w:spacing w:after="0" w:line="297" w:lineRule="auto"/>
        <w:rPr>
          <w:sz w:val="20"/>
          <w:szCs w:val="20"/>
          <w:color w:val="auto"/>
        </w:rPr>
      </w:pPr>
      <w:r>
        <w:rPr>
          <w:rFonts w:ascii="Times New Roman" w:cs="Times New Roman" w:eastAsia="Times New Roman" w:hAnsi="Times New Roman"/>
          <w:sz w:val="16"/>
          <w:szCs w:val="16"/>
          <w:color w:val="auto"/>
        </w:rPr>
        <w:t xml:space="preserve">In December 2004, the FASB issued SFAS No. 153, </w:t>
      </w:r>
      <w:r>
        <w:rPr>
          <w:rFonts w:ascii="Times New Roman" w:cs="Times New Roman" w:eastAsia="Times New Roman" w:hAnsi="Times New Roman"/>
          <w:sz w:val="16"/>
          <w:szCs w:val="16"/>
          <w:i w:val="1"/>
          <w:iCs w:val="1"/>
          <w:color w:val="auto"/>
        </w:rPr>
        <w:t>Exchanges of Nonmonetary Assets an amendment of APB Opinion No. 29</w:t>
      </w:r>
      <w:r>
        <w:rPr>
          <w:rFonts w:ascii="Times New Roman" w:cs="Times New Roman" w:eastAsia="Times New Roman" w:hAnsi="Times New Roman"/>
          <w:sz w:val="16"/>
          <w:szCs w:val="16"/>
          <w:color w:val="auto"/>
        </w:rPr>
        <w:t>.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exchanges occurring in the fiscal periods beginning after June 15, 2005. We have completed our evaluation of SFAS No. 153 and have determined that it does not have a material effect on our financial statements.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2" w:name="page73"/>
    <w:bookmarkEnd w:id="72"/>
    <w:p>
      <w:pPr>
        <w:ind w:right="420" w:firstLine="439"/>
        <w:spacing w:after="0" w:line="259"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We adopted SFAS No. 123R effective January 1, 2006 and do not expect the adoption to have a material effect on our financial statements.</w:t>
      </w:r>
    </w:p>
    <w:p>
      <w:pPr>
        <w:spacing w:after="0" w:line="187" w:lineRule="exact"/>
        <w:rPr>
          <w:sz w:val="20"/>
          <w:szCs w:val="20"/>
          <w:color w:val="auto"/>
        </w:rPr>
      </w:pPr>
    </w:p>
    <w:p>
      <w:pPr>
        <w:ind w:right="140" w:firstLine="439"/>
        <w:spacing w:after="0" w:line="257" w:lineRule="auto"/>
        <w:rPr>
          <w:sz w:val="20"/>
          <w:szCs w:val="20"/>
          <w:color w:val="auto"/>
        </w:rPr>
      </w:pPr>
      <w:r>
        <w:rPr>
          <w:rFonts w:ascii="Times New Roman" w:cs="Times New Roman" w:eastAsia="Times New Roman" w:hAnsi="Times New Roman"/>
          <w:sz w:val="18"/>
          <w:szCs w:val="18"/>
          <w:color w:val="auto"/>
        </w:rPr>
        <w:t xml:space="preserve">In March 2005, the FASB issued FASB Interpretation ("FIN") No. 47, </w:t>
      </w:r>
      <w:r>
        <w:rPr>
          <w:rFonts w:ascii="Times New Roman" w:cs="Times New Roman" w:eastAsia="Times New Roman" w:hAnsi="Times New Roman"/>
          <w:sz w:val="18"/>
          <w:szCs w:val="18"/>
          <w:i w:val="1"/>
          <w:iCs w:val="1"/>
          <w:color w:val="auto"/>
        </w:rPr>
        <w:t>Accounting for Conditional Asset Retirement Obligations</w:t>
      </w:r>
      <w:r>
        <w:rPr>
          <w:rFonts w:ascii="Times New Roman" w:cs="Times New Roman" w:eastAsia="Times New Roman" w:hAnsi="Times New Roman"/>
          <w:sz w:val="18"/>
          <w:szCs w:val="18"/>
          <w:color w:val="auto"/>
        </w:rPr>
        <w:t xml:space="preserve"> ("FIN No. 47"), which is effective no later than the end of fiscal years ending after December 15, 2005. FIN No. 47 clarifies the term conditional asset retirement obligation as used in SFAS No.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xml:space="preserve"> ("SFAS No. 143"). Conditional asset retirement obligation refers to a legal obligation to perform an asset retirement activity in which the timing and (or) method of settlement are conditional on a future event that may or may not be within the control of the entity. We do not expect the adoption of FIN No. 47 to have a material effect on our financial statements.</w:t>
      </w:r>
    </w:p>
    <w:p>
      <w:pPr>
        <w:spacing w:after="0" w:line="188"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 xml:space="preserve">In May 2005, the FASB issued SFAS No.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 between "retrospective application" of an accounting principle and the "restatement" of financial statements to reflect the correction of an error. SFAS No. 154 replaces Accounting Principles Bulletin ("APB") No. 20,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Changes </w:t>
      </w:r>
      <w:r>
        <w:rPr>
          <w:rFonts w:ascii="Times New Roman" w:cs="Times New Roman" w:eastAsia="Times New Roman" w:hAnsi="Times New Roman"/>
          <w:sz w:val="18"/>
          <w:szCs w:val="18"/>
          <w:color w:val="auto"/>
        </w:rPr>
        <w:t>("APB No. 20"), and SFAS No. 3,</w:t>
      </w:r>
      <w:r>
        <w:rPr>
          <w:rFonts w:ascii="Times New Roman" w:cs="Times New Roman" w:eastAsia="Times New Roman" w:hAnsi="Times New Roman"/>
          <w:sz w:val="18"/>
          <w:szCs w:val="18"/>
          <w:i w:val="1"/>
          <w:iCs w:val="1"/>
          <w:color w:val="auto"/>
        </w:rPr>
        <w:t xml:space="preserve"> Reporting Accounting Changes in Interim Financial Statements</w:t>
      </w:r>
      <w:r>
        <w:rPr>
          <w:rFonts w:ascii="Times New Roman" w:cs="Times New Roman" w:eastAsia="Times New Roman" w:hAnsi="Times New Roman"/>
          <w:sz w:val="18"/>
          <w:szCs w:val="18"/>
          <w:color w:val="auto"/>
        </w:rPr>
        <w:t>. APB No. 20 previously required that most 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We do not expect the adoption of SFAS No. 154 to have a material effect on our financial statements.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 xml:space="preserve">In February 2006, the FASB issued SFAS No. 155, </w:t>
      </w:r>
      <w:r>
        <w:rPr>
          <w:rFonts w:ascii="Times New Roman" w:cs="Times New Roman" w:eastAsia="Times New Roman" w:hAnsi="Times New Roman"/>
          <w:sz w:val="16"/>
          <w:szCs w:val="16"/>
          <w:i w:val="1"/>
          <w:iCs w:val="1"/>
          <w:color w:val="auto"/>
        </w:rPr>
        <w:t>Accounting for Certain Hybrid Financial Instruments</w:t>
      </w:r>
      <w:r>
        <w:rPr>
          <w:rFonts w:ascii="Times New Roman" w:cs="Times New Roman" w:eastAsia="Times New Roman" w:hAnsi="Times New Roman"/>
          <w:sz w:val="16"/>
          <w:szCs w:val="16"/>
          <w:color w:val="auto"/>
        </w:rPr>
        <w:t>—an amendment of FASB Statements No. 133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Accounting for Derivative Instruments and Hedging Activities</w:t>
      </w:r>
      <w:r>
        <w:rPr>
          <w:rFonts w:ascii="Times New Roman" w:cs="Times New Roman" w:eastAsia="Times New Roman" w:hAnsi="Times New Roman"/>
          <w:sz w:val="16"/>
          <w:szCs w:val="16"/>
          <w:color w:val="auto"/>
        </w:rPr>
        <w:t>) and No. 140 (</w:t>
      </w:r>
      <w:r>
        <w:rPr>
          <w:rFonts w:ascii="Times New Roman" w:cs="Times New Roman" w:eastAsia="Times New Roman" w:hAnsi="Times New Roman"/>
          <w:sz w:val="16"/>
          <w:szCs w:val="16"/>
          <w:i w:val="1"/>
          <w:iCs w:val="1"/>
          <w:color w:val="auto"/>
        </w:rPr>
        <w:t>Accounting for Transfers and Servicing of Financial Assets and Extinguishments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which permits fair value remeasurement for any hybrid financial instrument that contains an embedded derivative that otherwise would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bifurcation. In addition, SFAS No. 155 establishes a requirement to evaluate interests in securitized financial assets to identify interests that are freestanding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derivatives or that are hybrid financial instruments that contain an embedded derivative requiring bifurcation under the requirements of Statement No. 133.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Statement will be effective for all financial instruments acquired or issued after the beginning of an entity's first fiscal year that begins after September 15, 2006.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adopt this Statement effective January 1, 2007. Based on our current evaluation of this Statement, we do not expect the adoption of SFAS No. 155 to have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effect on our financial statements.</w:t>
      </w:r>
    </w:p>
    <w:p>
      <w:pPr>
        <w:spacing w:after="0" w:line="211"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 xml:space="preserve">In March 2006, the FASB issued SFAS No. 156, </w:t>
      </w:r>
      <w:r>
        <w:rPr>
          <w:rFonts w:ascii="Times New Roman" w:cs="Times New Roman" w:eastAsia="Times New Roman" w:hAnsi="Times New Roman"/>
          <w:sz w:val="18"/>
          <w:szCs w:val="18"/>
          <w:i w:val="1"/>
          <w:iCs w:val="1"/>
          <w:color w:val="auto"/>
        </w:rPr>
        <w:t>Accounting for Servicing of Financial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 amendment of FASB Statement No. 140</w:t>
      </w:r>
      <w:r>
        <w:rPr>
          <w:rFonts w:ascii="Times New Roman" w:cs="Times New Roman" w:eastAsia="Times New Roman" w:hAnsi="Times New Roman"/>
          <w:sz w:val="18"/>
          <w:szCs w:val="18"/>
          <w:color w:val="auto"/>
        </w:rPr>
        <w:t xml:space="preserve">. This Statement amends FASB Statement No. 140, </w:t>
      </w:r>
      <w:r>
        <w:rPr>
          <w:rFonts w:ascii="Times New Roman" w:cs="Times New Roman" w:eastAsia="Times New Roman" w:hAnsi="Times New Roman"/>
          <w:sz w:val="18"/>
          <w:szCs w:val="18"/>
          <w:i w:val="1"/>
          <w:iCs w:val="1"/>
          <w:color w:val="auto"/>
        </w:rPr>
        <w:t>Accounting for Transfers and Servicing of Financial Assets and Extinguishments of Liabilities</w:t>
      </w:r>
      <w:r>
        <w:rPr>
          <w:rFonts w:ascii="Times New Roman" w:cs="Times New Roman" w:eastAsia="Times New Roman" w:hAnsi="Times New Roman"/>
          <w:sz w:val="18"/>
          <w:szCs w:val="18"/>
          <w:color w:val="auto"/>
        </w:rPr>
        <w:t>, with respect to the accounting for separately recognized servicing assets and servicing liabilities. This Statement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This Statement will be effective as of the beginning of an entity's first fiscal year that begins after September 15, 2006. We will adopt this Statement effective January 1, 2007. Based on our current evaluation of this Statement, we do not expect the adoption of SFAS No. 156 to have a material effect on our financial statements.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We are a leading provider of mobile voice and data communications services via satellite. Based on information provided by Northern Sky Research as to the size of the global market, in 2005 we had an estimated 10.2% share of global subscribers in the mobile satellite services industry. By providing wireless services where terrestrial wireless and wireline networks do not, we seek to address the increasing desire by customers for connectivity and reliable service at all times and locations. Using 43 in-orbit satellites and 25 ground stations, which we refer to as gateways, we offer voice and data communications services to government agencies, businesses and other customers in over 120 countries. Sixteen of these gateways are operated by unaffiliated companies, which we refer to as independent gateway operators, that purchase communications services from us on a wholesale basis for resale to their customers.</w:t>
      </w:r>
    </w:p>
    <w:p>
      <w:pPr>
        <w:spacing w:after="0" w:line="193" w:lineRule="exact"/>
        <w:rPr>
          <w:sz w:val="20"/>
          <w:szCs w:val="20"/>
          <w:color w:val="auto"/>
        </w:rPr>
      </w:pPr>
    </w:p>
    <w:p>
      <w:pPr>
        <w:ind w:right="40" w:firstLine="429"/>
        <w:spacing w:after="0" w:line="254" w:lineRule="auto"/>
        <w:rPr>
          <w:sz w:val="20"/>
          <w:szCs w:val="20"/>
          <w:color w:val="auto"/>
        </w:rPr>
      </w:pPr>
      <w:r>
        <w:rPr>
          <w:rFonts w:ascii="Times New Roman" w:cs="Times New Roman" w:eastAsia="Times New Roman" w:hAnsi="Times New Roman"/>
          <w:sz w:val="18"/>
          <w:szCs w:val="18"/>
          <w:color w:val="auto"/>
        </w:rPr>
        <w:t>At June 30, 2006, we served approximately 236,500 subscribers, which represented a 50% increase since June 30, 2005. We believe the heightened demand for reliable communications services, particularly in the wake of the September 11, 2001 terrorist attacks, the December 2004 Asian tsunami and the U.S. Gulf Coast hurricane activity in 2004 and 2005, will continue to drive our strong growth in sales of both voice and data services. We have a diverse customer base, including the government (including federal, state and local agencies), public safety and disaster relief; recreation and personal; maritime and fishing; business, financial and insurance; natural resources, mining and forestry; oil and gas; construction; utilities; and transportation sectors, which we refer to as our vertical markets. According to Gartner, we are one of the two key mobile satellite services providers whose networks can deliver voice and data communication services over most of the world's landmass.</w:t>
      </w:r>
    </w:p>
    <w:p>
      <w:pPr>
        <w:spacing w:after="0" w:line="195"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We believe that our distribution network provides broad coverage over our target customer base. We utilize a large network of dealers and agents, including over 850 in territories we serve directly. We also use resellers, including independent gateway operators, to sell the full range of our voice and data products and services, including our Simplex one-way data transmission services, in markets where we do not market directly.</w:t>
      </w:r>
    </w:p>
    <w:p>
      <w:pPr>
        <w:spacing w:after="0" w:line="186" w:lineRule="exact"/>
        <w:rPr>
          <w:sz w:val="20"/>
          <w:szCs w:val="20"/>
          <w:color w:val="auto"/>
        </w:rPr>
      </w:pPr>
    </w:p>
    <w:p>
      <w:pPr>
        <w:ind w:right="160" w:firstLine="43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2005 and the six months ended June 30, 2006, our average monthly revenue per user was $68.10 and $57.52 for retail subscribers, respectively, compared to $67.93 and $66.88 for 2004 and the six months ended June 30, 2005. For both the year ended December 31, 2005 and the six months ended June 30, 2006, our cost per gross addition (our cost of obtaining a new subscriber) was approximately $248, compared to $230 and $334 for 2004 and the six months ended June 30, 2005.</w:t>
      </w:r>
    </w:p>
    <w:p>
      <w:pPr>
        <w:spacing w:after="0" w:line="190"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We believe that we offer our customers higher quality voice and data services at a lower price than our principal mobile satellite services competitors. We also believe that the quality and price of our services have contributed to our low average monthly customer turnover, or churn rate, of approximately 1.3% during the year ended December 31, 2005 and 1.1% for the six months ended June 30, 2006 compared to the average monthly churn rate for the top four U.S. wireless carriers of approximately 2.1% for 2005.</w:t>
      </w:r>
    </w:p>
    <w:p>
      <w:pPr>
        <w:spacing w:after="0" w:line="190" w:lineRule="exact"/>
        <w:rPr>
          <w:sz w:val="20"/>
          <w:szCs w:val="20"/>
          <w:color w:val="auto"/>
        </w:rPr>
      </w:pPr>
    </w:p>
    <w:p>
      <w:pPr>
        <w:ind w:right="660" w:firstLine="436"/>
        <w:spacing w:after="0" w:line="339" w:lineRule="auto"/>
        <w:rPr>
          <w:sz w:val="20"/>
          <w:szCs w:val="20"/>
          <w:color w:val="auto"/>
        </w:rPr>
      </w:pPr>
      <w:r>
        <w:rPr>
          <w:rFonts w:ascii="Times New Roman" w:cs="Times New Roman" w:eastAsia="Times New Roman" w:hAnsi="Times New Roman"/>
          <w:sz w:val="16"/>
          <w:szCs w:val="16"/>
          <w:color w:val="auto"/>
        </w:rPr>
        <w:t>We hold licenses to operate a wireless communications network via satellites over 27.85 MHz, comprised of two blocks of contiguous global radio frequencies. We believe our large blocks of spectrum will permit us to capitalize on existing and emerging wireless and broadcast applications globally.</w:t>
      </w:r>
    </w:p>
    <w:p>
      <w:pPr>
        <w:spacing w:after="0" w:line="128" w:lineRule="exact"/>
        <w:rPr>
          <w:sz w:val="20"/>
          <w:szCs w:val="20"/>
          <w:color w:val="auto"/>
        </w:rPr>
      </w:pPr>
    </w:p>
    <w:p>
      <w:pPr>
        <w:ind w:right="260" w:firstLine="436"/>
        <w:spacing w:after="0" w:line="301" w:lineRule="auto"/>
        <w:rPr>
          <w:sz w:val="20"/>
          <w:szCs w:val="20"/>
          <w:color w:val="auto"/>
        </w:rPr>
      </w:pPr>
      <w:r>
        <w:rPr>
          <w:rFonts w:ascii="Times New Roman" w:cs="Times New Roman" w:eastAsia="Times New Roman" w:hAnsi="Times New Roman"/>
          <w:sz w:val="16"/>
          <w:szCs w:val="16"/>
          <w:color w:val="auto"/>
        </w:rPr>
        <w:t>We are licensed by the FCC to provide ATC services in combination with our existing communication services. Currently, our ATC license permits us to use 11 MHz of our licensed spectrum to combine our satellite-based communications network with a terrestrial cellular-like network. This will enable us to address a broader market for our services and products by providing services where satellite services generally do not function, such as urban areas and inside buildings. We have applied to the FCC for authority to provide ATC services over the full 27.85 MHz of our spectrum. Our current network is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ind w:right="380"/>
        <w:spacing w:after="0" w:line="258" w:lineRule="auto"/>
        <w:rPr>
          <w:sz w:val="20"/>
          <w:szCs w:val="20"/>
          <w:color w:val="auto"/>
        </w:rPr>
      </w:pPr>
      <w:r>
        <w:rPr>
          <w:rFonts w:ascii="Times New Roman" w:cs="Times New Roman" w:eastAsia="Times New Roman" w:hAnsi="Times New Roman"/>
          <w:sz w:val="18"/>
          <w:szCs w:val="18"/>
          <w:color w:val="auto"/>
        </w:rPr>
        <w:t>capable of supporting ATC services. We are currently evaluating products and selectively exploring opportunities with targeted media, technology and communications companies to develop further the potential of our ATC-licensed spectrum. In addition, regulatory authorities outside of the United States are reviewing ATC-like rulings, and we are beginning to explore selectively capitalizing on these rulings. We expect to be among the first to offer ATC services commercially, potentially as soon as late 2007.</w:t>
      </w:r>
    </w:p>
    <w:p>
      <w:pPr>
        <w:spacing w:after="0" w:line="190" w:lineRule="exact"/>
        <w:rPr>
          <w:sz w:val="20"/>
          <w:szCs w:val="20"/>
          <w:color w:val="auto"/>
        </w:rPr>
      </w:pPr>
    </w:p>
    <w:p>
      <w:pPr>
        <w:ind w:firstLine="436"/>
        <w:spacing w:after="0" w:line="296" w:lineRule="auto"/>
        <w:rPr>
          <w:sz w:val="20"/>
          <w:szCs w:val="20"/>
          <w:color w:val="auto"/>
        </w:rPr>
      </w:pPr>
      <w:r>
        <w:rPr>
          <w:rFonts w:ascii="Times New Roman" w:cs="Times New Roman" w:eastAsia="Times New Roman" w:hAnsi="Times New Roman"/>
          <w:sz w:val="16"/>
          <w:szCs w:val="16"/>
          <w:color w:val="auto"/>
        </w:rPr>
        <w:t>We are currently in the process of designing and procuring our second-generation satellite constellation, which we expect will extend the life of our network until approximately 2025. We believe that our second-generation satellites will improve our ability to support new applications and services, including higher-speed data rates and internet access, video and audio broadcasting, remote file transfer and virtual private networking. We expect these services to be available on a broad range of new customer devices that will be significantly smaller in size, lighter in weight and less expensive than existing mobile satellite services equipment. We believe this expanded service portfolio and advanced equipment offering will significantly expand the target market for our services.</w:t>
      </w:r>
    </w:p>
    <w:p>
      <w:pPr>
        <w:spacing w:after="0" w:line="162" w:lineRule="exact"/>
        <w:rPr>
          <w:sz w:val="20"/>
          <w:szCs w:val="20"/>
          <w:color w:val="auto"/>
        </w:rPr>
      </w:pPr>
    </w:p>
    <w:p>
      <w:pPr>
        <w:jc w:val="both"/>
        <w:ind w:right="60" w:firstLine="436"/>
        <w:spacing w:after="0" w:line="301" w:lineRule="auto"/>
        <w:rPr>
          <w:sz w:val="20"/>
          <w:szCs w:val="20"/>
          <w:color w:val="auto"/>
        </w:rPr>
      </w:pPr>
      <w:r>
        <w:rPr>
          <w:rFonts w:ascii="Times New Roman" w:cs="Times New Roman" w:eastAsia="Times New Roman" w:hAnsi="Times New Roman"/>
          <w:sz w:val="16"/>
          <w:szCs w:val="16"/>
          <w:color w:val="auto"/>
        </w:rPr>
        <w:t>We recorded $127.1 million and $68.7 million in revenue and $18.7 million and $21.7 million in net income during the year ended December 31, 2005 and the six months ended June 30, 2006, respectively, compared to $84.4 million and $50.3 million in revenue and $0.4 million and $2.9 million in net income for the year ended December 31, 2004 and the six months ended June 30, 2005, respectively. Net income for the first six months of 2006 included an income tax benefit of $21.4 million relating to the establishment of deferred tax assets and liabilities upon our election in January 2006 to be taxed as a C 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We compete in the mobile satellite services sector of the global communications industry. Mobile satellite services operators provide voice and data services using a network of satellites and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 Further, many regions of the world benefit from satellite networks, such as rural and developing areas that lack developed wireless or wireline networks, ocean regions, and regions affected by political conflicts and natural disasters. Northern Sky Research stated in a 2006 report that, "the MSS industry has proven to be invaluable in supporting disaster preparedness and recovery activities, military applications, and other critical civil requirements that require rapidly deployable, reliable and ubiquitous communication services."</w:t>
      </w:r>
    </w:p>
    <w:p>
      <w:pPr>
        <w:spacing w:after="0" w:line="192" w:lineRule="exact"/>
        <w:rPr>
          <w:sz w:val="20"/>
          <w:szCs w:val="20"/>
          <w:color w:val="auto"/>
        </w:rPr>
      </w:pPr>
    </w:p>
    <w:p>
      <w:pPr>
        <w:ind w:right="240" w:firstLine="436"/>
        <w:spacing w:after="0" w:line="256" w:lineRule="auto"/>
        <w:rPr>
          <w:sz w:val="20"/>
          <w:szCs w:val="20"/>
          <w:color w:val="auto"/>
        </w:rPr>
      </w:pPr>
      <w:r>
        <w:rPr>
          <w:rFonts w:ascii="Times New Roman" w:cs="Times New Roman" w:eastAsia="Times New Roman" w:hAnsi="Times New Roman"/>
          <w:sz w:val="18"/>
          <w:szCs w:val="18"/>
          <w:color w:val="auto"/>
        </w:rPr>
        <w:t>Worldwide, government organizations, military and intelligence agencies, natural disaster aid associations, event-driven response agencies and corporate security teams depend on mobile and fixed voice and data communications services on a regular basis. Businesses with global operating scope require reliable communications services when operating in remote locations around the world. Mobile satellite services users span the forestry, maritime, government, oil and gas, mining, leisure, emergency services, construction and transportation sectors, among others. Many existing customers increasingly view satellite communications services as critical to their daily operations.</w:t>
      </w:r>
    </w:p>
    <w:p>
      <w:pPr>
        <w:spacing w:after="0" w:line="193"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Over the past two decades, the global mobile satellite services market has experienced significant growth. According to a Gartner report published in November 2005, satellite phones are increasingly the technology of choice for first responders, military, businesses, governments and non-governmental agencies. Furthermore, Gartner has predicted that wireline and wireless carriers will increasingly consider augmenting their communication portfolios by aligning themselves with mobile satellite service providers.</w:t>
      </w:r>
    </w:p>
    <w:p>
      <w:pPr>
        <w:spacing w:after="0" w:line="190" w:lineRule="exact"/>
        <w:rPr>
          <w:sz w:val="20"/>
          <w:szCs w:val="20"/>
          <w:color w:val="auto"/>
        </w:rPr>
      </w:pPr>
    </w:p>
    <w:p>
      <w:pPr>
        <w:ind w:right="440" w:firstLine="439"/>
        <w:spacing w:after="0" w:line="275" w:lineRule="auto"/>
        <w:rPr>
          <w:sz w:val="20"/>
          <w:szCs w:val="20"/>
          <w:color w:val="auto"/>
        </w:rPr>
      </w:pPr>
      <w:r>
        <w:rPr>
          <w:rFonts w:ascii="Times New Roman" w:cs="Times New Roman" w:eastAsia="Times New Roman" w:hAnsi="Times New Roman"/>
          <w:sz w:val="18"/>
          <w:szCs w:val="18"/>
          <w:color w:val="auto"/>
        </w:rPr>
        <w:t>Increasingly, better-tailored, improved-technology products and services are creating new channels of demand for mobile satellite services. Growth in demand for mobile satellite voice services is driven by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declining cost of these services, the diminishing size and lower costs of the handsets, as well as heightened demand by governments, businesses and individuals for ubiquitous global voice coverage. Growth in mobile satellite data services is driven by the rollout of new applications requiring higher bandwidth, as well as low cost data collection and asset tracking devices.</w:t>
      </w:r>
    </w:p>
    <w:p>
      <w:pPr>
        <w:spacing w:after="0" w:line="186" w:lineRule="exact"/>
        <w:rPr>
          <w:sz w:val="20"/>
          <w:szCs w:val="20"/>
          <w:color w:val="auto"/>
        </w:rPr>
      </w:pPr>
    </w:p>
    <w:p>
      <w:pPr>
        <w:ind w:right="120" w:firstLine="439"/>
        <w:spacing w:after="0" w:line="262" w:lineRule="auto"/>
        <w:rPr>
          <w:sz w:val="20"/>
          <w:szCs w:val="20"/>
          <w:color w:val="auto"/>
        </w:rPr>
      </w:pPr>
      <w:r>
        <w:rPr>
          <w:rFonts w:ascii="Times New Roman" w:cs="Times New Roman" w:eastAsia="Times New Roman" w:hAnsi="Times New Roman"/>
          <w:sz w:val="18"/>
          <w:szCs w:val="18"/>
          <w:color w:val="auto"/>
        </w:rPr>
        <w:t>Northern Sky Research has predicted that as service costs continue to decline in our industry, average revenue per user will continue to increase due to increased usage. Furthermore, Northern Sky Research expects units in service in our industry to exhibit a cumulative annual growth rate of 34.2% through 2010, resulting in a 17.9% cumulative annual growth rate in retail revenue.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Communications industry sectors that are relevant to our business include:</w:t>
      </w:r>
    </w:p>
    <w:p>
      <w:pPr>
        <w:spacing w:after="0" w:line="239" w:lineRule="exact"/>
        <w:rPr>
          <w:sz w:val="20"/>
          <w:szCs w:val="20"/>
          <w:color w:val="auto"/>
        </w:rPr>
      </w:pPr>
    </w:p>
    <w:p>
      <w:pPr>
        <w:ind w:left="1080" w:right="60" w:hanging="532"/>
        <w:spacing w:after="0" w:line="25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satellite services, which provide customers with connectivity to mobile and fixed devices using ground facilities and networks of geostationary satellites (located approximately 22,300 miles above the earth's surface), medium earth orbit satellites (located between approximately 6,400 and 10,000 miles above the earth's surface), or low earth orbit satellites (located between approximately 300 and 1,000 miles above the earth's surface);</w:t>
      </w:r>
    </w:p>
    <w:p>
      <w:pPr>
        <w:spacing w:after="0" w:line="217"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services, which use geostationary satellites to provide customers with voice and broadband communications links between fixed points on the earth's surface;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terrestrial services, which use a terrestrial network to provide wireless or wireline connectivity and are complementary to satellite services.</w:t>
      </w:r>
    </w:p>
    <w:p>
      <w:pPr>
        <w:spacing w:after="0" w:line="22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Within the major satellite sectors, fixed satellite services and mobile satellite services operators differ significantly from each other. Fixed satellite services providers, such as Intelsat, Eutelsat and SES Global, and very small aperture terminals companies, such as Hughes Networks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our company, Inmarsat and Iridium, focus more on voice and data services (including data services which track the location of remote assets such as shipping containers), where mobility 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95" w:lineRule="exact"/>
        <w:rPr>
          <w:sz w:val="20"/>
          <w:szCs w:val="20"/>
          <w:color w:val="auto"/>
        </w:rPr>
      </w:pPr>
    </w:p>
    <w:p>
      <w:pPr>
        <w:ind w:right="40" w:firstLine="429"/>
        <w:spacing w:after="0" w:line="275" w:lineRule="auto"/>
        <w:rPr>
          <w:sz w:val="20"/>
          <w:szCs w:val="20"/>
          <w:color w:val="auto"/>
        </w:rPr>
      </w:pPr>
      <w:r>
        <w:rPr>
          <w:rFonts w:ascii="Times New Roman" w:cs="Times New Roman" w:eastAsia="Times New Roman" w:hAnsi="Times New Roman"/>
          <w:sz w:val="18"/>
          <w:szCs w:val="18"/>
          <w:color w:val="auto"/>
        </w:rPr>
        <w:t>According to Gartner, a low earth orbit system, such as the systems we and Iridium currently operate, causes less transmission delay than a geosynchronous system due to the shorter distance signals have to travel and permits the use of smaller devices such as handheld phones.</w:t>
      </w:r>
    </w:p>
    <w:p>
      <w:pPr>
        <w:spacing w:after="0" w:line="174"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Currently, our principal mobile satellite services global competitors are Inmarsat and Iridium. United Kingdom-based Inmarsat owns and operates a geostationary satellite network and U.S.-based Iridium owns and operates a low earth orbit satellite network. Inmarsat provides communications services, such as telephony, fax, video, email and high-speed data services. Iridium offers narrow-band data, fax and voice communications services. We also compete with several regional mobile satellite services providers that operate geostationary satellites, such as Thuraya, principally in the Middle East and Africa; Mobile Satellite Ventures and Mobile Satellite Ventures Canada in the Americas; and Asian Cellular Satellites in Asia.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that our competitive strengths position us to enhance our growth and profitability:</w:t>
      </w:r>
    </w:p>
    <w:p>
      <w:pPr>
        <w:spacing w:after="0" w:line="223" w:lineRule="exact"/>
        <w:rPr>
          <w:sz w:val="20"/>
          <w:szCs w:val="20"/>
          <w:color w:val="auto"/>
        </w:rPr>
      </w:pPr>
    </w:p>
    <w:p>
      <w:pPr>
        <w:ind w:right="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Key Markets. </w:t>
      </w:r>
      <w:r>
        <w:rPr>
          <w:rFonts w:ascii="Times New Roman" w:cs="Times New Roman" w:eastAsia="Times New Roman" w:hAnsi="Times New Roman"/>
          <w:sz w:val="18"/>
          <w:szCs w:val="18"/>
          <w:color w:val="auto"/>
        </w:rPr>
        <w:t>We focus on selected underserved public and private sector markets and on customers in these markets that generate high average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user and, therefore, higher revenue growth for our company. Our top revenue-generating markets are government (including federal, state and local agencies), public safety and disaster relief; recreation and personal; maritime and fishing; and business, financial and insurance.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right="2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Service and Product Offerings. </w:t>
      </w:r>
      <w:r>
        <w:rPr>
          <w:rFonts w:ascii="Times New Roman" w:cs="Times New Roman" w:eastAsia="Times New Roman" w:hAnsi="Times New Roman"/>
          <w:sz w:val="18"/>
          <w:szCs w:val="18"/>
          <w:color w:val="auto"/>
        </w:rPr>
        <w:t>We believe we are able to retain our current customers and attract new customers because our pricing plans, which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as low as $0.14 per minute, are the lowest in the mobile satellite services industry and our voice services provide the best audio quality in our industry. A report published by Frost &amp; Sullivan in 2002 concluded that our voice services provide audio quality that is superior to that of our principal mobile satellite services competitor and approach that of a good quality cellular call. We believe the voice and data products that we expect to introduce in 2006 and 2007 will be cheaper, lighter and better performing than those previously available to mobile satellite services customers and will be equal to or better than those offered by our competitors. We believe our high quality and low cost services and products offer us a competitive advantage in retaining our current customers and attracting new customers in our vertical markets.</w:t>
      </w:r>
    </w:p>
    <w:p>
      <w:pPr>
        <w:spacing w:after="0" w:line="189" w:lineRule="exact"/>
        <w:rPr>
          <w:sz w:val="20"/>
          <w:szCs w:val="20"/>
          <w:color w:val="auto"/>
        </w:rPr>
      </w:pPr>
    </w:p>
    <w:p>
      <w:pPr>
        <w:ind w:right="6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Network. </w:t>
      </w:r>
      <w:r>
        <w:rPr>
          <w:rFonts w:ascii="Times New Roman" w:cs="Times New Roman" w:eastAsia="Times New Roman" w:hAnsi="Times New Roman"/>
          <w:sz w:val="18"/>
          <w:szCs w:val="18"/>
          <w:color w:val="auto"/>
        </w:rPr>
        <w:t>Our distribution network provides broad coverage of our target subscriber base in over 120 countries. We utilize a large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dealers, agents and resellers and a direct sales force to sell the full range of our voice and data products. In addition, we have a direct sales force, consisting of specialists in our key vertical markets, which sells our services and products, including customized data solutions, to government agencies and other key customers. We also offer an internet-based distribution channel at </w:t>
      </w:r>
      <w:r>
        <w:rPr>
          <w:rFonts w:ascii="Times New Roman" w:cs="Times New Roman" w:eastAsia="Times New Roman" w:hAnsi="Times New Roman"/>
          <w:sz w:val="18"/>
          <w:szCs w:val="18"/>
          <w:i w:val="1"/>
          <w:iCs w:val="1"/>
          <w:color w:val="auto"/>
        </w:rPr>
        <w:t>www.globalstar.com</w:t>
      </w:r>
      <w:r>
        <w:rPr>
          <w:rFonts w:ascii="Times New Roman" w:cs="Times New Roman" w:eastAsia="Times New Roman" w:hAnsi="Times New Roman"/>
          <w:sz w:val="18"/>
          <w:szCs w:val="18"/>
          <w:color w:val="auto"/>
        </w:rPr>
        <w:t>. We sell our services directly in over 25 countries and on a wholesale basis to independent gateway operators who resell our services in over 60 countries.</w:t>
      </w:r>
    </w:p>
    <w:p>
      <w:pPr>
        <w:spacing w:after="0" w:line="188" w:lineRule="exact"/>
        <w:rPr>
          <w:sz w:val="20"/>
          <w:szCs w:val="20"/>
          <w:color w:val="auto"/>
        </w:rPr>
      </w:pPr>
    </w:p>
    <w:p>
      <w:pPr>
        <w:ind w:right="26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Existing Global Satellite Communications Network. </w:t>
      </w:r>
      <w:r>
        <w:rPr>
          <w:rFonts w:ascii="Times New Roman" w:cs="Times New Roman" w:eastAsia="Times New Roman" w:hAnsi="Times New Roman"/>
          <w:sz w:val="18"/>
          <w:szCs w:val="18"/>
          <w:color w:val="auto"/>
        </w:rPr>
        <w:t>Our constellation of low earth orbit satellites and terrestrial gateways has been in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since 2000 and serves as the backbone of our communications network. Gartner has described our satellite constellation as "simple, yet proven technology." We believe our existing network is capable of handling the expected growth in demand for our services, as evidenced by our ability to handle increased usage of over 500% in the areas affected by Hurricane Katrina while terrestrial communications networks were impaired. We plan to supplement our constellation by launching our eight spare satellites during 2007.</w:t>
      </w:r>
    </w:p>
    <w:p>
      <w:pPr>
        <w:spacing w:after="0" w:line="188" w:lineRule="exact"/>
        <w:rPr>
          <w:sz w:val="20"/>
          <w:szCs w:val="20"/>
          <w:color w:val="auto"/>
        </w:rPr>
      </w:pPr>
    </w:p>
    <w:p>
      <w:pPr>
        <w:ind w:right="24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Broad, Contiguous Spectrum Holdings. </w:t>
      </w:r>
      <w:r>
        <w:rPr>
          <w:rFonts w:ascii="Times New Roman" w:cs="Times New Roman" w:eastAsia="Times New Roman" w:hAnsi="Times New Roman"/>
          <w:sz w:val="18"/>
          <w:szCs w:val="18"/>
          <w:color w:val="auto"/>
        </w:rPr>
        <w:t>We hold licenses to operate a wireless communications network via satellites over 27.85 MHz in two blocks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contiguous global spectrum. Our spectrum can efficiently support advanced wireless technologies because it is located near the personal communications services, or PCS, bands. As a result, we should be able to deploy cost effectively the terrestrial component of an ATC network by purchasing and slightly modifying inexpensive, off-the-shelf base station equipment and related wireless equipment.</w:t>
      </w:r>
    </w:p>
    <w:p>
      <w:pPr>
        <w:spacing w:after="0" w:line="187"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ATC Services Capability. </w:t>
      </w:r>
      <w:r>
        <w:rPr>
          <w:rFonts w:ascii="Times New Roman" w:cs="Times New Roman" w:eastAsia="Times New Roman" w:hAnsi="Times New Roman"/>
          <w:sz w:val="18"/>
          <w:szCs w:val="18"/>
          <w:color w:val="auto"/>
        </w:rPr>
        <w:t>We believe the ability of our current satellites and ground stations to support ATC services will allow us to be among the first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 these services. Our current satellite constellation is capable of integrating with and supporting the provision of ATC services to our customers. We are currently in discussions with several parties to exploit our ATC capabilities. Competitors will be able to implement ATC services on a commercial scale only after they launch new satellites and build ground facilities designed specifically to inter-operate with their satellite services.</w:t>
      </w:r>
    </w:p>
    <w:p>
      <w:pPr>
        <w:spacing w:after="0" w:line="187"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International Spectrum Licenses. </w:t>
      </w:r>
      <w:r>
        <w:rPr>
          <w:rFonts w:ascii="Times New Roman" w:cs="Times New Roman" w:eastAsia="Times New Roman" w:hAnsi="Times New Roman"/>
          <w:sz w:val="18"/>
          <w:szCs w:val="18"/>
          <w:color w:val="auto"/>
        </w:rPr>
        <w:t>We have access to our 27.85 MHz of 1.6 and 2.4 GHz frequencies globally, while most of our competitors only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spectrum frequencies regionally. In addition to mobile satellite services, our coverage in over 120 countries with operating licenses held directly by us or by independent gateway operators affords us economies of scale when introducing ATC and other new mobile communications services.</w:t>
      </w:r>
    </w:p>
    <w:p>
      <w:pPr>
        <w:spacing w:after="0" w:line="181" w:lineRule="exact"/>
        <w:rPr>
          <w:sz w:val="20"/>
          <w:szCs w:val="20"/>
          <w:color w:val="auto"/>
        </w:rPr>
      </w:pPr>
    </w:p>
    <w:p>
      <w:pPr>
        <w:ind w:right="100" w:firstLine="43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Strategic Relationship with QUALCOMM. </w:t>
      </w:r>
      <w:r>
        <w:rPr>
          <w:rFonts w:ascii="Times New Roman" w:cs="Times New Roman" w:eastAsia="Times New Roman" w:hAnsi="Times New Roman"/>
          <w:sz w:val="16"/>
          <w:szCs w:val="16"/>
          <w:color w:val="auto"/>
        </w:rPr>
        <w:t>We are the only satellite network operator currently using the patented QUALCOMM Incorporated CDMA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which permits the dynamic selection of the strongest signal available and produces a higher audio quality than our principal competitor's technology. In May 2005, we signed an agreement with QUALCOMM for the manufacture of a complete array of next-generation products, including phones, data modems, car kits and accessories designed for our network. These phones and modems will be smaller, lighter and more feature-rich communications devices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77" w:name="page78"/>
    <w:bookmarkEnd w:id="77"/>
    <w:p>
      <w:pPr>
        <w:ind w:right="260"/>
        <w:spacing w:after="0" w:line="275" w:lineRule="auto"/>
        <w:rPr>
          <w:sz w:val="20"/>
          <w:szCs w:val="20"/>
          <w:color w:val="auto"/>
        </w:rPr>
      </w:pPr>
      <w:r>
        <w:rPr>
          <w:rFonts w:ascii="Times New Roman" w:cs="Times New Roman" w:eastAsia="Times New Roman" w:hAnsi="Times New Roman"/>
          <w:sz w:val="18"/>
          <w:szCs w:val="18"/>
          <w:color w:val="auto"/>
        </w:rPr>
        <w:t>than those currently available, and we will offer them at affordable prices. The first of these new products is scheduled to be available beginning in the second half of 2006.</w:t>
      </w:r>
    </w:p>
    <w:p>
      <w:pPr>
        <w:spacing w:after="0" w:line="172" w:lineRule="exact"/>
        <w:rPr>
          <w:sz w:val="20"/>
          <w:szCs w:val="20"/>
          <w:color w:val="auto"/>
        </w:rPr>
      </w:pPr>
    </w:p>
    <w:p>
      <w:pPr>
        <w:ind w:right="1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Our senior management team combines experts in wireless and wireline communications with pioneers in the fields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engineering and operations. Our senior satellite managers have 22 to 43 years of experience in satellite engineering and operations. Our senior communications managers have 12 to 18 years of experience in the telecommunications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goal is to be the leading global provider of mobile voice and data communications solutions via satellite. We intend to achieve this objective by:</w:t>
      </w:r>
    </w:p>
    <w:p>
      <w:pPr>
        <w:spacing w:after="0" w:line="223"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Rapid and Profitable Growth of Our Subscriber Base. </w:t>
      </w:r>
      <w:r>
        <w:rPr>
          <w:rFonts w:ascii="Times New Roman" w:cs="Times New Roman" w:eastAsia="Times New Roman" w:hAnsi="Times New Roman"/>
          <w:sz w:val="18"/>
          <w:szCs w:val="18"/>
          <w:color w:val="auto"/>
        </w:rPr>
        <w:t>In 2005, we added approximately 54,000 net subscribers, a 39% growth rate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subscribers at the end of 2004. We intend to continue to increase our penetration of the growing mobile satellite services market and our market share of key vertical markets by continuing to provide compelling service and product offerings and utilizing our strong distribution network. In particular, we intend to target the first responder, natural resources and local, state and federal government customers (including homeland security) segments in the United States, Canada and elsewhere. In Europe, we have increased our direct sales effort by hiring several experienced direct sales professionals to manage diverse territories throughout the region. We believe that continuous innovation in our service plans, including "bundled plans" that pool minutes between multiple phones and pricing plans customized for seasonal users, promotes revenue growth and that these new service offerings, together with lower prices for our services and products, will increase our market penetration. In Venezuela, Colombia and Central America, we see significant opportunities to expand our presence in rural telephony, oil and gas and other markets. Northern Sky Research has predicted that total units in-service in our industry will increase from 3.3 million in 2006 to 16.6 million in 2010 and that retail service revenues will increase from $1.8 billion in 2006 to $8.6 billion in 2010. Northern Sky Research has further predicted that the North American region, which accounts for the majority of our revenue, will account for large shares of worldwide market until 2009 and after 2009 will lead all regions worldwide, accounting for 28% of overall revenue.</w:t>
      </w:r>
    </w:p>
    <w:p>
      <w:pPr>
        <w:spacing w:after="0" w:line="191" w:lineRule="exact"/>
        <w:rPr>
          <w:sz w:val="20"/>
          <w:szCs w:val="20"/>
          <w:color w:val="auto"/>
        </w:rPr>
      </w:pPr>
    </w:p>
    <w:p>
      <w:pPr>
        <w:ind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Improving Our Profitability by Consolidating Our International Distribution Chain. </w:t>
      </w:r>
      <w:r>
        <w:rPr>
          <w:rFonts w:ascii="Times New Roman" w:cs="Times New Roman" w:eastAsia="Times New Roman" w:hAnsi="Times New Roman"/>
          <w:sz w:val="18"/>
          <w:szCs w:val="18"/>
          <w:color w:val="auto"/>
        </w:rPr>
        <w:t>Over the past four years, we have acquired five independent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in strategic geographic regions. We believe that our independent gateway operator consolidation strategy will better position us to market our services directly to multinational customers requiring a global communications provider. We also believe that our consolidation strategy will increase our overall profitability because it allows us to sell most of our services directly to subscribers at retail prices, thus substantially increasing our average revenue per user, compared with selling on a wholesale basis to independent gateway operators.</w:t>
      </w:r>
    </w:p>
    <w:p>
      <w:pPr>
        <w:spacing w:after="0" w:line="188"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Expanding Our Coverage and Upgrading Our Service Offerings. </w:t>
      </w:r>
      <w:r>
        <w:rPr>
          <w:rFonts w:ascii="Times New Roman" w:cs="Times New Roman" w:eastAsia="Times New Roman" w:hAnsi="Times New Roman"/>
          <w:sz w:val="18"/>
          <w:szCs w:val="18"/>
          <w:color w:val="auto"/>
        </w:rPr>
        <w:t>We intend to continue to increase the quality and availability of our services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selectively adding gateways to our network. In the second quarter of 2006, we commenced operations at a gateway in Wasilla, Alaska to improve coverage in Alaska, the Yukon Territory, Canada and the Northeast Pacific fishing grounds. We have established a subsidiary to initiate service in South Africa using a gateway that was constructed in 2000 but never placed in service. Beginning in 2009, we intend to deploy a second-generation satellite constellation and upgrade our existing ground facilities to handle broadband data, faster transmission speeds and new hybrid applications.</w:t>
      </w:r>
    </w:p>
    <w:p>
      <w:pPr>
        <w:spacing w:after="0" w:line="188" w:lineRule="exact"/>
        <w:rPr>
          <w:sz w:val="20"/>
          <w:szCs w:val="20"/>
          <w:color w:val="auto"/>
        </w:rPr>
      </w:pPr>
    </w:p>
    <w:p>
      <w:pPr>
        <w:jc w:val="both"/>
        <w:ind w:right="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Developing Next-Generation Devices. </w:t>
      </w:r>
      <w:r>
        <w:rPr>
          <w:rFonts w:ascii="Times New Roman" w:cs="Times New Roman" w:eastAsia="Times New Roman" w:hAnsi="Times New Roman"/>
          <w:sz w:val="18"/>
          <w:szCs w:val="18"/>
          <w:color w:val="auto"/>
        </w:rPr>
        <w:t>In late 2006, we expect to begin selling more technologically advanced satellite phones and data products tailored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meet our customers' evolving service needs and to stimulate additional demand for our services. These new products will have a range of functions common to many popular wireless products. We are also planning to introduce in 2006 and 2007 innovative duplex</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8" w:name="page79"/>
    <w:bookmarkEnd w:id="78"/>
    <w:p>
      <w:pPr>
        <w:ind w:right="40"/>
        <w:spacing w:after="0" w:line="262" w:lineRule="auto"/>
        <w:rPr>
          <w:sz w:val="20"/>
          <w:szCs w:val="20"/>
          <w:color w:val="auto"/>
        </w:rPr>
      </w:pPr>
      <w:r>
        <w:rPr>
          <w:rFonts w:ascii="Times New Roman" w:cs="Times New Roman" w:eastAsia="Times New Roman" w:hAnsi="Times New Roman"/>
          <w:sz w:val="18"/>
          <w:szCs w:val="18"/>
          <w:color w:val="auto"/>
        </w:rPr>
        <w:t>and simplex data devices that can be used for asset tracking and that are remotely programmable and equipped to monitor a range of variables. We believe that, in each case, the size and weight of our phones and data devices has been reduced while their durability and battery life has been improved. We expect that these advanced devices will stimulate additional demand for our services.</w:t>
      </w:r>
    </w:p>
    <w:p>
      <w:pPr>
        <w:spacing w:after="0" w:line="184" w:lineRule="exact"/>
        <w:rPr>
          <w:sz w:val="20"/>
          <w:szCs w:val="20"/>
          <w:color w:val="auto"/>
        </w:rPr>
      </w:pPr>
    </w:p>
    <w:p>
      <w:pPr>
        <w:ind w:right="4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Exploring Opportunities to Maximize the Value of Our Spectrum. </w:t>
      </w:r>
      <w:r>
        <w:rPr>
          <w:rFonts w:ascii="Times New Roman" w:cs="Times New Roman" w:eastAsia="Times New Roman" w:hAnsi="Times New Roman"/>
          <w:sz w:val="18"/>
          <w:szCs w:val="18"/>
          <w:color w:val="auto"/>
        </w:rPr>
        <w:t>We expect the market for wireless applications to continue to grow along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new products capable of transmitting new forms of media and data. We are exploring relationships with a range of communications and media companies to enable us to be among the first in our industry to utilize our spectrum and ATC license for wireless voice, data and video applications. Once an ATC network is fully deployed, end-users will be able to utilize both satellite and terrestrial technologies to complete calls and send or receive data.</w:t>
      </w:r>
    </w:p>
    <w:p>
      <w:pPr>
        <w:spacing w:after="0" w:line="187" w:lineRule="exact"/>
        <w:rPr>
          <w:sz w:val="20"/>
          <w:szCs w:val="20"/>
          <w:color w:val="auto"/>
        </w:rPr>
      </w:pPr>
    </w:p>
    <w:p>
      <w:pPr>
        <w:ind w:right="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Exploiting Our International Spectrum. </w:t>
      </w:r>
      <w:r>
        <w:rPr>
          <w:rFonts w:ascii="Times New Roman" w:cs="Times New Roman" w:eastAsia="Times New Roman" w:hAnsi="Times New Roman"/>
          <w:sz w:val="18"/>
          <w:szCs w:val="18"/>
          <w:color w:val="auto"/>
        </w:rPr>
        <w:t>As a result of our authorization to use our assigned frequencies globally, we believe we are well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 for the adoption of rules and regulations that would allow us to use our spectrum for ATC-like services around the world. We have already begun this effort in Canada and Europe. We also believe that the location of our spectrum will allow us to tailor our service and product offerings to customers based on their specific needs and 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7"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We sell our products and services through a variety of retail and wholesale channels. Our sales and marketing efforts are tailored to each of our geographic regions and targeted vertical markets. Unlike the cellular industry, we do not conduct costly mass consumer marketing campaigns. Rather, our sales professionals target specific commercial vertical markets and customers with face-to-face meetings, product trials, advertising in publications for those markets and direct mailings. We also focus a large amount of our marketing activity on tradeshows. In 2005, we, our dealers and our resellers attended approximately 200 different tradeshows in North America and Europe, where we sponsored booths and demonstrated our products.</w:t>
      </w:r>
    </w:p>
    <w:p>
      <w:pPr>
        <w:spacing w:after="0" w:line="193"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Our distribution managers are responsible for conducting direct sales with key accounts and for managing agent, dealer and reseller relationships in assigned territories. They conduct direct sales with key customers and manage over 850 dealers and agents, with many of the agents and dealers having multiple points of sale. We maintain a sales force presence throughout the United States, including an office in Washington, D.C. dedicated to government-based sales. We also distribute our services and products indirectly through approximately 20 major resellers and value added resellers in the United States and 10 independent gateway operators that employ their own salespeople to sell the full range of our voice and data products and services in over 60 countries. Wholesale sales to independent gateway operators represented approximately 11% of our service revenue for the year ended December 31, 2005 and approximately 9% of our service revenue for the six months ended June 30, 2006. No agent, dealer or reseller represented more than 5% of our revenue for the year ended December 31, 2005 or the six months ended June 30, 2006.</w:t>
      </w:r>
    </w:p>
    <w:p>
      <w:pPr>
        <w:spacing w:after="0" w:line="192"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Our typical dealer is a communications services equipment retailer. We offer competitive service and equipment commissions to our network of dealers to encourage increased sales. Since the Reorganization, we have terminated our relationship with numerous underperforming dealers and agents and replaced them with better performing new dealers and agents. We believe our more stringent dealer and agent requirements and our incentive programs position us to continue to experience growing dealer and agent sales due to a better-trained, focused and motivated sales network.</w:t>
      </w:r>
    </w:p>
    <w:p>
      <w:pPr>
        <w:spacing w:after="0" w:line="188" w:lineRule="exact"/>
        <w:rPr>
          <w:sz w:val="20"/>
          <w:szCs w:val="20"/>
          <w:color w:val="auto"/>
        </w:rPr>
      </w:pPr>
    </w:p>
    <w:p>
      <w:pPr>
        <w:ind w:right="80" w:firstLine="439"/>
        <w:spacing w:after="0" w:line="264" w:lineRule="auto"/>
        <w:rPr>
          <w:sz w:val="20"/>
          <w:szCs w:val="20"/>
          <w:color w:val="auto"/>
        </w:rPr>
      </w:pPr>
      <w:r>
        <w:rPr>
          <w:rFonts w:ascii="Times New Roman" w:cs="Times New Roman" w:eastAsia="Times New Roman" w:hAnsi="Times New Roman"/>
          <w:sz w:val="18"/>
          <w:szCs w:val="18"/>
          <w:color w:val="auto"/>
        </w:rPr>
        <w:t xml:space="preserve">In addition to sales through our distribution managers, agents, dealers and resellers, customers can place orders through our website at </w:t>
      </w:r>
      <w:r>
        <w:rPr>
          <w:rFonts w:ascii="Times New Roman" w:cs="Times New Roman" w:eastAsia="Times New Roman" w:hAnsi="Times New Roman"/>
          <w:sz w:val="18"/>
          <w:szCs w:val="18"/>
          <w:i w:val="1"/>
          <w:iCs w:val="1"/>
          <w:color w:val="auto"/>
        </w:rPr>
        <w:t>www.globalstar.com</w:t>
      </w:r>
      <w:r>
        <w:rPr>
          <w:rFonts w:ascii="Times New Roman" w:cs="Times New Roman" w:eastAsia="Times New Roman" w:hAnsi="Times New Roman"/>
          <w:sz w:val="18"/>
          <w:szCs w:val="18"/>
          <w:color w:val="auto"/>
        </w:rPr>
        <w:t xml:space="preserve"> or by calling our customer sales office at (877) 728-7466. To encourage internet sales, our website includes special promotional offers that are unavailable elsewhere. We believe that, as awareness of our services grows and our brand name becomes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ind w:right="280"/>
        <w:spacing w:after="0" w:line="262" w:lineRule="auto"/>
        <w:rPr>
          <w:sz w:val="20"/>
          <w:szCs w:val="20"/>
          <w:color w:val="auto"/>
        </w:rPr>
      </w:pPr>
      <w:r>
        <w:rPr>
          <w:rFonts w:ascii="Times New Roman" w:cs="Times New Roman" w:eastAsia="Times New Roman" w:hAnsi="Times New Roman"/>
          <w:sz w:val="18"/>
          <w:szCs w:val="18"/>
          <w:color w:val="auto"/>
        </w:rPr>
        <w:t>more recognizable, we will experience an increase in our direct internet and phone order sales. Because we do not need to pay an agent commission or sell our services at reduced margins, our internet and phone sales channels are the most profitable. Our website and call center provide a user-friendly interface with consumers looking for a simple transaction or customer support.</w:t>
      </w:r>
    </w:p>
    <w:p>
      <w:pPr>
        <w:spacing w:after="0" w:line="186" w:lineRule="exact"/>
        <w:rPr>
          <w:sz w:val="20"/>
          <w:szCs w:val="20"/>
          <w:color w:val="auto"/>
        </w:rPr>
      </w:pPr>
    </w:p>
    <w:p>
      <w:pPr>
        <w:ind w:firstLine="436"/>
        <w:spacing w:after="0" w:line="301" w:lineRule="auto"/>
        <w:rPr>
          <w:sz w:val="20"/>
          <w:szCs w:val="20"/>
          <w:color w:val="auto"/>
        </w:rPr>
      </w:pPr>
      <w:r>
        <w:rPr>
          <w:rFonts w:ascii="Times New Roman" w:cs="Times New Roman" w:eastAsia="Times New Roman" w:hAnsi="Times New Roman"/>
          <w:sz w:val="16"/>
          <w:szCs w:val="16"/>
          <w:color w:val="auto"/>
        </w:rPr>
        <w:t>The reseller channel is comprised primarily of communications equipment companies and commercial communications equipment rental companies who retain and bill clients directly, outside of our account maintenance system. Many of our resellers specialize in niche vertical markets where high-use customers are concentrated. We have productive sales arrangements with major resellers to market our services, including some value added resellers who integrate our products into their proprietary end products or applications. Some of our resellers offer our services and products through rental and leasing arrangements.</w:t>
      </w:r>
    </w:p>
    <w:p>
      <w:pPr>
        <w:spacing w:after="0" w:line="157" w:lineRule="exact"/>
        <w:rPr>
          <w:sz w:val="20"/>
          <w:szCs w:val="20"/>
          <w:color w:val="auto"/>
        </w:rPr>
      </w:pPr>
    </w:p>
    <w:p>
      <w:pPr>
        <w:ind w:right="240" w:firstLine="439"/>
        <w:spacing w:after="0" w:line="291" w:lineRule="auto"/>
        <w:rPr>
          <w:sz w:val="20"/>
          <w:szCs w:val="20"/>
          <w:color w:val="auto"/>
        </w:rPr>
      </w:pPr>
      <w:r>
        <w:rPr>
          <w:rFonts w:ascii="Times New Roman" w:cs="Times New Roman" w:eastAsia="Times New Roman" w:hAnsi="Times New Roman"/>
          <w:sz w:val="16"/>
          <w:szCs w:val="16"/>
          <w:color w:val="auto"/>
        </w:rPr>
        <w:t>Outside of the United States and Canada, the majority of our retail sales are conducted through resellers and independent gateway operators. In 2006, we implemented a new direct sales and marketing program in Europe to bolster our growth in the region and further our strategy of direct contact with customers. Accordingly, we hired several experienced salespeople in Europe who have distribution manager-type responsibilities in each of their assigned territories. We believe that our investment in our European distribution channel and effort to transfer existing customers to our direct sales network will enhance our ability to rapidly grow our subscriber base overseas. We also plan to enter new European territories where our network can provide service but where we have not previously marketed our services and products and to target previously underserved vertical markets in Europe. We are implementing similar changes in the territories served by the gateways we acquired from independent gateway operators in Venezuela and Central America.</w:t>
      </w:r>
    </w:p>
    <w:p>
      <w:pPr>
        <w:spacing w:after="0" w:line="167" w:lineRule="exact"/>
        <w:rPr>
          <w:sz w:val="20"/>
          <w:szCs w:val="20"/>
          <w:color w:val="auto"/>
        </w:rPr>
      </w:pPr>
    </w:p>
    <w:p>
      <w:pPr>
        <w:ind w:right="80" w:firstLine="439"/>
        <w:spacing w:after="0" w:line="301" w:lineRule="auto"/>
        <w:rPr>
          <w:sz w:val="20"/>
          <w:szCs w:val="20"/>
          <w:color w:val="auto"/>
        </w:rPr>
      </w:pPr>
      <w:r>
        <w:rPr>
          <w:rFonts w:ascii="Times New Roman" w:cs="Times New Roman" w:eastAsia="Times New Roman" w:hAnsi="Times New Roman"/>
          <w:sz w:val="16"/>
          <w:szCs w:val="16"/>
          <w:color w:val="auto"/>
        </w:rPr>
        <w:t>Our wholesale operations primarily encompass bulk sales of wholesale minutes to the independent gateway operators around the globe. These independent gateway operators maintain their own subscriber bases that are exclusive to us and promote their own service plans. The independent gateway operator system has allowed us to expand in regions that hold significant growth potential but are harder to serve without sufficient operational scale or where local regulatory requirements or business or cultural norms do not permit us to operate directly. Our wholesale efforts also include our Simplex and duplex data tracking devices.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is a list of independent gateway operators as of June 30, 2006: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Pr>
          <w:p>
            <w:pPr>
              <w:spacing w:after="0"/>
              <w:rPr>
                <w:sz w:val="20"/>
                <w:szCs w:val="20"/>
                <w:color w:val="auto"/>
              </w:rPr>
            </w:pPr>
          </w:p>
        </w:tc>
        <w:tc>
          <w:tcPr>
            <w:tcW w:w="2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Gateway</w:t>
            </w:r>
          </w:p>
        </w:tc>
        <w:tc>
          <w:tcPr>
            <w:tcW w:w="200" w:type="dxa"/>
            <w:vAlign w:val="bottom"/>
          </w:tcPr>
          <w:p>
            <w:pPr>
              <w:spacing w:after="0"/>
              <w:rPr>
                <w:sz w:val="20"/>
                <w:szCs w:val="20"/>
                <w:color w:val="auto"/>
              </w:rPr>
            </w:pP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Independent Gateway Operators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Bosque Alegre</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TE.SA.M Argentina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Dubbo</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 Isa</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Meekatharra</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Manaus</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Presidente Prudente</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Petrolina</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Beijing</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 Spacecom</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Avezzano</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Elsacom N.V.</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Yeo Ju</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Dacom</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San Martin</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Globalstar de Mexico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Peru</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Lurin</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TE.SA.M Peru</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Khabarovsk</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Moscow</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Novosibirsk</w:t>
            </w:r>
          </w:p>
        </w:tc>
        <w:tc>
          <w:tcPr>
            <w:tcW w:w="2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Ogulbey</w:t>
            </w: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Globalstar Avrasya</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-2707005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-2707005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-2707005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-2707005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-2707005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-2707005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ind w:right="520" w:firstLine="436"/>
        <w:spacing w:after="0" w:line="275" w:lineRule="auto"/>
        <w:rPr>
          <w:sz w:val="20"/>
          <w:szCs w:val="20"/>
          <w:color w:val="auto"/>
        </w:rPr>
      </w:pPr>
      <w:r>
        <w:rPr>
          <w:rFonts w:ascii="Times New Roman" w:cs="Times New Roman" w:eastAsia="Times New Roman" w:hAnsi="Times New Roman"/>
          <w:sz w:val="18"/>
          <w:szCs w:val="18"/>
          <w:color w:val="auto"/>
        </w:rPr>
        <w:t>We do not own or control these independent gateway operators nor do we operate their gateways. We operate directly gateways in the United States, Canada, Venezuela, Nicaragua, Puerto Rico and France. See "Business—Properties."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Products</w:t>
      </w:r>
    </w:p>
    <w:p>
      <w:pPr>
        <w:spacing w:after="0" w:line="227"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Our principal services are satellite communications services, including mobile and fixed voice and data services and asset tracking and monitoring services. We introduced our asset tracking and monitoring services in late 2003, and demand for these services has grown rapidly since then. Sales of our services combined accounted for approximately 64% and 61% of our total revenues for the year ended December 31, 2005 and the six months ended June 30, 2006, respectively. We also sell the related voice and data equipment to our customers, which accounted for approximately 36% and 39% of our total revenues for the year ended December 31, 2005 and the six months ended June 30, 2006,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Mobile Voice and Data Satellite Communications Services</w:t>
      </w:r>
    </w:p>
    <w:p>
      <w:pPr>
        <w:spacing w:after="0" w:line="227" w:lineRule="exact"/>
        <w:rPr>
          <w:sz w:val="20"/>
          <w:szCs w:val="20"/>
          <w:color w:val="auto"/>
        </w:rPr>
      </w:pPr>
    </w:p>
    <w:p>
      <w:pPr>
        <w:ind w:right="80" w:firstLine="436"/>
        <w:spacing w:after="0" w:line="301" w:lineRule="auto"/>
        <w:rPr>
          <w:sz w:val="20"/>
          <w:szCs w:val="20"/>
          <w:color w:val="auto"/>
        </w:rPr>
      </w:pPr>
      <w:r>
        <w:rPr>
          <w:rFonts w:ascii="Times New Roman" w:cs="Times New Roman" w:eastAsia="Times New Roman" w:hAnsi="Times New Roman"/>
          <w:sz w:val="16"/>
          <w:szCs w:val="16"/>
          <w:color w:val="auto"/>
        </w:rPr>
        <w:t>We offer our mobile voice and data services to customers via numerous monthly plans at price levels that vary depending upon expected usage. Except for Simplex services, subscribers under these plans typically pay an initial activation fee to the agent or dealer, as well as a monthly usage fee to us that entitles the customer to a fixed number of minutes in addition to services such as voicemail, call forwarding, short messaging, email, data compression and internet access. We receive both an activation fee and monthly fee for Simplex services. Extra fees may apply for non-voice services, roaming charges and long-distance calls.</w:t>
      </w:r>
    </w:p>
    <w:p>
      <w:pPr>
        <w:spacing w:after="0" w:line="157"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We regularly innovate our service offerings. In August 2004, as part of our strategy to offer "bundled minutes" for heavy use customers, we introduced our Liberty Plans, which allow mobile voice and data users to pay an up-front, annual fee for a certain number of minutes to be used at any time within a one-year period, thus providing flexibility for seasonal and sporadic users. All unused minutes expire at the end of the one-year period. If subscribers use all of their minutes before the end of the one-year period, they may purchase an additional year's worth of minutes or can pay for additional minutes at a somewhat higher "overage" rate. We believe that our mobile voice customers are drawn to our Liberty Plans because of their ability to eliminate monthly overage charges given their unpredictable communications needs. We have seen rapid market acceptance of our Liberty Plans and expect they will continue to be an attractive service offering for customers in many of our vertical markets. These plans also eliminate the need for monthly billings, reduce collection costs and enhance our cash flow.</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Fixed Voice and Data Satellite Communications Services</w:t>
      </w:r>
    </w:p>
    <w:p>
      <w:pPr>
        <w:spacing w:after="0" w:line="227"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6"/>
          <w:szCs w:val="16"/>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situations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t>Set forth below is a comparison of certain retail rate plans that we currently offer to mobile, fixed and data terminal customers in North America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4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Canada(1)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Europe(2)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Low Monthly Plan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Freedom 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Latitude 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Voyager 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bundled minutes: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50/mo</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50/mo</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monthly charge: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implied minute rate: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minute rate: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Monthly Plan</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Freedom 4000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Latitude 4000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Voyager 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4,000/mo</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4,000/mo</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monthly charge: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implied minute rate: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minute rate: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Low Liberty Plan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Liberty 600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Enterprise 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Liberty 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bundled minutes: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600/yr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600/yr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annual charge: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534.00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implied minute rate: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minute rate: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Liberty Plan</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Liberty 48000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Enterprise 48000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Liberty 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48,000/yr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48,000/yr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annual charge: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6,942.00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implied minute rate:</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minute rate:</w:t>
            </w:r>
          </w:p>
        </w:tc>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Home Area </w:t>
            </w:r>
            <w:r>
              <w:rPr>
                <w:rFonts w:ascii="Times New Roman" w:cs="Times New Roman" w:eastAsia="Times New Roman" w:hAnsi="Times New Roman"/>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U.S. and Caribbean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Euro Countries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-3049905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-3049905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-3049905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-3049905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-3049905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-3049905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 converted to USD$ using $0.89 conversion rate.</w:t>
      </w:r>
    </w:p>
    <w:p>
      <w:pPr>
        <w:spacing w:after="0" w:line="252" w:lineRule="exact"/>
        <w:rPr>
          <w:rFonts w:ascii="Times New Roman" w:cs="Times New Roman" w:eastAsia="Times New Roman" w:hAnsi="Times New Roman"/>
          <w:sz w:val="18"/>
          <w:szCs w:val="18"/>
          <w:color w:val="auto"/>
        </w:rPr>
      </w:pPr>
    </w:p>
    <w:p>
      <w:pPr>
        <w:ind w:left="540" w:right="7000" w:hanging="532"/>
        <w:spacing w:after="0" w:line="50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EUR€ converted to USD$ using $1.27 conversion rate. </w:t>
      </w:r>
      <w:r>
        <w:rPr>
          <w:rFonts w:ascii="Times New Roman" w:cs="Times New Roman" w:eastAsia="Times New Roman" w:hAnsi="Times New Roman"/>
          <w:sz w:val="18"/>
          <w:szCs w:val="18"/>
          <w:i w:val="1"/>
          <w:iCs w:val="1"/>
          <w:color w:val="auto"/>
        </w:rPr>
        <w:t>Satellite Data Modem Services</w:t>
      </w:r>
    </w:p>
    <w:p>
      <w:pPr>
        <w:ind w:firstLine="439"/>
        <w:spacing w:after="0" w:line="254" w:lineRule="auto"/>
        <w:rPr>
          <w:sz w:val="20"/>
          <w:szCs w:val="20"/>
          <w:color w:val="auto"/>
        </w:rPr>
      </w:pPr>
      <w:r>
        <w:rPr>
          <w:rFonts w:ascii="Times New Roman" w:cs="Times New Roman" w:eastAsia="Times New Roman" w:hAnsi="Times New Roman"/>
          <w:sz w:val="18"/>
          <w:szCs w:val="18"/>
          <w:color w:val="auto"/>
        </w:rPr>
        <w:t>In addition to data utilization through fixed and mobile services described above, we also offer data-only services. Our system is well-suited to handle duplex data transmission. Duplex devices have two-way transmission capabilities; for asset-tracking applications, this enables the customer to control directly their remote assets and perform more complicated monitoring activities. We offer asynchronous and packet data service in all of our territories. Customers can use our products to access the internet, corporate virtual private networks and other customer specific data centers. Satellite data modems are sold principally through integrators and value added resellers, who developed innovative end-market solutions, such as the Safety Star product, designed to address lone worker safety concerns, and the Skyhawk product, designed for maritime use. Our satellite data modems can be activated under any one of our current pricing plans. Satellite data modems are a fast growing product group that provide solutions that are accessible in every region we serve. The revenue that flows from these products provides an important and growing source of recurring service revenue and subscriber equipment sales for us.</w:t>
      </w:r>
    </w:p>
    <w:p>
      <w:pPr>
        <w:spacing w:after="0" w:line="192" w:lineRule="exact"/>
        <w:rPr>
          <w:sz w:val="20"/>
          <w:szCs w:val="20"/>
          <w:color w:val="auto"/>
        </w:rPr>
      </w:pPr>
    </w:p>
    <w:p>
      <w:pPr>
        <w:ind w:right="400" w:firstLine="429"/>
        <w:spacing w:after="0" w:line="275" w:lineRule="auto"/>
        <w:rPr>
          <w:sz w:val="20"/>
          <w:szCs w:val="20"/>
          <w:color w:val="auto"/>
        </w:rPr>
      </w:pPr>
      <w:r>
        <w:rPr>
          <w:rFonts w:ascii="Times New Roman" w:cs="Times New Roman" w:eastAsia="Times New Roman" w:hAnsi="Times New Roman"/>
          <w:sz w:val="18"/>
          <w:szCs w:val="18"/>
          <w:color w:val="auto"/>
        </w:rPr>
        <w:t>Additionally, we offer a data acceleration and compression service to the satellite data modem market. This service increases web-browsing, email and other data transmission speeds without any special equipment or hardware.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Asset Tracking and Remote Monitoring (Simplex)</w:t>
      </w:r>
    </w:p>
    <w:p>
      <w:pPr>
        <w:spacing w:after="0" w:line="227" w:lineRule="exact"/>
        <w:rPr>
          <w:sz w:val="20"/>
          <w:szCs w:val="20"/>
          <w:color w:val="auto"/>
        </w:rPr>
      </w:pPr>
    </w:p>
    <w:p>
      <w:pPr>
        <w:ind w:right="280" w:firstLine="439"/>
        <w:spacing w:after="0" w:line="275" w:lineRule="auto"/>
        <w:rPr>
          <w:sz w:val="20"/>
          <w:szCs w:val="20"/>
          <w:color w:val="auto"/>
        </w:rPr>
      </w:pPr>
      <w:r>
        <w:rPr>
          <w:rFonts w:ascii="Times New Roman" w:cs="Times New Roman" w:eastAsia="Times New Roman" w:hAnsi="Times New Roman"/>
          <w:sz w:val="18"/>
          <w:szCs w:val="18"/>
          <w:color w:val="auto"/>
        </w:rPr>
        <w:t>Our asset tracking and remote monitoring service, which we refer to as our Simplex service, is designed to address the market need for a small and cost-effective solution for sending data (such 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right="20"/>
        <w:spacing w:after="0" w:line="290" w:lineRule="auto"/>
        <w:rPr>
          <w:sz w:val="20"/>
          <w:szCs w:val="20"/>
          <w:color w:val="auto"/>
        </w:rPr>
      </w:pPr>
      <w:r>
        <w:rPr>
          <w:rFonts w:ascii="Times New Roman" w:cs="Times New Roman" w:eastAsia="Times New Roman" w:hAnsi="Times New Roman"/>
          <w:sz w:val="16"/>
          <w:szCs w:val="16"/>
          <w:color w:val="auto"/>
        </w:rPr>
        <w:t>location) from assets in remote locations to a central monitoring station. Simplex is a one-way burst data transmission to our network from a Simplex telemetry unit, which may be located, for example, on a container in transit. At the heart of the Simplex service is an application server, which is located at a gateway. This server receives and collates messages from all Simplex telemetry units received on our satellite network. Simplex transmitting devices consist of a Simplex telemetry unit, an application specific sensor, a battery (with up to a seven-year life depending on the number of transmissions) and optional global positioning functionality. The small size of the units makes them attractive for use in applications such as tracking asset shipments, monitoring unattended remote assets, trailer tracking and mobile security. Our Simplex service was introduced in 2003. As of June 30, 2006, there were approximately 41,000 Simplex subscribers, representing approximately 287% growth over Simplex subscribers as of June 30, 2005. Current users include various governmental agencies, including FEMA, the U.S. Army and the Mexican Ministry of Education, as well as commercial and other entities such as General Electric, Dell and The Salvation Army.</w:t>
      </w:r>
    </w:p>
    <w:p>
      <w:pPr>
        <w:spacing w:after="0" w:line="166" w:lineRule="exact"/>
        <w:rPr>
          <w:sz w:val="20"/>
          <w:szCs w:val="20"/>
          <w:color w:val="auto"/>
        </w:rPr>
      </w:pPr>
    </w:p>
    <w:p>
      <w:pPr>
        <w:ind w:right="60" w:firstLine="439"/>
        <w:spacing w:after="0" w:line="255" w:lineRule="auto"/>
        <w:rPr>
          <w:sz w:val="20"/>
          <w:szCs w:val="20"/>
          <w:color w:val="auto"/>
        </w:rPr>
      </w:pPr>
      <w:r>
        <w:rPr>
          <w:rFonts w:ascii="Times New Roman" w:cs="Times New Roman" w:eastAsia="Times New Roman" w:hAnsi="Times New Roman"/>
          <w:sz w:val="18"/>
          <w:szCs w:val="18"/>
          <w:color w:val="auto"/>
        </w:rPr>
        <w:t>Customers are able to realize an efficiency advantage from tracking assets on a single system as opposed to several regional systems. Simplex services are currently available from equipment installed into gateways in North America, Europe, Venezuela, Turkey, Korea, Australia, Peru and Russia. We plan to roll out two additional application servers in 2006 to cover what we view as additional major geographic markets for this service. We sell our Simplex services through value added resellers. Value added resellers purchase the services directly from us by subscribing to various pricing options offered by us to address various applications for this service and resell them to the end user. We receive a monthly subscription service fee and a one-time activation fee for each activated Simplex device.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Voice and Data Equipment</w:t>
      </w:r>
    </w:p>
    <w:p>
      <w:pPr>
        <w:spacing w:after="0" w:line="227" w:lineRule="exact"/>
        <w:rPr>
          <w:sz w:val="20"/>
          <w:szCs w:val="20"/>
          <w:color w:val="auto"/>
        </w:rPr>
      </w:pPr>
    </w:p>
    <w:p>
      <w:pPr>
        <w:ind w:right="100" w:firstLine="439"/>
        <w:spacing w:after="0" w:line="262" w:lineRule="auto"/>
        <w:rPr>
          <w:sz w:val="20"/>
          <w:szCs w:val="20"/>
          <w:color w:val="auto"/>
        </w:rPr>
      </w:pPr>
      <w:r>
        <w:rPr>
          <w:rFonts w:ascii="Times New Roman" w:cs="Times New Roman" w:eastAsia="Times New Roman" w:hAnsi="Times New Roman"/>
          <w:sz w:val="18"/>
          <w:szCs w:val="18"/>
          <w:color w:val="auto"/>
        </w:rPr>
        <w:t>Our services are available for use only with equipment designed to work on our network, which is typically sold to users in conjunction with an initial service plan. Our mobile phones, similar to ordinary cellular phones, are simple to use. Further, we expect that our new mobile phones from QUALCOMM will be among the smallest, lightest and least-expensive satellite phones available.</w:t>
      </w:r>
    </w:p>
    <w:p>
      <w:pPr>
        <w:spacing w:after="0" w:line="186"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Currently, QUALCOMM manufactures all of our mobile phones and most of our accessories. QUALCOMM currently offers GSP-1600 tri-mode units that work on AMPS (the North American analog cellular standard) and CDMA digital cellular networks, as well as on our satellite system. We anticipate that our inventory of GSP-1600s will be depleted later in 2006 or in 2007 as we begin sales of GSP-1700 phones.</w:t>
      </w:r>
    </w:p>
    <w:p>
      <w:pPr>
        <w:spacing w:after="0" w:line="186" w:lineRule="exact"/>
        <w:rPr>
          <w:sz w:val="20"/>
          <w:szCs w:val="20"/>
          <w:color w:val="auto"/>
        </w:rPr>
      </w:pPr>
    </w:p>
    <w:p>
      <w:pPr>
        <w:ind w:right="60" w:firstLine="439"/>
        <w:spacing w:after="0" w:line="275" w:lineRule="auto"/>
        <w:rPr>
          <w:sz w:val="20"/>
          <w:szCs w:val="20"/>
          <w:color w:val="auto"/>
        </w:rPr>
      </w:pPr>
      <w:r>
        <w:rPr>
          <w:rFonts w:ascii="Times New Roman" w:cs="Times New Roman" w:eastAsia="Times New Roman" w:hAnsi="Times New Roman"/>
          <w:sz w:val="18"/>
          <w:szCs w:val="18"/>
          <w:color w:val="auto"/>
        </w:rPr>
        <w:t>Our fixed phones are manufactured by QUALCOMM and Ericsson. We buy GSP-2900s from QUALCOMM and have a substantial inventory of Ericsson EF-200s to meet customers' demands. Ericsson does not plan to manufacture any additional EF-200s.</w:t>
      </w:r>
    </w:p>
    <w:p>
      <w:pPr>
        <w:spacing w:after="0" w:line="174" w:lineRule="exact"/>
        <w:rPr>
          <w:sz w:val="20"/>
          <w:szCs w:val="20"/>
          <w:color w:val="auto"/>
        </w:rPr>
      </w:pPr>
    </w:p>
    <w:p>
      <w:pPr>
        <w:ind w:right="180" w:firstLine="439"/>
        <w:spacing w:after="0" w:line="255" w:lineRule="auto"/>
        <w:rPr>
          <w:sz w:val="20"/>
          <w:szCs w:val="20"/>
          <w:color w:val="auto"/>
        </w:rPr>
      </w:pPr>
      <w:r>
        <w:rPr>
          <w:rFonts w:ascii="Times New Roman" w:cs="Times New Roman" w:eastAsia="Times New Roman" w:hAnsi="Times New Roman"/>
          <w:sz w:val="18"/>
          <w:szCs w:val="18"/>
          <w:color w:val="auto"/>
        </w:rPr>
        <w:t>In May 2005, we entered into an agreement with QUALCOMM to manufacture next-generation mobile devices. Under this agreement, QUALCOMM agreed to supply us with what we project will be a supply of advanced mobile phone units and accessories and advanced data products sufficient to supply our expected demand through 2009. In the second half of 2006, we will begin offering the new satellite-only GSP-1700 phone, which will be an update to the currently offered GSP-1600. The new phones will include a user-friendly color LCD screen and a rugged, water resistant case available in multiple colors. The phones are expected to be a significant improvement over earlier-generation equipment, and we believe that the advantages will drive increased adoption from prospective users as well as increased revenue from our existing subscribers.</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3" w:name="page84"/>
    <w:bookmarkEnd w:id="83"/>
    <w:p>
      <w:pPr>
        <w:ind w:firstLine="439"/>
        <w:spacing w:after="0" w:line="258" w:lineRule="auto"/>
        <w:rPr>
          <w:sz w:val="20"/>
          <w:szCs w:val="20"/>
          <w:color w:val="auto"/>
        </w:rPr>
      </w:pPr>
      <w:r>
        <w:rPr>
          <w:rFonts w:ascii="Times New Roman" w:cs="Times New Roman" w:eastAsia="Times New Roman" w:hAnsi="Times New Roman"/>
          <w:sz w:val="18"/>
          <w:szCs w:val="18"/>
          <w:color w:val="auto"/>
        </w:rPr>
        <w:t>In addition to our principal products described above, we offer a large selection of related accessories for our line of phones, including car kits, cigarette lighter adapters, wall chargers, travel chargers and remote antennas. Under our agreement with QUALCOMM, they also will produce for us second generation car kits and other accessories. We believe that sales of these high-margin accessories, especially of car kits, also drive additional product usage, which in turn results in higher service revenue.</w:t>
      </w:r>
    </w:p>
    <w:p>
      <w:pPr>
        <w:spacing w:after="0" w:line="190" w:lineRule="exact"/>
        <w:rPr>
          <w:sz w:val="20"/>
          <w:szCs w:val="20"/>
          <w:color w:val="auto"/>
        </w:rPr>
      </w:pPr>
    </w:p>
    <w:p>
      <w:pPr>
        <w:ind w:right="580" w:firstLine="439"/>
        <w:spacing w:after="0" w:line="275" w:lineRule="auto"/>
        <w:rPr>
          <w:sz w:val="20"/>
          <w:szCs w:val="20"/>
          <w:color w:val="auto"/>
        </w:rPr>
      </w:pPr>
      <w:r>
        <w:rPr>
          <w:rFonts w:ascii="Times New Roman" w:cs="Times New Roman" w:eastAsia="Times New Roman" w:hAnsi="Times New Roman"/>
          <w:sz w:val="18"/>
          <w:szCs w:val="18"/>
          <w:color w:val="auto"/>
        </w:rPr>
        <w:t>In addition to traditional satellite handsets, we sell multiple specialized products designed to address the specific needs of certain attractive end-user markets including the emergency response, maritime and aviation markets. These products include:</w:t>
      </w:r>
    </w:p>
    <w:p>
      <w:pPr>
        <w:spacing w:after="0" w:line="172" w:lineRule="exact"/>
        <w:rPr>
          <w:sz w:val="20"/>
          <w:szCs w:val="20"/>
          <w:color w:val="auto"/>
        </w:rPr>
      </w:pPr>
    </w:p>
    <w:p>
      <w:pPr>
        <w:ind w:right="20" w:firstLine="43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Emergency Response. </w:t>
      </w:r>
      <w:r>
        <w:rPr>
          <w:rFonts w:ascii="Times New Roman" w:cs="Times New Roman" w:eastAsia="Times New Roman" w:hAnsi="Times New Roman"/>
          <w:sz w:val="16"/>
          <w:szCs w:val="16"/>
          <w:color w:val="auto"/>
        </w:rPr>
        <w:t>The recently developed Globalstar Emergency Management Communications System (GEMCOMS) is comprised of five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fixed phones conveniently mounted in a container that allows for quick deployment, set-up and operation in an emergency situation. The GEMCOMS can operate as a standalone unit (allowing up to five simultaneous Globalstar phone calls) or be combined with a small and relatively inexpensive "picocell" to provide an almost instantaneous local cellular capability in areas where the infrastructure has been damaged or destroyed. GEMCOMs operate like stand-alone cellular phone site. Prototypes of this system were made available to FEMA for use in support of the disaster relief efforts for Hurricanes Katrina, Rita and Wilma.</w:t>
      </w:r>
    </w:p>
    <w:p>
      <w:pPr>
        <w:spacing w:after="0" w:line="158" w:lineRule="exact"/>
        <w:rPr>
          <w:sz w:val="20"/>
          <w:szCs w:val="20"/>
          <w:color w:val="auto"/>
        </w:rPr>
      </w:pPr>
    </w:p>
    <w:p>
      <w:pPr>
        <w:ind w:right="20" w:firstLine="439"/>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Maritime. </w:t>
      </w:r>
      <w:r>
        <w:rPr>
          <w:rFonts w:ascii="Times New Roman" w:cs="Times New Roman" w:eastAsia="Times New Roman" w:hAnsi="Times New Roman"/>
          <w:sz w:val="16"/>
          <w:szCs w:val="16"/>
          <w:color w:val="auto"/>
        </w:rPr>
        <w:t>We provide mobile satellite services specialized for the maritime market through equipment manufactured and sold by SeaTel Wavecall. SeaTel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Wavecall currently produces two maritime products: the Wavecall 3000 and the Wavecall MCM3. The Wavecall 3000 provides a voice and data capability for maritime users with up to 9.6 Kbps (with compressed speeds of up to 38.4 Kbps) data throughput while the MCM3 provides voice and data with a throughput of up to 28.8 Kbps (with compressed speeds of up to 144 Kbps). The omni directional antenna (available on all our products) and small physical package provides a significant savings in both equipment and airtime costs compared to competitive systems. Key users of the WaveCall 3000 include the United States Coast Guard and commercial fishermen. In addition, we are developing our own maritime fixed product for initial sales in the second half of 2006.</w:t>
      </w:r>
    </w:p>
    <w:p>
      <w:pPr>
        <w:spacing w:after="0" w:line="165" w:lineRule="exact"/>
        <w:rPr>
          <w:sz w:val="20"/>
          <w:szCs w:val="20"/>
          <w:color w:val="auto"/>
        </w:rPr>
      </w:pPr>
    </w:p>
    <w:p>
      <w:pPr>
        <w:ind w:right="100" w:firstLine="43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Aviation. </w:t>
      </w:r>
      <w:r>
        <w:rPr>
          <w:rFonts w:ascii="Times New Roman" w:cs="Times New Roman" w:eastAsia="Times New Roman" w:hAnsi="Times New Roman"/>
          <w:sz w:val="18"/>
          <w:szCs w:val="18"/>
          <w:color w:val="auto"/>
        </w:rPr>
        <w:t>Our aviation products are specially designed for use in helicopters, waterbombers, U.S. and Canadian Coast Guard surveillance and rescue,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general aviation and transport aircraft. Our products are small and lightweight relative to competitive products and are both FAA certified and flight test proven. We have worked with two major companies in the airline industry to identify the service features and necessary regulatory requirements to provide a wireless in-cabin voice and data service to passengers. Our products are sold by avionic companies, including Sagem Avionics, Geneva Aerospace and Northern Airborne Technologies, to customers including the U.S. Army and Air Force.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Data-Only Equipment</w:t>
      </w:r>
    </w:p>
    <w:p>
      <w:pPr>
        <w:spacing w:after="0" w:line="227"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The satellite data modem model GSP-1620 duplex data device developed and manufactured by QUALCOMM provides packet data and data processing capability over our network. The satellite data modem model GSP-1620 has compressed speeds of up to 38.4 Kbps and is highly programmable to meet multiple applications.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Selected New Products in Development</w:t>
      </w:r>
    </w:p>
    <w:p>
      <w:pPr>
        <w:spacing w:after="0" w:line="225" w:lineRule="exact"/>
        <w:rPr>
          <w:sz w:val="20"/>
          <w:szCs w:val="20"/>
          <w:color w:val="auto"/>
        </w:rPr>
      </w:pPr>
    </w:p>
    <w:p>
      <w:pPr>
        <w:ind w:right="140" w:firstLine="43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GSM Picocell System. </w:t>
      </w:r>
      <w:r>
        <w:rPr>
          <w:rFonts w:ascii="Times New Roman" w:cs="Times New Roman" w:eastAsia="Times New Roman" w:hAnsi="Times New Roman"/>
          <w:sz w:val="16"/>
          <w:szCs w:val="16"/>
          <w:color w:val="auto"/>
        </w:rPr>
        <w:t>We expect to offer a proprietary picocell product in 2007. The system will allow for global standards for mobile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GSM, cellular service in remote areas by backhauling signaling and voice services over our network through a picocell unit. Picocells will be available in any of the four GSM frequencies. The service will have terrestrial, maritime and aviation applications and given our user testing we expect to see strong initial demand from our target markets, including remote emergency response organizations, off-shore petroleum operators and cruise ships.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Multi-Channel Modem. </w:t>
      </w:r>
      <w:r>
        <w:rPr>
          <w:rFonts w:ascii="Times New Roman" w:cs="Times New Roman" w:eastAsia="Times New Roman" w:hAnsi="Times New Roman"/>
          <w:sz w:val="18"/>
          <w:szCs w:val="18"/>
          <w:color w:val="auto"/>
        </w:rPr>
        <w:t>In the first half of 2006, we introduced our multi-channel modem to the market. We offer the new multi-channel modem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four or eight modem boards and a single remote antenna which facilitates data rates up to 76.8 Kbps (with compressed speeds of between 144 and 256 Kbps). We expect this product to be attractive to corporate customers requiring downloads of data at higher speeds and to surveillance and security companies that require simultaneous voice and data applications, such as video security monitoring and telephone service from remote locations. Additionally, the U.S. government is testing this product to determine its suitability for security monitoring and transmission of video images from fixed and mobile platforms. The relative benefits are that (1) a high rate data service is available from the network via a relatively small electronics package at our low usage rates and (2) the product allows simultaneous voice and data availability at higher than a single 9.6 Kbps data rate.</w:t>
      </w:r>
    </w:p>
    <w:p>
      <w:pPr>
        <w:spacing w:after="0" w:line="189" w:lineRule="exact"/>
        <w:rPr>
          <w:sz w:val="20"/>
          <w:szCs w:val="20"/>
          <w:color w:val="auto"/>
        </w:rPr>
      </w:pPr>
    </w:p>
    <w:p>
      <w:pPr>
        <w:ind w:right="20" w:firstLine="439"/>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QUALCOMM GSP-1720 Satellite Data Modem. </w:t>
      </w:r>
      <w:r>
        <w:rPr>
          <w:rFonts w:ascii="Times New Roman" w:cs="Times New Roman" w:eastAsia="Times New Roman" w:hAnsi="Times New Roman"/>
          <w:sz w:val="16"/>
          <w:szCs w:val="16"/>
          <w:color w:val="auto"/>
        </w:rPr>
        <w:t>We expect to introduce the GSP-1720 modem in the first quarter of 2007. This will be a new satellite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data modem board with multiple antenna configurations and an enlarged set of commands for modem control and will be smaller, less expensive and easier to operate than our current product. We expect this new board will be attractive to integrators because it will have more user interfaces that are easily programmable, which will make it easier for value added resellers to integrate the satellite modem processing with the specific application (e.g., monitoring and controlling oil and gas pumps, monitoring and controlling electric power plants and more economically facilitating security and control monitoring of remote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7" w:lineRule="exact"/>
        <w:rPr>
          <w:sz w:val="20"/>
          <w:szCs w:val="20"/>
          <w:color w:val="auto"/>
        </w:rPr>
      </w:pPr>
    </w:p>
    <w:p>
      <w:pPr>
        <w:jc w:val="both"/>
        <w:ind w:right="280" w:firstLine="436"/>
        <w:spacing w:after="0" w:line="258" w:lineRule="auto"/>
        <w:rPr>
          <w:sz w:val="20"/>
          <w:szCs w:val="20"/>
          <w:color w:val="auto"/>
        </w:rPr>
      </w:pPr>
      <w:r>
        <w:rPr>
          <w:rFonts w:ascii="Times New Roman" w:cs="Times New Roman" w:eastAsia="Times New Roman" w:hAnsi="Times New Roman"/>
          <w:sz w:val="18"/>
          <w:szCs w:val="18"/>
          <w:color w:val="auto"/>
        </w:rPr>
        <w:t>The specialized needs of our global customers span many markets. Our system is able to offer our customers cost-effective communications solutions in areas underserved or unserved by existing telecommunications infrastructures. While traditional users of wireless telephony and broadband data services have access to these services in developed locations, our targeted customers often operate or live in remote or under-developed regions where these services are not readily available or are not provided on a reliable basis.</w:t>
      </w:r>
    </w:p>
    <w:p>
      <w:pPr>
        <w:spacing w:after="0" w:line="190" w:lineRule="exact"/>
        <w:rPr>
          <w:sz w:val="20"/>
          <w:szCs w:val="20"/>
          <w:color w:val="auto"/>
        </w:rPr>
      </w:pPr>
    </w:p>
    <w:p>
      <w:pPr>
        <w:jc w:val="both"/>
        <w:ind w:right="100" w:firstLine="439"/>
        <w:spacing w:after="0" w:line="262" w:lineRule="auto"/>
        <w:rPr>
          <w:sz w:val="20"/>
          <w:szCs w:val="20"/>
          <w:color w:val="auto"/>
        </w:rPr>
      </w:pPr>
      <w:r>
        <w:rPr>
          <w:rFonts w:ascii="Times New Roman" w:cs="Times New Roman" w:eastAsia="Times New Roman" w:hAnsi="Times New Roman"/>
          <w:sz w:val="18"/>
          <w:szCs w:val="18"/>
          <w:color w:val="auto"/>
        </w:rPr>
        <w:t>Our markets include government, public safety and disaster relief; recreation and personal; maritime and fishing; business, financial and insurance; natural resources, mining and forestry; oil and gas; construction; utilities; and transportation. We focus our attention on obtaining customers who will be long-term users of our services and products and who will generate high average revenue per user. The following is a discussion of these markets.</w:t>
      </w:r>
    </w:p>
    <w:p>
      <w:pPr>
        <w:spacing w:after="0" w:line="184"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Government, Public Safety and Disaster Relief. </w:t>
      </w:r>
      <w:r>
        <w:rPr>
          <w:rFonts w:ascii="Times New Roman" w:cs="Times New Roman" w:eastAsia="Times New Roman" w:hAnsi="Times New Roman"/>
          <w:sz w:val="18"/>
          <w:szCs w:val="18"/>
          <w:color w:val="auto"/>
        </w:rPr>
        <w:t>In the United States and Canada, our customers in the government, public safety and disaster relief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one of our largest and most critical markets, and constituted 24% of our total subscribers in those regions at December 31, 2005. We conduct business with many major federal, state, provincial and local government agencies, including, in the United States, the Department of Homeland Security, FBI, Department of Defense, NASA and every branch of the U.S. Military, as well as state and local governments, police departments, hospitals and first response teams. In Canada, we conduct business with the Royal Canadian Mounted Police and with many additional federal and provincial agencies. Relief agencies such as the Red Cross, the Salvation Army and FEMA generate significant demand for both our voice and data products, especially during the late summer months in anticipation of the hurricane season in North America. Our Simplex service facilitates tracking and managing the distribution of movable hard assets such as generators, trucks, trailers and relief supplies to disaster areas, while our fixed and mobile voice terminals enable relief workers and victims to communicate in areas where terrestrial service is no longer operational. We provide customized communications solutions to various departments of the U.S. government, enabling them to monitor logistics status, position reporting and vehicle tracking and performance status, as well as two-way voice communications services. Expansion of our government business both in the United States and throughout the rest of the world represents a significant growth opportunity, and we expect that our relationships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5" w:name="page86"/>
    <w:bookmarkEnd w:id="85"/>
    <w:p>
      <w:pPr>
        <w:ind w:right="60"/>
        <w:spacing w:after="0" w:line="258" w:lineRule="auto"/>
        <w:rPr>
          <w:sz w:val="20"/>
          <w:szCs w:val="20"/>
          <w:color w:val="auto"/>
        </w:rPr>
      </w:pPr>
      <w:r>
        <w:rPr>
          <w:rFonts w:ascii="Times New Roman" w:cs="Times New Roman" w:eastAsia="Times New Roman" w:hAnsi="Times New Roman"/>
          <w:sz w:val="18"/>
          <w:szCs w:val="18"/>
          <w:color w:val="auto"/>
        </w:rPr>
        <w:t>with various government agencies will bolster our leadership position in the mobile satellite services industry. Aggregate sales to all U.S. government agencies constituted approximately 15% and 17% of our revenue for 2005 and the six months ended June 30, 2006, respectively, U.S. government agencies may terminate their business with us at any time without penalty. Substantially all of our business with U.S. governmental agencies is pursuant to individual purchase orders with various agencies. We did not have any contract backlog at June 30, 2006.</w:t>
      </w:r>
    </w:p>
    <w:p>
      <w:pPr>
        <w:spacing w:after="0" w:line="188" w:lineRule="exact"/>
        <w:rPr>
          <w:sz w:val="20"/>
          <w:szCs w:val="20"/>
          <w:color w:val="auto"/>
        </w:rPr>
      </w:pPr>
    </w:p>
    <w:p>
      <w:pPr>
        <w:ind w:right="2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Recreation and Personal. </w:t>
      </w:r>
      <w:r>
        <w:rPr>
          <w:rFonts w:ascii="Times New Roman" w:cs="Times New Roman" w:eastAsia="Times New Roman" w:hAnsi="Times New Roman"/>
          <w:sz w:val="18"/>
          <w:szCs w:val="18"/>
          <w:color w:val="auto"/>
        </w:rPr>
        <w:t>Outdoor enthusiasts, hunters, international leisure travelers, recreational fishermen, backpackers, commercial outfitters, remote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lodge owners and nature tour groups use our services for recreational and personal leisure activities and constituted 20% of our U.S. and Canadian customers at December 31, 2005. Our network coverage extends beyond shorelines and provides recreational sailors and recreational fishermen an affordable satellite communications solution. Hunters, hikers and backpackers carry our mobile phones with them to maintain a reliable communications link with the outside world, report emergencies and check voicemail and email.</w:t>
      </w:r>
    </w:p>
    <w:p>
      <w:pPr>
        <w:spacing w:after="0" w:line="188"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Maritime and Fishing. </w:t>
      </w:r>
      <w:r>
        <w:rPr>
          <w:rFonts w:ascii="Times New Roman" w:cs="Times New Roman" w:eastAsia="Times New Roman" w:hAnsi="Times New Roman"/>
          <w:sz w:val="18"/>
          <w:szCs w:val="18"/>
          <w:color w:val="auto"/>
        </w:rPr>
        <w:t>Customers in all phases of the maritime industry, including commercial fishing, workboat, transport and recreational maritime,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services for their primary fleet and ship-to-shore communications and constituted 12% of our U.S. and Canadian customers at December 31, 2005. Commercial fishing customers use voice services as their primary communications to coordinate fishing locations with other boats in their fleet and for ship-to-shore communications to arrange docking times or order parts, check landing prices and manage onshore operations. In addition, they use data services for weather and oceanic conditions, which are key to improving their fishing productivity and communicating with government fisheries departments. Commercial fishing users are located primarily in the Pacific Northwest and northern Atlantic fishing regions. Marine transport customers use voice services as their primary ship-to-shore communications while they transport oil from Valdez, Alaska. Additionally, there is a strong demand for voice and data services throughout the Gulf of Mexico for boats servicing offshore oil rigs and for workboats traveling offshore and up the Mississippi River.</w:t>
      </w:r>
    </w:p>
    <w:p>
      <w:pPr>
        <w:spacing w:after="0" w:line="192" w:lineRule="exact"/>
        <w:rPr>
          <w:sz w:val="20"/>
          <w:szCs w:val="20"/>
          <w:color w:val="auto"/>
        </w:rPr>
      </w:pPr>
    </w:p>
    <w:p>
      <w:pPr>
        <w:ind w:right="8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Financial and Insurance. </w:t>
      </w:r>
      <w:r>
        <w:rPr>
          <w:rFonts w:ascii="Times New Roman" w:cs="Times New Roman" w:eastAsia="Times New Roman" w:hAnsi="Times New Roman"/>
          <w:sz w:val="18"/>
          <w:szCs w:val="18"/>
          <w:color w:val="auto"/>
        </w:rPr>
        <w:t>We provide critical primary and back-up communications services to a variety of users in the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which constituted 8% of our U.S. and Canadian customers at December 31, 2005. For example, insurance adjustors use our devices while working in remote locations or surveying disaster areas where traditional communications infrastructure is not available or no longer functioning. We also provide back-up communications to financial institutions, banks and investment houses. In addition, a number of customers buy our equipment for their employees who routinely travel to remote or overseas locations.</w:t>
      </w:r>
    </w:p>
    <w:p>
      <w:pPr>
        <w:spacing w:after="0" w:line="188"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Natural Resources, Mining and Forestry. </w:t>
      </w:r>
      <w:r>
        <w:rPr>
          <w:rFonts w:ascii="Times New Roman" w:cs="Times New Roman" w:eastAsia="Times New Roman" w:hAnsi="Times New Roman"/>
          <w:sz w:val="18"/>
          <w:szCs w:val="18"/>
          <w:color w:val="auto"/>
        </w:rPr>
        <w:t>Natural resources, mining and forestry customers rely on our communications services to conduct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These customers constituted 5% of our U.S. and Canadian customers at December 31, 2005. Forestry workers in the field utilize our mobile communications services to patrol remote areas. Timber harvesting workers use mobile voice services to scout sites, coordinate logistics and monitor operations. A significant portion of forestry work occurs in mountainous areas in the northwestern United States and western Canada that lack either wireless or wireline communications networks. Similarly, mining companies use our mobile services to survey new mining opportunities and conduct operations in remote geographies that are not served by cellular communications networks. Once a mine is in operation, our customers tend to install fixed communications terminals that provide essential voice and data service to the mine. Miners use our devices to communicate with other miners, remain in touch with central business hubs and report emergencies.</w:t>
      </w:r>
    </w:p>
    <w:p>
      <w:pPr>
        <w:spacing w:after="0" w:line="192" w:lineRule="exact"/>
        <w:rPr>
          <w:sz w:val="20"/>
          <w:szCs w:val="20"/>
          <w:color w:val="auto"/>
        </w:rPr>
      </w:pPr>
    </w:p>
    <w:p>
      <w:pPr>
        <w:jc w:val="both"/>
        <w:ind w:right="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Oil and Gas. </w:t>
      </w:r>
      <w:r>
        <w:rPr>
          <w:rFonts w:ascii="Times New Roman" w:cs="Times New Roman" w:eastAsia="Times New Roman" w:hAnsi="Times New Roman"/>
          <w:sz w:val="18"/>
          <w:szCs w:val="18"/>
          <w:color w:val="auto"/>
        </w:rPr>
        <w:t>Oil and gas companies are typically our highest average revenue per user customers as they require satellite-based communications to carry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their routine business. They constituted 5% of our U.S. and Canadian customers at December 31, 2005. Oil and gas companies equip their engineers with our equipment for scouting new drilling opportunities and for conducting routine operations in remote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6" w:name="page87"/>
    <w:bookmarkEnd w:id="86"/>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areas. There is an essential need for reliable communication to manage effectively oil, gas and energy extraction operations, which results in very high usage levels for those companies. Moreover, off-shore drilling platforms and oil tankers are equipped with our terminals capable of sending and receiving data and voice transmissions.</w:t>
      </w:r>
    </w:p>
    <w:p>
      <w:pPr>
        <w:spacing w:after="0" w:line="184" w:lineRule="exact"/>
        <w:rPr>
          <w:sz w:val="20"/>
          <w:szCs w:val="20"/>
          <w:color w:val="auto"/>
        </w:rPr>
      </w:pPr>
    </w:p>
    <w:p>
      <w:pPr>
        <w:jc w:val="both"/>
        <w:ind w:right="140" w:firstLine="43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Construction. </w:t>
      </w:r>
      <w:r>
        <w:rPr>
          <w:rFonts w:ascii="Times New Roman" w:cs="Times New Roman" w:eastAsia="Times New Roman" w:hAnsi="Times New Roman"/>
          <w:sz w:val="16"/>
          <w:szCs w:val="16"/>
          <w:color w:val="auto"/>
        </w:rPr>
        <w:t>Construction companies, which constituted 3% of our U.S. and Canadian customers at December 31, 2005, use our mobile voice phones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for constructing new facilities in rural areas. Contractors rely on our mobile devices to maintain contact with sub-contractors, suppliers and architects. Until a remote construction site is connected to a local telecommunications network, our phones often serve as the sole form of communication for site workers.</w:t>
      </w:r>
    </w:p>
    <w:p>
      <w:pPr>
        <w:ind w:right="20"/>
        <w:spacing w:after="0" w:line="261" w:lineRule="auto"/>
        <w:rPr>
          <w:sz w:val="20"/>
          <w:szCs w:val="20"/>
          <w:color w:val="auto"/>
        </w:rPr>
      </w:pPr>
      <w:r>
        <w:rPr>
          <w:rFonts w:ascii="Times New Roman" w:cs="Times New Roman" w:eastAsia="Times New Roman" w:hAnsi="Times New Roman"/>
          <w:sz w:val="18"/>
          <w:szCs w:val="18"/>
          <w:color w:val="auto"/>
        </w:rPr>
        <w:t>Within the construction industry, drilling and cement companies represent a large customer base. Due to the hazardous nature of construction work, maintaining a reliable communications link at remote construction and drilling sites is critical in the event of an accident or other emergency.</w:t>
      </w:r>
    </w:p>
    <w:p>
      <w:pPr>
        <w:spacing w:after="0" w:line="184" w:lineRule="exact"/>
        <w:rPr>
          <w:sz w:val="20"/>
          <w:szCs w:val="20"/>
          <w:color w:val="auto"/>
        </w:rPr>
      </w:pPr>
    </w:p>
    <w:p>
      <w:pPr>
        <w:ind w:right="8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Utilities. </w:t>
      </w:r>
      <w:r>
        <w:rPr>
          <w:rFonts w:ascii="Times New Roman" w:cs="Times New Roman" w:eastAsia="Times New Roman" w:hAnsi="Times New Roman"/>
          <w:sz w:val="18"/>
          <w:szCs w:val="18"/>
          <w:color w:val="auto"/>
        </w:rPr>
        <w:t>Utility customers, which constituted 3% of our U.S. and Canadian customers at December 31, 2005, use our services for both normal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emergency operations. For normal operations, our data modems connect on-truck laptops with headquarters to manage work orders and maintain field operations control. During emergencies, our voice services are used to coordinate crew deployment to restore utility services or to keep remote field workers in touch after an accident.</w:t>
      </w:r>
    </w:p>
    <w:p>
      <w:pPr>
        <w:spacing w:after="0" w:line="187" w:lineRule="exact"/>
        <w:rPr>
          <w:sz w:val="20"/>
          <w:szCs w:val="20"/>
          <w:color w:val="auto"/>
        </w:rPr>
      </w:pPr>
    </w:p>
    <w:p>
      <w:pPr>
        <w:ind w:right="6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Customers in the transportation industry, which constituted 2% of our U.S. and Canadian customers at December 31, 2005, 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Simplex services to monitor the location of their vehicles, trailers and assets, such as containers, and use our duplex data and voice products to facilitate two-way voice and data communications with drivers. Long distance drivers need reliable communication with both dispatchers and their destinations to coordinate changing business needs, and our satellite network provides continuous communications coverage while they are in transit.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Spectrum</w:t>
      </w:r>
    </w:p>
    <w:p>
      <w:pPr>
        <w:spacing w:after="0" w:line="227" w:lineRule="exact"/>
        <w:rPr>
          <w:sz w:val="20"/>
          <w:szCs w:val="20"/>
          <w:color w:val="auto"/>
        </w:rPr>
      </w:pPr>
    </w:p>
    <w:p>
      <w:pPr>
        <w:ind w:firstLine="436"/>
        <w:spacing w:after="0" w:line="310" w:lineRule="auto"/>
        <w:rPr>
          <w:sz w:val="20"/>
          <w:szCs w:val="20"/>
          <w:color w:val="auto"/>
        </w:rPr>
      </w:pPr>
      <w:r>
        <w:rPr>
          <w:rFonts w:ascii="Times New Roman" w:cs="Times New Roman" w:eastAsia="Times New Roman" w:hAnsi="Times New Roman"/>
          <w:sz w:val="16"/>
          <w:szCs w:val="16"/>
          <w:color w:val="auto"/>
        </w:rPr>
        <w:t>We hold licenses to operate a wireless communications network via satellite over 27.85 MHz in two blocks of contiguous global radio frequency spectrum. Access to this spectrum enables us to design satellites, network and terrestrial infrastructure enhancements cost effectively because the products and services can be deployed and sold worldwide. This broad spectrum assignment enhances our ability to capitalize on existing and emerging wireless and broadcast applications.</w:t>
      </w:r>
    </w:p>
    <w:p>
      <w:pPr>
        <w:spacing w:after="0" w:line="151" w:lineRule="exact"/>
        <w:rPr>
          <w:sz w:val="20"/>
          <w:szCs w:val="20"/>
          <w:color w:val="auto"/>
        </w:rPr>
      </w:pPr>
    </w:p>
    <w:p>
      <w:pPr>
        <w:ind w:right="220" w:firstLine="439"/>
        <w:spacing w:after="0" w:line="301" w:lineRule="auto"/>
        <w:rPr>
          <w:sz w:val="20"/>
          <w:szCs w:val="20"/>
          <w:color w:val="auto"/>
        </w:rPr>
      </w:pPr>
      <w:r>
        <w:rPr>
          <w:rFonts w:ascii="Times New Roman" w:cs="Times New Roman" w:eastAsia="Times New Roman" w:hAnsi="Times New Roman"/>
          <w:sz w:val="16"/>
          <w:szCs w:val="16"/>
          <w:color w:val="auto"/>
        </w:rPr>
        <w:t>Because most of the desirable spectrum near the PCS bands has already been allocated by the FCC or will be auctioned by the FCC by January 2008, we believe there are limited options for new spectrum allocations. Utilization of existing spectrum is growing quickly. Our spectrum location near the PCS bands should allow us to deploy cost effectively the terrestrial component of an ATC network by leveraging existing terrestrial wireless infrastructures. Further, we believe the ability of our current network to support ATC services will allow us to introduce new services and capabilities before our competitors.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FCC has allocated a total of 40 MHz of spectrum at 2 GHz for mobile satellite services. This augments the mobile satellite services spectrum at 1.6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 GHz (licensed to us and Iridium) and 1.5 and 1.6 GHz (licensed to Mobile Satellite Ventures, Inmarsat and several foreign operators). In 2001, we received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license to use a portion of this 2 GHz spectrum. In February 2003, the FCC's International Bureau cancelled our authorization based upon our alleged inability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 future construction milestones and, in June 2004, the FCC affirmed this cancellation. We have asked for reconsideration of the cancellation.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2005, the FCC assigned all of the 40 MHz of available spectrum to TMI/TerreStar and ICO Global Communications, although the order granting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 made specifically subject to the outcome of our request for reconsideration. In addition to petitioning for reinstatement of our 2 GHz license, in a separate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proceeding we also have challenged the assignment of all of the spectrum to TMI/TerreStar and ICO Global Communications as unlawful and contrary to well-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FCC policy.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7" w:name="page88"/>
    <w:bookmarkEnd w:id="87"/>
    <w:p>
      <w:pPr>
        <w:ind w:right="20"/>
        <w:spacing w:after="0" w:line="262" w:lineRule="auto"/>
        <w:rPr>
          <w:sz w:val="20"/>
          <w:szCs w:val="20"/>
          <w:color w:val="auto"/>
        </w:rPr>
      </w:pPr>
      <w:r>
        <w:rPr>
          <w:rFonts w:ascii="Times New Roman" w:cs="Times New Roman" w:eastAsia="Times New Roman" w:hAnsi="Times New Roman"/>
          <w:sz w:val="18"/>
          <w:szCs w:val="18"/>
          <w:color w:val="auto"/>
        </w:rPr>
        <w:t>Although we believe strongly that our 2 GHz license should be reinstated and assigned to us, our existing operations, our plans for the introduction of ATC services and our deployment of a second-generation satellite constellation will not be adversely impacted if we are unsuccessful in obtaining this 2 GHz spectrum license. If we succeed in obtaining reinstatement of the 2 GHz license, it will provide additional spectrum for the future growth of our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and Foreign Revenue</w:t>
      </w:r>
    </w:p>
    <w:p>
      <w:pPr>
        <w:spacing w:after="0" w:line="227"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We supply services and products to a number of foreign customers. Although most of our sales are denominated in U.S. dollars, we are exposed to currency risk for sales in Canada and Europe. For information on our revenue from sales to foreign and domestic customers, see Note 14 to our consolidated financial statements contained in this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Network</w:t>
      </w:r>
    </w:p>
    <w:p>
      <w:pPr>
        <w:spacing w:after="0" w:line="227" w:lineRule="exact"/>
        <w:rPr>
          <w:sz w:val="20"/>
          <w:szCs w:val="20"/>
          <w:color w:val="auto"/>
        </w:rPr>
      </w:pPr>
    </w:p>
    <w:p>
      <w:pPr>
        <w:ind w:right="160" w:firstLine="439"/>
        <w:spacing w:after="0" w:line="289" w:lineRule="auto"/>
        <w:rPr>
          <w:sz w:val="20"/>
          <w:szCs w:val="20"/>
          <w:color w:val="auto"/>
        </w:rPr>
      </w:pPr>
      <w:r>
        <w:rPr>
          <w:rFonts w:ascii="Times New Roman" w:cs="Times New Roman" w:eastAsia="Times New Roman" w:hAnsi="Times New Roman"/>
          <w:sz w:val="16"/>
          <w:szCs w:val="16"/>
          <w:color w:val="auto"/>
        </w:rPr>
        <w:t>Our satellite network includes 43 in-orbit low earth orbit satellites, including in-orbit spares temporarily placed into service and satellites that are temporarily out of service but are considered restorable. The design of our orbital planes and the positioning of our ground stations ensure that generally at least</w:t>
      </w:r>
    </w:p>
    <w:p>
      <w:pPr>
        <w:spacing w:after="0" w:line="1"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two satellites, and often more, are visible to subscribers from any point on the earth's surface between 70</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north latitude to 70</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south latitude, covering most of the world's population. All of our satellites are virtually identical in design and manufacture, and each satellite contributes equally to the constellation performance, which allows satellite diversity for mitigation of service gaps from individual satellite outages. Our constellation currently orbits in a 40-satellite configuration known as a "Walker pattern" orbital geometry. Each satellite has a high degree of on-board subsystem redundancy, an on-board fault detection system and isolation and recovery for safe and quick risk mitigation. Our ability to reconfigure the orbital location of each satellite provides us with operating flexibility and continuity of service. The design of our space and ground control system facilitates the real time intervention and management of the satellite constellation and service upgrades via hardware and software enhancements.</w:t>
      </w:r>
    </w:p>
    <w:p>
      <w:pPr>
        <w:spacing w:after="0" w:line="208"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Our satellites communicate with our network of 25 gateways, each of which serves an area of approximately 700,000 to 1,000,000 square miles. 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user is authenticated by the serving gateway and then the voice or data channel is established to complete the call to the public switched telephone network, to a cellular or another wireless network, or, in the case of a Simplex data call, to the internet.</w:t>
      </w:r>
    </w:p>
    <w:p>
      <w:pPr>
        <w:spacing w:after="0" w:line="193"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color w:val="auto"/>
        </w:rPr>
        <w:t>We believe that our terrestrial gateways provide a number of advantages over the in-orbit switching used by Iridium, including better call quality and convenient regionalized local phone numbers for inbound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193" w:lineRule="exact"/>
        <w:rPr>
          <w:sz w:val="20"/>
          <w:szCs w:val="20"/>
          <w:color w:val="auto"/>
        </w:rPr>
      </w:pPr>
    </w:p>
    <w:p>
      <w:pPr>
        <w:ind w:right="100" w:firstLine="439"/>
        <w:spacing w:after="0" w:line="255" w:lineRule="auto"/>
        <w:rPr>
          <w:sz w:val="20"/>
          <w:szCs w:val="20"/>
          <w:color w:val="auto"/>
        </w:rPr>
      </w:pPr>
      <w:r>
        <w:rPr>
          <w:rFonts w:ascii="Times New Roman" w:cs="Times New Roman" w:eastAsia="Times New Roman" w:hAnsi="Times New Roman"/>
          <w:sz w:val="18"/>
          <w:szCs w:val="18"/>
          <w:color w:val="auto"/>
        </w:rPr>
        <w:t>Our network uses QUALCOMM's patented CDMA technology to permit dynamic selection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a low incidence of dropped calls. The worldwide call success rate average for all of our users varies between 79% and 82%.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 We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have a long-standing relationship with QUALCOMM for the manufacture of our phone handsets, data terminals, gateway hardware and equipment.</w:t>
      </w:r>
    </w:p>
    <w:p>
      <w:pPr>
        <w:spacing w:after="0" w:line="225" w:lineRule="exact"/>
        <w:rPr>
          <w:sz w:val="20"/>
          <w:szCs w:val="20"/>
          <w:color w:val="auto"/>
        </w:rPr>
      </w:pPr>
    </w:p>
    <w:p>
      <w:pPr>
        <w:ind w:right="40" w:firstLine="429"/>
        <w:spacing w:after="0" w:line="256" w:lineRule="auto"/>
        <w:rPr>
          <w:sz w:val="20"/>
          <w:szCs w:val="20"/>
          <w:color w:val="auto"/>
        </w:rPr>
      </w:pPr>
      <w:r>
        <w:rPr>
          <w:rFonts w:ascii="Times New Roman" w:cs="Times New Roman" w:eastAsia="Times New Roman" w:hAnsi="Times New Roman"/>
          <w:sz w:val="18"/>
          <w:szCs w:val="18"/>
          <w:color w:val="auto"/>
        </w:rPr>
        <w:t>Although our network is CDMA-based, it is configured so that we can also support one or more other air interfaces that we select in the future. For example, we have developed a non-CDMA technology to offer Simplex data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 At this time, we are developing several inexpensive additional products and services which will operate in this manner.</w:t>
      </w:r>
    </w:p>
    <w:p>
      <w:pPr>
        <w:spacing w:after="0" w:line="193"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We believe our in-space constellation will provide a commercially acceptable quality of service into 2010. We have eight spare satellites which are being prepared for launch during 2007 to augment our constellation. We plan to place the eight satellites into a constellation configuration which seeks to optimizes our service at that time. We have entered into a launch service agreement with Starsem for two launches, with the launches of the spare satellites scheduled for March and May, 2007.</w:t>
      </w:r>
    </w:p>
    <w:p>
      <w:pPr>
        <w:spacing w:after="0" w:line="190" w:lineRule="exact"/>
        <w:rPr>
          <w:sz w:val="20"/>
          <w:szCs w:val="20"/>
          <w:color w:val="auto"/>
        </w:rPr>
      </w:pPr>
    </w:p>
    <w:p>
      <w:pPr>
        <w:ind w:right="60" w:firstLine="439"/>
        <w:spacing w:after="0" w:line="262" w:lineRule="auto"/>
        <w:rPr>
          <w:sz w:val="20"/>
          <w:szCs w:val="20"/>
          <w:color w:val="auto"/>
        </w:rPr>
      </w:pPr>
      <w:r>
        <w:rPr>
          <w:rFonts w:ascii="Times New Roman" w:cs="Times New Roman" w:eastAsia="Times New Roman" w:hAnsi="Times New Roman"/>
          <w:sz w:val="18"/>
          <w:szCs w:val="18"/>
          <w:color w:val="auto"/>
        </w:rPr>
        <w:t>In addition to our eight spare satellites, we own spare parts for our gateways. We have in storage 28 complete and 3 partial antennas and 8 complete and 3 partial gateways. We selectively replace parts as necessary, and anticipate that this supply will sufficiently serve all of our gateway needs throughout the expected life of our existing satellite constellation.</w:t>
      </w:r>
    </w:p>
    <w:p>
      <w:pPr>
        <w:spacing w:after="0" w:line="186" w:lineRule="exact"/>
        <w:rPr>
          <w:sz w:val="20"/>
          <w:szCs w:val="20"/>
          <w:color w:val="auto"/>
        </w:rPr>
      </w:pPr>
    </w:p>
    <w:p>
      <w:pPr>
        <w:jc w:val="both"/>
        <w:ind w:right="180" w:firstLine="439"/>
        <w:spacing w:after="0" w:line="287" w:lineRule="auto"/>
        <w:rPr>
          <w:sz w:val="20"/>
          <w:szCs w:val="20"/>
          <w:color w:val="auto"/>
        </w:rPr>
      </w:pPr>
      <w:r>
        <w:rPr>
          <w:rFonts w:ascii="Times New Roman" w:cs="Times New Roman" w:eastAsia="Times New Roman" w:hAnsi="Times New Roman"/>
          <w:sz w:val="16"/>
          <w:szCs w:val="16"/>
          <w:color w:val="auto"/>
        </w:rPr>
        <w:t>Due to the nature of our satellite constellation, we do not carry in-orbit insurance on our current satellite constellation. We plan on insuring the launch of each of our eight spare satellites. Prior to launching these satellites, we will evaluate all the launch insurance options available to us. We do not plan on insuring the spare satellites once they are safely in orbit. See "Risk Factors—Risks Relating to Our Business—We may not be able to launch our satellites successfully.</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Loss of a satellite during launch could delay or impair our ability to offer our services or reduce our revenues, and launch insurance, even if it is available, will not cover fully this risk." for an additional discussion of insurance related considerations.</w:t>
      </w:r>
    </w:p>
    <w:p>
      <w:pPr>
        <w:spacing w:after="0" w:line="186" w:lineRule="exact"/>
        <w:rPr>
          <w:sz w:val="20"/>
          <w:szCs w:val="20"/>
          <w:color w:val="auto"/>
        </w:rPr>
      </w:pPr>
    </w:p>
    <w:p>
      <w:pPr>
        <w:ind w:right="180" w:firstLine="436"/>
        <w:spacing w:after="0" w:line="275" w:lineRule="auto"/>
        <w:rPr>
          <w:sz w:val="20"/>
          <w:szCs w:val="20"/>
          <w:color w:val="auto"/>
        </w:rPr>
      </w:pPr>
      <w:r>
        <w:rPr>
          <w:rFonts w:ascii="Times New Roman" w:cs="Times New Roman" w:eastAsia="Times New Roman" w:hAnsi="Times New Roman"/>
          <w:sz w:val="18"/>
          <w:szCs w:val="18"/>
          <w:color w:val="auto"/>
        </w:rPr>
        <w:t>We make no warranties to our subscribers as to the availability of our services and we do not believe we would have any liability to our subscribers in the event of a failure of our network to provide communication services (other than possibly for the refund of unused portions of prepaid service plans).</w:t>
      </w:r>
    </w:p>
    <w:p>
      <w:pPr>
        <w:spacing w:after="0" w:line="174" w:lineRule="exact"/>
        <w:rPr>
          <w:sz w:val="20"/>
          <w:szCs w:val="20"/>
          <w:color w:val="auto"/>
        </w:rPr>
      </w:pPr>
    </w:p>
    <w:p>
      <w:pPr>
        <w:ind w:firstLine="436"/>
        <w:spacing w:after="0" w:line="275" w:lineRule="auto"/>
        <w:rPr>
          <w:sz w:val="20"/>
          <w:szCs w:val="20"/>
          <w:color w:val="auto"/>
        </w:rPr>
      </w:pPr>
      <w:r>
        <w:rPr>
          <w:rFonts w:ascii="Times New Roman" w:cs="Times New Roman" w:eastAsia="Times New Roman" w:hAnsi="Times New Roman"/>
          <w:sz w:val="18"/>
          <w:szCs w:val="18"/>
          <w:color w:val="auto"/>
        </w:rPr>
        <w:t>We are currently designing the architecture of our second-generation of satellites. We are considering several alternative structures, including both low earth orbit and geostationary configurations.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Constellation Operations</w:t>
      </w:r>
    </w:p>
    <w:p>
      <w:pPr>
        <w:spacing w:after="0" w:line="227" w:lineRule="exact"/>
        <w:rPr>
          <w:sz w:val="20"/>
          <w:szCs w:val="20"/>
          <w:color w:val="auto"/>
        </w:rPr>
      </w:pPr>
    </w:p>
    <w:p>
      <w:pPr>
        <w:ind w:right="80" w:firstLine="439"/>
        <w:spacing w:after="0" w:line="296" w:lineRule="auto"/>
        <w:rPr>
          <w:sz w:val="20"/>
          <w:szCs w:val="20"/>
          <w:color w:val="auto"/>
        </w:rPr>
      </w:pPr>
      <w:r>
        <w:rPr>
          <w:rFonts w:ascii="Times New Roman" w:cs="Times New Roman" w:eastAsia="Times New Roman" w:hAnsi="Times New Roman"/>
          <w:sz w:val="16"/>
          <w:szCs w:val="16"/>
          <w:color w:val="auto"/>
        </w:rPr>
        <w:t>Old Globalstar started commercial service in 2000 with a 48-satellite constellation, four in-orbit spare satellites and eight spare satellites in storage. In response to satellite failures and anomalies, we reconfigured the satellite constellation in mid-2003 from a 48-satellite constellation to a 40-satellite constellation with in-orbit spares. We have maintained the eight orbital planes but now have five service satellites per plane. This constellation transition was achieved with no impact to the service coverage area and with only a modest reduction in the deliverable call capacity of the constellation. Due to continued satellite diversity within the constellation (more than one satellite in view), call quality and call success rates, and thus the customer's experience, were largely unaffected.</w:t>
      </w:r>
    </w:p>
    <w:p>
      <w:pPr>
        <w:spacing w:after="0" w:line="162" w:lineRule="exact"/>
        <w:rPr>
          <w:sz w:val="20"/>
          <w:szCs w:val="20"/>
          <w:color w:val="auto"/>
        </w:rPr>
      </w:pPr>
    </w:p>
    <w:p>
      <w:pPr>
        <w:ind w:right="280" w:firstLine="436"/>
        <w:spacing w:after="0" w:line="301" w:lineRule="auto"/>
        <w:rPr>
          <w:sz w:val="20"/>
          <w:szCs w:val="20"/>
          <w:color w:val="auto"/>
        </w:rPr>
      </w:pPr>
      <w:r>
        <w:rPr>
          <w:rFonts w:ascii="Times New Roman" w:cs="Times New Roman" w:eastAsia="Times New Roman" w:hAnsi="Times New Roman"/>
          <w:sz w:val="16"/>
          <w:szCs w:val="16"/>
          <w:color w:val="auto"/>
        </w:rPr>
        <w:t>We monitor the health of our satellites for quick identification of "out-of-family" conditions. Our control phones located at selected gateways, which are placed in clear line of sight to the sky, make three-minute calls every 10 minutes and are used to recognize and pinpoint problems quickly if they occur on the system. These phones have a call success rate of over 98%. We recently hired an independent third party consultant to conduct a survey on the health of our satellites. The report confirmed that the constellation should provide a commercially acceptable quality of service into 2010, assuming the spare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satellites are launched during 2007, no major new anomalies are detected and those anomalies currently known are controlled satisfactorily.</w:t>
      </w:r>
    </w:p>
    <w:p>
      <w:pPr>
        <w:spacing w:after="0" w:line="225" w:lineRule="exact"/>
        <w:rPr>
          <w:sz w:val="20"/>
          <w:szCs w:val="20"/>
          <w:color w:val="auto"/>
        </w:rPr>
      </w:pPr>
    </w:p>
    <w:p>
      <w:pPr>
        <w:ind w:right="560" w:firstLine="439"/>
        <w:spacing w:after="0" w:line="275" w:lineRule="auto"/>
        <w:rPr>
          <w:sz w:val="20"/>
          <w:szCs w:val="20"/>
          <w:color w:val="auto"/>
        </w:rPr>
      </w:pPr>
      <w:r>
        <w:rPr>
          <w:rFonts w:ascii="Times New Roman" w:cs="Times New Roman" w:eastAsia="Times New Roman" w:hAnsi="Times New Roman"/>
          <w:sz w:val="18"/>
          <w:szCs w:val="18"/>
          <w:color w:val="auto"/>
        </w:rPr>
        <w:t>From time to time, individual satellites in our constellation experience operating problems that may result in a temporary satellite outage, but due to satellite diversity within our constellation, the individual satellite outages typically do not negatively affect our customers' use of our system.</w:t>
      </w:r>
    </w:p>
    <w:p>
      <w:pPr>
        <w:spacing w:after="0" w:line="174"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Old Globalstar experienced its first satellite failure in March 2001. Eight other satellites have failed subsequently. Eight of these nine failures have been attributed to a common anomaly in the satellite communication subsystem S-band antenna. We have subsequently learned how to control and mitigate this type of anomaly. The other satellite loss was attributed to a unique and typically non-fatal anomaly where successful recovery was precluded by degraded performance of the satellite command receiver subassembly.</w:t>
      </w:r>
    </w:p>
    <w:p>
      <w:pPr>
        <w:spacing w:after="0" w:line="190"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We have categorized three types of anomalies among the satellites in our constellation that, if they materialize throughout the satellite constellation, have the potential for a significant operational impact. These include an electrical short, frequently temporary, in the communications S-band antenna that provides the forward link between the satellite and the user; degraded performance and potentially an eventual failure of the command receivers used for satellite command and control; and degraded performance over time of the solid-state power amplifiers of the S-band communications antenna.</w:t>
      </w:r>
    </w:p>
    <w:p>
      <w:pPr>
        <w:spacing w:after="0" w:line="190" w:lineRule="exact"/>
        <w:rPr>
          <w:sz w:val="20"/>
          <w:szCs w:val="20"/>
          <w:color w:val="auto"/>
        </w:rPr>
      </w:pPr>
    </w:p>
    <w:p>
      <w:pPr>
        <w:ind w:right="120" w:firstLine="429"/>
        <w:spacing w:after="0" w:line="255" w:lineRule="auto"/>
        <w:rPr>
          <w:sz w:val="20"/>
          <w:szCs w:val="20"/>
          <w:color w:val="auto"/>
        </w:rPr>
      </w:pPr>
      <w:r>
        <w:rPr>
          <w:rFonts w:ascii="Times New Roman" w:cs="Times New Roman" w:eastAsia="Times New Roman" w:hAnsi="Times New Roman"/>
          <w:sz w:val="18"/>
          <w:szCs w:val="18"/>
          <w:color w:val="auto"/>
        </w:rPr>
        <w:t>Although we have implemented procedures for minimizing the impact of these individual satellite events to the overall performance of our satellite constellation, we also are taking steps to improve our in-orbit sparing to extend the life of the constellation. In addition to increasing in-orbit sparing through the reconfiguration of the constellation in 2003, we will further replenish our constellation by launching our eight spare satellites during 2007. By adjusting the constellation in advance of our spare satellite launch, we will seek to provide the best service quality for our customers. We have executed contracts for post-storage testing of the satellites, re-procurement of new cells for the flight batteries and launch services. We plan to construct and launch a replacement satellite constellation prior to the end of the useful life of this constellation, although no procurement commitment has been made at this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Ancillary Terrestrial Component (ATC)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right="180" w:firstLine="439"/>
        <w:spacing w:after="0" w:line="256" w:lineRule="auto"/>
        <w:rPr>
          <w:sz w:val="20"/>
          <w:szCs w:val="20"/>
          <w:color w:val="auto"/>
        </w:rPr>
      </w:pPr>
      <w:r>
        <w:rPr>
          <w:rFonts w:ascii="Times New Roman" w:cs="Times New Roman" w:eastAsia="Times New Roman" w:hAnsi="Times New Roman"/>
          <w:sz w:val="18"/>
          <w:szCs w:val="18"/>
          <w:color w:val="auto"/>
        </w:rPr>
        <w:t>In February 2003, the FCC adopted rules that permit satellite service providers to establish ATC networks. ATC authorization enables the integration of a satellite-based service with terrestrial wireless services, resulting in a hybrid mobile satellite services/ATC network designed to provide advanced services and broad coverage throughout the United States. The ATC network would extend our services to urban areas and inside buildings where satellite services currently are impractical. We believe we are at the forefront of ATC development and are actively working to be among the first market entrants. For a description of the FCC's ATC rules and our authorization to provide ATC services, see "Regulation—United States FCC Regulation—ATC."</w:t>
      </w:r>
    </w:p>
    <w:p>
      <w:pPr>
        <w:spacing w:after="0" w:line="193"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equipment used for ATC is very much like the equipment used in cellular and PCS networks. In demonstrations in New York and Washington D.C. in July 2002, we used a picocell device to permit our satellite phones, operating at our frequencies, to be used both indoors (where satellite service is unavailable) through the modified PICO cell and outdoors through our satellites and ground stations. This demonstrated our ability to make and receive ATC calls using our mobile satellite services spectrum under the authority of an FCC experimental license.</w:t>
      </w:r>
    </w:p>
    <w:p>
      <w:pPr>
        <w:spacing w:after="0" w:line="190" w:lineRule="exact"/>
        <w:rPr>
          <w:sz w:val="20"/>
          <w:szCs w:val="20"/>
          <w:color w:val="auto"/>
        </w:rPr>
      </w:pPr>
    </w:p>
    <w:p>
      <w:pPr>
        <w:ind w:right="100" w:firstLine="429"/>
        <w:spacing w:after="0" w:line="262" w:lineRule="auto"/>
        <w:rPr>
          <w:sz w:val="20"/>
          <w:szCs w:val="20"/>
          <w:color w:val="auto"/>
        </w:rPr>
      </w:pPr>
      <w:r>
        <w:rPr>
          <w:rFonts w:ascii="Times New Roman" w:cs="Times New Roman" w:eastAsia="Times New Roman" w:hAnsi="Times New Roman"/>
          <w:sz w:val="18"/>
          <w:szCs w:val="18"/>
          <w:color w:val="auto"/>
        </w:rPr>
        <w:t>ATC frequencies are designated in previously satellite-only bands at 1.5 GHz, 1.6 GHz, 2 GHz and 2.5 GHz. On January 20, 2006, we were granted authorization by the FCC to operate an ATC network initially over 11 MHz of our spectrum, divided into 5.5 MHz in the L-band and 5.5 MHz in the S-band. We have filed with the FCC for ATC authorization for all 27.85 MHz of our spectrum. Outside the United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ind w:right="680"/>
        <w:spacing w:after="0" w:line="275" w:lineRule="auto"/>
        <w:rPr>
          <w:sz w:val="20"/>
          <w:szCs w:val="20"/>
          <w:color w:val="auto"/>
        </w:rPr>
      </w:pPr>
      <w:r>
        <w:rPr>
          <w:rFonts w:ascii="Times New Roman" w:cs="Times New Roman" w:eastAsia="Times New Roman" w:hAnsi="Times New Roman"/>
          <w:sz w:val="18"/>
          <w:szCs w:val="18"/>
          <w:color w:val="auto"/>
        </w:rPr>
        <w:t>States, other countries are actively considering implementing regulations to facilitate ATC services. We are committed to pursuing ATC licenses in those jurisdictions as regulations are implemented and new revenue opportunities are presented.</w:t>
      </w:r>
    </w:p>
    <w:p>
      <w:pPr>
        <w:spacing w:after="0" w:line="174"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In keeping with the FCC's decision, ATC services must be complementary or ancillary to mobile satellite services in an "integrated service offering," which can be achieved by using "dual-mode" handsets capable of transmitting and receiving mobile satellite services and ATC signals. Further, user subscriptions that include ATC services must also include mobile satellite subscription services. Because of these requirements, the number of potential early stage competitors in providing ATC services is limited, as only mobile satellite services operators who are offering commercial services can provide ATC services. At the time we commence ATC operations, we must meet all of the FCC's authorization requirements, including an in-orbit spare requirement.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ATC Opportunities</w:t>
      </w:r>
    </w:p>
    <w:p>
      <w:pPr>
        <w:spacing w:after="0" w:line="229" w:lineRule="exact"/>
        <w:rPr>
          <w:sz w:val="20"/>
          <w:szCs w:val="20"/>
          <w:color w:val="auto"/>
        </w:rPr>
      </w:pPr>
    </w:p>
    <w:p>
      <w:pPr>
        <w:ind w:right="200" w:firstLine="436"/>
        <w:spacing w:after="0" w:line="258" w:lineRule="auto"/>
        <w:rPr>
          <w:sz w:val="20"/>
          <w:szCs w:val="20"/>
          <w:color w:val="auto"/>
        </w:rPr>
      </w:pPr>
      <w:r>
        <w:rPr>
          <w:rFonts w:ascii="Times New Roman" w:cs="Times New Roman" w:eastAsia="Times New Roman" w:hAnsi="Times New Roman"/>
          <w:sz w:val="18"/>
          <w:szCs w:val="18"/>
          <w:color w:val="auto"/>
        </w:rPr>
        <w:t>We believe we are uniquely positioned to benefit from the development of our ATC license given our existing in-orbit satellite fleet and ground stations. Unlike several of our competitors, our existing constellation and ground stations are technically capable of accommodating ATC operations. Even with high-bit rate applications, we believe that our network and spectrum are sufficient to meet the demanding requirements of the current and next generation of wireless services.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could offer the following terrestrial services, among others, with ATC:</w:t>
      </w:r>
    </w:p>
    <w:p>
      <w:pPr>
        <w:spacing w:after="0" w:line="239"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voice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data</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broadband data</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over internet protocol, or VOIP</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multi-casting and broadcasting services for music and video</w:t>
      </w:r>
    </w:p>
    <w:p>
      <w:pPr>
        <w:spacing w:after="0" w:line="225" w:lineRule="exact"/>
        <w:rPr>
          <w:sz w:val="20"/>
          <w:szCs w:val="20"/>
          <w:color w:val="auto"/>
        </w:rPr>
      </w:pPr>
    </w:p>
    <w:p>
      <w:pPr>
        <w:ind w:firstLine="436"/>
        <w:spacing w:after="0" w:line="275" w:lineRule="auto"/>
        <w:rPr>
          <w:sz w:val="20"/>
          <w:szCs w:val="20"/>
          <w:color w:val="auto"/>
        </w:rPr>
      </w:pPr>
      <w:r>
        <w:rPr>
          <w:rFonts w:ascii="Times New Roman" w:cs="Times New Roman" w:eastAsia="Times New Roman" w:hAnsi="Times New Roman"/>
          <w:sz w:val="18"/>
          <w:szCs w:val="18"/>
          <w:color w:val="auto"/>
        </w:rPr>
        <w:t>We are considering a range of options for rollout of our ATC services. We are exploring selective opportunities with a variety of media and communications companies to capture the full potential of our spectrum and ATC license.</w:t>
      </w:r>
    </w:p>
    <w:p>
      <w:pPr>
        <w:spacing w:after="0" w:line="174" w:lineRule="exact"/>
        <w:rPr>
          <w:sz w:val="20"/>
          <w:szCs w:val="20"/>
          <w:color w:val="auto"/>
        </w:rPr>
      </w:pPr>
    </w:p>
    <w:p>
      <w:pPr>
        <w:ind w:right="440" w:firstLine="439"/>
        <w:spacing w:after="0" w:line="275" w:lineRule="auto"/>
        <w:rPr>
          <w:sz w:val="20"/>
          <w:szCs w:val="20"/>
          <w:color w:val="auto"/>
        </w:rPr>
      </w:pPr>
      <w:r>
        <w:rPr>
          <w:rFonts w:ascii="Times New Roman" w:cs="Times New Roman" w:eastAsia="Times New Roman" w:hAnsi="Times New Roman"/>
          <w:sz w:val="18"/>
          <w:szCs w:val="18"/>
          <w:color w:val="auto"/>
        </w:rPr>
        <w:t>Northern Sky Research has predicted that the ATC services market will account for 29% of in-service mobile satellite units and 16% of industry retail revenues by the end of 2010.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380" w:firstLine="436"/>
        <w:spacing w:after="0" w:line="310" w:lineRule="auto"/>
        <w:rPr>
          <w:sz w:val="20"/>
          <w:szCs w:val="20"/>
          <w:color w:val="auto"/>
        </w:rPr>
      </w:pPr>
      <w:r>
        <w:rPr>
          <w:rFonts w:ascii="Times New Roman" w:cs="Times New Roman" w:eastAsia="Times New Roman" w:hAnsi="Times New Roman"/>
          <w:sz w:val="16"/>
          <w:szCs w:val="16"/>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151"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Inmarsat has been a provider of global communications services since 1982. Inmarsat owns and operates a fleet of geostationary satellites. Due to its geostationary system, Inmarsat's coverage area extends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including Stratos Global Corporation, Telenor Satellite Services, the France Telecom Group, KDDI Corporation and The SingTel Group, who, in most cases, sell to additional downstream entities who sell to the ultimate customer. We compete with Inmarsat in several key areas, particularly in our maritime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ind w:right="220"/>
        <w:spacing w:after="0" w:line="275" w:lineRule="auto"/>
        <w:rPr>
          <w:sz w:val="20"/>
          <w:szCs w:val="20"/>
          <w:color w:val="auto"/>
        </w:rPr>
      </w:pPr>
      <w:r>
        <w:rPr>
          <w:rFonts w:ascii="Times New Roman" w:cs="Times New Roman" w:eastAsia="Times New Roman" w:hAnsi="Times New Roman"/>
          <w:sz w:val="18"/>
          <w:szCs w:val="18"/>
          <w:color w:val="auto"/>
        </w:rPr>
        <w:t>markets. We believe that the size and functionality of our mobile handsets and data devices are superior to Inmarsat's fixed units, which tend to be significantly bulkier and more cumbersome to operate. In addition, our products generally are substantially less expensive than those of Inmarsat.</w:t>
      </w:r>
    </w:p>
    <w:p>
      <w:pPr>
        <w:spacing w:after="0" w:line="174" w:lineRule="exact"/>
        <w:rPr>
          <w:sz w:val="20"/>
          <w:szCs w:val="20"/>
          <w:color w:val="auto"/>
        </w:rPr>
      </w:pPr>
    </w:p>
    <w:p>
      <w:pPr>
        <w:ind w:right="20" w:firstLine="439"/>
        <w:spacing w:after="0" w:line="258" w:lineRule="auto"/>
        <w:rPr>
          <w:sz w:val="20"/>
          <w:szCs w:val="20"/>
          <w:color w:val="auto"/>
        </w:rPr>
      </w:pPr>
      <w:r>
        <w:rPr>
          <w:rFonts w:ascii="Times New Roman" w:cs="Times New Roman" w:eastAsia="Times New Roman" w:hAnsi="Times New Roman"/>
          <w:sz w:val="18"/>
          <w:szCs w:val="18"/>
          <w:color w:val="auto"/>
        </w:rPr>
        <w:t>Iridium owns and operates a fleet of low earth orbit satellites that is similar to our network of satellites. Iridium entered into bankruptcy protection in March 2000 and was out of service from March 2000 to January 2001. Since Iridium emerged from bankruptcy in 2001, we have faced increased competition from Iridium in some of our target markets. Iridium provides data and voice services at rates of up to 2.4 Kbps, which is approximately 25% of our uncompressed speed.</w:t>
      </w:r>
    </w:p>
    <w:p>
      <w:pPr>
        <w:spacing w:after="0" w:line="190"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We compete with regional mobile satellite communications services in several markets. In these cases, the majority of our competitors' customers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Asian Cellular Satellites in Asia; Mobile Satellite Ventures and Mobile Satellite Ventures Canada in the Americas; and Optus MobileSat in Australia.</w:t>
      </w:r>
    </w:p>
    <w:p>
      <w:pPr>
        <w:spacing w:after="0" w:line="190" w:lineRule="exact"/>
        <w:rPr>
          <w:sz w:val="20"/>
          <w:szCs w:val="20"/>
          <w:color w:val="auto"/>
        </w:rPr>
      </w:pPr>
    </w:p>
    <w:p>
      <w:pPr>
        <w:ind w:right="160" w:firstLine="439"/>
        <w:spacing w:after="0" w:line="262" w:lineRule="auto"/>
        <w:rPr>
          <w:sz w:val="20"/>
          <w:szCs w:val="20"/>
          <w:color w:val="auto"/>
        </w:rPr>
      </w:pPr>
      <w:r>
        <w:rPr>
          <w:rFonts w:ascii="Times New Roman" w:cs="Times New Roman" w:eastAsia="Times New Roman" w:hAnsi="Times New Roman"/>
          <w:sz w:val="18"/>
          <w:szCs w:val="18"/>
          <w:color w:val="auto"/>
        </w:rPr>
        <w:t>In some of our markets, such as rural telephony, we compete directly or indirectly with very small aperature terminal operators that offer communications services through private networks using very small aperature terminals or hybrid systems to target business users. Very small aperture terminal operators have become increasingly competitive due to technological advances that have resulted in smaller, more flexible and cheaper terminals.</w:t>
      </w:r>
    </w:p>
    <w:p>
      <w:pPr>
        <w:spacing w:after="0" w:line="186"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 We believe that local telephone companies currently are reluctant to invest in new switches and landlines to expand their networks in rural and remote areas due to high costs and to decreasing demand and line loss associated with wireless telephony. Many of the underdeveloped areas are sparsely populated so it would be difficult to generate the necessary returns on the capital expenditures required to build terrestrial wireless networks in such areas. We believe that our solutions offer a cost-effective and reliable alternative to ground-based wireline and wireless systems and that continued growth and utilization will allow us to further lower costs to consumers.</w:t>
      </w:r>
    </w:p>
    <w:p>
      <w:pPr>
        <w:spacing w:after="0" w:line="195" w:lineRule="exact"/>
        <w:rPr>
          <w:sz w:val="20"/>
          <w:szCs w:val="20"/>
          <w:color w:val="auto"/>
        </w:rPr>
      </w:pPr>
    </w:p>
    <w:p>
      <w:pPr>
        <w:ind w:right="200" w:firstLine="439"/>
        <w:spacing w:after="0" w:line="256" w:lineRule="auto"/>
        <w:rPr>
          <w:sz w:val="20"/>
          <w:szCs w:val="20"/>
          <w:color w:val="auto"/>
        </w:rPr>
      </w:pPr>
      <w:r>
        <w:rPr>
          <w:rFonts w:ascii="Times New Roman" w:cs="Times New Roman" w:eastAsia="Times New Roman" w:hAnsi="Times New Roman"/>
          <w:sz w:val="18"/>
          <w:szCs w:val="18"/>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ATC services providers who are currently designing a core satellite operating business and a terrestrial component around their spectrum holdings.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280" w:firstLine="429"/>
        <w:spacing w:after="0" w:line="275" w:lineRule="auto"/>
        <w:rPr>
          <w:sz w:val="20"/>
          <w:szCs w:val="20"/>
          <w:color w:val="auto"/>
        </w:rPr>
      </w:pPr>
      <w:r>
        <w:rPr>
          <w:rFonts w:ascii="Times New Roman" w:cs="Times New Roman" w:eastAsia="Times New Roman" w:hAnsi="Times New Roman"/>
          <w:sz w:val="18"/>
          <w:szCs w:val="18"/>
          <w:color w:val="auto"/>
        </w:rPr>
        <w:t>As of June 30, 2006, we had 316 full-time employees and six part-time employees, none of whom is subject to any collective bargaining agreement. We consider our employee relations to be good.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7" w:lineRule="exact"/>
        <w:rPr>
          <w:sz w:val="20"/>
          <w:szCs w:val="20"/>
          <w:color w:val="auto"/>
        </w:rPr>
      </w:pPr>
    </w:p>
    <w:p>
      <w:pPr>
        <w:ind w:right="600" w:firstLine="439"/>
        <w:spacing w:after="0" w:line="275" w:lineRule="auto"/>
        <w:rPr>
          <w:sz w:val="20"/>
          <w:szCs w:val="20"/>
          <w:color w:val="auto"/>
        </w:rPr>
      </w:pPr>
      <w:r>
        <w:rPr>
          <w:rFonts w:ascii="Times New Roman" w:cs="Times New Roman" w:eastAsia="Times New Roman" w:hAnsi="Times New Roman"/>
          <w:sz w:val="18"/>
          <w:szCs w:val="18"/>
          <w:color w:val="auto"/>
        </w:rPr>
        <w:t>Our principal headquarters are located in Milpitas, California, where we currently lease 42,000 square feet of office space. We also own or lease the facilities described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Pr>
          <w:p>
            <w:pPr>
              <w:spacing w:after="0"/>
              <w:rPr>
                <w:sz w:val="20"/>
                <w:szCs w:val="20"/>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Sq Feet</w:t>
            </w:r>
          </w:p>
        </w:tc>
        <w:tc>
          <w:tcPr>
            <w:tcW w:w="220" w:type="dxa"/>
            <w:vAlign w:val="bottom"/>
          </w:tcPr>
          <w:p>
            <w:pPr>
              <w:spacing w:after="0"/>
              <w:rPr>
                <w:sz w:val="20"/>
                <w:szCs w:val="20"/>
                <w:color w:val="auto"/>
              </w:rPr>
            </w:pPr>
          </w:p>
        </w:tc>
        <w:tc>
          <w:tcPr>
            <w:tcW w:w="23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Facility Use</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Owned/Leased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Dorado Hills, California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Back-Up Control Center</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Mississauga, Ontario</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Milpitas, California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Dublin</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Europe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Landover, Maryland</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Bogotá</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Colombia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Caracas</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Venezuela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Venezuela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Panama City</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Panama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 City</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Guatemala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Tegucigalpa</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Honduras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Managua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Nicaragua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Clifton, Texas</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Sebring, Florida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Barrio of Las Palmas, Cabo Rojo</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Puerto Rico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Aussaguel</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Los Velasquex, Edo Miranda</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Venezuela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Wasilla, Alaska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Smith Falls, Ontario</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River, Alberta</w:t>
            </w:r>
          </w:p>
        </w:tc>
        <w:tc>
          <w:tcPr>
            <w:tcW w:w="1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Managua</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Nicaragua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Gateway</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-2832735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-2832735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-2832735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-2832735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-2832735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-2832735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-2832735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-2832735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-2832735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-2832735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ind w:right="60" w:firstLine="429"/>
        <w:spacing w:after="0" w:line="256" w:lineRule="auto"/>
        <w:rPr>
          <w:sz w:val="20"/>
          <w:szCs w:val="20"/>
          <w:color w:val="auto"/>
        </w:rPr>
      </w:pPr>
      <w:r>
        <w:rPr>
          <w:rFonts w:ascii="Times New Roman" w:cs="Times New Roman" w:eastAsia="Times New Roman" w:hAnsi="Times New Roman"/>
          <w:sz w:val="18"/>
          <w:szCs w:val="18"/>
          <w:color w:val="auto"/>
        </w:rPr>
        <w:t>At June 30, 2006, we held 77 U.S. patents with 13 additional U.S. patents pending and 16 foreign patents with 13 additional foreign patents pending.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our important patents in the United States, Canada and Europe.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right="300" w:firstLine="439"/>
        <w:spacing w:after="0" w:line="262" w:lineRule="auto"/>
        <w:rPr>
          <w:sz w:val="20"/>
          <w:szCs w:val="20"/>
          <w:color w:val="auto"/>
        </w:rPr>
      </w:pPr>
      <w:r>
        <w:rPr>
          <w:rFonts w:ascii="Times New Roman" w:cs="Times New Roman" w:eastAsia="Times New Roman" w:hAnsi="Times New Roman"/>
          <w:sz w:val="18"/>
          <w:szCs w:val="18"/>
          <w:color w:val="auto"/>
        </w:rPr>
        <w:t>From time to time, we are involved in various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conditions. We are involved in certain litigation matters as discussed below.</w:t>
      </w:r>
    </w:p>
    <w:p>
      <w:pPr>
        <w:spacing w:after="0" w:line="186" w:lineRule="exact"/>
        <w:rPr>
          <w:sz w:val="20"/>
          <w:szCs w:val="20"/>
          <w:color w:val="auto"/>
        </w:rPr>
      </w:pPr>
    </w:p>
    <w:p>
      <w:pPr>
        <w:ind w:right="80" w:firstLine="439"/>
        <w:spacing w:after="0" w:line="255" w:lineRule="auto"/>
        <w:rPr>
          <w:sz w:val="20"/>
          <w:szCs w:val="20"/>
          <w:color w:val="auto"/>
        </w:rPr>
      </w:pPr>
      <w:r>
        <w:rPr>
          <w:rFonts w:ascii="Times New Roman" w:cs="Times New Roman" w:eastAsia="Times New Roman" w:hAnsi="Times New Roman"/>
          <w:sz w:val="18"/>
          <w:szCs w:val="18"/>
          <w:color w:val="auto"/>
        </w:rPr>
        <w:t>On May 26, 2005, Loral/QUALCOMM Satellite Services, L.P., et al. ("Loral"), filed a motion for an order in its Delaware bankruptcy case under Rule 2004 seeking to compel us and certain affiliates and individuals to produce documents and appear for oral examination regarding our management of Government Services, LLC ("GSLLC"), our subsidiary formed to engage in certain sales to the U.S. government in which Loral holds a 25% minority interest. We responded and instituted a proceeding in the same court for declaratory judgment as to the parties' rights under a settlement agreement approved by that court on April 14, 2003. Loral's motion was denied. Loral filed a counterclaim in the declaratory judgment proceeding alleging a breach of the settlement agreement and of fiduciary duty by the managers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93" w:name="page94"/>
    <w:bookmarkEnd w:id="93"/>
    <w:p>
      <w:pPr>
        <w:ind w:right="100"/>
        <w:spacing w:after="0" w:line="258" w:lineRule="auto"/>
        <w:rPr>
          <w:sz w:val="20"/>
          <w:szCs w:val="20"/>
          <w:color w:val="auto"/>
        </w:rPr>
      </w:pPr>
      <w:r>
        <w:rPr>
          <w:rFonts w:ascii="Times New Roman" w:cs="Times New Roman" w:eastAsia="Times New Roman" w:hAnsi="Times New Roman"/>
          <w:sz w:val="18"/>
          <w:szCs w:val="18"/>
          <w:color w:val="auto"/>
        </w:rPr>
        <w:t>of GSLLC. Loral and we have exchanged documents requested in discovery. We believe that Loral's allegations are without merit; however, if Loral prevails in the declaratory judgment proceeding, we could be ordered to pay Loral an unspecified amount of compensation and/or damages. We have notified our insurance carrier of the case, and the insurance carrier has reserved all rights. The parties have been meeting to attempt to settle this matter, but we cannot predict the outcome of these discussions or the pending litigation.</w:t>
      </w:r>
    </w:p>
    <w:p>
      <w:pPr>
        <w:spacing w:after="0" w:line="190"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On January 13, 2006, Elsacom N.V., an independent gateway operator whose territories include portions of Central and Eastern Europe and North Africa, served us with a notice of arbitration pursuant to a dispute resolution provision in its Satellite Services Agreement. The dispute stems from our decision in fall 2005 to realign coverage of the two gateways serving Western and Central Europe. Elsacom has not specified the amount of damages that it is seeking. Elsacom asserts that the realignment diminishes its rights under its Satellite Services Agreement. We disagree and intend to defend our decision vigorously. The arbitration is scheduled to be held in January 2007.</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227" w:lineRule="exact"/>
        <w:rPr>
          <w:sz w:val="20"/>
          <w:szCs w:val="20"/>
          <w:color w:val="auto"/>
        </w:rPr>
      </w:pPr>
    </w:p>
    <w:p>
      <w:pPr>
        <w:ind w:right="1020" w:firstLine="436"/>
        <w:spacing w:after="0" w:line="275" w:lineRule="auto"/>
        <w:rPr>
          <w:sz w:val="20"/>
          <w:szCs w:val="20"/>
          <w:color w:val="auto"/>
        </w:rPr>
      </w:pPr>
      <w:r>
        <w:rPr>
          <w:rFonts w:ascii="Times New Roman" w:cs="Times New Roman" w:eastAsia="Times New Roman" w:hAnsi="Times New Roman"/>
          <w:sz w:val="18"/>
          <w:szCs w:val="18"/>
          <w:color w:val="auto"/>
        </w:rPr>
        <w:t>We may be viewed as the successor to Old Globalstar, which was a Delaware limited partnership formed on November 19, 1993 by Loral and QUALCOMM. Eight other general or limited partners were admitted to the partnership in 1995.</w:t>
      </w:r>
    </w:p>
    <w:p>
      <w:pPr>
        <w:spacing w:after="0" w:line="174" w:lineRule="exact"/>
        <w:rPr>
          <w:sz w:val="20"/>
          <w:szCs w:val="20"/>
          <w:color w:val="auto"/>
        </w:rPr>
      </w:pPr>
    </w:p>
    <w:p>
      <w:pPr>
        <w:ind w:right="20" w:firstLine="439"/>
        <w:spacing w:after="0" w:line="262" w:lineRule="auto"/>
        <w:rPr>
          <w:sz w:val="20"/>
          <w:szCs w:val="20"/>
          <w:color w:val="auto"/>
        </w:rPr>
      </w:pPr>
      <w:r>
        <w:rPr>
          <w:rFonts w:ascii="Times New Roman" w:cs="Times New Roman" w:eastAsia="Times New Roman" w:hAnsi="Times New Roman"/>
          <w:sz w:val="18"/>
          <w:szCs w:val="18"/>
          <w:color w:val="auto"/>
        </w:rPr>
        <w:t>On February 15, 2002 (the "Petition Date"), Old Globalstar and three of its subsidiaries filed voluntary petitions under Chapter 11 of the Bankruptcy Code in the United States Bankruptcy Court for the District of Delaware. Old Globalstar and its debtor subsidiaries remained in possession of their assets and properties and continued to operate their businesses as debtors-in-possession.</w:t>
      </w:r>
    </w:p>
    <w:p>
      <w:pPr>
        <w:spacing w:after="0" w:line="186"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On November 17, 2003, Old Globalstar, Thermo and the Official Committee of Unsecured Creditors of Globalstar, L.P. (the "Creditors' Committee") executed a term sheet regarding the acquisition of the Globalstar business by Thermo. On December 2, 2003, the Bankruptcy Court entered an order authorizing the transaction contemplated by the term sheet. On December 5, 2003, Old Globalstar, the Creditors' Committee and Thermo entered into an asset contribution agreement pursuant to which Old Globalstar agreed to transfer its assets to us and Thermo agreed to contribute and loan funds to us, each in exchange for our membership units.</w:t>
      </w:r>
    </w:p>
    <w:p>
      <w:pPr>
        <w:spacing w:after="0" w:line="193"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In connection with the negotiation of the asset contribution agreement, Old Globalstar and the Creditors' Committee required that we agree to the inclusion of provisions in our limited liability agreement providing for the right of the former creditors of Old Globalstar who became members of our company to elect two of our directors, the rights offering described below, pre-emptive and piggyback rights for the minority owners, restrictions on transactions with Thermo or other extraordinary transactions, our obligation to register our common stock under the Securities Exchange Act of 1934 (the "Exchange Act") by October 13, 2006, and other protections for the former creditors of Old Globalstar when they became our minority owners. Other than with respect to the rights offering and other provisions which had expired or been fulfilled, we were required to include these provisions in our certificate of incorporation when we became a Delaware corporation in March 2006.</w:t>
      </w:r>
    </w:p>
    <w:p>
      <w:pPr>
        <w:spacing w:after="0" w:line="195"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Old Globalstar submitted its Disclosure Statement and Fourth Amended Joint Plan to the Bankruptcy Court on May 3, 2004. The Bankruptcy Court confirmed the Plan on June 17, 2004, and the Plan became effective on June 29, 2004 (the "Effective Date"). On the Effective Date, pursuant to the Plan, all partnership interests in Old Globalstar were cancelled without consideration, Old Globalstar's then 18.75% membership interest in us was distributed to its unsecured creditors and Old Globalstar was dissolved. Globalstar Capital Corporation, a former subsidiary of Old Globalstar, remains as a debtor entity responsible for the resolution of claims against Old Globalstar and the wind up of Old Globalstar. We do not have any continuing financial commitment related to the wind up.</w:t>
      </w:r>
    </w:p>
    <w:p>
      <w:pPr>
        <w:spacing w:after="0" w:line="193"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Under the Plan and the asset contribution agreement, the holders of allowed claims were provided the right to purchase additional membership units in us in a rights offering, which was completed on October 12, 2004. The rights offering was divided into two series. The Series A rights allowed holders in the aggregate to purchase 15.12% of our membership units for $8.0 million. The Series B rights allowed holders in the aggregate to purchase 2.50% of our membership units for $4.0 million. The Series A rights were fully subscribed resulting in the issuance of 1,512,000 of our membership units to unsecured creditors of Old Globalstar at a price of $8.0 million. The Series B rights were partially subscribed resulting in the issuance of an additional 46,782 membership units at a price of $749,000. We then redeemed at the same price an equal number of membership units owned by Thermo.</w:t>
      </w:r>
    </w:p>
    <w:p>
      <w:pPr>
        <w:spacing w:after="0" w:line="193" w:lineRule="exact"/>
        <w:rPr>
          <w:sz w:val="20"/>
          <w:szCs w:val="20"/>
          <w:color w:val="auto"/>
        </w:rPr>
      </w:pPr>
    </w:p>
    <w:p>
      <w:pPr>
        <w:ind w:right="40" w:firstLine="439"/>
        <w:spacing w:after="0" w:line="262" w:lineRule="auto"/>
        <w:rPr>
          <w:sz w:val="20"/>
          <w:szCs w:val="20"/>
          <w:color w:val="auto"/>
        </w:rPr>
      </w:pPr>
      <w:r>
        <w:rPr>
          <w:rFonts w:ascii="Times New Roman" w:cs="Times New Roman" w:eastAsia="Times New Roman" w:hAnsi="Times New Roman"/>
          <w:sz w:val="18"/>
          <w:szCs w:val="18"/>
          <w:color w:val="auto"/>
        </w:rPr>
        <w:t>In April 2004, we agreed to purchase mobile phones from QUALCOMM. Effective October 2004, we and QUALCOMM agreed to restate the terms of this transaction. Under the restated agreement, QUALCOMM provided the mobile phones and various accessories to us in exchange for $1,875,000 and 309,278 membership units with a fair value of approximately $5.3 million.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5" w:name="page96"/>
    <w:bookmarkEnd w:id="95"/>
    <w:p>
      <w:pPr>
        <w:ind w:firstLine="439"/>
        <w:spacing w:after="0" w:line="252" w:lineRule="auto"/>
        <w:rPr>
          <w:sz w:val="20"/>
          <w:szCs w:val="20"/>
          <w:color w:val="auto"/>
        </w:rPr>
      </w:pPr>
      <w:r>
        <w:rPr>
          <w:rFonts w:ascii="Times New Roman" w:cs="Times New Roman" w:eastAsia="Times New Roman" w:hAnsi="Times New Roman"/>
          <w:sz w:val="18"/>
          <w:szCs w:val="18"/>
          <w:color w:val="auto"/>
        </w:rPr>
        <w:t>During the course of its financial restructuring, Old Globalstar developed a business plan predicated on the infusion of capital and the consolidation of certain independent gateway operators. Since 2002, we have consolidated five independent gateway operators, which we believe has brought additional efficiencies to the operation of the Globalstar System and has improved our service and product offerings in North America, Europe, Central America and northern South America. In December 2001, we acquired a 50.1% ownership interest in the Canadian independent gateway operator operations from Vodafone Americas, Inc., which had a joint venture with Loral to be the exclusive Globalstar service provider in Canada. We subsequently acquired the remaining 49.9% ownership interest in the Canadian independent gateway operator from Loral in July 2003 as part of a settlement. In 2002, we consolidated Globalstar USA and Globalstar Caribbean Ltd. (then owned by Vodafone), and acquired a gateway and related assets in France from TE.SA.M., a joint venture of France Telecom, an independent gateway operator serving Western Europe. Most recently, we consolidated our Venezuelan and Central American gateway operations. The acquisition of the Venezuelan gateway from local owners who had acquired it from TE.SA.M. was completed in February 2005, and in January 2006, we acquired all of the stock of various entities which own and operate the independent gateway operator serving Central America. In furtherance of this consolidation strategy, we also have restructured our business relationships with other independent gateway operators and continue to explore additional independent gateway operator acquisitions.</w:t>
      </w:r>
    </w:p>
    <w:p>
      <w:pPr>
        <w:spacing w:after="0" w:line="201" w:lineRule="exact"/>
        <w:rPr>
          <w:sz w:val="20"/>
          <w:szCs w:val="20"/>
          <w:color w:val="auto"/>
        </w:rPr>
      </w:pPr>
    </w:p>
    <w:p>
      <w:pPr>
        <w:ind w:right="220" w:firstLine="439"/>
        <w:spacing w:after="0" w:line="262" w:lineRule="auto"/>
        <w:rPr>
          <w:sz w:val="20"/>
          <w:szCs w:val="20"/>
          <w:color w:val="auto"/>
        </w:rPr>
      </w:pPr>
      <w:r>
        <w:rPr>
          <w:rFonts w:ascii="Times New Roman" w:cs="Times New Roman" w:eastAsia="Times New Roman" w:hAnsi="Times New Roman"/>
          <w:sz w:val="18"/>
          <w:szCs w:val="18"/>
          <w:color w:val="auto"/>
        </w:rPr>
        <w:t>On January 1, 2006, we elected to be taxed as a C corporation. Effective March 17, 2006, we converted from a Delaware limited liability company into a Delaware corporation. In the conversion, all membership units held by Thermo became shares of Series C common stock, all membership units held by QUALCOMM became shares of Series B common stock and all other membership units became shares of Series A common stock.</w:t>
      </w:r>
    </w:p>
    <w:p>
      <w:pPr>
        <w:spacing w:after="0" w:line="186"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October , 2006, our stockholders approved our amended and restated certificate of incorporation and amended and restated bylaws. These amended and restated governance documents, which will become effective immediately prior to the effective date of the registration statement of which this prospectus is a part, will convert each share of our common stock of each series into one share of a single series of common stock, divide our board of directors into three classes with staggered terms and effect other changes in our corporate governance. We anticipate that, immediately prior to this offering, our board of directors will approve a stock dividend effecting a six-for-one split of our common stock. See "Description of Capital Stock—Amendment and Restatement of Certificate of Incorporation and Bylaws" and "—Anti-Takeover Effects of Certain Provisions of Our Amended and Restated Certificate of Incorporation and Bylaws and of Delaware General Corporation Law."</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FCC Regulation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Mobile Satellite Services Spectrum and Satellite Constellation.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satellite constellation and four U.S. gateways are licensed by the FCC. Our system is sometimes called a "Big LEO" (for "low earth orbit") system.</w:t>
      </w:r>
    </w:p>
    <w:p>
      <w:pPr>
        <w:spacing w:after="0" w:line="225"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We hold regulatory authorization for two pairs of frequencies on our current system: user links (from the user to the satellites, and vice versa) in the 1610 - 1621.35 and 2483.5 - 2500 MHz bands and feeder links (from the gateways to the satellites, and vice versa) in the 5091 - - 5250 and 6875 - 7055 MHz bands. The FCC authorizes the operation of our satellite constellation and gateways and mobile phones in the United States. Gateways outside the United States are licensed by the respective national authorities.</w:t>
      </w:r>
    </w:p>
    <w:p>
      <w:pPr>
        <w:spacing w:after="0" w:line="190" w:lineRule="exact"/>
        <w:rPr>
          <w:sz w:val="20"/>
          <w:szCs w:val="20"/>
          <w:color w:val="auto"/>
        </w:rPr>
      </w:pPr>
    </w:p>
    <w:p>
      <w:pPr>
        <w:ind w:right="60" w:firstLine="439"/>
        <w:spacing w:after="0" w:line="293" w:lineRule="auto"/>
        <w:rPr>
          <w:sz w:val="20"/>
          <w:szCs w:val="20"/>
          <w:color w:val="auto"/>
        </w:rPr>
      </w:pPr>
      <w:r>
        <w:rPr>
          <w:rFonts w:ascii="Times New Roman" w:cs="Times New Roman" w:eastAsia="Times New Roman" w:hAnsi="Times New Roman"/>
          <w:sz w:val="16"/>
          <w:szCs w:val="16"/>
          <w:color w:val="auto"/>
        </w:rPr>
        <w:t>Our subsidiary, GUSA Licensee LLC ("GUSA") is authorized by the FCC to distribute mobile and fixed subscriber terminals and to operate gateways in the United States. GUSA holds a license for a gateway in Texas and has applications pending for gateways in Florida and Alaska. In July 2005, the FCC granted GUSA special temporary authority to operate the Florida gateway for 60 days; the FCC repeatedly has renewed this authority for additional 60-day terms. In May 2006, GUSA obtained similar temporary authority to operate the Alaska gateway. We anticipate that the FCC will continue to renew these special temporary authority approvals for the Florida and Alaska gateways until it acts on GUSA's pending applications for permanent authority. Another subsidiary, GCL Licensee LLC ("GCL"), holds an FCC license to operate a gateway in Puerto Rico. GCL is also subject to regulation by the Puerto Rican regulatory agency.</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ATC.</w:t>
      </w:r>
    </w:p>
    <w:p>
      <w:pPr>
        <w:spacing w:after="0" w:line="227" w:lineRule="exact"/>
        <w:rPr>
          <w:sz w:val="20"/>
          <w:szCs w:val="20"/>
          <w:color w:val="auto"/>
        </w:rPr>
      </w:pPr>
    </w:p>
    <w:p>
      <w:pPr>
        <w:ind w:right="80" w:firstLine="439"/>
        <w:spacing w:after="0" w:line="301" w:lineRule="auto"/>
        <w:rPr>
          <w:sz w:val="20"/>
          <w:szCs w:val="20"/>
          <w:color w:val="auto"/>
        </w:rPr>
      </w:pPr>
      <w:r>
        <w:rPr>
          <w:rFonts w:ascii="Times New Roman" w:cs="Times New Roman" w:eastAsia="Times New Roman" w:hAnsi="Times New Roman"/>
          <w:sz w:val="16"/>
          <w:szCs w:val="16"/>
          <w:color w:val="auto"/>
        </w:rPr>
        <w:t>In January 2006, the FCC granted our application to add an ATC service to our existing mobile satellite services. ATC authorization enables the integration of a satellite-based service with terrestrial wireless services, resulting in a hybrid mobile satellite services/ATC network designed to provide advanced services and ubiquitous coverage throughout the United States. The FCC regulates mobile satellite services operators' ability to provide ATC-related services, and our authorization is predicated on compliance with and achievement of various "gating criteria" adopted by the FCC in February 2003 and summarized below.</w:t>
      </w:r>
    </w:p>
    <w:p>
      <w:pPr>
        <w:spacing w:after="0" w:line="171" w:lineRule="exact"/>
        <w:rPr>
          <w:sz w:val="20"/>
          <w:szCs w:val="20"/>
          <w:color w:val="auto"/>
        </w:rPr>
      </w:pPr>
    </w:p>
    <w:p>
      <w:pPr>
        <w:ind w:left="1080" w:right="18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mobile satellite services operator must demonstrate that its satellites are capable of providing substantial satellite service to all 50 states, Puerto Rico and the U.S. Virgin Islands and that its network can offer commercial mobile satellite services service to subscribers throughout that area. A mobile satellite services operator can provide ATC services only within its satellite footprint and within its assigned spectrum.</w:t>
      </w:r>
    </w:p>
    <w:p>
      <w:pPr>
        <w:spacing w:after="0" w:line="213"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satellite services and ATC services must be fully integrated either by supplying subscribers with dual-mode mobile satellite services/ATC handsets or otherwise showing that the ATC service is substantially integrated with the mobile satellite services service.</w:t>
      </w:r>
    </w:p>
    <w:p>
      <w:pPr>
        <w:spacing w:after="0" w:line="187"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including our company, that operate low earth orbit constellations must maintain an in-orbit spare satellite at the time that they initiate ATC service.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mobile satellite services operator may not offer ATC-only subscriptions.</w:t>
      </w:r>
    </w:p>
    <w:p>
      <w:pPr>
        <w:spacing w:after="0" w:line="225" w:lineRule="exact"/>
        <w:rPr>
          <w:sz w:val="20"/>
          <w:szCs w:val="20"/>
          <w:color w:val="auto"/>
        </w:rPr>
      </w:pPr>
    </w:p>
    <w:p>
      <w:pPr>
        <w:ind w:right="20" w:firstLine="439"/>
        <w:spacing w:after="0" w:line="258" w:lineRule="auto"/>
        <w:rPr>
          <w:sz w:val="20"/>
          <w:szCs w:val="20"/>
          <w:color w:val="auto"/>
        </w:rPr>
      </w:pPr>
      <w:r>
        <w:rPr>
          <w:rFonts w:ascii="Times New Roman" w:cs="Times New Roman" w:eastAsia="Times New Roman" w:hAnsi="Times New Roman"/>
          <w:sz w:val="18"/>
          <w:szCs w:val="18"/>
          <w:color w:val="auto"/>
        </w:rPr>
        <w:t>In March 2005, we filed an application to implement this authority and to provide ATC services. On January 20, 2006, the FCC authorized us to provide ATC services using 11 MHz of our spectrum, 5.5 MHz in our L-band and 5.5 MHz in our S-band. In June 2006 we petitioned the FCC to authorize us to use all of our remaining spectrum for ATC services. Based upon the February 2003 FCC order adopting the ATC rules, we anticipate that the FCC will authorize us to use more of our spectrum for ATC service.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7" w:name="page98"/>
    <w:bookmarkEnd w:id="97"/>
    <w:p>
      <w:pPr>
        <w:ind w:left="540"/>
        <w:spacing w:after="0"/>
        <w:rPr>
          <w:sz w:val="20"/>
          <w:szCs w:val="20"/>
          <w:color w:val="auto"/>
        </w:rPr>
      </w:pPr>
      <w:r>
        <w:rPr>
          <w:rFonts w:ascii="Times New Roman" w:cs="Times New Roman" w:eastAsia="Times New Roman" w:hAnsi="Times New Roman"/>
          <w:sz w:val="18"/>
          <w:szCs w:val="18"/>
          <w:i w:val="1"/>
          <w:iCs w:val="1"/>
          <w:color w:val="auto"/>
        </w:rPr>
        <w:t>2 GHz Spectrum.</w:t>
      </w:r>
    </w:p>
    <w:p>
      <w:pPr>
        <w:spacing w:after="0" w:line="227" w:lineRule="exact"/>
        <w:rPr>
          <w:sz w:val="20"/>
          <w:szCs w:val="20"/>
          <w:color w:val="auto"/>
        </w:rPr>
      </w:pPr>
    </w:p>
    <w:p>
      <w:pPr>
        <w:ind w:firstLine="439"/>
        <w:spacing w:after="0" w:line="286" w:lineRule="auto"/>
        <w:rPr>
          <w:sz w:val="20"/>
          <w:szCs w:val="20"/>
          <w:color w:val="auto"/>
        </w:rPr>
      </w:pPr>
      <w:r>
        <w:rPr>
          <w:rFonts w:ascii="Times New Roman" w:cs="Times New Roman" w:eastAsia="Times New Roman" w:hAnsi="Times New Roman"/>
          <w:sz w:val="16"/>
          <w:szCs w:val="16"/>
          <w:color w:val="auto"/>
        </w:rPr>
        <w:t>On July 17, 2001, the FCC granted us and seven other applicants authorizations to construct, launch and operate mobile satellite services systems in the 2 GHz mobile satellite services band, subject to strict milestone requirements. In the case of foreign-licensed applicants, the FCC "reserved" spectrum but required the foreign applicants to meet the same milestones as the domestic applicants. The FCC originally allocated 70 MHz (two 35 MHz paired blocks) of spectrum for this mobile satellite service but later reduced the allocation to 40 MHz (two 20 MHz paired blocks), reallocating 30 MHz to terrestrial wireless services. Each applicant received a base allocation of 3.5 MHz of paired spectrum with the opportunity to gain additional spectrum upon launch of its system. Systems were required to be constructed in compliance with certain milestones, the first of which was executing a non-contingent contract by July 17, 2002 for the construction of a system. We believe that we met this first milestone by entering into a non-contingent contract with Space Systems/Loral on July 16, 2002. Although we had not yet reached subsequent milestone dates, we requested the FCC to grant certain waivers of later milestones. On January 30, 2003, the FCC's International Bureau denied our waivers and declared our 2 GHz license to be null and void. In June 2004, the FCC declined to reverse that decision, and we requested reconsideration, which request remains pending. Subsequently, all but two of the other licensees (TMI/TerreStar, a Canadian company licensed by Industry Canada, and ICO Global Communications, a company licensed in the U.K.) either surrendered their licenses or had them canceled. In June 2005, the FCC requested public comment on whether it should divide the remaining 40 MHz of mobile satellite services spectrum between the two remaining foreign licensees, reallocate some of the spectrum to other uses or accept new applications. We argued that the FCC should retain all of the spectrum for mobile satellite services, reinstate our canceled 2 GHz license, and grant each of us, TMI/TerreStar and ICO Global Communications one-third of the 40 MHz.</w:t>
      </w:r>
    </w:p>
    <w:p>
      <w:pPr>
        <w:spacing w:after="0" w:line="391" w:lineRule="exact"/>
        <w:rPr>
          <w:sz w:val="20"/>
          <w:szCs w:val="20"/>
          <w:color w:val="auto"/>
        </w:rPr>
      </w:pPr>
    </w:p>
    <w:p>
      <w:pPr>
        <w:ind w:right="20" w:firstLine="439"/>
        <w:spacing w:after="0" w:line="291" w:lineRule="auto"/>
        <w:rPr>
          <w:sz w:val="20"/>
          <w:szCs w:val="20"/>
          <w:color w:val="auto"/>
        </w:rPr>
      </w:pPr>
      <w:r>
        <w:rPr>
          <w:rFonts w:ascii="Times New Roman" w:cs="Times New Roman" w:eastAsia="Times New Roman" w:hAnsi="Times New Roman"/>
          <w:sz w:val="16"/>
          <w:szCs w:val="16"/>
          <w:color w:val="auto"/>
        </w:rPr>
        <w:t>On December 9, 2005, the FCC decided to retain a 40 MHz allocation for mobile satellite services but to reserve it all for TMI/TerreStar and ICO Global Communication, both of which are non-U.S. corporations, although the reservation was made expressly subject to the outcome of our request for reconsideration of the invalidation of our 2 GHz license. We believe that this action by the FCC reserving all of the spectrum for two companies is inconsistent with the facts and law and have petitioned the FCC to reconsider its decision. The FCC has not yet acted on our petition. If the FCC adheres to this decision, we expect to pursue our available legal remedies, including appealing the FCC's decision to the U.S. Court of Appeals. Any appeal is not likely to be decided before 2007. We do not believe that our existing operations or plans for the introduction of ATC services or for a second-generation satellite constellation will be adversely impacted if the 2 GHz license is not reinstated; however, reinstatement would increase our value and potential revenues and profitability.</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Spectrum Sharing.</w:t>
      </w:r>
    </w:p>
    <w:p>
      <w:pPr>
        <w:spacing w:after="0" w:line="227"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In July 2004, the FCC issued a decision requiring us and Iridium to share the 1618.25 - 1621.35 MHz portion of our 1610 - 1621.35 MHz band. We share this portion of the band with Iridium on a "co-primary" basis for uplink usage, but we retain priority and are "primary" with respect to the downlink usage in this band. Previously, Iridium had exclusive access to 1621.35 - 1626.5 MHz, and, except for the requirement to protect certain radio astronomy operations, we had exclusive access to 1610 - 1621.35 MHz. We have requested reconsideration of certain portions of this decision, including the specific frequencies that must be shared with Iridium and the technical requirements that will govern the sharing. The FCC has not yet acted on our request. Iridium has sought to extend the sharing over an additional 2.25 MHz of our spectrum, which we have vigorously opposed. We do not expect the FCC to grant Iridium's request for more shared spectrum, in part because Iridium is not using the portion of our spectrum in which it already has sharing rights.</w:t>
      </w:r>
    </w:p>
    <w:p>
      <w:pPr>
        <w:spacing w:after="0" w:line="195" w:lineRule="exact"/>
        <w:rPr>
          <w:sz w:val="20"/>
          <w:szCs w:val="20"/>
          <w:color w:val="auto"/>
        </w:rPr>
      </w:pPr>
    </w:p>
    <w:p>
      <w:pPr>
        <w:ind w:right="160" w:firstLine="429"/>
        <w:spacing w:after="0" w:line="275" w:lineRule="auto"/>
        <w:rPr>
          <w:sz w:val="20"/>
          <w:szCs w:val="20"/>
          <w:color w:val="auto"/>
        </w:rPr>
      </w:pPr>
      <w:r>
        <w:rPr>
          <w:rFonts w:ascii="Times New Roman" w:cs="Times New Roman" w:eastAsia="Times New Roman" w:hAnsi="Times New Roman"/>
          <w:sz w:val="18"/>
          <w:szCs w:val="18"/>
          <w:color w:val="auto"/>
        </w:rPr>
        <w:t>Also in the July 2004 decision, the FCC stated it expects us and Iridium to reach a mutually acceptable coordination agreement. In the same decision, the FCC required us to share the 2496 - 2500 MHz portion of our downlink spectrum with certain Broadband Radio Service fixed wireless licensees and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98" w:name="page99"/>
    <w:bookmarkEnd w:id="98"/>
    <w:p>
      <w:pPr>
        <w:spacing w:after="0" w:line="254" w:lineRule="auto"/>
        <w:rPr>
          <w:sz w:val="20"/>
          <w:szCs w:val="20"/>
          <w:color w:val="auto"/>
        </w:rPr>
      </w:pPr>
      <w:r>
        <w:rPr>
          <w:rFonts w:ascii="Times New Roman" w:cs="Times New Roman" w:eastAsia="Times New Roman" w:hAnsi="Times New Roman"/>
          <w:sz w:val="18"/>
          <w:szCs w:val="18"/>
          <w:color w:val="auto"/>
        </w:rPr>
        <w:t>with about 100 "grandfathered" Broadcast Auxiliary Service licensees. We expect the latter to be relocated out of the band by about 2009. Although we and others requested reconsideration of certain of the rules that will govern our sharing with these Broadband Radio Service and Broadcast Auxiliary Service licensees, the FCC affirmed this portion of its decision in an order issued in April 2006. Certain parties have filed further requests with the FCC for reconsideration of this decision, which we have opposed. In addition, on July 21, 2006, Sprint Nextel Corporation ("Sprint Nextel") one of the largest Broadband Radio Service licensees, filed an appeal of the FCC's decision to relocate them to the 2496-2500 MHz band with the U.S. Court of Appeals for the D.C. Circuit. On August 28, 2006, the FCC filed a motion to hold the case in abeyance, which Sprint Nextel has opposed. Although we have filed a motion to intervene in the case, it is unclear whether, and if so, to what extent a court decision in favor of Sprint Nextel would have an impact on our spectrum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Coordination</w:t>
      </w:r>
    </w:p>
    <w:p>
      <w:pPr>
        <w:spacing w:after="0" w:line="227"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color w:val="auto"/>
        </w:rPr>
        <w:t>Our system operates in frequencies which were allocated on an international basis for mobile satellite services user links and mobile satellite services feeder links. We are required to engage in international coordination procedures with other proposed mobile satellite services systems under the aegis of the International Telecommunications Union. We believe that we have met all of our obligations to coordinate our system.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Regulation of Service Providers</w:t>
      </w:r>
    </w:p>
    <w:p>
      <w:pPr>
        <w:spacing w:after="0" w:line="227" w:lineRule="exact"/>
        <w:rPr>
          <w:sz w:val="20"/>
          <w:szCs w:val="20"/>
          <w:color w:val="auto"/>
        </w:rPr>
      </w:pPr>
    </w:p>
    <w:p>
      <w:pPr>
        <w:ind w:right="160" w:firstLine="439"/>
        <w:spacing w:after="0" w:line="255" w:lineRule="auto"/>
        <w:rPr>
          <w:sz w:val="20"/>
          <w:szCs w:val="20"/>
          <w:color w:val="auto"/>
        </w:rPr>
      </w:pPr>
      <w:r>
        <w:rPr>
          <w:rFonts w:ascii="Times New Roman" w:cs="Times New Roman" w:eastAsia="Times New Roman" w:hAnsi="Times New Roman"/>
          <w:sz w:val="18"/>
          <w:szCs w:val="18"/>
          <w:color w:val="auto"/>
        </w:rPr>
        <w:t>In order to operate gateways, the independent gateway operators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25 gateways operated by us and the independent gateway operators are licensed. An independent gateway operator in South Africa, Vodacom, was unable to secure a license to activate and operate the gateway in that country and turned the gateway over to Telkom, the South African telephone company, in settlement of debts. We have initiated efforts to reestablish the business in South Africa through our own subsidiary and to obtain an operating license.</w:t>
      </w:r>
    </w:p>
    <w:p>
      <w:pPr>
        <w:spacing w:after="0" w:line="193" w:lineRule="exact"/>
        <w:rPr>
          <w:sz w:val="20"/>
          <w:szCs w:val="20"/>
          <w:color w:val="auto"/>
        </w:rPr>
      </w:pPr>
    </w:p>
    <w:p>
      <w:pPr>
        <w:ind w:right="180" w:firstLine="439"/>
        <w:spacing w:after="0" w:line="262" w:lineRule="auto"/>
        <w:rPr>
          <w:sz w:val="20"/>
          <w:szCs w:val="20"/>
          <w:color w:val="auto"/>
        </w:rPr>
      </w:pPr>
      <w:r>
        <w:rPr>
          <w:rFonts w:ascii="Times New Roman" w:cs="Times New Roman" w:eastAsia="Times New Roman" w:hAnsi="Times New Roman"/>
          <w:sz w:val="18"/>
          <w:szCs w:val="18"/>
          <w:color w:val="auto"/>
        </w:rPr>
        <w:t>Our subscriber equipment generally must be type certified in countries in which it is sold or leased. The manufacturers of the equipment and our affiliates or the independent gateway operators are jointly responsible for securing type certification. Thus far, our equipment has received type certification in each country in which that certification was required.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International Traffic in Arms Regulations</w:t>
      </w:r>
    </w:p>
    <w:p>
      <w:pPr>
        <w:spacing w:after="0" w:line="227"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 States and for providing technical data to potential launch contractors and developers of our next generation of satellites.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7" w:lineRule="exact"/>
        <w:rPr>
          <w:sz w:val="20"/>
          <w:szCs w:val="20"/>
          <w:color w:val="auto"/>
        </w:rPr>
      </w:pPr>
    </w:p>
    <w:p>
      <w:pPr>
        <w:ind w:right="120" w:firstLine="436"/>
        <w:spacing w:after="0" w:line="256" w:lineRule="auto"/>
        <w:rPr>
          <w:sz w:val="20"/>
          <w:szCs w:val="20"/>
          <w:color w:val="auto"/>
        </w:rPr>
      </w:pPr>
      <w:r>
        <w:rPr>
          <w:rFonts w:ascii="Times New Roman" w:cs="Times New Roman" w:eastAsia="Times New Roman" w:hAnsi="Times New Roman"/>
          <w:sz w:val="18"/>
          <w:szCs w:val="18"/>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and, as a result, current and past operations at our teleport and other technical facilities include fuel storage and batteries for back-up generators. As an owner or operator of property and in connection with current and historical operations at some of our sites, we could incur significant costs, including cleanup costs, fines, sanctions and third-party claims, as a result of violations of or liabilities under environmental laws and regulations.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Set forth below is certain information concerning our directors and executive officers.</w:t>
            </w: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Age*</w:t>
            </w:r>
          </w:p>
        </w:tc>
        <w:tc>
          <w:tcPr>
            <w:tcW w:w="662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Monroe III</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Dalton</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62</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 Lynch</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 Roberts</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J. Navarra</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Global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Fuad Ahmad</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L. Fitzgerald</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Strategic Initiatives and Space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C. Allen</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Sales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F. Bell</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of International Sales, Marketing and Customer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D. Miller</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Engineering and Ground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Adler</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President—Legal and Regulatory Affairs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Monte</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President—Engineering and Product Development</w:t>
            </w: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-1815465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-1815465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-1815465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-1815465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 2006.</w:t>
      </w:r>
    </w:p>
    <w:p>
      <w:pPr>
        <w:spacing w:after="0" w:line="223" w:lineRule="exact"/>
        <w:rPr>
          <w:sz w:val="20"/>
          <w:szCs w:val="20"/>
          <w:color w:val="auto"/>
        </w:rPr>
      </w:pPr>
    </w:p>
    <w:p>
      <w:pPr>
        <w:ind w:right="6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Monroe III </w:t>
      </w:r>
      <w:r>
        <w:rPr>
          <w:rFonts w:ascii="Times New Roman" w:cs="Times New Roman" w:eastAsia="Times New Roman" w:hAnsi="Times New Roman"/>
          <w:sz w:val="18"/>
          <w:szCs w:val="18"/>
          <w:color w:val="auto"/>
        </w:rPr>
        <w:t>has served as a director since December 2003 and as Chairman of the Board of Directors since the Reorganization in April 2004.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Chief Executive Officer in January 2005. Since 1984, Mr. Monroe has been the majority owner of a diverse group of privately owned businesses that operate in the fields of telecommunications, real estate, power generation, industrial equipment distribution, financial services and leasing services and that are sometimes referred to collectively in this prospectus as "Thermo." Thermo controls directly or indirectly Globalstar Holdings LLC, Globalstar Satellite, L.P., and Thermo Funding Company LLC.</w:t>
      </w:r>
    </w:p>
    <w:p>
      <w:pPr>
        <w:spacing w:after="0" w:line="188"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 J. Dalton </w:t>
      </w:r>
      <w:r>
        <w:rPr>
          <w:rFonts w:ascii="Times New Roman" w:cs="Times New Roman" w:eastAsia="Times New Roman" w:hAnsi="Times New Roman"/>
          <w:sz w:val="18"/>
          <w:szCs w:val="18"/>
          <w:color w:val="auto"/>
        </w:rPr>
        <w:t>has been a director of the company since January 2004. He has served as chief executive officer of Dalton Partners, Inc., a turnaround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firm, since January 1989. As chief executive officer of Dalton Partners, Inc., Mr. Dalton also has served as chief executive officer and a director of a number of its clients. From November 2001 to September 2004, Mr. Dalton served as chief executive officer of Clickhome Reality, Inc., a discount real estate and mortgage company. Mr. Dalton served as a director and chief financial officer of Wood Associates, a distributor of promotional items from May 2000 to October 2001.</w:t>
      </w:r>
    </w:p>
    <w:p>
      <w:pPr>
        <w:spacing w:after="0" w:line="188" w:lineRule="exact"/>
        <w:rPr>
          <w:sz w:val="20"/>
          <w:szCs w:val="20"/>
          <w:color w:val="auto"/>
        </w:rPr>
      </w:pPr>
    </w:p>
    <w:p>
      <w:pPr>
        <w:ind w:right="260" w:firstLine="439"/>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James F. Lynch </w:t>
      </w:r>
      <w:r>
        <w:rPr>
          <w:rFonts w:ascii="Times New Roman" w:cs="Times New Roman" w:eastAsia="Times New Roman" w:hAnsi="Times New Roman"/>
          <w:sz w:val="16"/>
          <w:szCs w:val="16"/>
          <w:color w:val="auto"/>
        </w:rPr>
        <w:t>has served as a director since December 2003. He has been Managing Director of Thermo Capital Partners, L.L.C. since October 2001.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Lynch has also served as Chairman of Xspedius Communications LLC, a competitive local telephone exchange carrier which is a Thermo affiliate, since January 2005 and served as Chief Executive Officer of Xspedius from August 2005 to March 2006. Prior to joining Thermo Capital Partners, Mr. Lynch was a Managing Director of Bear Stearns &amp; Co., an investment banking and brokerage firm. Mr. Lynch is also a limited partner of Globalstar Satellite, L.P.</w:t>
      </w:r>
    </w:p>
    <w:p>
      <w:pPr>
        <w:spacing w:after="0" w:line="154" w:lineRule="exact"/>
        <w:rPr>
          <w:sz w:val="20"/>
          <w:szCs w:val="20"/>
          <w:color w:val="auto"/>
        </w:rPr>
      </w:pPr>
    </w:p>
    <w:p>
      <w:pPr>
        <w:ind w:right="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Richard S. Roberts </w:t>
      </w:r>
      <w:r>
        <w:rPr>
          <w:rFonts w:ascii="Times New Roman" w:cs="Times New Roman" w:eastAsia="Times New Roman" w:hAnsi="Times New Roman"/>
          <w:sz w:val="18"/>
          <w:szCs w:val="18"/>
          <w:color w:val="auto"/>
        </w:rPr>
        <w:t>has served as a Vice President and General Counsel of Thermo Development Inc. since June 2002. Prior to that he was a partner of Taft,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Stettinius &amp; Hollister LLP, a law firm located in Cincinnati, Ohio, for over 20 years. He has also served as Secretary of the company since the Reorganization in April 2004. Mr. Roberts is also a limited partner of Globalstar Satellite, L.P.</w:t>
      </w:r>
    </w:p>
    <w:p>
      <w:pPr>
        <w:spacing w:after="0" w:line="181" w:lineRule="exact"/>
        <w:rPr>
          <w:sz w:val="20"/>
          <w:szCs w:val="20"/>
          <w:color w:val="auto"/>
        </w:rPr>
      </w:pPr>
    </w:p>
    <w:p>
      <w:pPr>
        <w:jc w:val="both"/>
        <w:ind w:right="80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Anthony J. Navarra </w:t>
      </w:r>
      <w:r>
        <w:rPr>
          <w:rFonts w:ascii="Times New Roman" w:cs="Times New Roman" w:eastAsia="Times New Roman" w:hAnsi="Times New Roman"/>
          <w:sz w:val="18"/>
          <w:szCs w:val="18"/>
          <w:color w:val="auto"/>
        </w:rPr>
        <w:t>was a director from December 2003 until September 2004. He served as President of Old Globalstar and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1999 to December 2004 and has served as President, Global Operations of the company since January 2005. He has been a director of Iloop Mobile, Inc., a mobile application software company, since September 2005.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0" w:name="page101"/>
    <w:bookmarkEnd w:id="100"/>
    <w:p>
      <w:pPr>
        <w:ind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Fuad Ahmad </w:t>
      </w:r>
      <w:r>
        <w:rPr>
          <w:rFonts w:ascii="Times New Roman" w:cs="Times New Roman" w:eastAsia="Times New Roman" w:hAnsi="Times New Roman"/>
          <w:sz w:val="18"/>
          <w:szCs w:val="18"/>
          <w:color w:val="auto"/>
        </w:rPr>
        <w:t>has served as Vice President and Chief Financial Officer of the company since June 2005. From June 1999 to May 2005, he served as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Old Globalstar and the company, where he was involved in the initial fundraising activities related to building and launching the Globalstar system. He joined the company in June 1996 as Finance Manager. Prior to that time, he was employed by Transworld Telecommunications, Inc., a private equity financed firm engaged in acquiring telecommunications companies in the United States.</w:t>
      </w:r>
    </w:p>
    <w:p>
      <w:pPr>
        <w:spacing w:after="0" w:line="187" w:lineRule="exact"/>
        <w:rPr>
          <w:sz w:val="20"/>
          <w:szCs w:val="20"/>
          <w:color w:val="auto"/>
        </w:rPr>
      </w:pPr>
    </w:p>
    <w:p>
      <w:pPr>
        <w:ind w:right="4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Megan L. Fitzgerald </w:t>
      </w:r>
      <w:r>
        <w:rPr>
          <w:rFonts w:ascii="Times New Roman" w:cs="Times New Roman" w:eastAsia="Times New Roman" w:hAnsi="Times New Roman"/>
          <w:sz w:val="18"/>
          <w:szCs w:val="18"/>
          <w:color w:val="auto"/>
        </w:rPr>
        <w:t>has served as Senior Vice President, Strategic Initiatives and Space Operations of the company since April 2004. From February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April 2004, Ms. Fitzgerald served as acting Senior Vice President, Operations and Engineering of Old Globalstar. Ms. Fitzgerald served as Senior Vice President, Operations of Old Globalstar from November 2000 to February 2002, as Senior Vice President, Space Operations of Old Globalstar from May 1999 to November 2000 and in various other capacities since June 1994.</w:t>
      </w:r>
    </w:p>
    <w:p>
      <w:pPr>
        <w:spacing w:after="0" w:line="187" w:lineRule="exact"/>
        <w:rPr>
          <w:sz w:val="20"/>
          <w:szCs w:val="20"/>
          <w:color w:val="auto"/>
        </w:rPr>
      </w:pPr>
    </w:p>
    <w:p>
      <w:pPr>
        <w:ind w:right="60" w:firstLine="439"/>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Dennis C. Allen </w:t>
      </w:r>
      <w:r>
        <w:rPr>
          <w:rFonts w:ascii="Times New Roman" w:cs="Times New Roman" w:eastAsia="Times New Roman" w:hAnsi="Times New Roman"/>
          <w:sz w:val="16"/>
          <w:szCs w:val="16"/>
          <w:color w:val="auto"/>
        </w:rPr>
        <w:t>has served as Senior Vice President of Sales and Marketing since June 2004 when he joined the company from Xspedius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LLC, where he served as Executive Vice President of Sales from January 2003 to May 2004. Prior to joining Xspedius Communications, Mr. Allen served as Executive Vice President of Sales of a predecessor competitive local exchange company from January 2002 to December 2002. From May 1998 to</w:t>
      </w:r>
    </w:p>
    <w:p>
      <w:pPr>
        <w:ind w:right="20"/>
        <w:spacing w:after="0" w:line="261" w:lineRule="auto"/>
        <w:rPr>
          <w:sz w:val="20"/>
          <w:szCs w:val="20"/>
          <w:color w:val="auto"/>
        </w:rPr>
      </w:pPr>
      <w:r>
        <w:rPr>
          <w:rFonts w:ascii="Times New Roman" w:cs="Times New Roman" w:eastAsia="Times New Roman" w:hAnsi="Times New Roman"/>
          <w:sz w:val="18"/>
          <w:szCs w:val="18"/>
          <w:color w:val="auto"/>
        </w:rPr>
        <w:t>December 2001, Mr. Allen served as Executive Vice President of Network Telephones, a competitive local telephone exchange providing voice and data products to small and medium sized businesses.</w:t>
      </w:r>
    </w:p>
    <w:p>
      <w:pPr>
        <w:spacing w:after="0" w:line="184" w:lineRule="exact"/>
        <w:rPr>
          <w:sz w:val="20"/>
          <w:szCs w:val="20"/>
          <w:color w:val="auto"/>
        </w:rPr>
      </w:pPr>
    </w:p>
    <w:p>
      <w:pPr>
        <w:ind w:right="1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Steven F. Bell </w:t>
      </w:r>
      <w:r>
        <w:rPr>
          <w:rFonts w:ascii="Times New Roman" w:cs="Times New Roman" w:eastAsia="Times New Roman" w:hAnsi="Times New Roman"/>
          <w:sz w:val="18"/>
          <w:szCs w:val="18"/>
          <w:color w:val="auto"/>
        </w:rPr>
        <w:t>has served as Senior Vice President of International Sales, Marketing and Customer Care of the company since April 2004 and 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of Globalstar Canada, a subsidiary of our company, since July 2003. From June 1999 to July 2003, Mr. Bell served as Director of Sales and Marketing of Globalstar Canada.</w:t>
      </w:r>
    </w:p>
    <w:p>
      <w:pPr>
        <w:spacing w:after="0" w:line="181" w:lineRule="exact"/>
        <w:rPr>
          <w:sz w:val="20"/>
          <w:szCs w:val="20"/>
          <w:color w:val="auto"/>
        </w:rPr>
      </w:pPr>
    </w:p>
    <w:p>
      <w:pPr>
        <w:ind w:right="1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Robert D. Miller </w:t>
      </w:r>
      <w:r>
        <w:rPr>
          <w:rFonts w:ascii="Times New Roman" w:cs="Times New Roman" w:eastAsia="Times New Roman" w:hAnsi="Times New Roman"/>
          <w:sz w:val="18"/>
          <w:szCs w:val="18"/>
          <w:color w:val="auto"/>
        </w:rPr>
        <w:t>has served as Senior Vice President of Engineering and Ground Operations of the company since April 2004. Mr. Miller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Unibill, Inc., a full service billing vendor for the telecommunications industry, where he served as Senior Vice President and Chief Technology Officer from May 2003 to April 2004. From September 2002 to May 2003, Mr. Miller served as Vice President of Integration &amp; Quality Assurance of Xspedius Communications LLC. Mr. Miller served as Chief Technology Officer of Xspedius, LLC, a predecessor to Xspedius Communications, from September 2001 to September 2002, and as its Vice President of Advanced Services from August 1998 to September 2001.</w:t>
      </w:r>
    </w:p>
    <w:p>
      <w:pPr>
        <w:spacing w:after="0" w:line="188" w:lineRule="exact"/>
        <w:rPr>
          <w:sz w:val="20"/>
          <w:szCs w:val="20"/>
          <w:color w:val="auto"/>
        </w:rPr>
      </w:pPr>
    </w:p>
    <w:p>
      <w:pPr>
        <w:ind w:right="10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William F. Adler </w:t>
      </w:r>
      <w:r>
        <w:rPr>
          <w:rFonts w:ascii="Times New Roman" w:cs="Times New Roman" w:eastAsia="Times New Roman" w:hAnsi="Times New Roman"/>
          <w:sz w:val="18"/>
          <w:szCs w:val="18"/>
          <w:color w:val="auto"/>
        </w:rPr>
        <w:t>has served as Vice President—Legal and Regulatory Affairs of the company since April 2004 when he joined the company from 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Globalstar, where he served as Vice President—Legal &amp; Regulatory Affairs from January 1996 to April 2004. Prior to joining Old Globalstar in 1996, Mr. Adler was a partner in a communications law firm located in Washington, D.C. and served in executive capacities at Pacific Telesis Group and the FCC.</w:t>
      </w:r>
    </w:p>
    <w:p>
      <w:pPr>
        <w:spacing w:after="0" w:line="181" w:lineRule="exact"/>
        <w:rPr>
          <w:sz w:val="20"/>
          <w:szCs w:val="20"/>
          <w:color w:val="auto"/>
        </w:rPr>
      </w:pPr>
    </w:p>
    <w:p>
      <w:pPr>
        <w:ind w:right="12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Paul A. Monte </w:t>
      </w:r>
      <w:r>
        <w:rPr>
          <w:rFonts w:ascii="Times New Roman" w:cs="Times New Roman" w:eastAsia="Times New Roman" w:hAnsi="Times New Roman"/>
          <w:sz w:val="18"/>
          <w:szCs w:val="18"/>
          <w:color w:val="auto"/>
        </w:rPr>
        <w:t>has served as Vice President—Engineering and Product Development since September 2005. From 1997 to September 2005, he served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Old Globalstar as Director of Systems Engineering.</w:t>
      </w:r>
    </w:p>
    <w:p>
      <w:pPr>
        <w:spacing w:after="0" w:line="172" w:lineRule="exact"/>
        <w:rPr>
          <w:sz w:val="20"/>
          <w:szCs w:val="20"/>
          <w:color w:val="auto"/>
        </w:rPr>
      </w:pPr>
    </w:p>
    <w:p>
      <w:pPr>
        <w:ind w:right="320" w:firstLine="439"/>
        <w:spacing w:after="0" w:line="275" w:lineRule="auto"/>
        <w:rPr>
          <w:sz w:val="20"/>
          <w:szCs w:val="20"/>
          <w:color w:val="auto"/>
        </w:rPr>
      </w:pPr>
      <w:r>
        <w:rPr>
          <w:rFonts w:ascii="Times New Roman" w:cs="Times New Roman" w:eastAsia="Times New Roman" w:hAnsi="Times New Roman"/>
          <w:sz w:val="18"/>
          <w:szCs w:val="18"/>
          <w:color w:val="auto"/>
        </w:rPr>
        <w:t>Mr. Navarra, Ms. Fitzgerald and Mr. Adler served as officers or directors of Old Globalstar and certain of its subsidiaries, both prior to and during their bankruptcy proceedings, and Mr. Navarra and Mr. Adler continue to serve as directors or executive officers of a subsidiary of Old Globalstar.</w:t>
      </w:r>
    </w:p>
    <w:p>
      <w:pPr>
        <w:spacing w:after="0" w:line="174" w:lineRule="exact"/>
        <w:rPr>
          <w:sz w:val="20"/>
          <w:szCs w:val="20"/>
          <w:color w:val="auto"/>
        </w:rPr>
      </w:pPr>
    </w:p>
    <w:p>
      <w:pPr>
        <w:ind w:right="280" w:firstLine="439"/>
        <w:spacing w:after="0" w:line="275" w:lineRule="auto"/>
        <w:rPr>
          <w:sz w:val="20"/>
          <w:szCs w:val="20"/>
          <w:color w:val="auto"/>
        </w:rPr>
      </w:pPr>
      <w:r>
        <w:rPr>
          <w:rFonts w:ascii="Times New Roman" w:cs="Times New Roman" w:eastAsia="Times New Roman" w:hAnsi="Times New Roman"/>
          <w:sz w:val="18"/>
          <w:szCs w:val="18"/>
          <w:color w:val="auto"/>
        </w:rPr>
        <w:t>Each officer serves at the discretion of our board of directors and holds office until his or her successor is elected and qualified or until his or her earlier resignation or removal. There are no family relationships among any of our directors or executive officers.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7"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Our amended and restated bylaws, which will become effective immediately prior to this offering, provide for a board of directors of seven persons. Our board of directors currently consists of four members, and we intend to elect three new directors to the board following the completion of this offering to fill these vacancies.</w:t>
      </w:r>
    </w:p>
    <w:p>
      <w:pPr>
        <w:spacing w:after="0" w:line="186"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Under the amended and restated bylaws, our board of directors will be divided into three classes, with staggered three-year terms. The initial terms of the directors of each class will expire at the annual meetings of stockholders to be held in 2007 (Class A), 2008 (Class B) and 2009 (Class C). At each annual meeting of stockholders, one class of directors will be elected for a full term of three years to succeed that class of directors whose terms are expiring. The directors will be classified as follows: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Class A—Mr. Roberts;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Class B—Mr. Lynch;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Class C—Messrs. Dalton and Monroe.</w:t>
      </w:r>
    </w:p>
    <w:p>
      <w:pPr>
        <w:spacing w:after="0" w:line="225" w:lineRule="exact"/>
        <w:rPr>
          <w:sz w:val="20"/>
          <w:szCs w:val="20"/>
          <w:color w:val="auto"/>
        </w:rPr>
      </w:pPr>
    </w:p>
    <w:p>
      <w:pPr>
        <w:ind w:right="120" w:firstLine="439"/>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Thermo and its affiliates will hold shares representing approximately 58% of the voting power of the company. See "Principal Stockholders." As a result, we will be a "controlled company" for purposes of the NASDAQ Marketplace Rules and will not be required to have a majority of independent directors on the board or to comply with the requirements for compensation and nominating/governance committees. We will, however, be subject to all other NASDAQ Marketplace Rules corporate governance requirements, including those applicable to audit committees.</w:t>
      </w:r>
    </w:p>
    <w:p>
      <w:pPr>
        <w:spacing w:after="0" w:line="190" w:lineRule="exact"/>
        <w:rPr>
          <w:sz w:val="20"/>
          <w:szCs w:val="20"/>
          <w:color w:val="auto"/>
        </w:rPr>
      </w:pPr>
    </w:p>
    <w:p>
      <w:pPr>
        <w:ind w:right="240" w:firstLine="439"/>
        <w:spacing w:after="0" w:line="275" w:lineRule="auto"/>
        <w:rPr>
          <w:sz w:val="20"/>
          <w:szCs w:val="20"/>
          <w:color w:val="auto"/>
        </w:rPr>
      </w:pPr>
      <w:r>
        <w:rPr>
          <w:rFonts w:ascii="Times New Roman" w:cs="Times New Roman" w:eastAsia="Times New Roman" w:hAnsi="Times New Roman"/>
          <w:sz w:val="18"/>
          <w:szCs w:val="18"/>
          <w:color w:val="auto"/>
        </w:rPr>
        <w:t>Our board of directors has determined that Mr. Dalton is an independent director as defined in Rule 10A-3 under the Exchange Act and in the NASDAQ Stock Market listing requirements. Mr. Dalton has no relationships with our company other than in his capacity as a director.</w:t>
      </w:r>
    </w:p>
    <w:p>
      <w:pPr>
        <w:spacing w:after="0" w:line="174" w:lineRule="exact"/>
        <w:rPr>
          <w:sz w:val="20"/>
          <w:szCs w:val="20"/>
          <w:color w:val="auto"/>
        </w:rPr>
      </w:pPr>
    </w:p>
    <w:p>
      <w:pPr>
        <w:ind w:right="20" w:firstLine="436"/>
        <w:spacing w:after="0" w:line="310" w:lineRule="auto"/>
        <w:rPr>
          <w:sz w:val="20"/>
          <w:szCs w:val="20"/>
          <w:color w:val="auto"/>
        </w:rPr>
      </w:pPr>
      <w:r>
        <w:rPr>
          <w:rFonts w:ascii="Times New Roman" w:cs="Times New Roman" w:eastAsia="Times New Roman" w:hAnsi="Times New Roman"/>
          <w:sz w:val="16"/>
          <w:szCs w:val="16"/>
          <w:color w:val="auto"/>
        </w:rPr>
        <w:t>We expect to pay certain of our independent directors a fee for each board and committee meeting attended. We have not yet determined these amounts. We may pay disparate fees for chairing or serving on certain committees and may grant awards to our independent directors under our 2006 Equity Incentive Plan. Mr. Dalton currently receives $2,500 per board meeting and has an option to purchase 120,000 shares of our common stock at a price of $2.67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7" w:lineRule="exact"/>
        <w:rPr>
          <w:sz w:val="20"/>
          <w:szCs w:val="20"/>
          <w:color w:val="auto"/>
        </w:rPr>
      </w:pPr>
    </w:p>
    <w:p>
      <w:pPr>
        <w:jc w:val="both"/>
        <w:ind w:right="140" w:firstLine="439"/>
        <w:spacing w:after="0" w:line="310" w:lineRule="auto"/>
        <w:rPr>
          <w:sz w:val="20"/>
          <w:szCs w:val="20"/>
          <w:color w:val="auto"/>
        </w:rPr>
      </w:pPr>
      <w:r>
        <w:rPr>
          <w:rFonts w:ascii="Times New Roman" w:cs="Times New Roman" w:eastAsia="Times New Roman" w:hAnsi="Times New Roman"/>
          <w:sz w:val="16"/>
          <w:szCs w:val="16"/>
          <w:color w:val="auto"/>
        </w:rPr>
        <w:t>Our board of directors has an audit committee, a nominating and governance committee and a compensation committee. The board has adopted a written charter for each of these committees that will be available on our website after the completion of this offering. We currently expect that, at a minimum, the audit committee will meet quarterly, the nominating and governance committee will meet annually and the compensation committee will meet semi-annually.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firstLine="439"/>
        <w:spacing w:after="0" w:line="301" w:lineRule="auto"/>
        <w:rPr>
          <w:sz w:val="20"/>
          <w:szCs w:val="20"/>
          <w:color w:val="auto"/>
        </w:rPr>
      </w:pPr>
      <w:r>
        <w:rPr>
          <w:rFonts w:ascii="Times New Roman" w:cs="Times New Roman" w:eastAsia="Times New Roman" w:hAnsi="Times New Roman"/>
          <w:sz w:val="16"/>
          <w:szCs w:val="16"/>
          <w:color w:val="auto"/>
        </w:rPr>
        <w:t>Upon completion of this offering, our audit committee will be comprised of Messrs. Monroe, Lynch and Dalton. The board has determined that Mr. Dalton is an independent director. We are required by Rule 10A-3 under the Exchange Act and by the NASDAQ Marketplace Rules to have an audit committee composed entirely of at least three independent directors within one year of this offering. Following the offering, Mr. Dalton will be designated as the audit committee financial expert, as defined by Item 401(h) of Regulation S-K of the Exchange Act. The principal duties of the audit committee will be to:</w:t>
      </w:r>
    </w:p>
    <w:p>
      <w:pPr>
        <w:spacing w:after="0" w:line="171"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and replace our independent auditors;</w:t>
      </w:r>
    </w:p>
    <w:p>
      <w:pPr>
        <w:spacing w:after="0" w:line="252" w:lineRule="exact"/>
        <w:rPr>
          <w:rFonts w:ascii="Times New Roman" w:cs="Times New Roman" w:eastAsia="Times New Roman" w:hAnsi="Times New Roman"/>
          <w:sz w:val="18"/>
          <w:szCs w:val="18"/>
          <w:color w:val="auto"/>
        </w:rPr>
      </w:pPr>
    </w:p>
    <w:p>
      <w:pPr>
        <w:ind w:left="5620" w:right="4640" w:hanging="5072"/>
        <w:spacing w:after="0" w:line="525" w:lineRule="auto"/>
        <w:tabs>
          <w:tab w:leader="none" w:pos="10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all fees and all audit and non-audit services of our independent auditors;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02" w:name="page103"/>
    <w:bookmarkEnd w:id="102"/>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the independence of our independent auditors;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annual audit results;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reassess the effectiveness of our independent auditors;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and accounting policies and our annual and quarterly financial statements;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accounting controls and the internal audit function;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programs for compliance with laws, regulations and our policies;</w:t>
      </w:r>
    </w:p>
    <w:p>
      <w:pPr>
        <w:spacing w:after="0" w:line="238"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requests for waivers from our code of conduct for our executive officers and directors (any such waivers being subject to board approval);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foregoing, meet with our independent auditors, internal auditors and financial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right="620" w:firstLine="439"/>
        <w:spacing w:after="0" w:line="275" w:lineRule="auto"/>
        <w:rPr>
          <w:sz w:val="20"/>
          <w:szCs w:val="20"/>
          <w:color w:val="auto"/>
        </w:rPr>
      </w:pPr>
      <w:r>
        <w:rPr>
          <w:rFonts w:ascii="Times New Roman" w:cs="Times New Roman" w:eastAsia="Times New Roman" w:hAnsi="Times New Roman"/>
          <w:sz w:val="18"/>
          <w:szCs w:val="18"/>
          <w:color w:val="auto"/>
        </w:rPr>
        <w:t>Our nominating and governance committee after this offering will be comprised of Messrs. Monroe, Lynch and Roberts. The principal duties of the nominating and governance committee will be to:</w:t>
      </w:r>
    </w:p>
    <w:p>
      <w:pPr>
        <w:spacing w:after="0" w:line="187" w:lineRule="exact"/>
        <w:rPr>
          <w:sz w:val="20"/>
          <w:szCs w:val="20"/>
          <w:color w:val="auto"/>
        </w:rPr>
      </w:pPr>
    </w:p>
    <w:p>
      <w:pPr>
        <w:ind w:left="1080" w:right="60" w:hanging="532"/>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of directors proposed nominees for election to the board of directors by the stockholders at annual meetings, including an annual review as to the renominations of incumbents and proposed nominees for election by the board of directors to fill vacancies that occur between stockholder meetings; and</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regarding corporate governance matters and practices.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580" w:firstLine="439"/>
        <w:spacing w:after="0" w:line="275" w:lineRule="auto"/>
        <w:rPr>
          <w:sz w:val="20"/>
          <w:szCs w:val="20"/>
          <w:color w:val="auto"/>
        </w:rPr>
      </w:pPr>
      <w:r>
        <w:rPr>
          <w:rFonts w:ascii="Times New Roman" w:cs="Times New Roman" w:eastAsia="Times New Roman" w:hAnsi="Times New Roman"/>
          <w:sz w:val="18"/>
          <w:szCs w:val="18"/>
          <w:color w:val="auto"/>
        </w:rPr>
        <w:t>Our compensation committee after this offering will be comprised of Messrs. Monroe, Lynch and Roberts. The principal duties of the compensation committee will be to:</w:t>
      </w:r>
    </w:p>
    <w:p>
      <w:pPr>
        <w:spacing w:after="0" w:line="201" w:lineRule="exact"/>
        <w:rPr>
          <w:sz w:val="20"/>
          <w:szCs w:val="20"/>
          <w:color w:val="auto"/>
        </w:rPr>
      </w:pPr>
    </w:p>
    <w:p>
      <w:pPr>
        <w:ind w:left="1080" w:right="24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compensation plans, including our 2006 Equity Incentive Plan described below, and in this capacity, make all grants or awards to our directors and employees under these plans;</w:t>
      </w:r>
    </w:p>
    <w:p>
      <w:pPr>
        <w:spacing w:after="0" w:line="187"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with respect to the compensation of our chief executive officer and our other executive officers;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key employee compensation policies, plans and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We intend to establish compensation plans for our executive officers that will link compensation with the performance of our company and to review periodically our compensation programs to ensure that they are competitive. The following table summarizes, for 2005, the annual compensation of our Chief Executive Officer and our five other most highly compensated executive officers (collectively, the "named executive officers") for services to our company and its subsidiaries in all capacities.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Summary Compensation Table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Annual Compensation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Compensation</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8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8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8"/>
              </w:rPr>
              <w:t>Other Annual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Options/</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LTIP</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6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5"/>
              </w:rPr>
              <w:t>Salary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8"/>
              </w:rPr>
              <w:t>Compensation(1)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SARs</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Payouts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20"/>
        </w:trPr>
        <w:tc>
          <w:tcPr>
            <w:tcW w:w="1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Monroe III,</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Officer(2)</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J. Navarra,</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337,440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6,538(3)</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Global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C. Fitzgerald,</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2,089(4)</w:t>
            </w: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Initiatives and</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 Operations</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F. Bell,</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of</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Sales,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Marketing and Customer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Care</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C. Allen,</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D. Miller,</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Ground Operations and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Engineering</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260" w:type="dxa"/>
            <w:vAlign w:val="bottom"/>
            <w:tcBorders>
              <w:bottom w:val="single" w:sz="8" w:color="808080"/>
            </w:tcBorders>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-4585335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-4585335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-4439285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-4439285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-3873500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-3873500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-3873500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-3873500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-3873500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-3873500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-3873500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-3873500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-3873500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-3873500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-3873500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-3873500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-3873500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-3873500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-3873500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other than perquisites that did not exceed 10% of salary and bonus for any named executive officer.</w:t>
      </w:r>
    </w:p>
    <w:p>
      <w:pPr>
        <w:spacing w:after="0" w:line="252" w:lineRule="exact"/>
        <w:rPr>
          <w:rFonts w:ascii="Times New Roman" w:cs="Times New Roman" w:eastAsia="Times New Roman" w:hAnsi="Times New Roman"/>
          <w:sz w:val="18"/>
          <w:szCs w:val="18"/>
          <w:color w:val="auto"/>
        </w:rPr>
      </w:pPr>
    </w:p>
    <w:p>
      <w:pPr>
        <w:ind w:left="540" w:right="60" w:hanging="532"/>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Monroe receives no compensation from us, and we do not intend to compensate him for his services in the future. We accrue $6,875 per month as compensation expense for Mr. Monroe, which amount is reflected in marketing, general and administrative expenses and as an additional capital contribution by Thermo to our equity. No stock is issued in exchange for this capital contribution. We do reimburse Thermo and Mr. Monroe for expenses incurred by him in connection with performing his services for us, including temporary living expenses while at our offices or traveling on our business, but generally we do not reimburse him for his air travel expenses. Reimbursements to Thermo for Mr. Monroe's expenses aggregated $76,000 for the year ended December 31, 2005 and $20,000 for the six months ended June 30, 2006.</w:t>
      </w:r>
    </w:p>
    <w:p>
      <w:pPr>
        <w:spacing w:after="0" w:line="20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premiums on life insurance for the benefit of Mr. Navarra ($4,788) and matching contributions to 401(k) Plan ($1,750).</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matching contributions to 401(k)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7"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8"/>
          <w:szCs w:val="18"/>
          <w:color w:val="auto"/>
        </w:rPr>
        <w:t>Our 2006 Equity Incentive Plan was approved by our board of directors and a majority of our stockholders on July 12, 2006 and will become effective upon the registration of our common stock under the Securities Act or the Exchange Act.</w:t>
      </w:r>
    </w:p>
    <w:p>
      <w:pPr>
        <w:spacing w:after="0" w:line="172" w:lineRule="exact"/>
        <w:rPr>
          <w:sz w:val="20"/>
          <w:szCs w:val="20"/>
          <w:color w:val="auto"/>
        </w:rPr>
      </w:pPr>
    </w:p>
    <w:p>
      <w:pPr>
        <w:ind w:right="4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Equity Incentive Plan is intended to make available incentives that will assist us in attracting, retaining and motivating employees,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consultants whose contributions are essential</w:t>
      </w:r>
    </w:p>
    <w:p>
      <w:pPr>
        <w:sectPr>
          <w:pgSz w:w="11900" w:h="16838" w:orient="portrait"/>
          <w:cols w:equalWidth="0" w:num="1">
            <w:col w:w="11420"/>
          </w:cols>
          <w:pgMar w:left="240" w:top="582"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104" w:name="page105"/>
    <w:bookmarkEnd w:id="104"/>
    <w:p>
      <w:pPr>
        <w:ind w:right="360"/>
        <w:spacing w:after="0" w:line="275" w:lineRule="auto"/>
        <w:rPr>
          <w:sz w:val="20"/>
          <w:szCs w:val="20"/>
          <w:color w:val="auto"/>
        </w:rPr>
      </w:pPr>
      <w:r>
        <w:rPr>
          <w:rFonts w:ascii="Times New Roman" w:cs="Times New Roman" w:eastAsia="Times New Roman" w:hAnsi="Times New Roman"/>
          <w:sz w:val="18"/>
          <w:szCs w:val="18"/>
          <w:color w:val="auto"/>
        </w:rPr>
        <w:t>to our success. We may provide these incentives through the grant of stock options, stock appreciation rights, restricted stock purchase rights, restricted stock bonuses, restricted stock units, performance shares and performance units.</w:t>
      </w:r>
    </w:p>
    <w:p>
      <w:pPr>
        <w:spacing w:after="0" w:line="172" w:lineRule="exact"/>
        <w:rPr>
          <w:sz w:val="20"/>
          <w:szCs w:val="20"/>
          <w:color w:val="auto"/>
        </w:rPr>
      </w:pPr>
    </w:p>
    <w:p>
      <w:pPr>
        <w:ind w:firstLine="43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compensation committee of our board of directors will administer the Plan, although the board or compensation committee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delegate to one or more of our officers authority, subject to limitations specified by the Plan and the board or committee, to grant awards to service providers who are neither our officers nor directors. Subject to the provisions of the Plan, the administrator will determine in its discretion the persons to whom and the times at which awards are granted, the types and sizes of such awards, and all of their terms and conditions. All awards must be evidenced by a written agreement between us and the participant. The administrator may amend, cancel or renew any award, waive any restrictions or conditions applicable to any award, and accelerate, or otherwise modify the vesting of any award. The administrator has the authority to construe and interpret the terms of the Plan and awards granted under it.</w:t>
      </w:r>
    </w:p>
    <w:p>
      <w:pPr>
        <w:spacing w:after="0" w:line="165" w:lineRule="exact"/>
        <w:rPr>
          <w:sz w:val="20"/>
          <w:szCs w:val="20"/>
          <w:color w:val="auto"/>
        </w:rPr>
      </w:pPr>
    </w:p>
    <w:p>
      <w:pPr>
        <w:ind w:right="16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Shares Subject to Equity Incentive Plan. </w:t>
      </w:r>
      <w:r>
        <w:rPr>
          <w:rFonts w:ascii="Times New Roman" w:cs="Times New Roman" w:eastAsia="Times New Roman" w:hAnsi="Times New Roman"/>
          <w:sz w:val="18"/>
          <w:szCs w:val="18"/>
          <w:color w:val="auto"/>
        </w:rPr>
        <w:t>A total of 1,200,000 shares of our common stock are initially authorized and reserved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 Plan. This number will automatically increase on January 1, 2007, and each subsequent anniversary through 2016, by an amount equal to the lesser of (a) 2% of the number of shares of stock issued and outstanding on the immediately preceding December 31, or (b) an amount determined by the board. The board of directors may elect to reduce, but not increase without obtaining stockholder approval, the number of additional shares authorized in any year. Appropriate adjustments will be made in the number of authorized shares and other numerical limits in the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Plan. The shares available will not be reduced by awards settled in cash or by shares withheld to satisfy tax withholding obligations. Only the net number of shares issued upon the exercise of stock appreciation rights or options exercised by tender of previously owned shares will be deducted from the shares available under the Plan.</w:t>
      </w:r>
    </w:p>
    <w:p>
      <w:pPr>
        <w:spacing w:after="0" w:line="197" w:lineRule="exact"/>
        <w:rPr>
          <w:sz w:val="20"/>
          <w:szCs w:val="20"/>
          <w:color w:val="auto"/>
        </w:rPr>
      </w:pPr>
    </w:p>
    <w:p>
      <w:pPr>
        <w:ind w:right="4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Awards may be granted under the Plan to our employees, including officers, directors, or consultants or those of any present or future parent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corporation or other affiliated entity. Although we may grant incentive stock options only to employees, we may grant nonstatutory stock options, stock appreciation rights, restricted stock purchase rights, restricted stock bonuses, restricted stock units, performance shares and performance units to any eligible participant.</w:t>
      </w:r>
    </w:p>
    <w:p>
      <w:pPr>
        <w:spacing w:after="0" w:line="187" w:lineRule="exact"/>
        <w:rPr>
          <w:sz w:val="20"/>
          <w:szCs w:val="20"/>
          <w:color w:val="auto"/>
        </w:rPr>
      </w:pPr>
    </w:p>
    <w:p>
      <w:pPr>
        <w:ind w:right="80"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administrator may grant nonstatutory stock options, "incentive stock options" within the meaning of Section 422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or any combination of these. The exercise price for each option may not be less than the fair market value of a share of our common stock on the date of grant. The term of all options may not exceed 10 years. Options vest and become exercisable at such times or upon such events and subject to such terms, conditions, performance criteria or restrictions as specified by the administrator. Unless a longer period is provided by the administrator, an option generally will remain exercisable for three months following the participant's termination of service, except that if service terminates as a result of the participant's death or disability, the option generally will remain exercisable for twelve months, but in any event not beyond the expiration of its term. An option held by a participant whose service is terminated for cause will immediately cease to be exercisable. No options have been issued under the Plan.</w:t>
      </w:r>
    </w:p>
    <w:p>
      <w:pPr>
        <w:spacing w:after="0" w:line="189" w:lineRule="exact"/>
        <w:rPr>
          <w:sz w:val="20"/>
          <w:szCs w:val="20"/>
          <w:color w:val="auto"/>
        </w:rPr>
      </w:pPr>
    </w:p>
    <w:p>
      <w:pPr>
        <w:ind w:right="20" w:firstLine="43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stock appreciation right gives a participant the right to receive the appreciation in the fair market value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date of grant of the award and the date of its exercise. We may pay the appreciation either in cash or in shares of our common stock. We may make this payment in a lump sum, or we may defer payment in accordance with the terms of the participant's award agreement. The administrator may grant stock appreciation rights under the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 tandem with a related stock option or as a freestanding award. A tandem stock appreciation right is exercisable only at the time and to the same extent that the related option is exercisable, and its exercise causes the related option to be canceled. Freestanding stock appreciation rights vest and become exercisable at the times and on the terms established by the administrator. The maximum term of any stock appreciation right granted under the Equity Incentive Plan is 10 years. No stock appreciation rights have been issued under the Plan.</w:t>
      </w:r>
    </w:p>
    <w:p>
      <w:pPr>
        <w:spacing w:after="0" w:line="188" w:lineRule="exact"/>
        <w:rPr>
          <w:sz w:val="20"/>
          <w:szCs w:val="20"/>
          <w:color w:val="auto"/>
        </w:rPr>
      </w:pPr>
    </w:p>
    <w:p>
      <w:pPr>
        <w:ind w:right="20" w:firstLine="439"/>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Stock Awards. </w:t>
      </w:r>
      <w:r>
        <w:rPr>
          <w:rFonts w:ascii="Times New Roman" w:cs="Times New Roman" w:eastAsia="Times New Roman" w:hAnsi="Times New Roman"/>
          <w:sz w:val="16"/>
          <w:szCs w:val="16"/>
          <w:color w:val="auto"/>
        </w:rPr>
        <w:t>The administrator may grant stock awards under the Plan either in the form of a restricted stock purchase right, giving a participant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immediate right to purchase our common stock, or in the form of a restricted stock bonus, for which the participant furnishes consideration in the form of services to us. The administrator determines the purchase price payable under restricted stock purchase awards, which may be less than the then current fair market value of our common stock. Stock awards may be subject to vesting conditions based on such service or performance criteria as the administrator specifies, and the shares acquired may not be transferred by the participant until vested. Unless otherwise determined by the administrator, a participant will forfeit any unvested shares upon voluntary or involuntary termination of service for any reason, including death or disability. A participant will also be required to sell to the Company at cost, if requested, any unvested restricted shares acquired via purchase right. Participants holding stock awards will have the right to vote the shares and to receive any dividends paid, except that dividends or other distributions paid in shares will be subject to the same restrictions as the original award.</w:t>
      </w:r>
    </w:p>
    <w:p>
      <w:pPr>
        <w:spacing w:after="0" w:line="166"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Restricted stock units granted under the Plan represent a right to receive shares of our common stock at a future date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participant's award agreement. The administrator, in its discretion, may provide for settlement of any restricted stock unit by payment to the participant in cash of an amount equal to the fair market value on the payment date of the shares of stock issuable to the participant. No monetary payment is required for receipt of restricted stock units or the shares issued in settlement of the award, the consideration for which is furnished in the form of the participant's services to us. The administrator may grant restricted stock unit awards subject to the attainment of performance goals similar to those described below in connection with performance shares and performance units, or may make the awards subject to vesting conditions similar to those applicable to stock awards. Participants have no voting rights or rights to receive cash dividends with respect to restricted stock unit awards until shares of common stock are issued in settlement of such awards. However, the administrator may grant restricted stock units that entitle their holders to receive dividend equivalents, which are rights to receive additional restricted stock units for a number of shares whose value is equal to any cash dividends we pay. Unless otherwise determined by the administrator, a participant will forfeit any unvested restricted stock units upon voluntary or involuntary termination of service for any reason, including death or disability. No restricted stock units have been issued under the Plan.</w:t>
      </w:r>
    </w:p>
    <w:p>
      <w:pPr>
        <w:spacing w:after="0" w:line="193" w:lineRule="exact"/>
        <w:rPr>
          <w:sz w:val="20"/>
          <w:szCs w:val="20"/>
          <w:color w:val="auto"/>
        </w:rPr>
      </w:pPr>
    </w:p>
    <w:p>
      <w:pPr>
        <w:ind w:right="2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 Shares and Performance Units. </w:t>
      </w:r>
      <w:r>
        <w:rPr>
          <w:rFonts w:ascii="Times New Roman" w:cs="Times New Roman" w:eastAsia="Times New Roman" w:hAnsi="Times New Roman"/>
          <w:sz w:val="18"/>
          <w:szCs w:val="18"/>
          <w:color w:val="auto"/>
        </w:rPr>
        <w:t>The administrator may grant performance shares and performance units under the Plan, which are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result in a payment to a participant only if specified performance goals are achieved during a specified performance period. Performance share awards are denominated in shares of our common stock, while performance unit awards are denominated in dollars. In granting a performance share or unit award, the administrator establishes the applicable performance goals based on one or more measures of business performance enumerated in the Plan, such as revenue, gross margin, net income, free cash flow, return on capital or market share. To the extent earned, performance share and unit awards may be settled in cash, shares of our common stock, including restricted stock, or any combination of these. Payments may be made in lump sum or on a deferred basis. If payments are to be made on a deferred basis, the administrator may provide for the payment of dividend equivalents or interest during the deferral period. Unless otherwise determined by the administrator, if a participant's service terminates due to death or disability prior to completion of the applicable performance period, the final award value is determined at the end of the period on the basis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of the performance goals attained during the entire period, but payment is prorated for the portion of the period during which the participant remained in service. Except as otherwise provided by the Plan, if a participant's service terminates for any other reason, the participant's performance shares or units are forfeited. No performance shares or performance units have been issued under the Plan.</w:t>
      </w:r>
    </w:p>
    <w:p>
      <w:pPr>
        <w:spacing w:after="0" w:line="184"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of our company as described in the Plan, the acquiring or successor entity may assume or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outstanding under the Plan or substitute substantially equivalent awards. Any awards which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The Plan also authorizes the administrator, in its discretion and without the consent of any participant, to cancel each or any outstanding award denominated in shares of stock upon a change in control in exchange for a payment to the participant with respect to each vested share (or unvested share, if so determined) subject to the cancelled award of an amount equal to the excess of the consideration to be paid per share of common stock in the change in control transaction over the exercise or purchase price per share under the award.</w:t>
      </w:r>
    </w:p>
    <w:p>
      <w:pPr>
        <w:spacing w:after="0" w:line="192"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Plan will continue in effect until its terminated by the administrator, provided, however, that all awards will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at all, within 10 years of the effective date of the Plan. The administrator may amend, suspend or terminate the Plan at any time, provided that without stockholder approval, the plan cannot be amended to increase the number of shares authorized, change the class of persons eligible to receive incentive stock options or effect any other change that would require stockholder approval under any applicable law or listing rule. Amendment, suspension or termination of the Plan will not adversely affect any outstanding award without the consent of the participant, unless such amendment, suspension or termination is necessary to comply with applicable law, regulation or rule.</w:t>
      </w:r>
    </w:p>
    <w:p>
      <w:pPr>
        <w:spacing w:after="0" w:line="193"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Awards. </w:t>
      </w:r>
      <w:r>
        <w:rPr>
          <w:rFonts w:ascii="Times New Roman" w:cs="Times New Roman" w:eastAsia="Times New Roman" w:hAnsi="Times New Roman"/>
          <w:sz w:val="18"/>
          <w:szCs w:val="18"/>
          <w:color w:val="auto"/>
        </w:rPr>
        <w:t>No stock awards currently have been issued under the Plan. However, promptly after the completion of this offering, we expect to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bonus awards for an aggregate of approximately 265,000 shares of our common stock under the Plan to substantially all of our employees. As a result of these grants, we will take a pre-tax non-cash charge of approximately $4.5 million; $1.1 million of that amount will be recognized in the fourth quarter of 2006 and the balance will be amortized over the following three years. The shares subject to these restricted stock bonus awards will vest 25% upon grant. The remaining 75% of the shares will vest not later than the third anniversary of the date of grant provided that the participant is still employed by us at such time. Shares that remain unvested at the time of service termination will be forfeited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Incentive Compensation Plan</w:t>
      </w:r>
    </w:p>
    <w:p>
      <w:pPr>
        <w:spacing w:after="0" w:line="227" w:lineRule="exact"/>
        <w:rPr>
          <w:sz w:val="20"/>
          <w:szCs w:val="20"/>
          <w:color w:val="auto"/>
        </w:rPr>
      </w:pPr>
    </w:p>
    <w:p>
      <w:pPr>
        <w:ind w:right="60" w:firstLine="439"/>
        <w:spacing w:after="0" w:line="253" w:lineRule="auto"/>
        <w:rPr>
          <w:sz w:val="20"/>
          <w:szCs w:val="20"/>
          <w:color w:val="auto"/>
        </w:rPr>
      </w:pPr>
      <w:r>
        <w:rPr>
          <w:rFonts w:ascii="Times New Roman" w:cs="Times New Roman" w:eastAsia="Times New Roman" w:hAnsi="Times New Roman"/>
          <w:sz w:val="18"/>
          <w:szCs w:val="18"/>
          <w:color w:val="auto"/>
        </w:rPr>
        <w:t>Our President of Global Operations, Chief Financial Officer and four senior Vice Presidents participate in a plan under which they may become entitled to receive supplemental incentive compensation payments in cash in each of January 2007, 2008 and 2009. Participants in this plan and the terms of this plan were determined and approved by our board of directors; none of the participants in this plan is a director. Payments under this plan will be a percentage of the amount by which the equity value of Thermo's investment in us at valuation dates in October 2006, 2007 and 2008 exceeds three times the amount that Thermo had invested or agreed to invest in us prior to 2006. In order to receive benefits under this plan, a participant must be employed by us on the applicable payment date, subject to certain exceptions for involuntary termination, death and disability, and fulfill individual performance criteria. The individual performance criteria are objective in nature, differ for each participant, and relate to our business functions or operations that the participant supervises. Generally, the criteria require specific and measurable improvements in those functions or operations. Total benefits under this plan are capped at $30 million. Individual benefits are subject to caps on aggregate and annual benefits.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awards under this executive incentive compensation plan in 2005. No payments under this plan were made in 2005 or will be made in 2006.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Long-Term Incentive Plans—Awards in Last Fiscal Year</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Performance or</w:t>
            </w:r>
          </w:p>
        </w:tc>
        <w:tc>
          <w:tcPr>
            <w:tcW w:w="3560" w:type="dxa"/>
            <w:vAlign w:val="bottom"/>
            <w:gridSpan w:val="8"/>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Estimated Future Payouts Under</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other Period</w:t>
            </w:r>
          </w:p>
        </w:tc>
        <w:tc>
          <w:tcPr>
            <w:tcW w:w="104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Non-Stock Price-Based Plans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restart"/>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5"/>
              </w:rPr>
              <w:t>Units or</w:t>
            </w:r>
          </w:p>
        </w:tc>
        <w:tc>
          <w:tcPr>
            <w:tcW w:w="26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2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until Maturation</w:t>
            </w: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Other Rights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or Payout</w:t>
            </w: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Monroe III</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Navarra</w:t>
            </w:r>
          </w:p>
        </w:tc>
        <w:tc>
          <w:tcPr>
            <w:tcW w:w="14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2004-2008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L. Fitzgerald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2004-2008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F. Bell</w:t>
            </w:r>
          </w:p>
        </w:tc>
        <w:tc>
          <w:tcPr>
            <w:tcW w:w="14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2004-2008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C. Allen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2004-2008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D. Miller</w:t>
            </w:r>
          </w:p>
        </w:tc>
        <w:tc>
          <w:tcPr>
            <w:tcW w:w="14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2004-2008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-1203325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-1203325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-911860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-911860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-911860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-911860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-911860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-911860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-911860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-911860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-911860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-911860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-911860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-911860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accrued $1.9 million in compensation expense for the year ended December 31, 2005 with respect to the executive incentive compensation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27" w:lineRule="exact"/>
        <w:rPr>
          <w:sz w:val="20"/>
          <w:szCs w:val="20"/>
          <w:color w:val="auto"/>
        </w:rPr>
      </w:pPr>
    </w:p>
    <w:p>
      <w:pPr>
        <w:ind w:right="20" w:firstLine="439"/>
        <w:spacing w:after="0" w:line="255" w:lineRule="auto"/>
        <w:rPr>
          <w:sz w:val="20"/>
          <w:szCs w:val="20"/>
          <w:color w:val="auto"/>
        </w:rPr>
      </w:pPr>
      <w:r>
        <w:rPr>
          <w:rFonts w:ascii="Times New Roman" w:cs="Times New Roman" w:eastAsia="Times New Roman" w:hAnsi="Times New Roman"/>
          <w:sz w:val="18"/>
          <w:szCs w:val="18"/>
          <w:color w:val="auto"/>
        </w:rPr>
        <w:t>Mr. Navarra and Ms. Fitzgerald are entitled to benefits under a defined benefit pension plan originally maintained by Space Systems/Loral for employees of Old Globalstar, among others. The accrual of benefits in the Old Globalstar segment of this plan was curtailed, or frozen, as of October 23, 2003. On June 1, 2004, the assets and frozen pension obligations of the Old Globalstar segment of the plan were transferred to a new Globalstar Retirement Plan, which remains frozen. We continue to fund the plan in accordance with Internal Revenue Code requirements, but participants are not currently accruing benefits beyond those accrued at October 23, 2003. The estimated annual benefits payable upon retirement at normal retirement age to Mr. Navarra and Ms. Fitzgerald are $35,349 and $26,560,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7" w:lineRule="exact"/>
        <w:rPr>
          <w:sz w:val="20"/>
          <w:szCs w:val="20"/>
          <w:color w:val="auto"/>
        </w:rPr>
      </w:pPr>
    </w:p>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regarding the beneficial ownership of our common stock by (1) each person who is known by us to own beneficially more than 5% of our common stock, (2) each director and named executive officer, and (3) all of our directors and executive officers as a group.</w:t>
      </w:r>
    </w:p>
    <w:p>
      <w:pPr>
        <w:spacing w:after="0" w:line="186" w:lineRule="exact"/>
        <w:rPr>
          <w:sz w:val="20"/>
          <w:szCs w:val="20"/>
          <w:color w:val="auto"/>
        </w:rPr>
      </w:pPr>
    </w:p>
    <w:p>
      <w:pPr>
        <w:ind w:right="340" w:firstLine="439"/>
        <w:spacing w:after="0" w:line="275" w:lineRule="auto"/>
        <w:rPr>
          <w:sz w:val="20"/>
          <w:szCs w:val="20"/>
          <w:color w:val="auto"/>
        </w:rPr>
      </w:pPr>
      <w:r>
        <w:rPr>
          <w:rFonts w:ascii="Times New Roman" w:cs="Times New Roman" w:eastAsia="Times New Roman" w:hAnsi="Times New Roman"/>
          <w:sz w:val="18"/>
          <w:szCs w:val="18"/>
          <w:color w:val="auto"/>
        </w:rPr>
        <w:t>Beneficial ownership of shares is determined under the rules of the SEC and generally includes any shares over which a person exercises sole or shared voting or investment power.</w:t>
      </w:r>
    </w:p>
    <w:p>
      <w:pPr>
        <w:spacing w:after="0" w:line="174" w:lineRule="exact"/>
        <w:rPr>
          <w:sz w:val="20"/>
          <w:szCs w:val="20"/>
          <w:color w:val="auto"/>
        </w:rPr>
      </w:pPr>
    </w:p>
    <w:p>
      <w:pPr>
        <w:ind w:right="280" w:firstLine="436"/>
        <w:spacing w:after="0" w:line="339" w:lineRule="auto"/>
        <w:rPr>
          <w:sz w:val="20"/>
          <w:szCs w:val="20"/>
          <w:color w:val="auto"/>
        </w:rPr>
      </w:pPr>
      <w:r>
        <w:rPr>
          <w:rFonts w:ascii="Times New Roman" w:cs="Times New Roman" w:eastAsia="Times New Roman" w:hAnsi="Times New Roman"/>
          <w:sz w:val="16"/>
          <w:szCs w:val="16"/>
          <w:color w:val="auto"/>
        </w:rPr>
        <w:t>The number of shares and percentages of beneficial ownership prior to the offering set forth below are based on 10,479,249 shares of our common stock issued and outstanding as of September 1, 2006 and before giving effect to the six-for-one stock split we expect to effect immediately prior to this offering.</w:t>
      </w:r>
    </w:p>
    <w:p>
      <w:pPr>
        <w:spacing w:after="0" w:line="128" w:lineRule="exact"/>
        <w:rPr>
          <w:sz w:val="20"/>
          <w:szCs w:val="20"/>
          <w:color w:val="auto"/>
        </w:rPr>
      </w:pPr>
    </w:p>
    <w:p>
      <w:pPr>
        <w:ind w:right="680" w:firstLine="439"/>
        <w:spacing w:after="0" w:line="275" w:lineRule="auto"/>
        <w:rPr>
          <w:sz w:val="20"/>
          <w:szCs w:val="20"/>
          <w:color w:val="auto"/>
        </w:rPr>
      </w:pPr>
      <w:r>
        <w:rPr>
          <w:rFonts w:ascii="Times New Roman" w:cs="Times New Roman" w:eastAsia="Times New Roman" w:hAnsi="Times New Roman"/>
          <w:sz w:val="18"/>
          <w:szCs w:val="18"/>
          <w:color w:val="auto"/>
        </w:rPr>
        <w:t>Unless otherwise indicated below, the address for each person in the following table is care of Globalstar, Inc., 461 South Milpitas Blvd., Milpitas, California 95035.</w:t>
      </w:r>
    </w:p>
    <w:p>
      <w:pPr>
        <w:spacing w:after="0" w:line="17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p>
      <w:pPr>
        <w:spacing w:after="0" w:line="23"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73660</wp:posOffset>
            </wp:positionV>
            <wp:extent cx="3091180"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Assuming the</w:t>
            </w:r>
          </w:p>
        </w:tc>
        <w:tc>
          <w:tcPr>
            <w:tcW w:w="24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Assuming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Beneficially</w:t>
            </w: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Underwriters'</w:t>
            </w:r>
          </w:p>
        </w:tc>
        <w:tc>
          <w:tcPr>
            <w:tcW w:w="24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Underwriters'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Owned Prior to</w:t>
            </w:r>
          </w:p>
        </w:tc>
        <w:tc>
          <w:tcPr>
            <w:tcW w:w="158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Option is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Option is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this Offering</w:t>
            </w:r>
          </w:p>
        </w:tc>
        <w:tc>
          <w:tcPr>
            <w:tcW w:w="24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Not Exercised</w:t>
            </w:r>
          </w:p>
        </w:tc>
        <w:tc>
          <w:tcPr>
            <w:tcW w:w="24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Exercised in Full</w:t>
            </w:r>
          </w:p>
        </w:tc>
        <w:tc>
          <w:tcPr>
            <w:tcW w:w="0" w:type="dxa"/>
            <w:vAlign w:val="bottom"/>
          </w:tcPr>
          <w:p>
            <w:pPr>
              <w:spacing w:after="0"/>
              <w:rPr>
                <w:sz w:val="1"/>
                <w:szCs w:val="1"/>
                <w:color w:val="auto"/>
              </w:rPr>
            </w:pPr>
          </w:p>
        </w:tc>
      </w:tr>
      <w:tr>
        <w:trPr>
          <w:trHeight w:val="120"/>
        </w:trPr>
        <w:tc>
          <w:tcPr>
            <w:tcW w:w="1260" w:type="dxa"/>
            <w:vAlign w:val="bottom"/>
            <w:gridSpan w:val="2"/>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5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5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Holdings, LLC(1)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6,440,125</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38,640,750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Thermo Funding Company LLC(1)(2)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2,061,856</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12,371,136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Columbia Ventures Corporation(3)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1,004,936</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6,029,616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QUALCOMM Incorporated(4)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692,400</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4,154,400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Satellite, LP</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103,093</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618,558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Monroe III(1)(5)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8,605,074</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69.47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51,630,444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51,630,444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J. Dalton(6)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F. Lynch</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 Roberts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J. Navarra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L. Fitzgerald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F. Bell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C. Allen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D. Miller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 persons)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8,646,074</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51,876,444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51,876,444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-2655570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-2655570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-2655570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-2655570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-2655570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-2364105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-2364105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-2364105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-2364105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-2364105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-2364105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-2364105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-2364105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-2364105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-2364105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-2364105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-2364105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52" w:lineRule="exact"/>
        <w:rPr>
          <w:sz w:val="20"/>
          <w:szCs w:val="20"/>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Monroe, Globalstar Holdings, LLC and Thermo Funding Company LLC is 1735 Nineteenth Street, Denver, CO 80202.</w:t>
      </w:r>
    </w:p>
    <w:p>
      <w:pPr>
        <w:spacing w:after="0" w:line="238" w:lineRule="exact"/>
        <w:rPr>
          <w:rFonts w:ascii="Times New Roman" w:cs="Times New Roman" w:eastAsia="Times New Roman" w:hAnsi="Times New Roman"/>
          <w:sz w:val="18"/>
          <w:szCs w:val="18"/>
          <w:color w:val="auto"/>
        </w:rPr>
      </w:pPr>
    </w:p>
    <w:p>
      <w:pPr>
        <w:ind w:left="540" w:right="160" w:hanging="532"/>
        <w:spacing w:after="0" w:line="26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154,640 (927,840 shares post-split) shares of common stock which are owned of record by Thermo Funding Company LLC and 1,907,216 shares (11,443,296 shares post-split) which are subject to the terms of the irrevocable standby stock purchase agreement. See "Certain Relationships and Related Party Transactions—Irrevocable Standby Stock Purchase Agreement."</w:t>
      </w:r>
    </w:p>
    <w:p>
      <w:pPr>
        <w:spacing w:after="0" w:line="199"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Columbia Ventures Corporation as to its beneficial ownership. Some shares beneficially owned by Columbia Ventures Corporation are held in record name by Bank of America Securities LLC. Bank of America Securities disclaims beneficial ownership of these shares. The address of Columbia Ventures Corporation is 203 SE Park Place Drive #270, Vancouver, WA 98684. Columbia Ventures Corporation has advised us that Mr. Kenneth Peterson is the beneficial owner of the shares held by Columbia Ventures Corporation.</w:t>
      </w:r>
    </w:p>
    <w:p>
      <w:pPr>
        <w:spacing w:after="0" w:line="2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QUALCOMM Incorporated is 601 S. Figueroa Street, Los Angeles, CA 90017.</w:t>
      </w:r>
    </w:p>
    <w:p>
      <w:pPr>
        <w:spacing w:after="0" w:line="238" w:lineRule="exact"/>
        <w:rPr>
          <w:rFonts w:ascii="Times New Roman" w:cs="Times New Roman" w:eastAsia="Times New Roman" w:hAnsi="Times New Roman"/>
          <w:sz w:val="18"/>
          <w:szCs w:val="18"/>
          <w:color w:val="auto"/>
        </w:rPr>
      </w:pPr>
    </w:p>
    <w:p>
      <w:pPr>
        <w:ind w:left="540" w:right="340" w:hanging="532"/>
        <w:spacing w:after="0" w:line="275"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Monroe controls, either directly or indirectly, each of Globalstar Satellite LP, Globalstar Holdings, LLC and Thermo Funding Company LLC and, therefore, is deemed the beneficial owner of the shares held by such entities.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 shares (120,000 shares post-split) of common stock that may be acquired upon the exercise of a currently exercisable stock option.</w:t>
      </w:r>
    </w:p>
    <w:p>
      <w:pPr>
        <w:sectPr>
          <w:pgSz w:w="11900" w:h="16838" w:orient="portrait"/>
          <w:cols w:equalWidth="0" w:num="1">
            <w:col w:w="11420"/>
          </w:cols>
          <w:pgMar w:left="240" w:top="33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Thermo Transaction. </w:t>
      </w:r>
      <w:r>
        <w:rPr>
          <w:rFonts w:ascii="Times New Roman" w:cs="Times New Roman" w:eastAsia="Times New Roman" w:hAnsi="Times New Roman"/>
          <w:sz w:val="18"/>
          <w:szCs w:val="18"/>
          <w:color w:val="auto"/>
        </w:rPr>
        <w:t>As described under "Company History," we were formed as a Delaware limited liability company in November 2003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acquiring substantially all the assets of Old Globalstar and its subsidiaries in a Chapter 11 bankruptcy proceeding. We acquired the Old Globalstar assets and assumed certain liabilities pursuant to an asset contribution agreement among Thermo, Old Globalstar and the Creditor's Committee representing Old Globalstar's unsecured creditors. The Thermo Transaction was accomplished in a two stage process. The first stage, which was completed on December 5, 2003, included Thermo's commitment to make a total investment in the company of $43.0 million, subject to certain conditions, including the completion of the second stage. In the first stage, Thermo contributed $1.8 million in cash in exchange for a 14.8% member interest. Old Globalstar contributed certain non-regulated assets and certain operating liabilities (excluding liabilities subject to compromise) in exchange for an 85.2% member interest. Thermo purchased and restated Old Globalstar's existing $20.0 million debtor-in-possession financing, plus accrued interest of $765,000, and the parties executed a management agreement. Under the management agreement, operational control of the business, as well as certain ownership rights and risks, was transferred to Thermo and us, to the extent permitted by applicable law.</w:t>
      </w:r>
    </w:p>
    <w:p>
      <w:pPr>
        <w:spacing w:after="0" w:line="197"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The second stage, which was completed on April 14, 2004, included the transfer to us from Old Globalstar of assets requiring FCC approval and the conversion of $18.0 million due to Thermo under the debtor-in-possession financing (consisting of $10.8 million of the total indebtedness outstanding after the stage one transactions, $1.6 million that was drawn in December 2003, $5.0 million that was drawn from February to March 2004 and $685,848 in accrued interest) into membership units.</w:t>
      </w:r>
    </w:p>
    <w:p>
      <w:pPr>
        <w:spacing w:after="0" w:line="188" w:lineRule="exact"/>
        <w:rPr>
          <w:sz w:val="20"/>
          <w:szCs w:val="20"/>
          <w:color w:val="auto"/>
        </w:rPr>
      </w:pPr>
    </w:p>
    <w:p>
      <w:pPr>
        <w:ind w:right="8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Thermo Investments. </w:t>
      </w:r>
      <w:r>
        <w:rPr>
          <w:rFonts w:ascii="Times New Roman" w:cs="Times New Roman" w:eastAsia="Times New Roman" w:hAnsi="Times New Roman"/>
          <w:sz w:val="18"/>
          <w:szCs w:val="18"/>
          <w:color w:val="auto"/>
        </w:rPr>
        <w:t>Following the closing of the Thermo Transaction, we were owned directly and indirectly 81.3% by Thermo and 18.7% by 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Globalstar. Thermo had invested approximately $18.8 million and had a remaining commitment of $24.2 million. Thermo invested an additional $7.0 million through equity contributions in 2004, an additional $4.2 million in April 2005 and an additional $13.0 million in March 2006. No additional equity interests were issued in exchange for these contributions. In connection with our March 2006 conversion to a Delaware corporation, we expect to make a special distribution of $685,848 to Thermo when permitted by our credit agreement. See "Dividend Policy and Restrictions."</w:t>
      </w:r>
    </w:p>
    <w:p>
      <w:pPr>
        <w:spacing w:after="0" w:line="188" w:lineRule="exact"/>
        <w:rPr>
          <w:sz w:val="20"/>
          <w:szCs w:val="20"/>
          <w:color w:val="auto"/>
        </w:rPr>
      </w:pPr>
    </w:p>
    <w:p>
      <w:pPr>
        <w:ind w:right="14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Dissolution of Old Globalstar. </w:t>
      </w:r>
      <w:r>
        <w:rPr>
          <w:rFonts w:ascii="Times New Roman" w:cs="Times New Roman" w:eastAsia="Times New Roman" w:hAnsi="Times New Roman"/>
          <w:sz w:val="18"/>
          <w:szCs w:val="18"/>
          <w:color w:val="auto"/>
        </w:rPr>
        <w:t>Old Globalstar was dissolved on June 29, 2004, and its 18.7% minority member interest (represented by 1,875,000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units) was distributed to unsecured creditors (represented on our predecessor's balance sheet by the approximately $3.4 billion of "liabilities subject to compromise"), including Loral and QUALCOMM.</w:t>
      </w:r>
    </w:p>
    <w:p>
      <w:pPr>
        <w:spacing w:after="0" w:line="181" w:lineRule="exact"/>
        <w:rPr>
          <w:sz w:val="20"/>
          <w:szCs w:val="20"/>
          <w:color w:val="auto"/>
        </w:rPr>
      </w:pPr>
    </w:p>
    <w:p>
      <w:pPr>
        <w:ind w:right="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The Rights Offering. </w:t>
      </w:r>
      <w:r>
        <w:rPr>
          <w:rFonts w:ascii="Times New Roman" w:cs="Times New Roman" w:eastAsia="Times New Roman" w:hAnsi="Times New Roman"/>
          <w:sz w:val="18"/>
          <w:szCs w:val="18"/>
          <w:color w:val="auto"/>
        </w:rPr>
        <w:t>The holders of allowed claims were provided the right to purchase additional membership units in us in a rights offering that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on October 12, 2004. The rights offering was divided into two series. The proceeds of the rights offering were used to redeem an equivalent number of membership units from Thermo.</w:t>
      </w:r>
    </w:p>
    <w:p>
      <w:pPr>
        <w:spacing w:after="0" w:line="181" w:lineRule="exact"/>
        <w:rPr>
          <w:sz w:val="20"/>
          <w:szCs w:val="20"/>
          <w:color w:val="auto"/>
        </w:rPr>
      </w:pPr>
    </w:p>
    <w:p>
      <w:pPr>
        <w:ind w:right="2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Services Provided by Thermo. </w:t>
      </w:r>
      <w:r>
        <w:rPr>
          <w:rFonts w:ascii="Times New Roman" w:cs="Times New Roman" w:eastAsia="Times New Roman" w:hAnsi="Times New Roman"/>
          <w:sz w:val="18"/>
          <w:szCs w:val="18"/>
          <w:color w:val="auto"/>
        </w:rPr>
        <w:t>For the years ended December 31, 2004 and 2005 and the six months ended June 30, 2006, we recorded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$116,000, $76,000 and $20,000, respectively, for general and administrative expenses incurred by Thermo on our behalf and for services provided to us by officers of Thermo. No such expenses were recorded in 2003. We and Thermo have an informal understanding that we will reimburse Thermo and Mr. Monroe for expenses incurred by him in connection with his services to us; including temporary living expenses while at our offices or traveling on our business, but generally excluding air travel expenses. None of these costs are, or are expected to become, material to us.</w:t>
      </w:r>
    </w:p>
    <w:p>
      <w:pPr>
        <w:spacing w:after="0" w:line="190" w:lineRule="exact"/>
        <w:rPr>
          <w:sz w:val="20"/>
          <w:szCs w:val="20"/>
          <w:color w:val="auto"/>
        </w:rPr>
      </w:pPr>
    </w:p>
    <w:p>
      <w:pPr>
        <w:ind w:right="60" w:firstLine="439"/>
        <w:spacing w:after="0" w:line="275" w:lineRule="auto"/>
        <w:rPr>
          <w:sz w:val="20"/>
          <w:szCs w:val="20"/>
          <w:color w:val="auto"/>
        </w:rPr>
      </w:pPr>
      <w:r>
        <w:rPr>
          <w:rFonts w:ascii="Times New Roman" w:cs="Times New Roman" w:eastAsia="Times New Roman" w:hAnsi="Times New Roman"/>
          <w:sz w:val="18"/>
          <w:szCs w:val="18"/>
          <w:color w:val="auto"/>
        </w:rPr>
        <w:t>Pursuant to an Equipment Sales Agreement and a Lease Management Agreement, each dated as of August 1, 2005, we have agreed to sell our products and provide administrative services to Star Leasing LLC, which is owned indirectly by Mr. Monroe. Star Leasing may purchase products from us at our sales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0" w:name="page111"/>
    <w:bookmarkEnd w:id="110"/>
    <w:p>
      <w:pPr>
        <w:spacing w:after="0" w:line="255" w:lineRule="auto"/>
        <w:rPr>
          <w:sz w:val="20"/>
          <w:szCs w:val="20"/>
          <w:color w:val="auto"/>
        </w:rPr>
      </w:pPr>
      <w:r>
        <w:rPr>
          <w:rFonts w:ascii="Times New Roman" w:cs="Times New Roman" w:eastAsia="Times New Roman" w:hAnsi="Times New Roman"/>
          <w:sz w:val="18"/>
          <w:szCs w:val="18"/>
          <w:color w:val="auto"/>
        </w:rPr>
        <w:t>agent's suggested retail price as set forth from time to time in our equipment order forms. Star Leasing will pay the purchase price of the products in cash and then lease the products to unrelated third parties. All sales to Star Leasing will be final and non-returnable, except for defective products. Under the Lease Management Agreement, we will provide Star Leasing with billing, collection, customer care, equipment reporting and other support services in managing Star Leasing's lease agreements. Star Leasing will pay us a monthly administration fee for these services in an amount ranging up to approximately $10,000 based on the number of products Star Leasing has purchased. The agreements' terms vary from one to five years. During 2005 and the six months ended June 30, 2006, we did not bill Star Leasing for any products under the Equipment Sales Agreement.</w:t>
      </w:r>
    </w:p>
    <w:p>
      <w:pPr>
        <w:spacing w:after="0" w:line="191" w:lineRule="exact"/>
        <w:rPr>
          <w:sz w:val="20"/>
          <w:szCs w:val="20"/>
          <w:color w:val="auto"/>
        </w:rPr>
      </w:pPr>
    </w:p>
    <w:p>
      <w:pPr>
        <w:ind w:right="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Redemption of Interests in Globalstar Leasing LLC. </w:t>
      </w:r>
      <w:r>
        <w:rPr>
          <w:rFonts w:ascii="Times New Roman" w:cs="Times New Roman" w:eastAsia="Times New Roman" w:hAnsi="Times New Roman"/>
          <w:sz w:val="18"/>
          <w:szCs w:val="18"/>
          <w:color w:val="auto"/>
        </w:rPr>
        <w:t>Our subsidiary Globalstar Leasing LLC leases certain telecommunications equipment to 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4, 2003 to January 1, 2005 each of Thermo Development, Inc. and James F. Lynch owned a 1% interest in Globalstar Leasing, which they acquired for an investment of $50,000 each. On January 1, 2005, Globalstar Leasing paid each of them $50,000 to redeem their minority interests.</w:t>
      </w:r>
    </w:p>
    <w:p>
      <w:pPr>
        <w:spacing w:after="0" w:line="181"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Irrevocable Standby Stock Purchase Agreement. </w:t>
      </w:r>
      <w:r>
        <w:rPr>
          <w:rFonts w:ascii="Times New Roman" w:cs="Times New Roman" w:eastAsia="Times New Roman" w:hAnsi="Times New Roman"/>
          <w:sz w:val="18"/>
          <w:szCs w:val="18"/>
          <w:color w:val="auto"/>
        </w:rPr>
        <w:t>In April 2006, in connection with the execution of our credit agreement, Thermo Funding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an irrevocable standby stock purchase agreement with us and Wachovia Investment Holdings, LLC, as administrative agent under our credit agreement, pursuant to which Thermo Funding Company agreed to purchase up to 2,061,856 shares of our common stock at a price of $97 per share (12,317,136 shares of common stock at approximately $16.17 per share on a post-split basis), being, in each case, approximately $200.0 million in the aggregate. The purchase price will remain at approximately $16.17 per share without regard to any future increase in the trading price of our common stock. Our board of directors determined that the price per share represented the fair market value of our common stock on the date of the agreement. Thermo Funding Company secured its obligations under the agreement by depositing in escrow cash and marketable securities with a fair market value equal to 105% of the undrawn commitment under the agreement, initially $210.0 million.</w:t>
      </w:r>
    </w:p>
    <w:p>
      <w:pPr>
        <w:spacing w:after="0" w:line="194" w:lineRule="exact"/>
        <w:rPr>
          <w:sz w:val="20"/>
          <w:szCs w:val="20"/>
          <w:color w:val="auto"/>
        </w:rPr>
      </w:pPr>
    </w:p>
    <w:p>
      <w:pPr>
        <w:ind w:right="680" w:firstLine="439"/>
        <w:spacing w:after="0" w:line="275" w:lineRule="auto"/>
        <w:rPr>
          <w:sz w:val="20"/>
          <w:szCs w:val="20"/>
          <w:color w:val="auto"/>
        </w:rPr>
      </w:pPr>
      <w:r>
        <w:rPr>
          <w:rFonts w:ascii="Times New Roman" w:cs="Times New Roman" w:eastAsia="Times New Roman" w:hAnsi="Times New Roman"/>
          <w:sz w:val="18"/>
          <w:szCs w:val="18"/>
          <w:color w:val="auto"/>
        </w:rPr>
        <w:t>Pursuant to the agreement, Thermo Funding Company will be required to purchase shares of our Series A common stock (in minimum amounts of $5.0 million) as may be necessary:</w:t>
      </w:r>
    </w:p>
    <w:p>
      <w:pPr>
        <w:spacing w:after="0" w:line="187"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us to comply with the minimum liquidity and forward fixed charge coverage ratio tests of our credit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 default in payment of regularly scheduled principal or interest under our credit agreement; or</w:t>
      </w:r>
    </w:p>
    <w:p>
      <w:pPr>
        <w:spacing w:after="0" w:line="238" w:lineRule="exact"/>
        <w:rPr>
          <w:rFonts w:ascii="Times New Roman" w:cs="Times New Roman" w:eastAsia="Times New Roman" w:hAnsi="Times New Roman"/>
          <w:sz w:val="18"/>
          <w:szCs w:val="18"/>
          <w:color w:val="auto"/>
        </w:rPr>
      </w:pPr>
    </w:p>
    <w:p>
      <w:pPr>
        <w:ind w:left="440" w:right="1180" w:firstLine="108"/>
        <w:spacing w:after="0" w:line="563" w:lineRule="auto"/>
        <w:tabs>
          <w:tab w:leader="none" w:pos="108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enable us to meet the milestone tests for our receipt of proceeds from the sale of our common stock in our credit agreement. Pursuant to the agreement, on June 30, 2006, Thermo Funding Company purchased 927,840 shares of our common stock for $15.0 million.</w:t>
      </w:r>
    </w:p>
    <w:p>
      <w:pPr>
        <w:spacing w:after="0" w:line="1" w:lineRule="exact"/>
        <w:rPr>
          <w:sz w:val="20"/>
          <w:szCs w:val="20"/>
          <w:color w:val="auto"/>
        </w:rPr>
      </w:pPr>
    </w:p>
    <w:p>
      <w:pPr>
        <w:jc w:val="both"/>
        <w:ind w:right="360" w:firstLine="436"/>
        <w:spacing w:after="0" w:line="262" w:lineRule="auto"/>
        <w:rPr>
          <w:sz w:val="20"/>
          <w:szCs w:val="20"/>
          <w:color w:val="auto"/>
        </w:rPr>
      </w:pPr>
      <w:r>
        <w:rPr>
          <w:rFonts w:ascii="Times New Roman" w:cs="Times New Roman" w:eastAsia="Times New Roman" w:hAnsi="Times New Roman"/>
          <w:sz w:val="18"/>
          <w:szCs w:val="18"/>
          <w:color w:val="auto"/>
        </w:rPr>
        <w:t>Thermo Funding Company may elect to purchase any unpurchased common stock at approximately $16.17 per share subject to the irrevocable standby stock purchase agreement at any time. The agreement terminates on the earliest of December 31, 2011, our payment in full of all obligations under the credit agreement or Thermo Funding Company's purchase of all of the common stock subject to the agreement.</w:t>
      </w:r>
    </w:p>
    <w:p>
      <w:pPr>
        <w:spacing w:after="0" w:line="186" w:lineRule="exact"/>
        <w:rPr>
          <w:sz w:val="20"/>
          <w:szCs w:val="20"/>
          <w:color w:val="auto"/>
        </w:rPr>
      </w:pPr>
    </w:p>
    <w:p>
      <w:pPr>
        <w:ind w:right="160" w:firstLine="439"/>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the pre-emptive rights provisions contained in our certificate of incorporation as then in effect, we offered existing stockholders who were accredited investors as defined under the Securities Act the opportunity to participate in the transactions contemplated by the standby stock purchase agreement on a pro rata basis on substantially the same terms as Thermo Funding Company except that the stockholders are not subject to the escrow arrangements described above. These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ind w:right="220"/>
        <w:spacing w:after="0" w:line="275" w:lineRule="auto"/>
        <w:rPr>
          <w:sz w:val="20"/>
          <w:szCs w:val="20"/>
          <w:color w:val="auto"/>
        </w:rPr>
      </w:pPr>
      <w:r>
        <w:rPr>
          <w:rFonts w:ascii="Times New Roman" w:cs="Times New Roman" w:eastAsia="Times New Roman" w:hAnsi="Times New Roman"/>
          <w:sz w:val="18"/>
          <w:szCs w:val="18"/>
          <w:color w:val="auto"/>
        </w:rPr>
        <w:t>stockholders are entitled to purchase up to 2,988,990 shares of common stock at approximately $16.17 per share, an aggregate purchase price of approximately $48.3 million.</w:t>
      </w:r>
    </w:p>
    <w:p>
      <w:pPr>
        <w:spacing w:after="0" w:line="172"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Loral and QUALCOMM Settlements. </w:t>
      </w:r>
      <w:r>
        <w:rPr>
          <w:rFonts w:ascii="Times New Roman" w:cs="Times New Roman" w:eastAsia="Times New Roman" w:hAnsi="Times New Roman"/>
          <w:sz w:val="18"/>
          <w:szCs w:val="18"/>
          <w:color w:val="auto"/>
        </w:rPr>
        <w:t>On March 14, 2003, Loral, the Creditors' Committee and Old Globalstar signed a term sheet outlining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a comprehensive settlement of certain contested matters and a release of the claims against Loral (the "Loral Settlement"). The Bankruptcy Court approved the Loral Settlement on April 14, 2003. The parties executed a definitive agreement reflecting the terms of the Loral Settlement as of April 8, 2003, and closed the various interrelated transactions on July 10, 2003. Pursuant to the definitive settlement agreement, as of the closing, among other things: (1) Old Globalstar received title to eight spare satellites; (2) certain agreements under which Loral held exclusive rights to provide Old Globalstar services to certain defense, national security and other government agencies and in the aviation market were terminated and a new joint venture, Government Services, L.L.C., owned 75% by Old Globalstar and 25% by Loral was formed to pursue business opportunities with those governmental agencies;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 prepayments ($2.2 million) made by it under its 2GHz satellite contract with Space Systems/Loral, Inc., an affiliate of Loral, as reduced by certain financial obligations of Old Globalstar to Loral ($109,000); (6) Loral's designated individuals resigned from Old Globalstar's General Partners Committee, and officers of Old Globalstar were appointed as members of the General Partners Committee; and (7) Old Globalstar and its subsidiaries and Loral and its subsidiaries and affiliates provided mutual releases of claims and Old Globalstar and its subsidiaries released any claims against the members of the Committee.</w:t>
      </w:r>
    </w:p>
    <w:p>
      <w:pPr>
        <w:spacing w:after="0" w:line="199" w:lineRule="exact"/>
        <w:rPr>
          <w:sz w:val="20"/>
          <w:szCs w:val="20"/>
          <w:color w:val="auto"/>
        </w:rPr>
      </w:pPr>
    </w:p>
    <w:p>
      <w:pPr>
        <w:ind w:right="120" w:firstLine="429"/>
        <w:spacing w:after="0" w:line="275" w:lineRule="auto"/>
        <w:rPr>
          <w:sz w:val="20"/>
          <w:szCs w:val="20"/>
          <w:color w:val="auto"/>
        </w:rPr>
      </w:pPr>
      <w:r>
        <w:rPr>
          <w:rFonts w:ascii="Times New Roman" w:cs="Times New Roman" w:eastAsia="Times New Roman" w:hAnsi="Times New Roman"/>
          <w:sz w:val="18"/>
          <w:szCs w:val="18"/>
          <w:color w:val="auto"/>
        </w:rPr>
        <w:t>As a result of the Loral Settlement, we had a restructured note payable to Loral in the amount of approximately $4.0 million with interest at 6% per annum due in equal quarterly installments of $364,000 plus interest from June 2005 through March 2008.</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 July 31, 2005, the notes payable and accrued interest to Loral totaled approximately $4.0 million. Pursuant to an agreement reached with Loral effective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July 31, 2005, this amount was settled in exchange for (a) the offset of an $818,000 receivable due to us; (b) cash of $500,000 paid by us; (c) the issuance by us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Loral of three credit memos of $300,000, $500,000 and $1,809,000 to be used for purchase by Loral of equipment and air time; and (d) the forgiveness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by Loral (recorded as other income). As of December 31, 2005 and June 30, 2006, the credit memos for $300,000 and $500,000 had open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placed against the remaining balances of approximately $24,000 and $408,000, respectively, and $24,000 and approximately $0,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Approximately $635,000 and $1,366,000 of the $1,809,000 credit memo had been utilized as of December 31, 2005 and June 30, 2006, respectively. This credit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memo is expected to expire in October 2006. As of December 31, 2005 and June 30, 2006, respectively, unused credit memos totaling approximately $1,606,000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$467,000 were classified as deferred revenue on our balance sheets.</w:t>
      </w:r>
    </w:p>
    <w:p>
      <w:pPr>
        <w:spacing w:after="0" w:line="213"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April 13, 2004, we, Old Globalstar, certain subsidiaries of both Globalstar entities, the Creditors' Committee, Thermo and QUALCOMM entered into a Settlement Agreement and Release (the "QUALCOMM Settlement"). Under the terms of the QUALCOMM Settlement: QUALCOMM's unsecured claim against the estate of Old Globalstar was agreed to be liquidated at a value of approximately $661.3 million; it was agreed that QUALCOMM's unsecured claim would receive pari passu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we entered into a series of new commercial agreements which defined, among other items, the terms under which we would continue to have a royalty free right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to use certain QUALCOMM intellectual property and would continue to purchase products and engineering services from QUALCOMM.</w:t>
      </w:r>
    </w:p>
    <w:p>
      <w:pPr>
        <w:spacing w:after="0" w:line="223" w:lineRule="exact"/>
        <w:rPr>
          <w:sz w:val="20"/>
          <w:szCs w:val="20"/>
          <w:color w:val="auto"/>
        </w:rPr>
      </w:pPr>
    </w:p>
    <w:p>
      <w:pPr>
        <w:ind w:firstLine="439"/>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Purchases from QUALCOMM. </w:t>
      </w:r>
      <w:r>
        <w:rPr>
          <w:rFonts w:ascii="Times New Roman" w:cs="Times New Roman" w:eastAsia="Times New Roman" w:hAnsi="Times New Roman"/>
          <w:sz w:val="16"/>
          <w:szCs w:val="16"/>
          <w:color w:val="auto"/>
        </w:rPr>
        <w:t>On July 9, 2004, we issued a QUALCOMM purchase order under the terms of the April 13, 2004 commercial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QUALCOMM for QUALCOMM GSP-1600 mobile phones at a price of $26.0 million. Consistent with the terms of those agreements, we paid $6.5 million (25%) against this purchase order in 2004; the remaining 75% was paid upon the delivery of each unit. Delivery of the units by QUALCOMM commenced in January 2005 and was completed by December 31, 2005. We and QUALCOMM subsequently agreed to certain credits and discounts. Under the terms of these commercial agreements, we have continued to place production orders with QUALCOMM for fixed user terminals, car kits and accessory items on an as-required basis. QUALCOMM has provided customary warranties for most of these products under these commercial agreements.</w:t>
      </w:r>
    </w:p>
    <w:p>
      <w:pPr>
        <w:spacing w:after="0" w:line="167" w:lineRule="exact"/>
        <w:rPr>
          <w:sz w:val="20"/>
          <w:szCs w:val="20"/>
          <w:color w:val="auto"/>
        </w:rPr>
      </w:pPr>
    </w:p>
    <w:p>
      <w:pPr>
        <w:ind w:right="720" w:firstLine="439"/>
        <w:spacing w:after="0" w:line="289" w:lineRule="auto"/>
        <w:rPr>
          <w:sz w:val="20"/>
          <w:szCs w:val="20"/>
          <w:color w:val="auto"/>
        </w:rPr>
      </w:pPr>
      <w:r>
        <w:rPr>
          <w:rFonts w:ascii="Times New Roman" w:cs="Times New Roman" w:eastAsia="Times New Roman" w:hAnsi="Times New Roman"/>
          <w:sz w:val="16"/>
          <w:szCs w:val="16"/>
          <w:color w:val="auto"/>
        </w:rPr>
        <w:t>During 2005, we issued separate purchase orders pursuant to amendments of the agreement to QUALCOMM for additional phone equipment and accessories under the terms of the April agreements that aggregated to a total commitment balance of approximately $158.0 million. Approximately</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$107.0 million of the $158.0 million consists of the new generation of phones and fixed user terminals, car kits and accessories which will start to be delivered in September 2006. The remaining $51.0 million consists of phones and accessories relating to GSP-1600 phone purchases. At June 30, 2006, 67% of the $51.0 million order for GSP-1600 phones and accessories had been fulfilled and the remainder is expected to be fulfilled by the end of 2006.</w:t>
      </w:r>
    </w:p>
    <w:p>
      <w:pPr>
        <w:spacing w:after="0" w:line="192"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Within the terms of the commercial agreements, we paid QUALCOMM approximately 15% to 25% of the total order as advances for inventory. As of December 31, 2004 and 2005, and June 30, 2006, total advances to QUALCOMM for inventory were $8.8 million, $13.5 million and $18.7 million, respectively. Under the new agreements, we did not receive any additional discounts from QUALCOMM.</w:t>
      </w:r>
    </w:p>
    <w:p>
      <w:pPr>
        <w:spacing w:after="0" w:line="186" w:lineRule="exact"/>
        <w:rPr>
          <w:sz w:val="20"/>
          <w:szCs w:val="20"/>
          <w:color w:val="auto"/>
        </w:rPr>
      </w:pPr>
    </w:p>
    <w:p>
      <w:pPr>
        <w:ind w:right="940" w:firstLine="436"/>
        <w:spacing w:after="0" w:line="339" w:lineRule="auto"/>
        <w:rPr>
          <w:sz w:val="20"/>
          <w:szCs w:val="20"/>
          <w:color w:val="auto"/>
        </w:rPr>
      </w:pPr>
      <w:r>
        <w:rPr>
          <w:rFonts w:ascii="Times New Roman" w:cs="Times New Roman" w:eastAsia="Times New Roman" w:hAnsi="Times New Roman"/>
          <w:sz w:val="16"/>
          <w:szCs w:val="16"/>
          <w:color w:val="auto"/>
        </w:rPr>
        <w:t>The total orders placed with QUALCOMM as of June 30, 2006 were approximately $186.3 million, with outstanding commitment balances of approximately $123.1 million, which includes $18.7 million of inventory advances. Any late payments are subject to a 1% late charge per month.</w:t>
      </w:r>
    </w:p>
    <w:p>
      <w:pPr>
        <w:spacing w:after="0" w:line="128"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commercial agreements and related purchase orders currently in force may be terminated by us or QUALCOMM if the other party breaches the agreement by disclosing confidential information, by engaging in unauthorized sale of the products, or by dissolving, liquidating or discontinuing its business. If we cancel an order or QUALCOMM terminates the agreement due to our default, we must pay a termination fee based on QUALCOMM's expenses for producing the product. We also are subject to a restocking fee if we cancel a purchase order.</w:t>
      </w:r>
    </w:p>
    <w:p>
      <w:pPr>
        <w:spacing w:after="0" w:line="190"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In September 2005, QUALCOMM entered into a buyback arrangement with us whereby we delivered several hundred GSP-1600 phones and contracted to provide service to QUALCOMM's customers. Revenue recognized for equipment during 2005 under this arrangement was approximately $440,000 with a related cost of subscriber equipment of $314,000. No revenue was recognized under this arrangement in the six months ended June 30, 2006. Related service billings of $595,000 were recorded to deferred service revenue. Revenue from service billings are recognized based on actual usage.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8"/>
          <w:szCs w:val="18"/>
          <w:color w:val="auto"/>
        </w:rPr>
        <w:t>Total purchases from affiliates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 Through</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December 5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4, 2003</w:t>
            </w:r>
          </w:p>
        </w:tc>
        <w:tc>
          <w:tcPr>
            <w:tcW w:w="80" w:type="dxa"/>
            <w:vAlign w:val="bottom"/>
          </w:tcPr>
          <w:p>
            <w:pPr>
              <w:spacing w:after="0"/>
              <w:rPr>
                <w:sz w:val="15"/>
                <w:szCs w:val="15"/>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7"/>
              </w:rPr>
              <w:t>December 31, 2003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December 31, 2004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 2005</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June 30,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(In thousands)</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QUALCOMM</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18,586</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25,708</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49,310</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Space Systems/Loral</w:t>
            </w: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Loral</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GCC(1)</w:t>
            </w: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affiliates</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22,540</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49,383</w:t>
            </w:r>
          </w:p>
        </w:tc>
        <w:tc>
          <w:tcPr>
            <w:tcW w:w="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40,174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-1858010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-1858010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-1746885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-1746885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-1309370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-1309370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-1309370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-1309370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-1309370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-1309370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-1309370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-1309370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-1309370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-1309370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-434340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-434340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-434340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-434340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-434340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-434340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-434340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-434340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-434340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-434340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540" w:hanging="532"/>
        <w:spacing w:after="0"/>
        <w:tabs>
          <w:tab w:leader="none" w:pos="5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Globalstar Canada purchases through May 5, 2003, the date of the Globalstar Canada acquisition.</w:t>
      </w:r>
    </w:p>
    <w:p>
      <w:pPr>
        <w:spacing w:after="0" w:line="202" w:lineRule="exact"/>
        <w:rPr>
          <w:sz w:val="20"/>
          <w:szCs w:val="20"/>
          <w:color w:val="auto"/>
        </w:rPr>
      </w:pPr>
    </w:p>
    <w:p>
      <w:pPr>
        <w:ind w:right="500" w:firstLine="436"/>
        <w:spacing w:after="0" w:line="258" w:lineRule="auto"/>
        <w:rPr>
          <w:sz w:val="20"/>
          <w:szCs w:val="20"/>
          <w:color w:val="auto"/>
        </w:rPr>
      </w:pPr>
      <w:r>
        <w:rPr>
          <w:rFonts w:ascii="Times New Roman" w:cs="Times New Roman" w:eastAsia="Times New Roman" w:hAnsi="Times New Roman"/>
          <w:sz w:val="18"/>
          <w:szCs w:val="18"/>
          <w:color w:val="auto"/>
        </w:rPr>
        <w:t>Total usage revenues from affiliates were $2.1 million, $0.2 million, $1.3 million, $1.2 million and $0.5 million for the Predecessor Period 2003, the Successor Period 2003, 2004, 2005, and the six months ended June 30, 2006 respectively. As of April 2004, these customers, except QUALCOMM and Globalstar Australia PTY, ceased to be considered affiliates. Total equipment revenue from affiliates was approximately $0.5 million, $4.2 million and $1.8 million for the years ended December 31, 2004, and 2005 and the six months ended June 30, 2006, respectively.</w:t>
      </w:r>
    </w:p>
    <w:p>
      <w:pPr>
        <w:spacing w:after="0" w:line="188" w:lineRule="exact"/>
        <w:rPr>
          <w:sz w:val="20"/>
          <w:szCs w:val="20"/>
          <w:color w:val="auto"/>
        </w:rPr>
      </w:pPr>
    </w:p>
    <w:p>
      <w:pPr>
        <w:jc w:val="both"/>
        <w:ind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Globalstar Australia. </w:t>
      </w:r>
      <w:r>
        <w:rPr>
          <w:rFonts w:ascii="Times New Roman" w:cs="Times New Roman" w:eastAsia="Times New Roman" w:hAnsi="Times New Roman"/>
          <w:sz w:val="18"/>
          <w:szCs w:val="18"/>
          <w:color w:val="auto"/>
        </w:rPr>
        <w:t>Columbia Ventures Corporation owns 50% of Globalstar Australia PTY Limited, the independent gateway operator in Australia.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2005 and the six months ended June 30, 2006, our sales of services and equipment to Globalstar Australia were $1.0 million, $5.0 million and $2.2 million, respectively. All of such sales were made on substantially the same terms as those applicable to other independent gateway operators.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80" w:firstLine="429"/>
        <w:spacing w:after="0" w:line="252" w:lineRule="auto"/>
        <w:rPr>
          <w:sz w:val="20"/>
          <w:szCs w:val="20"/>
          <w:color w:val="auto"/>
        </w:rPr>
      </w:pPr>
      <w:r>
        <w:rPr>
          <w:rFonts w:ascii="Times New Roman" w:cs="Times New Roman" w:eastAsia="Times New Roman" w:hAnsi="Times New Roman"/>
          <w:sz w:val="18"/>
          <w:szCs w:val="18"/>
          <w:color w:val="auto"/>
        </w:rPr>
        <w:t>As described under "Company History," until March 17, 2006, we operated as a Delaware limited liability company. As such the rights of our members were governed by the Delaware Limited Liability Company Act and the provisions of our limited liability company agreement which reflected various negotiations and agreements among Thermo, the creditors of Old Globalstar and others. The limited liability company agreement expressly permitted our conversion into a Delaware corporation provided that various provisions of the limited liability company agreement, including those dealing with election of directors, voting rights, preemptive rights and "tag along" rights, were incorporated into our certificate of incorporation. On March 17, 2006, we converted into a Delaware corporation. Our certificate of incorporation authorized the issuance of three series of common stock consisting of 300 million shares of Series A common stock, 20 million shares of Series B common stock and 480 million shares of Series C common stock. Each series of common stock had equivalent dividend and liquidation rights, but differing voting rights with respect to the election of directors, amendments to the certificate of incorporation and approval of certain transactions. Thermo held all of the Series C common stock, which entitled it to elect a majority of our directors. As required by our limited liability company agreement, our certificate of incorporation also restricted transfer of our common stock without approval of our board, granted all stockholders who were accredited investors pre-emptive rights to purchase shares of common stock if we issued additional shares of common stock, subject to certain exceptions, and entitled minority stockholders to participate in certain sales of a majority interest in our stock. The certificate also required that our stock be registered under the Exchange Act by October 13, 2006.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Certificate of Incorporation and Bylaws</w:t>
      </w:r>
    </w:p>
    <w:p>
      <w:pPr>
        <w:spacing w:after="0" w:line="227" w:lineRule="exact"/>
        <w:rPr>
          <w:sz w:val="20"/>
          <w:szCs w:val="20"/>
          <w:color w:val="auto"/>
        </w:rPr>
      </w:pPr>
    </w:p>
    <w:p>
      <w:pPr>
        <w:ind w:right="480" w:firstLine="439"/>
        <w:spacing w:after="0" w:line="275" w:lineRule="auto"/>
        <w:rPr>
          <w:sz w:val="20"/>
          <w:szCs w:val="20"/>
          <w:color w:val="auto"/>
        </w:rPr>
      </w:pPr>
      <w:r>
        <w:rPr>
          <w:rFonts w:ascii="Times New Roman" w:cs="Times New Roman" w:eastAsia="Times New Roman" w:hAnsi="Times New Roman"/>
          <w:sz w:val="18"/>
          <w:szCs w:val="18"/>
          <w:color w:val="auto"/>
        </w:rPr>
        <w:t>In October 2006, our stockholders adopted an amended and restated certificate of incorporation and amended and restated bylaws which will become effective immediately prior to this offering. Pursuant to our amended and restated certificate of incorporation:</w:t>
      </w:r>
    </w:p>
    <w:p>
      <w:pPr>
        <w:spacing w:after="0" w:line="187"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our common stock of each series will be combined into one series of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common stock of each series will be converted automatically into one share of 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special voting rights pertaining to any series of common stock as described above will be abolished;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and other special provisions described above will terminate; and</w:t>
      </w:r>
    </w:p>
    <w:p>
      <w:pPr>
        <w:spacing w:after="0" w:line="252"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800 million shares of common stock, we will be authorized to issue up to 100 million shares of preferred stock of one or more classes or series, as described below.</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where the text or context indicates otherwise, all descriptions of our capital stock in this prospectus reference the certificate of incorporation and bylaws as amended and restated. The following summary of the material terms and provisions of our capital stock after completion of the offering is qualified in its entirety by reference to the forms of our amended and restated certificate of incorporation and bylaws, copies of which have been filed as exhibits to the registration statement of which this prospectus is a part and which also may be obtained upon request. See "Where You Can Find Additional Information."</w:t>
      </w:r>
    </w:p>
    <w:p>
      <w:pPr>
        <w:spacing w:after="0" w:line="190"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8"/>
          <w:szCs w:val="18"/>
          <w:color w:val="auto"/>
        </w:rPr>
        <w:t>We anticipate that upon the filing of our amended and restated certificate of incorporation and immediately prior to this offering, our board of directors will declare a stock dividend effecting a six-for-one split of our common stock.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right="12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are authorized to issue 800 million shares of common stock, par value $0.0001 per share. All outstanding shares of common stock 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common stock to be outstanding upon completion of the offering will be, fully-paid and nonassessable. As of September 1, 2006, we had 172 stockholders of record.</w:t>
      </w:r>
    </w:p>
    <w:p>
      <w:pPr>
        <w:spacing w:after="0" w:line="181" w:lineRule="exact"/>
        <w:rPr>
          <w:sz w:val="20"/>
          <w:szCs w:val="20"/>
          <w:color w:val="auto"/>
        </w:rPr>
      </w:pPr>
    </w:p>
    <w:p>
      <w:pPr>
        <w:jc w:val="both"/>
        <w:ind w:right="20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preferences that may be granted to holders of any preferred stock and restrictions under our credit agreement, the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entitled to dividends as may be declared from time to time by the board of directors from funds available therefor. See "Dividend Policy and Restrictions."</w:t>
      </w:r>
    </w:p>
    <w:p>
      <w:pPr>
        <w:spacing w:after="0" w:line="181" w:lineRule="exact"/>
        <w:rPr>
          <w:sz w:val="20"/>
          <w:szCs w:val="20"/>
          <w:color w:val="auto"/>
        </w:rPr>
      </w:pPr>
    </w:p>
    <w:p>
      <w:pPr>
        <w:ind w:right="60" w:firstLine="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share of common stock entitles its holder to one vote on all matters to be voted on by the stockholders. Our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w:t>
      </w:r>
    </w:p>
    <w:p>
      <w:pPr>
        <w:spacing w:after="0" w:line="181" w:lineRule="exact"/>
        <w:rPr>
          <w:sz w:val="20"/>
          <w:szCs w:val="20"/>
          <w:color w:val="auto"/>
        </w:rPr>
      </w:pPr>
    </w:p>
    <w:p>
      <w:pPr>
        <w:ind w:right="80"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Preemptive Rights. </w:t>
      </w:r>
      <w:r>
        <w:rPr>
          <w:rFonts w:ascii="Times New Roman" w:cs="Times New Roman" w:eastAsia="Times New Roman" w:hAnsi="Times New Roman"/>
          <w:sz w:val="18"/>
          <w:szCs w:val="18"/>
          <w:color w:val="auto"/>
        </w:rPr>
        <w:t>Holders of common stock do not have preemptive rights with respect to the issuance and sale by the company of additional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equity securities of the company.</w:t>
      </w:r>
    </w:p>
    <w:p>
      <w:pPr>
        <w:spacing w:after="0" w:line="170" w:lineRule="exact"/>
        <w:rPr>
          <w:sz w:val="20"/>
          <w:szCs w:val="20"/>
          <w:color w:val="auto"/>
        </w:rPr>
      </w:pPr>
    </w:p>
    <w:p>
      <w:pPr>
        <w:ind w:firstLine="43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dissolution, liquidation or winding-up, the holders of shares of common stock will be entitled to receive our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proportionate to their pro rata ownership of the outstanding shares of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right="120" w:firstLine="439"/>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of our stockholders, to issue up to 100 million shares of preferred stock, par value $0.0001 per share, in one or more series, to determine the number of shares constituting and the designation of each series and to fix the powers, preferences, rights and qualifications, limitations or restrictions thereof, which may include dividend rights, conversion rights, voting rights, terms of redemption, and liquidation preferences. 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 us.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shares of our preferred stock are outstanding. We have no current plans to issue any shares of preferred stock.</w:t>
      </w:r>
    </w:p>
    <w:p>
      <w:pPr>
        <w:spacing w:after="0" w:line="223"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Our Amended and Restated Certificate of Incorporation and Bylaws and of Delaware General Corporation Law</w:t>
      </w:r>
    </w:p>
    <w:p>
      <w:pPr>
        <w:spacing w:after="0" w:line="172" w:lineRule="exact"/>
        <w:rPr>
          <w:sz w:val="20"/>
          <w:szCs w:val="20"/>
          <w:color w:val="auto"/>
        </w:rPr>
      </w:pPr>
    </w:p>
    <w:p>
      <w:pPr>
        <w:jc w:val="both"/>
        <w:ind w:right="220" w:firstLine="436"/>
        <w:spacing w:after="0" w:line="262" w:lineRule="auto"/>
        <w:rPr>
          <w:sz w:val="20"/>
          <w:szCs w:val="20"/>
          <w:color w:val="auto"/>
        </w:rPr>
      </w:pPr>
      <w:r>
        <w:rPr>
          <w:rFonts w:ascii="Times New Roman" w:cs="Times New Roman" w:eastAsia="Times New Roman" w:hAnsi="Times New Roman"/>
          <w:sz w:val="18"/>
          <w:szCs w:val="18"/>
          <w:color w:val="auto"/>
        </w:rPr>
        <w:t>The provisions of the Delaware General Corporation Law and our amended and restated certificate of incorporation and bylaws summarized below may have the effect of discouraging, delaying or preventing a hostile takeover, including one that might result in a premium being paid over the market price of our common stock, and discouraging, delaying or preventing changes in the control or management of our company.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16" w:name="page117"/>
    <w:bookmarkEnd w:id="116"/>
    <w:p>
      <w:pPr>
        <w:ind w:left="54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completion of this offering, our certificate of incorporation and bylaws will provide that:</w:t>
      </w:r>
    </w:p>
    <w:p>
      <w:pPr>
        <w:spacing w:after="0" w:line="239" w:lineRule="exact"/>
        <w:rPr>
          <w:sz w:val="20"/>
          <w:szCs w:val="20"/>
          <w:color w:val="auto"/>
        </w:rPr>
      </w:pPr>
    </w:p>
    <w:p>
      <w:pPr>
        <w:ind w:left="1080" w:right="280" w:hanging="532"/>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spacing w:after="0" w:line="216" w:lineRule="exact"/>
        <w:rPr>
          <w:rFonts w:ascii="Times New Roman" w:cs="Times New Roman" w:eastAsia="Times New Roman" w:hAnsi="Times New Roman"/>
          <w:sz w:val="18"/>
          <w:szCs w:val="18"/>
          <w:color w:val="auto"/>
        </w:rPr>
      </w:pPr>
    </w:p>
    <w:p>
      <w:pPr>
        <w:ind w:left="1080" w:right="120" w:hanging="532"/>
        <w:spacing w:after="0" w:line="214" w:lineRule="auto"/>
        <w:tabs>
          <w:tab w:leader="none" w:pos="1080" w:val="left"/>
        </w:tabs>
        <w:numPr>
          <w:ilvl w:val="0"/>
          <w:numId w:val="6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if Thermo does not own a majority of our outstanding capital stock entitled to vote in the election of directors, the approval of holders of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shares then entitled to vote in the election of directors will be required to adopt, amend or repeal our amended and restated certificate of incorporation or bylaws;</w:t>
      </w:r>
    </w:p>
    <w:p>
      <w:pPr>
        <w:spacing w:after="0" w:line="218" w:lineRule="exact"/>
        <w:rPr>
          <w:rFonts w:ascii="Times New Roman" w:cs="Times New Roman" w:eastAsia="Times New Roman" w:hAnsi="Times New Roman"/>
          <w:sz w:val="34"/>
          <w:szCs w:val="34"/>
          <w:color w:val="auto"/>
          <w:vertAlign w:val="superscript"/>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expressly authorized to make, alter or repeal our bylaws;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not call special meetings of the stockholders or fill vacancies on the board of directors;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of service with staggered three-year terms, meaning that only one class of directors will be elected at each annual meeting of stockholders, with the other classes continuing for the remainder of their respective terms;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authorized to issue preferred stock without stockholder approval;</w:t>
      </w:r>
    </w:p>
    <w:p>
      <w:pPr>
        <w:spacing w:after="0" w:line="238" w:lineRule="exact"/>
        <w:rPr>
          <w:rFonts w:ascii="Times New Roman" w:cs="Times New Roman" w:eastAsia="Times New Roman" w:hAnsi="Times New Roman"/>
          <w:sz w:val="18"/>
          <w:szCs w:val="18"/>
          <w:color w:val="auto"/>
        </w:rPr>
      </w:pPr>
    </w:p>
    <w:p>
      <w:pPr>
        <w:ind w:left="1080" w:right="60" w:hanging="532"/>
        <w:spacing w:after="0" w:line="28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Thermo does not own a majority of our outstanding capital stock entitled to vote in the election of directors, directors may only be removed for cause by the holders of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shares then entitled to vote in the election of directors; and</w:t>
      </w:r>
    </w:p>
    <w:p>
      <w:pPr>
        <w:spacing w:after="0" w:line="71"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directors and certain officers against losses they may incur in connection with investigations and legal proceedings resulting from their service to us, which may include services in connection with takeover defense measures.</w:t>
      </w:r>
    </w:p>
    <w:p>
      <w:pPr>
        <w:spacing w:after="0" w:line="17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Delaware General Corporation Law</w:t>
      </w:r>
    </w:p>
    <w:p>
      <w:pPr>
        <w:spacing w:after="0" w:line="227" w:lineRule="exact"/>
        <w:rPr>
          <w:sz w:val="20"/>
          <w:szCs w:val="20"/>
          <w:color w:val="auto"/>
        </w:rPr>
      </w:pPr>
    </w:p>
    <w:p>
      <w:pPr>
        <w:ind w:right="100" w:firstLine="436"/>
        <w:spacing w:after="0" w:line="275" w:lineRule="auto"/>
        <w:rPr>
          <w:sz w:val="20"/>
          <w:szCs w:val="20"/>
          <w:color w:val="auto"/>
        </w:rPr>
      </w:pPr>
      <w:r>
        <w:rPr>
          <w:rFonts w:ascii="Times New Roman" w:cs="Times New Roman" w:eastAsia="Times New Roman" w:hAnsi="Times New Roman"/>
          <w:sz w:val="18"/>
          <w:szCs w:val="18"/>
          <w:color w:val="auto"/>
        </w:rPr>
        <w:t>We will be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spacing w:after="0" w:line="187" w:lineRule="exact"/>
        <w:rPr>
          <w:sz w:val="20"/>
          <w:szCs w:val="20"/>
          <w:color w:val="auto"/>
        </w:rPr>
      </w:pPr>
    </w:p>
    <w:p>
      <w:pPr>
        <w:ind w:left="1080" w:right="30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number of</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17" w:name="page118"/>
    <w:bookmarkEnd w:id="117"/>
    <w:p>
      <w:pPr>
        <w:ind w:left="1080" w:right="420"/>
        <w:spacing w:after="0" w:line="262" w:lineRule="auto"/>
        <w:rPr>
          <w:sz w:val="20"/>
          <w:szCs w:val="20"/>
          <w:color w:val="auto"/>
        </w:rPr>
      </w:pPr>
      <w:r>
        <w:rPr>
          <w:rFonts w:ascii="Times New Roman" w:cs="Times New Roman" w:eastAsia="Times New Roman" w:hAnsi="Times New Roman"/>
          <w:sz w:val="18"/>
          <w:szCs w:val="18"/>
          <w:color w:val="auto"/>
        </w:rPr>
        <w:t>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ind w:left="1080" w:right="160" w:hanging="532"/>
        <w:spacing w:after="0" w:line="22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outstanding voting stock which is not owned by the interested stockholder.</w:t>
      </w:r>
    </w:p>
    <w:p>
      <w:pPr>
        <w:spacing w:after="0" w:line="204"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will not be an "interested stockholder" because it acquired more than 15% of our outstanding stock prior to the completion of this offering.</w:t>
      </w:r>
    </w:p>
    <w:p>
      <w:pPr>
        <w:spacing w:after="0" w:line="190" w:lineRule="exact"/>
        <w:rPr>
          <w:sz w:val="20"/>
          <w:szCs w:val="20"/>
          <w:color w:val="auto"/>
        </w:rPr>
      </w:pPr>
    </w:p>
    <w:p>
      <w:pPr>
        <w:ind w:right="220" w:firstLine="439"/>
        <w:spacing w:after="0" w:line="339" w:lineRule="auto"/>
        <w:rPr>
          <w:sz w:val="20"/>
          <w:szCs w:val="20"/>
          <w:color w:val="auto"/>
        </w:rPr>
      </w:pPr>
      <w:r>
        <w:rPr>
          <w:rFonts w:ascii="Times New Roman" w:cs="Times New Roman" w:eastAsia="Times New Roman" w:hAnsi="Times New Roman"/>
          <w:sz w:val="16"/>
          <w:szCs w:val="16"/>
          <w:color w:val="auto"/>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spacing w:after="0" w:line="128"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 stated above regarding stockholder approval would be avoided if a majority of the directors approves, prior to the time the party became an interested stockholder, either the business combination or the transaction which results in the stockholder becoming an interested stockholder.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trading symbol "GSAT".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Computershare Investor Services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7" w:lineRule="exact"/>
        <w:rPr>
          <w:sz w:val="20"/>
          <w:szCs w:val="20"/>
          <w:color w:val="auto"/>
        </w:rPr>
      </w:pPr>
    </w:p>
    <w:p>
      <w:pPr>
        <w:ind w:right="20" w:firstLine="439"/>
        <w:spacing w:after="0" w:line="301" w:lineRule="auto"/>
        <w:rPr>
          <w:sz w:val="20"/>
          <w:szCs w:val="20"/>
          <w:color w:val="auto"/>
        </w:rPr>
      </w:pPr>
      <w:r>
        <w:rPr>
          <w:rFonts w:ascii="Times New Roman" w:cs="Times New Roman" w:eastAsia="Times New Roman" w:hAnsi="Times New Roman"/>
          <w:sz w:val="16"/>
          <w:szCs w:val="16"/>
          <w:color w:val="auto"/>
        </w:rPr>
        <w:t>Prior to this offering, there has not been any public market for our common stock, and we cannot predict what effect, if any, market sales of shares of common stock or the availability of shares of common stock for sale will have on the market price of our common stock. Sales of substantial amounts of common stock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w:t>
      </w:r>
    </w:p>
    <w:p>
      <w:pPr>
        <w:spacing w:after="0" w:line="157" w:lineRule="exact"/>
        <w:rPr>
          <w:sz w:val="20"/>
          <w:szCs w:val="20"/>
          <w:color w:val="auto"/>
        </w:rPr>
      </w:pPr>
    </w:p>
    <w:p>
      <w:pPr>
        <w:ind w:firstLine="439"/>
        <w:spacing w:after="0" w:line="293" w:lineRule="auto"/>
        <w:rPr>
          <w:sz w:val="20"/>
          <w:szCs w:val="20"/>
          <w:color w:val="auto"/>
        </w:rPr>
      </w:pPr>
      <w:r>
        <w:rPr>
          <w:rFonts w:ascii="Times New Roman" w:cs="Times New Roman" w:eastAsia="Times New Roman" w:hAnsi="Times New Roman"/>
          <w:sz w:val="16"/>
          <w:szCs w:val="16"/>
          <w:color w:val="auto"/>
        </w:rPr>
        <w:t>Upon the closing of this offering, we will have 69,375,494 shares of common stock outstanding, assuming no exercise of the underwriters' option to purchase additional shares. Of the outstanding shares, all of the shares sold in this offering, as well as 18,287,946 unrestricted shares already outstanding which were issued in the Reorganization and not held by our "affiliates," will be freely tradable without restriction or further registration under the Securities Act. Any shares owned by our "affiliates," as defined under Rule 144 of the Securities Act, may be sold only in compliance with the limitations of that Rule. The remaining 44,587,548 outstanding shares of common stock will be deemed "restricted securities" as that term is defined under Rule 144. Restricted securities may be sold in the public market only if registered or if they qualify for an exemption from registration under Rule 144, which is summarized below.</w:t>
      </w:r>
    </w:p>
    <w:p>
      <w:pPr>
        <w:spacing w:after="0" w:line="165" w:lineRule="exact"/>
        <w:rPr>
          <w:sz w:val="20"/>
          <w:szCs w:val="20"/>
          <w:color w:val="auto"/>
        </w:rPr>
      </w:pPr>
    </w:p>
    <w:p>
      <w:pPr>
        <w:ind w:right="100" w:firstLine="439"/>
        <w:spacing w:after="0" w:line="262" w:lineRule="auto"/>
        <w:rPr>
          <w:sz w:val="20"/>
          <w:szCs w:val="20"/>
          <w:color w:val="auto"/>
        </w:rPr>
      </w:pPr>
      <w:r>
        <w:rPr>
          <w:rFonts w:ascii="Times New Roman" w:cs="Times New Roman" w:eastAsia="Times New Roman" w:hAnsi="Times New Roman"/>
          <w:sz w:val="18"/>
          <w:szCs w:val="18"/>
          <w:color w:val="auto"/>
        </w:rPr>
        <w:t>Subject to the lock-up agreements described below and the volume limitations and other conditions under Rule 144, the 62,857,494 shares of our common stock that are not sold in this offering, other than the 18,287,946 unrestricted shares described above, will be available for sale in the public market under exemptions from registration requirements.</w:t>
      </w:r>
    </w:p>
    <w:p>
      <w:pPr>
        <w:spacing w:after="0" w:line="186" w:lineRule="exact"/>
        <w:rPr>
          <w:sz w:val="20"/>
          <w:szCs w:val="20"/>
          <w:color w:val="auto"/>
        </w:rPr>
      </w:pPr>
    </w:p>
    <w:p>
      <w:pPr>
        <w:ind w:right="220" w:firstLine="429"/>
        <w:spacing w:after="0" w:line="275" w:lineRule="auto"/>
        <w:rPr>
          <w:sz w:val="20"/>
          <w:szCs w:val="20"/>
          <w:color w:val="auto"/>
        </w:rPr>
      </w:pPr>
      <w:r>
        <w:rPr>
          <w:rFonts w:ascii="Times New Roman" w:cs="Times New Roman" w:eastAsia="Times New Roman" w:hAnsi="Times New Roman"/>
          <w:sz w:val="18"/>
          <w:szCs w:val="18"/>
          <w:color w:val="auto"/>
        </w:rPr>
        <w:t>Although none of our stockholders currently has any registration rights for their common stock, we may enter into registration rights arrangements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7" w:lineRule="exact"/>
        <w:rPr>
          <w:sz w:val="20"/>
          <w:szCs w:val="20"/>
          <w:color w:val="auto"/>
        </w:rPr>
      </w:pPr>
    </w:p>
    <w:p>
      <w:pPr>
        <w:ind w:right="420" w:firstLine="439"/>
        <w:spacing w:after="0" w:line="262"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required to be aggregated), including an affiliate, who has beneficially owned shares of our common stock for at least one year is entitled to sell in any three-month period a number of shares that does not exceed the greater of:</w:t>
      </w:r>
    </w:p>
    <w:p>
      <w:pPr>
        <w:spacing w:after="0" w:line="200" w:lineRule="exact"/>
        <w:rPr>
          <w:sz w:val="20"/>
          <w:szCs w:val="20"/>
          <w:color w:val="auto"/>
        </w:rPr>
      </w:pPr>
    </w:p>
    <w:p>
      <w:pPr>
        <w:ind w:left="1080" w:right="20" w:hanging="532"/>
        <w:spacing w:after="0" w:line="27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then-outstanding shares of common stock, or approximately 6.9 million shares, assuming no exercise by the underwriters of their option to purchase additional shares; and</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volume of trading in the common stock on the NASDAQ Global Market during the four calendar weeks preceding the date on which notice of sale is filed.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Sales under Rule 144 are also subject to manner of sale provisions and notice requirements and to the availability of current public information about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144(k)</w:t>
      </w:r>
    </w:p>
    <w:p>
      <w:pPr>
        <w:spacing w:after="0" w:line="227"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In addition, a person who is not deemed to have been an affiliate of ours at any time during the 90 days preceding a sale and who has beneficially owned the shares proposed to be sold for at least two years is entitled to sell those shares under Rule 144(k) without regard to the manner of sale, public information, volume limitation or notice requirements of Rule 144. To the extent that our affiliates sell their shares, other than pursuant to Rule 144 or a registration statement, the purchaser's holding period for the purpose of effecting a sale under Rule 144 commences on the date of transfer from the affiliate. At September 1, 2006, 43,413,708 shares of our common stock are eligible for resale under Rule 144(k).</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7"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We, Thermo, Columbia Ventures Corporation, QUALCOMM Incorporated, Loral Skynet Corporation, our directors, executive officers and all of our stockholders who are parties to the irrevocable standby stock purchase agreement have agreed with the underwriters, subject to certain exceptions, not to dispose of or hedge any of our and their common stock or securities convertible into or exchangeable for shares of common stock during the period from the date of this prospectus continuing through the date 180 days after the date of this prospectus, except with the prior written consent of the underwriters. The lock-up agreement with Columbia Ventures Corporation covers 70% of the shares beneficially owned by it. The underwriters have advised us that they have no current intent or arrangement to release any of the shares subject to the lock-up agreements prior to the expiration of the lock-up period. The underwriters do not have any pre-established conditions to waiving the terms of the lock-up agreements. Any determination to release any shares subject to the lock-up agreements would be based on a number of factors at the time of determination, including but not necessarily limited to the market price of the common stock, the liquidity of the trading market for the common stock, general market conditions, the number of shares proposed to be sold and the timing, purpose and terms of the proposed sale. There are no contractually specified conditions for the waiver of lock-up restrictions and any waiver is at the sole discretion of Wachovia Capital Markets, LLC and J.P. Morgan Securities Inc. There are 50,418,175 shares of our common stock held by Thermo, Columbia Ventures Corporation, QUALCOMM Incorporated, Loral Skynet Corporation, our directors, executive officers and our stockholders who are parties to the irrevocable standby stock purchase agreement subject to the lock-up agreements. Our remaining stockholders, who own approximately 20% of our common stock in the aggregate, are not subject to such restrictions and may sell their shares immediately after this offering.</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180-day restricted period described in the preceding paragraph will be extended if:</w:t>
      </w:r>
    </w:p>
    <w:p>
      <w:pPr>
        <w:spacing w:after="0" w:line="239"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17 days of the 180-day restricted period we issue an earnings release or announce material news or a material event; or</w:t>
      </w:r>
    </w:p>
    <w:p>
      <w:pPr>
        <w:spacing w:after="0" w:line="252"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180-day restricted period, we announce that we will release earnings results during the 15-day period following the last day of the 180-day period,</w:t>
      </w:r>
    </w:p>
    <w:p>
      <w:pPr>
        <w:spacing w:after="0" w:line="17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Wachovia Capital Markets, LLC and J.P. Morgan Securities Inc. are acting as joint bookrunners and representatives of the underwriters.</w:t>
      </w:r>
    </w:p>
    <w:p>
      <w:pPr>
        <w:spacing w:after="0" w:line="18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120"/>
        </w:trPr>
        <w:tc>
          <w:tcPr>
            <w:tcW w:w="5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105"/>
        </w:trPr>
        <w:tc>
          <w:tcPr>
            <w:tcW w:w="5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&amp; Company, Inc.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18"/>
        </w:trPr>
        <w:tc>
          <w:tcPr>
            <w:tcW w:w="5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319"/>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6,500,000</w:t>
            </w:r>
          </w:p>
        </w:tc>
      </w:tr>
      <w:tr>
        <w:trPr>
          <w:trHeight w:val="107"/>
        </w:trPr>
        <w:tc>
          <w:tcPr>
            <w:tcW w:w="5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61"/>
        </w:trPr>
        <w:tc>
          <w:tcPr>
            <w:tcW w:w="5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-889000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-889000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-889000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-889000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20" w:firstLine="436"/>
        <w:spacing w:after="0" w:line="275"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4" w:lineRule="exact"/>
        <w:rPr>
          <w:sz w:val="20"/>
          <w:szCs w:val="20"/>
          <w:color w:val="auto"/>
        </w:rPr>
      </w:pPr>
    </w:p>
    <w:p>
      <w:pPr>
        <w:ind w:right="120" w:firstLine="439"/>
        <w:spacing w:after="0" w:line="262" w:lineRule="auto"/>
        <w:rPr>
          <w:sz w:val="20"/>
          <w:szCs w:val="20"/>
          <w:color w:val="auto"/>
        </w:rPr>
      </w:pPr>
      <w:r>
        <w:rPr>
          <w:rFonts w:ascii="Times New Roman" w:cs="Times New Roman" w:eastAsia="Times New Roman" w:hAnsi="Times New Roman"/>
          <w:sz w:val="18"/>
          <w:szCs w:val="18"/>
          <w:color w:val="auto"/>
        </w:rPr>
        <w:t>If the underwriters sell more shares than the total number set forth in the table above, the underwriters have an option to buy up to an additional 975,000 shares from us to cover such sales. They may exercise that option for 30 days. If any shares are purchased pursuant to this option, the underwriters will severally purchase shares in approximately the same proportion as set forth in the table above.</w:t>
      </w:r>
    </w:p>
    <w:p>
      <w:pPr>
        <w:spacing w:after="0" w:line="186" w:lineRule="exact"/>
        <w:rPr>
          <w:sz w:val="20"/>
          <w:szCs w:val="20"/>
          <w:color w:val="auto"/>
        </w:rPr>
      </w:pPr>
    </w:p>
    <w:p>
      <w:pPr>
        <w:ind w:right="24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975,000 additional shares.</w:t>
      </w:r>
    </w:p>
    <w:p>
      <w:pPr>
        <w:spacing w:after="0" w:line="172"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by Us</w:t>
            </w:r>
          </w:p>
        </w:tc>
        <w:tc>
          <w:tcPr>
            <w:tcW w:w="24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No Exercise</w:t>
            </w:r>
          </w:p>
        </w:tc>
        <w:tc>
          <w:tcPr>
            <w:tcW w:w="2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Full Exercise</w:t>
            </w:r>
          </w:p>
        </w:tc>
      </w:tr>
      <w:tr>
        <w:trPr>
          <w:trHeight w:val="120"/>
        </w:trPr>
        <w:tc>
          <w:tcPr>
            <w:tcW w:w="4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105"/>
        </w:trPr>
        <w:tc>
          <w:tcPr>
            <w:tcW w:w="4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460" w:type="dxa"/>
            <w:vAlign w:val="bottom"/>
            <w:gridSpan w:val="2"/>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-363220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-363220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-363220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-363220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-363220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-363220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Shares sold by the underwriters to the public will initially be offered at the initial public offering price set forth on the cover of this prospectus. Any shares</w:t>
      </w:r>
    </w:p>
    <w:p>
      <w:pPr>
        <w:spacing w:after="0" w:line="4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sold by the underwriters to securities dealers may be resold at a discount of up to $ per share from the initial public offering price. Any such securities dealers may resell any shares purchased from the underwriters to certain other brokers or dealers at a discount of up to $ per share from the initial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If all the shares are not sold at the initial public offering price, the representatives may change the offering price and the other selling terms.</w:t>
      </w:r>
    </w:p>
    <w:p>
      <w:pPr>
        <w:spacing w:after="0" w:line="213"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Thermo, Columbia Ventures Corporation, QUALCOMM Incorporated, Loral Skynet Corporation, our stockholders who are parties to the irrevocable standby stock purchase agreement, and our directors and executive officers have agreed with the underwriters, subject to certain exceptions, not to dispose of or hedge any of our and their common stock or securities convertible into or exchangeable for shares of common stock during the period from the date of this prospectus continuing through the date 180 days after the date of this prospectus, except with the prior written consent of the underwriters. The lock-up agreement with Columbia Ventures Corporation covers 70% of the shares beneficially owned by it. The underwriters have advised us that they have no current intent or arrangement to release any of the shares subject to the lock-up agreements prior to the expiration of the lock-up period. There are no contractually specified conditions for the waiver of lock-up restrictions and any waiver is at the sole discretion of the underwriters. Our other stockholders, who own approximately % of our common stock in the aggregate, are not subject to such restrictions and may sell their shares immediately after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1" w:name="page122"/>
    <w:bookmarkEnd w:id="121"/>
    <w:p>
      <w:pPr>
        <w:ind w:right="60" w:firstLine="439"/>
        <w:spacing w:after="0" w:line="258"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us and the underwriters' representative.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90" w:lineRule="exact"/>
        <w:rPr>
          <w:sz w:val="20"/>
          <w:szCs w:val="20"/>
          <w:color w:val="auto"/>
        </w:rPr>
      </w:pPr>
    </w:p>
    <w:p>
      <w:pPr>
        <w:ind w:right="20" w:firstLine="436"/>
        <w:spacing w:after="0" w:line="339" w:lineRule="auto"/>
        <w:rPr>
          <w:sz w:val="20"/>
          <w:szCs w:val="20"/>
          <w:color w:val="auto"/>
        </w:rPr>
      </w:pPr>
      <w:r>
        <w:rPr>
          <w:rFonts w:ascii="Times New Roman" w:cs="Times New Roman" w:eastAsia="Times New Roman" w:hAnsi="Times New Roman"/>
          <w:sz w:val="16"/>
          <w:szCs w:val="16"/>
          <w:color w:val="auto"/>
        </w:rPr>
        <w:t>We have applied to list the common stock on the NASDAQ Global Market under the symbol "GSAT." In order to meet one of the requirements for listing the common stock on the NASDAQ Global Market, the underwriters have undertaken to sell lots of 100 or more shares to a minimum of 2,000 beneficial holders.</w:t>
      </w:r>
    </w:p>
    <w:p>
      <w:pPr>
        <w:spacing w:after="0" w:line="128" w:lineRule="exact"/>
        <w:rPr>
          <w:sz w:val="20"/>
          <w:szCs w:val="20"/>
          <w:color w:val="auto"/>
        </w:rPr>
      </w:pPr>
    </w:p>
    <w:p>
      <w:pPr>
        <w:ind w:right="60" w:firstLine="439"/>
        <w:spacing w:after="0" w:line="288" w:lineRule="auto"/>
        <w:rPr>
          <w:sz w:val="20"/>
          <w:szCs w:val="20"/>
          <w:color w:val="auto"/>
        </w:rPr>
      </w:pPr>
      <w:r>
        <w:rPr>
          <w:rFonts w:ascii="Times New Roman" w:cs="Times New Roman" w:eastAsia="Times New Roman" w:hAnsi="Times New Roman"/>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company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69" w:lineRule="exact"/>
        <w:rPr>
          <w:sz w:val="20"/>
          <w:szCs w:val="20"/>
          <w:color w:val="auto"/>
        </w:rPr>
      </w:pPr>
    </w:p>
    <w:p>
      <w:pPr>
        <w:jc w:val="both"/>
        <w:ind w:right="620" w:firstLine="436"/>
        <w:spacing w:after="0" w:line="262"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6" w:lineRule="exact"/>
        <w:rPr>
          <w:sz w:val="20"/>
          <w:szCs w:val="20"/>
          <w:color w:val="auto"/>
        </w:rPr>
      </w:pPr>
    </w:p>
    <w:p>
      <w:pPr>
        <w:ind w:right="20" w:firstLine="439"/>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NASDAQ Global Market, in the over-the-counter market or otherwise.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$2.8 million.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color w:val="auto"/>
        </w:rPr>
        <w:t>Certain of the underwriters and their respective affiliates have, from time to time, performed, and may in the future perform, various financial advisory and investment banking services for us, for which they received or will receive customary fees and expenses. Wachovia Investment Holdings, LLC, is a lender and the administrative agent under our credit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00" w:firstLine="436"/>
        <w:spacing w:after="0" w:line="339" w:lineRule="auto"/>
        <w:rPr>
          <w:sz w:val="20"/>
          <w:szCs w:val="20"/>
          <w:color w:val="auto"/>
        </w:rPr>
      </w:pPr>
      <w:r>
        <w:rPr>
          <w:rFonts w:ascii="Times New Roman" w:cs="Times New Roman" w:eastAsia="Times New Roman" w:hAnsi="Times New Roman"/>
          <w:sz w:val="16"/>
          <w:szCs w:val="16"/>
          <w:color w:val="auto"/>
        </w:rPr>
        <w:t>The validity of the issuance of the shares of common stock to be sold in this offering will be passed upon for us by Taft, Stettinius &amp; Hollister LLP, Cincinnati, Ohio. Certain other legal matters will be passed upon for the underwriters by Simpson Thacher &amp; Bartlett LLP, New York, New York.</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The financial statements of Globalstar, Inc. as of and for the year ended December 31, 2005 included elsewhere in this prospectus have been audited by Crowe Chizek and Company LLP, independent registered public accounting firm, as stated in their report appearing herein, and are included in reliance upon the report of such firm given upon its authority as experts in accounting and auditing.</w:t>
      </w:r>
    </w:p>
    <w:p>
      <w:pPr>
        <w:spacing w:after="0" w:line="186"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audited consolidated financial statements of Globalstar, Inc. (formerly known as Globalstar LLC) and subsidiaries (Successor Company) as of December 31, 2004, for the year then ended and for the period from December 5, 2003 to December 31, 2003, and the consolidated financial statements of Globalstar, L.P. and subsidiaries (Predecessor Company) for the period January 1, 2003 to December 4, 2003 included in this prospectus have been audited by GHP Horwath, P.C., an independent registered public accounting firm, for the periods and to the extent set forth in their report appearing in this prospectus. Their report describes that the consolidated financial statements of the Successor Company are presented on a different basis from those of the Predecessor Company and, therefore, are not comparable in all respects, and describes that the Predecessor Company's plan of reorganization was confirmed in 2004 and the Predecessor Company was dissolved. Such financial statements have been so included in reliance upon the report of such firm given upon the firm's authority as an expert in auditing and accounting.</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FINANCIAL DISCLOSURES</w:t>
      </w:r>
    </w:p>
    <w:p>
      <w:pPr>
        <w:spacing w:after="0" w:line="213" w:lineRule="exact"/>
        <w:rPr>
          <w:sz w:val="20"/>
          <w:szCs w:val="20"/>
          <w:color w:val="auto"/>
        </w:rPr>
      </w:pPr>
    </w:p>
    <w:p>
      <w:pPr>
        <w:ind w:right="200" w:firstLine="439"/>
        <w:spacing w:after="0" w:line="275" w:lineRule="auto"/>
        <w:rPr>
          <w:sz w:val="20"/>
          <w:szCs w:val="20"/>
          <w:color w:val="auto"/>
        </w:rPr>
      </w:pPr>
      <w:r>
        <w:rPr>
          <w:rFonts w:ascii="Times New Roman" w:cs="Times New Roman" w:eastAsia="Times New Roman" w:hAnsi="Times New Roman"/>
          <w:sz w:val="18"/>
          <w:szCs w:val="18"/>
          <w:color w:val="auto"/>
        </w:rPr>
        <w:t>On February 23, 2006, we engaged Crowe Chizek and Company LLP to serve as our independent registered public accountants in lieu of GHP Horwath, P.C., who had previously served in that capacity. We initiated this change with the approval of our board of directors.</w:t>
      </w:r>
    </w:p>
    <w:p>
      <w:pPr>
        <w:spacing w:after="0" w:line="174"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The report of GHP Horwath on our financial statements for the fiscal year ended December 31, 2004 contained no adverse opinion or disclaimer of opinion and was not qualified or modified as to any uncertainty, audit scope or accounting principles. During our two most recent fiscal years and any subsequent interim period preceding this change in accountants there were no disagreements with GHP Horwath on any matter of accounting principles or practices, financial statement disclosure, or auditing scope or procedure, which disagreement, if not resolved to the satisfaction of GHP Horwath, would have caused it to make reference to the subject matter of the disagreement in connection with its report on the financial statements for such periods.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2004 and 2005 and through February 22, 2006, there were no reportable events as defined in Regulation S-K, Item 304(a)(1)(v).</w:t>
      </w:r>
    </w:p>
    <w:p>
      <w:pPr>
        <w:spacing w:after="0" w:line="225" w:lineRule="exact"/>
        <w:rPr>
          <w:sz w:val="20"/>
          <w:szCs w:val="20"/>
          <w:color w:val="auto"/>
        </w:rPr>
      </w:pPr>
    </w:p>
    <w:p>
      <w:pPr>
        <w:ind w:right="140" w:firstLine="439"/>
        <w:spacing w:after="0" w:line="262" w:lineRule="auto"/>
        <w:rPr>
          <w:sz w:val="20"/>
          <w:szCs w:val="20"/>
          <w:color w:val="auto"/>
        </w:rPr>
      </w:pPr>
      <w:r>
        <w:rPr>
          <w:rFonts w:ascii="Times New Roman" w:cs="Times New Roman" w:eastAsia="Times New Roman" w:hAnsi="Times New Roman"/>
          <w:sz w:val="18"/>
          <w:szCs w:val="18"/>
          <w:color w:val="auto"/>
        </w:rPr>
        <w:t>During 2004 and 2005 and through February 22, 2006, we did not consult with Crowe Chizek with respect to the application of accounting principles to a specified transaction, either contemplated or proposed, or the type of audit opinion that might be rendered on our financial statements, or any matter that was either the subject of a disagreement or a reportable event.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7" w:lineRule="exact"/>
        <w:rPr>
          <w:sz w:val="20"/>
          <w:szCs w:val="20"/>
          <w:color w:val="auto"/>
        </w:rPr>
      </w:pPr>
    </w:p>
    <w:p>
      <w:pPr>
        <w:ind w:right="20" w:firstLine="436"/>
        <w:spacing w:after="0" w:line="27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issuance of shares of our common stock being offered. This prospectus, which forms a part of the registration statement, does not contain all of the information set forth in the registration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23" w:name="page124"/>
    <w:bookmarkEnd w:id="123"/>
    <w:p>
      <w:pPr>
        <w:ind w:right="20"/>
        <w:spacing w:after="0" w:line="262" w:lineRule="auto"/>
        <w:rPr>
          <w:sz w:val="20"/>
          <w:szCs w:val="20"/>
          <w:color w:val="auto"/>
        </w:rPr>
      </w:pPr>
      <w:r>
        <w:rPr>
          <w:rFonts w:ascii="Times New Roman" w:cs="Times New Roman" w:eastAsia="Times New Roman" w:hAnsi="Times New Roman"/>
          <w:sz w:val="18"/>
          <w:szCs w:val="18"/>
          <w:color w:val="auto"/>
        </w:rPr>
        <w:t>statement. For further information with respect to us and the shares of our common stock, you should refer to the registration statement and its exhibits. Statements contained in this prospectus as to the contents of any contract, agreement or other document are not necessarily complete and you should refer to the exhibits attached to the registration statement for copies of the actual contract, agreement or other document.</w:t>
      </w:r>
    </w:p>
    <w:p>
      <w:pPr>
        <w:spacing w:after="0" w:line="186" w:lineRule="exact"/>
        <w:rPr>
          <w:sz w:val="20"/>
          <w:szCs w:val="20"/>
          <w:color w:val="auto"/>
        </w:rPr>
      </w:pPr>
    </w:p>
    <w:p>
      <w:pPr>
        <w:ind w:right="100" w:firstLine="439"/>
        <w:spacing w:after="0" w:line="258" w:lineRule="auto"/>
        <w:rPr>
          <w:sz w:val="20"/>
          <w:szCs w:val="20"/>
          <w:color w:val="auto"/>
        </w:rPr>
      </w:pPr>
      <w:r>
        <w:rPr>
          <w:rFonts w:ascii="Times New Roman" w:cs="Times New Roman" w:eastAsia="Times New Roman" w:hAnsi="Times New Roman"/>
          <w:sz w:val="18"/>
          <w:szCs w:val="18"/>
          <w:color w:val="auto"/>
        </w:rPr>
        <w:t>Upon the closing of the offering, we will be subject to the informational requirements of the Exchange Act and will file annual, quarterly and current reports, proxy statements and other information with the SEC. You can read our SEC filings, including the registration statement, over the internet at the SEC's website at www.sec.gov. You may also read and copy any document we file with the SEC at its public reference facility at 100 F Street, N.E., Room 1580, Washington, D.C. 20549.</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You may obtain copies of the documents at prescribed rates by writing to the Public Reference Section of the SEC at 100 F Street, N.E., Washington, D.C.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20549. Please call the SEC at 1-800-SEC-0330 for further information on the operations of the public reference facilities.</w:t>
      </w: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24" w:name="page125"/>
    <w:bookmarkEnd w:id="124"/>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INDEX TO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and unaudited consolidated financial statements of Globalstar, Inc.</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Crowe Chizek and Company LLP, independent registered public accounting firm</w:t>
            </w:r>
          </w:p>
        </w:tc>
        <w:tc>
          <w:tcPr>
            <w:tcW w:w="3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GHP Horwath, P.C., independent registered public accounting firm</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7"/>
              </w:rPr>
              <w:t>F-3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2004 and 2005 (audited) and June 30, 2006 (unaudited)</w:t>
            </w:r>
          </w:p>
        </w:tc>
        <w:tc>
          <w:tcPr>
            <w:tcW w:w="3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periods from January 1, 2003 through December 4, 2003 and</w:t>
            </w:r>
          </w:p>
        </w:tc>
        <w:tc>
          <w:tcPr>
            <w:tcW w:w="54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5, 2003 through December 31, 2003 (audited), the years ended December 31, 2004 and 2005 (audited)</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the six months ended June 30, 2005 and 2006 (unaudited)</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7"/>
              </w:rPr>
              <w:t>F-5</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periods from January 1, 2003 through</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4, 2003 and December 5, 2003 through December 31, 2003 (audited), the years ended December 31,</w:t>
            </w:r>
          </w:p>
        </w:tc>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2004 and 2005 (audited) and the six months ended June 30, 2005 and 2006 (unaudited)</w:t>
            </w:r>
          </w:p>
        </w:tc>
        <w:tc>
          <w:tcPr>
            <w:tcW w:w="3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ownership equity (deficit) for the periods from January 1, 2003 through December 4,</w:t>
            </w:r>
          </w:p>
        </w:tc>
        <w:tc>
          <w:tcPr>
            <w:tcW w:w="54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 and December 5, 2003 through December 31, 2003 (audited), the years ended December 31, 2004 and 2005</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(audited) and the six months ended June 30, 2005 and 2006 (unaudited)</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7"/>
              </w:rPr>
              <w:t>F-7</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periods from January 1, 2003 through December 4, 2003 and</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5, 2003 through December 31, 2003 (audited), the years ended December 31, 2004 and 2005 (audited)</w:t>
            </w:r>
          </w:p>
        </w:tc>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six months ended June 30, 2005 and 2006 (unaudited)</w:t>
            </w:r>
          </w:p>
        </w:tc>
        <w:tc>
          <w:tcPr>
            <w:tcW w:w="3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F-11</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F-1</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-3942080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-3942080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25" w:name="page126"/>
    <w:bookmarkEnd w:id="125"/>
    <w:p>
      <w:pPr>
        <w:ind w:right="100" w:firstLine="540"/>
        <w:spacing w:after="0" w:line="257" w:lineRule="auto"/>
        <w:rPr>
          <w:sz w:val="20"/>
          <w:szCs w:val="20"/>
          <w:color w:val="auto"/>
        </w:rPr>
      </w:pPr>
      <w:r>
        <w:rPr>
          <w:rFonts w:ascii="Times New Roman" w:cs="Times New Roman" w:eastAsia="Times New Roman" w:hAnsi="Times New Roman"/>
          <w:sz w:val="18"/>
          <w:szCs w:val="18"/>
          <w:b w:val="1"/>
          <w:bCs w:val="1"/>
          <w:color w:val="auto"/>
        </w:rPr>
        <w:t>The accompanying consolidated financial statements of Globalstar, Inc. have been adjusted as of December 5, 2003 to give effect to a six-for-one stock split of the common stock which is to be effected in connection with the Company's planned initial public offering. The following opinion is in the form which will be signed by Crowe Chizek and Company LLP upon consummation of such stock split, which is described in Note 19 to the accompanying consolidated financial statements and assuming that, from May 15, 2006 to the date of such stock split, no other events have occurred that would affect the accompanying consolidated financial statements or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CROWE CHIZEK AND COMPANY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Globalstar, Inc.</w:t>
      </w:r>
    </w:p>
    <w:p>
      <w:pPr>
        <w:spacing w:after="0" w:line="213"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Globalstar, Inc. as of December 31, 2005 and the related consolidated statements of operations, comprehensive income (loss), ownership equity (deficit), and cash flows for the year then ended. These financial statements are the responsibility of the Company's management. Our responsibility is to express an opinion on these financial statements based on our audit.</w:t>
      </w:r>
    </w:p>
    <w:p>
      <w:pPr>
        <w:spacing w:after="0" w:line="186"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3" w:lineRule="exact"/>
        <w:rPr>
          <w:sz w:val="20"/>
          <w:szCs w:val="20"/>
          <w:color w:val="auto"/>
        </w:rPr>
      </w:pPr>
    </w:p>
    <w:p>
      <w:pPr>
        <w:jc w:val="both"/>
        <w:ind w:right="100" w:firstLine="439"/>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Globalstar, Inc. as of December 31, 2005 and the results of its operations and its cash flows for the year then ended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2006, except for Note 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as of</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50" w:right="279" w:bottom="1440" w:gutter="0" w:footer="0" w:header="0"/>
        </w:sectPr>
      </w:pPr>
    </w:p>
    <w:bookmarkStart w:id="126" w:name="page127"/>
    <w:bookmarkEnd w:id="126"/>
    <w:p>
      <w:pPr>
        <w:ind w:right="80" w:firstLine="439"/>
        <w:spacing w:after="0" w:line="257" w:lineRule="auto"/>
        <w:rPr>
          <w:sz w:val="20"/>
          <w:szCs w:val="20"/>
          <w:color w:val="auto"/>
        </w:rPr>
      </w:pPr>
      <w:r>
        <w:rPr>
          <w:rFonts w:ascii="Times New Roman" w:cs="Times New Roman" w:eastAsia="Times New Roman" w:hAnsi="Times New Roman"/>
          <w:sz w:val="18"/>
          <w:szCs w:val="18"/>
          <w:b w:val="1"/>
          <w:bCs w:val="1"/>
          <w:color w:val="auto"/>
        </w:rPr>
        <w:t>The accompanying consolidated financial statements of Globalstar, Inc. have been adjusted as of December 5, 2003 to give effect to a six-for-one stock split of the common stock which is to be effected in connection with the Company's planned initial public offering. The following opinion is in the form which will be signed by GHP Horwath, P.C. upon consummation of such stock split, which is described in Note 19 to the accompanying consolidated financial statements and assuming that, from April 13, 2005 to the date of such stock split, no other events have occurred that would affect the accompanying consolidated financial statements or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GHP HORWARTH, P.C.</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Globalstar, Inc.</w:t>
      </w:r>
    </w:p>
    <w:p>
      <w:pPr>
        <w:spacing w:after="0" w:line="213" w:lineRule="exact"/>
        <w:rPr>
          <w:sz w:val="20"/>
          <w:szCs w:val="20"/>
          <w:color w:val="auto"/>
        </w:rPr>
      </w:pPr>
    </w:p>
    <w:p>
      <w:pPr>
        <w:ind w:right="40" w:firstLine="436"/>
        <w:spacing w:after="0" w:line="29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Globalstar, Inc. (formerly known as Globalstar LLC) and subsidiaries (Successor Company) (Note 1) as of December 31, 2004 and the related consolidated statements of operations, comprehensive income (loss), ownership equity (deficit) and cash flows for the year ended December 31, 2004 and the period December 5, 2003 to December 31, 2003 (Successor Company Period); and we have audited the consolidated statements of operations, comprehensive income (loss), ownership equity (deficit) and cash flows of Globalstar, L.P. and subsidiaries (Predecessor Company) (Note 1) for the period January 1, 2003 to December 4, 2003 (Predecessor Company Period). These consolidated financial statements are the responsibility of the Company's management. Our responsibility is to express an opinion on these consolidated financial statements based on our audits.</w:t>
      </w:r>
    </w:p>
    <w:p>
      <w:pPr>
        <w:spacing w:after="0" w:line="165"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right="100" w:firstLine="439"/>
        <w:spacing w:after="0" w:line="258" w:lineRule="auto"/>
        <w:rPr>
          <w:sz w:val="20"/>
          <w:szCs w:val="20"/>
          <w:color w:val="auto"/>
        </w:rPr>
      </w:pPr>
      <w:r>
        <w:rPr>
          <w:rFonts w:ascii="Times New Roman" w:cs="Times New Roman" w:eastAsia="Times New Roman" w:hAnsi="Times New Roman"/>
          <w:sz w:val="18"/>
          <w:szCs w:val="18"/>
          <w:color w:val="auto"/>
        </w:rPr>
        <w:t>In our opinion, the aforementioned consolidated financial statements present fairly, in all material respects, the financial position of Globalstar, Inc. and its subsidiaries as of December 31, 2004 and the results of their operations and their cash flows for the year ended December 31, 2004 and the Successor Company Period and the results of operations and cash flows of Globalstar, L.P. and its subsidiaries for the Predecessor Company Period in conformity with accounting principles generally accepted in the United States of America.</w:t>
      </w:r>
    </w:p>
    <w:p>
      <w:pPr>
        <w:spacing w:after="0" w:line="190" w:lineRule="exact"/>
        <w:rPr>
          <w:sz w:val="20"/>
          <w:szCs w:val="20"/>
          <w:color w:val="auto"/>
        </w:rPr>
      </w:pPr>
    </w:p>
    <w:p>
      <w:pPr>
        <w:ind w:firstLine="429"/>
        <w:spacing w:after="0" w:line="258"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on December 5, 2003, the Predecessor Company was effectively acquired through a series of transactions. The consolidated financial statements of the Successor Company reflect the impact of adjustments to present the fair values of assets acquired and liabilities assumed under the purchase method of accounting. As a result, the consolidated financial statements of the Successor Company are presented on a different basis from those of the Predecessor Company and, therefore, are not comparable in all respects.</w:t>
      </w:r>
    </w:p>
    <w:p>
      <w:pPr>
        <w:spacing w:after="0" w:line="190" w:lineRule="exact"/>
        <w:rPr>
          <w:sz w:val="20"/>
          <w:szCs w:val="20"/>
          <w:color w:val="auto"/>
        </w:rPr>
      </w:pPr>
    </w:p>
    <w:p>
      <w:pPr>
        <w:ind w:right="140" w:firstLine="429"/>
        <w:spacing w:after="0" w:line="262" w:lineRule="auto"/>
        <w:rPr>
          <w:sz w:val="20"/>
          <w:szCs w:val="20"/>
          <w:color w:val="auto"/>
        </w:rPr>
      </w:pPr>
      <w:r>
        <w:rPr>
          <w:rFonts w:ascii="Times New Roman" w:cs="Times New Roman" w:eastAsia="Times New Roman" w:hAnsi="Times New Roman"/>
          <w:sz w:val="18"/>
          <w:szCs w:val="18"/>
          <w:color w:val="auto"/>
        </w:rPr>
        <w:t>As also discussed in Note 1 to the consolidated financial statements, the Predecessor Company previously filed for reorganization under Chapter 11 of the Federal Bankruptcy Code and in June 2004 the Predecessor Company's plan of reorganization under Chapter 11 was confirmed. Under the Plan, the remaining debt of the Predecessor Company was discharged and the Predecessor Company was dissolved.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2005, except for Note 12 as to which the date is May 12,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Note 19 as to which the date is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7" w:name="page128"/>
    <w:bookmarkEnd w:id="1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7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$1,187 (2004), $1,774 (2005), and $2,270 (2006)</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for inventory</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Subscription receivable</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45,079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90,206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Globalstar System, net</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Spare satellites and launch costs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property and equipment,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21,260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6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Gateway receivables, net of allowance of $10,784 (2004), $10,784 (2005), and $4,944 (2006)</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63,897</w:t>
            </w:r>
          </w:p>
        </w:tc>
        <w:tc>
          <w:tcPr>
            <w:tcW w:w="200" w:type="dxa"/>
            <w:vAlign w:val="bottom"/>
          </w:tcPr>
          <w:p>
            <w:pPr>
              <w:spacing w:after="0"/>
              <w:rPr>
                <w:sz w:val="23"/>
                <w:szCs w:val="23"/>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113,545</w:t>
            </w:r>
          </w:p>
        </w:tc>
        <w:tc>
          <w:tcPr>
            <w:tcW w:w="180" w:type="dxa"/>
            <w:vAlign w:val="bottom"/>
          </w:tcPr>
          <w:p>
            <w:pPr>
              <w:spacing w:after="0"/>
              <w:rPr>
                <w:sz w:val="23"/>
                <w:szCs w:val="23"/>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196,232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180" w:type="dxa"/>
            <w:vAlign w:val="bottom"/>
            <w:tcBorders>
              <w:right w:val="single" w:sz="8" w:color="CCEEFF"/>
            </w:tcBorders>
            <w:shd w:val="clear" w:color="auto" w:fill="CCEEFF"/>
          </w:tcPr>
          <w:p>
            <w:pPr>
              <w:ind w:left="1780"/>
              <w:spacing w:after="0"/>
              <w:rPr>
                <w:sz w:val="20"/>
                <w:szCs w:val="20"/>
                <w:color w:val="auto"/>
              </w:rPr>
            </w:pPr>
            <w:r>
              <w:rPr>
                <w:rFonts w:ascii="Times New Roman" w:cs="Times New Roman" w:eastAsia="Times New Roman" w:hAnsi="Times New Roman"/>
                <w:sz w:val="14"/>
                <w:szCs w:val="14"/>
                <w:b w:val="1"/>
                <w:bCs w:val="1"/>
                <w:color w:val="auto"/>
              </w:rPr>
              <w:t>LIABILITIES AND OWNERSHIP EQUITY</w:t>
            </w:r>
          </w:p>
        </w:tc>
        <w:tc>
          <w:tcPr>
            <w:tcW w:w="220" w:type="dxa"/>
            <w:vAlign w:val="bottom"/>
            <w:shd w:val="clear" w:color="auto" w:fill="CCEEFF"/>
          </w:tcPr>
          <w:p>
            <w:pPr>
              <w:spacing w:after="0"/>
              <w:rPr>
                <w:sz w:val="24"/>
                <w:szCs w:val="24"/>
                <w:color w:val="auto"/>
              </w:rPr>
            </w:pPr>
          </w:p>
        </w:tc>
        <w:tc>
          <w:tcPr>
            <w:tcW w:w="14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2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Payables to affiliates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17,212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20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Notes payable, net of current portion</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benefit obligations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2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Redeemable Series A common stock; 91,986 shares issued and outstanding at June 30, 2006</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Ownership equity:</w:t>
            </w:r>
          </w:p>
        </w:tc>
        <w:tc>
          <w:tcPr>
            <w:tcW w:w="220" w:type="dxa"/>
            <w:vAlign w:val="bottom"/>
            <w:shd w:val="clear" w:color="auto" w:fill="CCEEFF"/>
          </w:tcPr>
          <w:p>
            <w:pPr>
              <w:spacing w:after="0"/>
              <w:rPr>
                <w:sz w:val="24"/>
                <w:szCs w:val="24"/>
                <w:color w:val="auto"/>
              </w:rPr>
            </w:pPr>
          </w:p>
        </w:tc>
        <w:tc>
          <w:tcPr>
            <w:tcW w:w="14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Common stock, Series A, $0.0001 par value; 300,000,000 shares authorized, 19,369,800 shares issued</w:t>
            </w: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outstanding at June 30, 2006</w:t>
            </w:r>
          </w:p>
        </w:tc>
        <w:tc>
          <w:tcPr>
            <w:tcW w:w="22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Common stock, Series B, $0.0001 par value; 20,000,000 shares authorized, 4,154,400 shares issued and</w:t>
            </w:r>
          </w:p>
        </w:tc>
        <w:tc>
          <w:tcPr>
            <w:tcW w:w="220" w:type="dxa"/>
            <w:vAlign w:val="bottom"/>
            <w:shd w:val="clear" w:color="auto" w:fill="CCEEFF"/>
          </w:tcPr>
          <w:p>
            <w:pPr>
              <w:spacing w:after="0"/>
              <w:rPr>
                <w:sz w:val="11"/>
                <w:szCs w:val="11"/>
                <w:color w:val="auto"/>
              </w:rPr>
            </w:pPr>
          </w:p>
        </w:tc>
        <w:tc>
          <w:tcPr>
            <w:tcW w:w="14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outstanding at June 30, 2006</w:t>
            </w:r>
          </w:p>
        </w:tc>
        <w:tc>
          <w:tcPr>
            <w:tcW w:w="2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Common stock, Series C, $0.0001 par value; 480,000,000 shares authorized, 39,259,308 shares issued</w:t>
            </w: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outstanding at June 30, 2006</w:t>
            </w:r>
          </w:p>
        </w:tc>
        <w:tc>
          <w:tcPr>
            <w:tcW w:w="22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Member interests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54,487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Subscription receivable</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2"/>
                <w:szCs w:val="12"/>
                <w:color w:val="auto"/>
              </w:rPr>
            </w:pPr>
          </w:p>
        </w:tc>
        <w:tc>
          <w:tcPr>
            <w:tcW w:w="1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240" w:type="dxa"/>
            <w:vAlign w:val="bottom"/>
          </w:tcPr>
          <w:p>
            <w:pPr>
              <w:spacing w:after="0"/>
              <w:rPr>
                <w:sz w:val="12"/>
                <w:szCs w:val="12"/>
                <w:color w:val="auto"/>
              </w:rPr>
            </w:pPr>
          </w:p>
        </w:tc>
        <w:tc>
          <w:tcPr>
            <w:tcW w:w="1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(1,884)</w:t>
            </w:r>
          </w:p>
        </w:tc>
        <w:tc>
          <w:tcPr>
            <w:tcW w:w="22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ownership equity</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18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ownership equity</w:t>
            </w:r>
          </w:p>
        </w:tc>
        <w:tc>
          <w:tcPr>
            <w:tcW w:w="2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113,545</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196,232</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-7955280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-7955280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-7612380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-7612380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-7612380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-7612380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-7612380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-7612380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-6266180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-6266180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-6266180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-6266180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-6266180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-6266180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-6017260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-6017260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-6017260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-6017260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-6017260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-6017260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-5485765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-5485765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-5485765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-5485765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-5485765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-5485765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-5236845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-5236845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-5236845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-5236845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-5236845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-5236845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-4610735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-4610735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-4610735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-4610735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-4610735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-4610735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-3376295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-3376295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-3376295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-3376295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-3376295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-3376295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-3127375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-3127375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-3127375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-3127375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-3127375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-3127375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-2501265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-2501265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-2501265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-2501265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-2501265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-2501265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-2252345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-2252345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-2252345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-2252345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-2252345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-2252345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-683260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-683260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-683260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-683260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-683260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-683260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-434340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-434340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-434340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-434340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-434340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-434340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883"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December 5,</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40,048</w:t>
            </w:r>
          </w:p>
        </w:tc>
        <w:tc>
          <w:tcPr>
            <w:tcW w:w="12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2"/>
                <w:szCs w:val="12"/>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57,927</w:t>
            </w:r>
          </w:p>
        </w:tc>
        <w:tc>
          <w:tcPr>
            <w:tcW w:w="10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81,472</w:t>
            </w:r>
          </w:p>
        </w:tc>
        <w:tc>
          <w:tcPr>
            <w:tcW w:w="12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34,965</w:t>
            </w:r>
          </w:p>
        </w:tc>
        <w:tc>
          <w:tcPr>
            <w:tcW w:w="120" w:type="dxa"/>
            <w:vAlign w:val="bottom"/>
          </w:tcPr>
          <w:p>
            <w:pPr>
              <w:spacing w:after="0"/>
              <w:rPr>
                <w:sz w:val="12"/>
                <w:szCs w:val="12"/>
                <w:color w:val="auto"/>
              </w:rPr>
            </w:pPr>
          </w:p>
        </w:tc>
        <w:tc>
          <w:tcPr>
            <w:tcW w:w="100" w:type="dxa"/>
            <w:vAlign w:val="bottom"/>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Subscriber equipment sales</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16,295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45,675</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15,360</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Cost of services (exclusive of depreciation</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amortization shown separately below)</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subscriber equipment sales</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38,742</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Marketing, general, and administrative</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211,854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(260,689)</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(4,474)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(3,541)</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21,870</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8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22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0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20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0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(1,021)</w:t>
            </w:r>
          </w:p>
        </w:tc>
        <w:tc>
          <w:tcPr>
            <w:tcW w:w="22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20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(403)</w:t>
            </w:r>
          </w:p>
        </w:tc>
        <w:tc>
          <w:tcPr>
            <w:tcW w:w="20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(649)</w:t>
            </w:r>
          </w:p>
        </w:tc>
        <w:tc>
          <w:tcPr>
            <w:tcW w:w="18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(261,710)</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(4,554)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(4,314)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Earnings (loss) per common share: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8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Weighted-average shares outstanding:</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60,463,917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61,957,906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60,463,917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61,955,874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62,287,618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 forma C Corporation data (unaudited):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Historical income before income taxes</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 forma income tax expense</w:t>
            </w: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 forma net income</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14,290</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Pro forma earnings per common share: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8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-5911850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-5911850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-5911850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-5911850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-5379720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-5379720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-5379720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-5379720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-5379720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-5379720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-5379720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-5379720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-5379720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-5379720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-5379720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-5379720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-4693920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-4693920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-4693920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-4693920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-4693920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-4693920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-4693920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-4693920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-4693920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-4693920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-4693920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-4693920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-4445000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-4445000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-4445000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-4445000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-4445000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-4445000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-4445000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-4445000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-4445000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-4445000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-4445000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-4445000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-3536315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-3536315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-3536315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-3536315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-3536315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-3536315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-3536315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-3536315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-3536315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-3536315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-3536315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-3536315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-3287395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-3287395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-3287395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-3287395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-3287395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-3287395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-3287395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-3287395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-3287395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-3287395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-3287395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-3287395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-3038475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-3038475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-3038475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-3038475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-3038475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-3038475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-3038475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-3038475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-3038475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-3038475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-3038475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-3038475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-2506980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-2506980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-2506980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-2506980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-2506980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-2506980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-2506980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-2506980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-2506980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-2506980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-2506980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-2506980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-2258060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-2258060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-2258060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-2258060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-2258060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-2258060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-2258060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-2258060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-2258060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-2258060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-2258060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-2258060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-1915160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-1915160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-1915160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-1915160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-1915160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-1915160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-1915160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-1915160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-1915160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-1915160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-1915160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-1915160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-645795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-645795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-645795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-645795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9" w:name="page130"/>
    <w:bookmarkEnd w:id="1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2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December 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2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jc w:val="right"/>
              <w:ind w:right="492"/>
              <w:spacing w:after="0" w:line="149" w:lineRule="exact"/>
              <w:rPr>
                <w:sz w:val="20"/>
                <w:szCs w:val="20"/>
                <w:color w:val="auto"/>
              </w:rPr>
            </w:pPr>
            <w:r>
              <w:rPr>
                <w:rFonts w:ascii="Times New Roman" w:cs="Times New Roman" w:eastAsia="Times New Roman" w:hAnsi="Times New Roman"/>
                <w:sz w:val="14"/>
                <w:szCs w:val="14"/>
                <w:color w:val="auto"/>
              </w:rPr>
              <w:t>Minimum pension liability adjustment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(1,356)</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left="692"/>
              <w:spacing w:after="0" w:line="149" w:lineRule="exact"/>
              <w:rPr>
                <w:sz w:val="20"/>
                <w:szCs w:val="20"/>
                <w:color w:val="auto"/>
              </w:rPr>
            </w:pPr>
            <w:r>
              <w:rPr>
                <w:rFonts w:ascii="Times New Roman" w:cs="Times New Roman" w:eastAsia="Times New Roman" w:hAnsi="Times New Roman"/>
                <w:sz w:val="14"/>
                <w:szCs w:val="14"/>
                <w:color w:val="auto"/>
                <w:w w:val="98"/>
              </w:rPr>
              <w:t>(678)</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Net foreign currency translation adjustment</w:t>
            </w: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left="692"/>
              <w:spacing w:after="0"/>
              <w:rPr>
                <w:sz w:val="20"/>
                <w:szCs w:val="20"/>
                <w:color w:val="auto"/>
              </w:rPr>
            </w:pPr>
            <w:r>
              <w:rPr>
                <w:rFonts w:ascii="Times New Roman" w:cs="Times New Roman" w:eastAsia="Times New Roman" w:hAnsi="Times New Roman"/>
                <w:sz w:val="14"/>
                <w:szCs w:val="14"/>
                <w:color w:val="auto"/>
                <w:w w:val="98"/>
              </w:rPr>
              <w:t>(266)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2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-1591945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-1591945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-1591945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-1060450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-1060450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-1060450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-1060450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-1060450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-1060450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-1060450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-1060450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-1060450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-1060450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-1060450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-280035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-280035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-280035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-280035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-280035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-280035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-280035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-280035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-280035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-280035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-280035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OWNERSHIP EQUITY (DEFICIT)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Member</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Subscription</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hensive</w:t>
            </w: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Partners'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Predecessor: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Balances—January 1, 2003</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(3,150,598)</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 (3,150,598)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loss—period from January 1, 2003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4, 2003</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(261,880)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(261,880)</w:t>
            </w:r>
          </w:p>
        </w:tc>
        <w:tc>
          <w:tcPr>
            <w:tcW w:w="0" w:type="dxa"/>
            <w:vAlign w:val="bottom"/>
          </w:tcPr>
          <w:p>
            <w:pPr>
              <w:spacing w:after="0"/>
              <w:rPr>
                <w:sz w:val="1"/>
                <w:szCs w:val="1"/>
                <w:color w:val="auto"/>
              </w:rPr>
            </w:pPr>
          </w:p>
        </w:tc>
      </w:tr>
      <w:tr>
        <w:trPr>
          <w:trHeight w:val="118"/>
        </w:trPr>
        <w:tc>
          <w:tcPr>
            <w:tcW w:w="32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Balances—December 4, 2003</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(3,412,478)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 (3,412,478)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Successor: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Beginning Old Globalstar balances—December 5, 2003</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  $</w:t>
            </w:r>
          </w:p>
        </w:tc>
        <w:tc>
          <w:tcPr>
            <w:tcW w:w="1040" w:type="dxa"/>
            <w:vAlign w:val="bottom"/>
            <w:gridSpan w:val="3"/>
          </w:tcPr>
          <w:p>
            <w:pPr>
              <w:ind w:left="7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(3,412,478)</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 (3,412,478)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Contribution of certain Old Globalstar net assets to New</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Globalstar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51,000,000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cash contribution—December 5, 2003</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loss—period from December 5, 2003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2003</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(3,716)</w:t>
            </w:r>
          </w:p>
        </w:tc>
        <w:tc>
          <w:tcPr>
            <w:tcW w:w="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0" w:type="dxa"/>
            <w:vAlign w:val="bottom"/>
          </w:tcPr>
          <w:p>
            <w:pPr>
              <w:spacing w:after="0"/>
              <w:rPr>
                <w:sz w:val="1"/>
                <w:szCs w:val="1"/>
                <w:color w:val="auto"/>
              </w:rPr>
            </w:pPr>
          </w:p>
        </w:tc>
      </w:tr>
      <w:tr>
        <w:trPr>
          <w:trHeight w:val="118"/>
        </w:trPr>
        <w:tc>
          <w:tcPr>
            <w:tcW w:w="3240" w:type="dxa"/>
            <w:vAlign w:val="bottom"/>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Balances—December 31, 2003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60,000,000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(3,423,179)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(3,415,195)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A—18,441,960</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B—2,298,732</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C—39,259,308</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Conversion of liabilities subject to compromise to New</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Globalstar member interests, including New Globalstar's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assumption of liabilities of $1,416</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(1,416)</w:t>
            </w:r>
          </w:p>
        </w:tc>
        <w:tc>
          <w:tcPr>
            <w:tcW w:w="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3,423,179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3,421,763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issued in exchange for: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loans, related party</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(issuance of Series B member interests)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1,855,668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Borders>
              <w:right w:val="single" w:sz="8" w:color="CCEEFF"/>
            </w:tcBorders>
            <w:shd w:val="clear" w:color="auto" w:fill="CCEEFF"/>
          </w:tcPr>
          <w:p>
            <w:pPr>
              <w:ind w:left="100"/>
              <w:spacing w:after="0" w:line="136" w:lineRule="exact"/>
              <w:rPr>
                <w:sz w:val="20"/>
                <w:szCs w:val="20"/>
                <w:color w:val="auto"/>
              </w:rPr>
            </w:pPr>
            <w:r>
              <w:rPr>
                <w:rFonts w:ascii="Times New Roman" w:cs="Times New Roman" w:eastAsia="Times New Roman" w:hAnsi="Times New Roman"/>
                <w:sz w:val="14"/>
                <w:szCs w:val="14"/>
                <w:color w:val="auto"/>
              </w:rPr>
              <w:t>Subscription receivable, including $4,235 received in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April 2005</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A and B rights offering: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Borders>
              <w:right w:val="single" w:sz="8" w:color="CCEEFF"/>
            </w:tcBorders>
            <w:shd w:val="clear" w:color="auto" w:fill="CCEEFF"/>
          </w:tcPr>
          <w:p>
            <w:pPr>
              <w:ind w:left="100"/>
              <w:spacing w:after="0" w:line="136" w:lineRule="exact"/>
              <w:rPr>
                <w:sz w:val="20"/>
                <w:szCs w:val="20"/>
                <w:color w:val="auto"/>
              </w:rPr>
            </w:pPr>
            <w:r>
              <w:rPr>
                <w:rFonts w:ascii="Times New Roman" w:cs="Times New Roman" w:eastAsia="Times New Roman" w:hAnsi="Times New Roman"/>
                <w:sz w:val="14"/>
                <w:szCs w:val="14"/>
                <w:color w:val="auto"/>
              </w:rPr>
              <w:t>Member interests issued to current members in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for cash</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Member interests redeemed from Thermo in exchange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 cash</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(8,749)</w:t>
            </w:r>
          </w:p>
        </w:tc>
        <w:tc>
          <w:tcPr>
            <w:tcW w:w="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services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40" w:type="dxa"/>
            <w:vAlign w:val="bottom"/>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Balances—December 31, 2004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61,855,668</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54,487</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(1,066)</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A—18,441,960</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B—4,154,400</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C—39,259,308</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-5269230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-5269230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-5269230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-5269230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-4643120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-4643120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-4643120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-4643120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-4643120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-4643120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-4643120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-4643120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-4643120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-4643120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-4643120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-4643120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-4643120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-4643120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-4643120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-4643120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-4643120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-4643120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-4111625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-4111625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-4111625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-4111625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-3030855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-3030855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-3030855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-3030855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-3030855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-3030855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-3030855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-3030855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-3030855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-3030855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-3030855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-3030855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-629920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-629920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-629920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-629920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-629920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-629920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-629920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-629920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-629920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-629920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-629920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-629920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OWNERSHIP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Member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Compre-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4"/>
              </w:rPr>
              <w:t>Subscription</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hensive</w:t>
            </w:r>
          </w:p>
        </w:tc>
        <w:tc>
          <w:tcPr>
            <w:tcW w:w="1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Partners'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0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services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of minority interests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Reclassification of subscription receivable (received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March 2006)</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Balances—December 31, 2005</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61,855,668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6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 interests Series A—18,441,960</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B—4,154,400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C—39,259,308</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Recapitalization (unaudited)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(73,314)</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 payable to member (unaudited)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services (unaudited)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9"/>
              </w:rPr>
              <w:t>Issuance of common stock in connection with Thermo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(unaudited)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(unaudited)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Balances—June 30, 2006 (unaudited)</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62,783,508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87,694</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109,200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Conversion of membership interests into common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A</w:t>
            </w: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(18,533,946)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60" w:type="dxa"/>
            <w:vAlign w:val="bottom"/>
            <w:gridSpan w:val="2"/>
          </w:tcPr>
          <w:p>
            <w:pPr>
              <w:spacing w:after="0"/>
              <w:rPr>
                <w:sz w:val="9"/>
                <w:szCs w:val="9"/>
                <w:color w:val="auto"/>
              </w:rPr>
            </w:pPr>
          </w:p>
        </w:tc>
        <w:tc>
          <w:tcPr>
            <w:tcW w:w="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6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 Interests Series B</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(4,154,400)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 Interests Series C</w:t>
            </w: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(39,259,308)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6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Series 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18,533,946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Series B</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4,154,400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60" w:type="dxa"/>
            <w:vAlign w:val="bottom"/>
            <w:gridSpan w:val="2"/>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Series C</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39,259,308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-4867910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-4867910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-4867910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-4867910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-4242435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-4242435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-4242435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-4242435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-4242435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-4242435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-4242435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-4242435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-4242435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-4242435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-4242435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-4242435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-4242435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-4242435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-4242435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-4242435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-4242435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-4242435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-3427730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-3427730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-3427730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-3427730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-3427730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-3427730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-3427730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-3427730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-3427730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-3427730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-3427730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-3427730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-2063750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-2063750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-2063750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-2063750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-2063750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-2063750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-2063750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-2063750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-2063750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-2063750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-2063750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-2063750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-2063750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-2063750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-2063750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-2063750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-2063750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-2063750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2" w:name="page133"/>
    <w:bookmarkEnd w:id="13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December 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(261,880)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18,719</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Disposal of fixed assets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gateway receivables</w:t>
            </w: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bad debts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Contribution of services</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214,360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non-cash gains</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acquisitions: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12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(15,915)</w:t>
            </w: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(3,021)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Advances for inventory</w:t>
            </w: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(2,875)</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Receivables from affiliates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Payables to affiliates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tcPr>
          <w:p>
            <w:pPr>
              <w:ind w:left="400"/>
              <w:spacing w:after="0" w:line="136" w:lineRule="exact"/>
              <w:rPr>
                <w:sz w:val="20"/>
                <w:szCs w:val="20"/>
                <w:color w:val="auto"/>
              </w:rPr>
            </w:pPr>
            <w:r>
              <w:rPr>
                <w:rFonts w:ascii="Times New Roman" w:cs="Times New Roman" w:eastAsia="Times New Roman" w:hAnsi="Times New Roman"/>
                <w:sz w:val="14"/>
                <w:szCs w:val="14"/>
                <w:color w:val="auto"/>
              </w:rPr>
              <w:t>Accrued expenses and employee benefit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obligations</w:t>
            </w:r>
          </w:p>
        </w:tc>
        <w:tc>
          <w:tcPr>
            <w:tcW w:w="1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(20,044)</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Spare satellites and launch costs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(2,066)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Cash receipts for production gateways and user</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terminals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and equipment additions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(7,819)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for business acquisitions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Net cash from investing activities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(4,015)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(10,141)</w:t>
            </w:r>
          </w:p>
        </w:tc>
        <w:tc>
          <w:tcPr>
            <w:tcW w:w="12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(42,671)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term loans</w:t>
            </w: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Borrowings under revolving credit</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facility</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Repayment of term loans</w:t>
            </w:r>
          </w:p>
        </w:tc>
        <w:tc>
          <w:tcPr>
            <w:tcW w:w="18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(10,149)</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subscription receivable</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Principal payments on notes payable</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transaction cost payments</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Redemption of member interests</w:t>
            </w:r>
          </w:p>
        </w:tc>
        <w:tc>
          <w:tcPr>
            <w:tcW w:w="18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Proceeds related to Series A and B rights</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offering</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Proceeds from issuance of membership</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1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Proceeds from issuance of Series A common</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4,146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-6343015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-6343015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-6343015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-6343015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-5811520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-5811520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-5811520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-5811520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-5811520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-5811520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-5811520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-5811520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-5811520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-5811520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-5811520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-5811520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-3144520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-3144520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-3144520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-3144520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-3144520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-3144520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-3144520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-3144520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-3144520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-3144520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-3144520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-3144520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-2895600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-2895600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-2895600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-2895600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-2895600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-2895600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-2895600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-2895600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-2895600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-2895600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-2895600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-2895600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-2080895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-2080895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-2080895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-2080895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-2080895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-2080895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-2080895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-2080895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-2080895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-2080895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-2080895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-2080895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-1832610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-1832610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-1832610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-1832610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-1832610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-1832610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-1832610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-1832610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-1832610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-1832610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-1832610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-1832610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-262890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-262890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-262890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-262890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-262890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-262890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-262890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-262890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-262890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-262890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-262890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-262890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-14605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-14605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-14605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-14605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-14605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-14605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-14605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339" w:right="8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140" w:type="dxa"/>
            <w:vAlign w:val="bottom"/>
          </w:tcPr>
          <w:p>
            <w:pPr>
              <w:spacing w:after="0"/>
              <w:rPr>
                <w:sz w:val="20"/>
                <w:szCs w:val="20"/>
                <w:color w:val="auto"/>
              </w:rPr>
            </w:pPr>
          </w:p>
        </w:tc>
        <w:tc>
          <w:tcPr>
            <w:tcW w:w="10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December 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14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86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0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9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w:t>
            </w: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84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equivalents</w:t>
            </w:r>
          </w:p>
        </w:tc>
        <w:tc>
          <w:tcPr>
            <w:tcW w:w="9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(6,696)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15,284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16,942</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20,026</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40" w:type="dxa"/>
            <w:vAlign w:val="bottom"/>
            <w:gridSpan w:val="2"/>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00" w:type="dxa"/>
            <w:vAlign w:val="bottom"/>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16,942</w:t>
            </w:r>
          </w:p>
        </w:tc>
        <w:tc>
          <w:tcPr>
            <w:tcW w:w="20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13,330</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20,270</w:t>
            </w:r>
          </w:p>
        </w:tc>
        <w:tc>
          <w:tcPr>
            <w:tcW w:w="200" w:type="dxa"/>
            <w:vAlign w:val="bottom"/>
          </w:tcPr>
          <w:p>
            <w:pPr>
              <w:spacing w:after="0"/>
              <w:rPr>
                <w:sz w:val="23"/>
                <w:szCs w:val="2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21,074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Supplemental disclosure of cash flow</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for:</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23"/>
                <w:szCs w:val="2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20" w:type="dxa"/>
            <w:vAlign w:val="bottom"/>
            <w:tcBorders>
              <w:right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Supplemental disclosure of noncash financing</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investing activities:</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transactions:</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Fair value of assets acquired</w:t>
            </w:r>
          </w:p>
        </w:tc>
        <w:tc>
          <w:tcPr>
            <w:tcW w:w="9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paid</w:t>
            </w:r>
          </w:p>
        </w:tc>
        <w:tc>
          <w:tcPr>
            <w:tcW w:w="9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Liabilities assumed</w:t>
            </w:r>
          </w:p>
        </w:tc>
        <w:tc>
          <w:tcPr>
            <w:tcW w:w="9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offset by accounts payable and</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notes payable</w:t>
            </w:r>
          </w:p>
        </w:tc>
        <w:tc>
          <w:tcPr>
            <w:tcW w:w="900" w:type="dxa"/>
            <w:vAlign w:val="bottom"/>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200" w:type="dxa"/>
            <w:vAlign w:val="bottom"/>
          </w:tcPr>
          <w:p>
            <w:pPr>
              <w:spacing w:after="0"/>
              <w:rPr>
                <w:sz w:val="15"/>
                <w:szCs w:val="15"/>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2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Reduction in liabilities subject to</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compromise upon settlements with Loral</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Space Communications, Ltd and Elsacom</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SpA</w:t>
            </w:r>
          </w:p>
        </w:tc>
        <w:tc>
          <w:tcPr>
            <w:tcW w:w="9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Terms loans converted to member interests</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2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Inventory acquired in exchange for member</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 of subscription receivable</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Dissolvement of predecessor company:</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20" w:type="dxa"/>
            <w:vAlign w:val="bottom"/>
          </w:tcPr>
          <w:p>
            <w:pPr>
              <w:ind w:left="400"/>
              <w:spacing w:after="0" w:line="136" w:lineRule="exact"/>
              <w:rPr>
                <w:sz w:val="20"/>
                <w:szCs w:val="20"/>
                <w:color w:val="auto"/>
              </w:rPr>
            </w:pPr>
            <w:r>
              <w:rPr>
                <w:rFonts w:ascii="Times New Roman" w:cs="Times New Roman" w:eastAsia="Times New Roman" w:hAnsi="Times New Roman"/>
                <w:sz w:val="14"/>
                <w:szCs w:val="14"/>
                <w:color w:val="auto"/>
              </w:rPr>
              <w:t>Conversion of liability subject to</w:t>
            </w: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compromise to New Globalstar Member</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3,423,179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Assumption of liabilities</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(1,416)</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3,421,763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Borders>
              <w:right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launch costs</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 payable to member</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20" w:type="dxa"/>
            <w:vAlign w:val="bottom"/>
            <w:tcBorders>
              <w:right w:val="single" w:sz="8" w:color="CCEEFF"/>
            </w:tcBorders>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Issuance of common stock in conjunction</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with acquisition</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-7037705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-7037705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-7037705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-7037705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-6506210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-6506210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-6506210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-6506210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-6506210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-6506210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-6506210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-6506210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-6506210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-6506210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-6506210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-6506210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-6009005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-6009005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-6009005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-6009005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-6009005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-6009005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-6009005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-6009005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-6009005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-6009005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-6009005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-6009005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-5571490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-5571490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-5571490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-5571490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-5571490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-5571490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-5571490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-5571490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-5571490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-5571490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-5571490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-5571490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-3864610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-3864610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-1172210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-1172210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3" w:right="919" w:bottom="1440" w:gutter="0" w:footer="0" w:header="0"/>
        </w:sectPr>
      </w:pPr>
    </w:p>
    <w:bookmarkStart w:id="134" w:name="page135"/>
    <w:bookmarkEnd w:id="1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ORGANIZATION AND BASIS OF ACCOUNTING</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Globalstar, Inc. (Note 17) ("Globalstar" or "Globalstar LLC" or "New Globalstar" or the "Company") was initially formed in November 2003 as New Operating Globalstar LLC, a Delaware limited liability company, for the purpose of acquiring substantially all the assets of Globalstar, L.P. ("Old Globalstar") and its subsidiaries in a Chapter 11 bankruptcy proceeding. Globalstar acquired the Old Globalstar assets and assumed certain liabilities pursuant to an Asset Contribution Agreement among Thermo Capital Partners, L.L.C. and its affiliates (collectively referred to as "Thermo"), New Globalstar, Old Globalstar and Old Globalstar's unsecured creditors. The asset acquisition (the "Thermo Transaction") was accomplished in a two stage closing process. The total value of the Thermo Transaction was $52.9 million, which consisted of Thermo's investment of $43.0 million for an 81.25% ownership of New Globalstar and the exchange of an 18.75% interest in New Globalstar for the net assets of Old Globalstar valued at $9.9 million. The first stage was completed on December 5, 2003 pursuant to an order of the bankruptcy court dated December 2, 2003. The first stage included:</w:t>
      </w:r>
    </w:p>
    <w:p>
      <w:pPr>
        <w:spacing w:after="0" w:line="206"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Thermo's commitment to a total investment of $43.0 million, subject to certain conditions including the completion of the stage two closing.</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New Globalstar. Thermo contributed cash of $1.8 million in exchange for a 14.8% member interest. Old Globalstar contributed certain non-regulated assets and certain operating liabilities of Old Globalstar (excluding liabilities subject to compromise) in exchange for an 85.2% member interest.</w:t>
      </w:r>
    </w:p>
    <w:p>
      <w:pPr>
        <w:spacing w:after="0" w:line="199"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Thermo's purchase and replacement of Old Globalstar's existing $20.0 million debtor-in-possession financing, plus accrued interest of $765,000 (Note 6).</w:t>
      </w:r>
    </w:p>
    <w:p>
      <w:pPr>
        <w:spacing w:after="0" w:line="187"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 management agreement. Under the management agreement, operational control of the business, as well as certain ownership rights and risks, was effectively transferred to Thermo and New Globalstar.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second stage was completed on April 14, 2004. The second stage included:</w:t>
      </w:r>
    </w:p>
    <w:p>
      <w:pPr>
        <w:spacing w:after="0" w:line="252"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assets requiring United States Federal Communications Commission consents from Old Globalstar to New Globalstar.</w:t>
      </w:r>
    </w:p>
    <w:p>
      <w:pPr>
        <w:spacing w:after="0" w:line="238"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$17.950 million due to Thermo under the debtor-in-possession financing (consisting of $10.765 million of the total outstanding after the stage one transactions, $1.6 million that was drawn in December 2003, $5.0 million that was drawn from February to March 2004 and $685,000 in accrued interest) into New Globalstar membership interests (Note 6).</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closing of the Thermo Transaction, the Company was directly and indirectly owned 81.25% by Thermo and 18.75% by Old Globalstar.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Thermo's 81.25% ownership interest is represented by its $43.0 million commitment. At the completion of the second stage, Thermo had invested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$18.8 million and had a remaining commitment of $24.2 million. Thermo invested an additional $7.0 million through equity contributions in 2004, an additional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in April 2005, and the remaining $13.0 million was invested by Thermo in March 2006. At December 31, 2004, the $4.2 million received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2005 was classified as a current asset, subscription receivable. At December 31, 2005, the $13.0 million received in March 2006 was classified as a current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subscription receivable.</w:t>
      </w:r>
    </w:p>
    <w:p>
      <w:pPr>
        <w:spacing w:after="0" w:line="213" w:lineRule="exact"/>
        <w:rPr>
          <w:sz w:val="20"/>
          <w:szCs w:val="20"/>
          <w:color w:val="auto"/>
        </w:rPr>
      </w:pPr>
    </w:p>
    <w:p>
      <w:pPr>
        <w:ind w:right="340" w:firstLine="436"/>
        <w:spacing w:after="0" w:line="275" w:lineRule="auto"/>
        <w:rPr>
          <w:sz w:val="20"/>
          <w:szCs w:val="20"/>
          <w:color w:val="auto"/>
        </w:rPr>
      </w:pPr>
      <w:r>
        <w:rPr>
          <w:rFonts w:ascii="Times New Roman" w:cs="Times New Roman" w:eastAsia="Times New Roman" w:hAnsi="Times New Roman"/>
          <w:sz w:val="18"/>
          <w:szCs w:val="18"/>
          <w:color w:val="auto"/>
        </w:rPr>
        <w:t>Thermo is a private equity firm, headquartered in Denver, Colorado, with investments in the telecommunications, industrial distribution, real estate and energy sectors.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5" w:name="page136"/>
    <w:bookmarkEnd w:id="135"/>
    <w:p>
      <w:pPr>
        <w:ind w:firstLine="439"/>
        <w:spacing w:after="0" w:line="259" w:lineRule="auto"/>
        <w:rPr>
          <w:sz w:val="20"/>
          <w:szCs w:val="20"/>
          <w:color w:val="auto"/>
        </w:rPr>
      </w:pPr>
      <w:r>
        <w:rPr>
          <w:rFonts w:ascii="Times New Roman" w:cs="Times New Roman" w:eastAsia="Times New Roman" w:hAnsi="Times New Roman"/>
          <w:sz w:val="18"/>
          <w:szCs w:val="18"/>
          <w:color w:val="auto"/>
        </w:rPr>
        <w:t xml:space="preserve">Old Globalstar's </w:t>
      </w:r>
      <w:r>
        <w:rPr>
          <w:rFonts w:ascii="Times New Roman" w:cs="Times New Roman" w:eastAsia="Times New Roman" w:hAnsi="Times New Roman"/>
          <w:sz w:val="18"/>
          <w:szCs w:val="18"/>
          <w:i w:val="1"/>
          <w:iCs w:val="1"/>
          <w:color w:val="auto"/>
        </w:rPr>
        <w:t>First Modified Fourth Amended Joint Plan under Chapter 11 of the Bankruptcy Code</w:t>
      </w:r>
      <w:r>
        <w:rPr>
          <w:rFonts w:ascii="Times New Roman" w:cs="Times New Roman" w:eastAsia="Times New Roman" w:hAnsi="Times New Roman"/>
          <w:sz w:val="18"/>
          <w:szCs w:val="18"/>
          <w:color w:val="auto"/>
        </w:rPr>
        <w:t xml:space="preserve"> (the "Plan") became effective on June 29, 2004. Pursuant to this Plan, Old Globalstar was dissolved and its 18.75% minority ownership share (represented by 11,250,000 membership interest units) in New Globalstar was distributed to its unsecured creditors (represented by the approximately $3.4 billion of "liabilities subject to compromise"), including the founders of Old Globalstar, Loral Space and Communications, Ltd. ("Loral") and QUALCOMM Incorporated ("QUALCOMM").</w:t>
      </w:r>
    </w:p>
    <w:p>
      <w:pPr>
        <w:spacing w:after="0" w:line="189"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Under Old Globalstar's Plan, the holders of allowed claims were provided the right to purchase membership units in New Globalstar from Thermo in a rights offering which was completed on October 12, 2004. The rights offering was divided into two series. The Series A rights allowed holders to purchase an aggregate 15.12% membership interest in New Globalstar for $8.0 million. The Series B rights allowed holders to purchase an aggregate 2.5% membership interest in New Globalstar for $4.0 million. The Series A rights offering was fully subscribed, resulting in the issuance of 9,072,000 membership interest units to unsecured creditors of Old Globalstar at a price of $8.0 million. The Series B rights offering was partially subscribed, resulting in the issuance of an additional 280,692 membership interest units at a price of $749,000. In accordance with the Plan, the Company redeemed an equal number of units held by Thermo in exchange for a payment of $8,749,000.</w:t>
      </w:r>
    </w:p>
    <w:p>
      <w:pPr>
        <w:spacing w:after="0" w:line="195" w:lineRule="exact"/>
        <w:rPr>
          <w:sz w:val="20"/>
          <w:szCs w:val="20"/>
          <w:color w:val="auto"/>
        </w:rPr>
      </w:pPr>
    </w:p>
    <w:p>
      <w:pPr>
        <w:ind w:right="60" w:firstLine="439"/>
        <w:spacing w:after="0" w:line="262" w:lineRule="auto"/>
        <w:rPr>
          <w:sz w:val="20"/>
          <w:szCs w:val="20"/>
          <w:color w:val="auto"/>
        </w:rPr>
      </w:pPr>
      <w:r>
        <w:rPr>
          <w:rFonts w:ascii="Times New Roman" w:cs="Times New Roman" w:eastAsia="Times New Roman" w:hAnsi="Times New Roman"/>
          <w:sz w:val="18"/>
          <w:szCs w:val="18"/>
          <w:color w:val="auto"/>
        </w:rPr>
        <w:t>In April 2004, the Company agreed to purchase 22,500 mobile phones from QUALCOMM. Effective October 2004, the Company and QUALCOMM restated the terms of this transaction so that QUALCOMM provided the 22,500 mobile phones and various accessories to Globalstar in exchange for $1,875,000 and 1,855,668 membership interest units in Globalstar with a fair value of $5.3 million.</w:t>
      </w:r>
    </w:p>
    <w:p>
      <w:pPr>
        <w:spacing w:after="0" w:line="186" w:lineRule="exact"/>
        <w:rPr>
          <w:sz w:val="20"/>
          <w:szCs w:val="20"/>
          <w:color w:val="auto"/>
        </w:rPr>
      </w:pPr>
    </w:p>
    <w:p>
      <w:pPr>
        <w:ind w:right="100" w:firstLine="439"/>
        <w:spacing w:after="0" w:line="301" w:lineRule="auto"/>
        <w:rPr>
          <w:sz w:val="20"/>
          <w:szCs w:val="20"/>
          <w:color w:val="auto"/>
        </w:rPr>
      </w:pPr>
      <w:r>
        <w:rPr>
          <w:rFonts w:ascii="Times New Roman" w:cs="Times New Roman" w:eastAsia="Times New Roman" w:hAnsi="Times New Roman"/>
          <w:sz w:val="16"/>
          <w:szCs w:val="16"/>
          <w:color w:val="auto"/>
        </w:rPr>
        <w:t>In April 2004, certain management employees of the Company, as an incentive, were given the right to purchase up to 360,000 membership units directly from Thermo at a price equivalent to Thermo's April 2004 investment. As of January 2005, a total of 138,000 units had been purchased from Thermo and transferred to such employees. The remaining rights expired at that time. The intrinsic value of these rights was zero. The fair value of these rights using the minimum value method (risk free interest of 1.5%, expected life of nine months, no expected dividends, and zero volatility) was not significant.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After the above transactions and the 2004 Thermo equity transactions, Globalstar's membership interests at December 31, 2004 and 2005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Membership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Membership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Interest Units as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Interest Units as of</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 2004</w:t>
            </w: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 2005</w:t>
            </w: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Thermo</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39,397,308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63.69%</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39,259,308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Qualcomm</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4,154,400</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4,154,400</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18,303,960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29.59%</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18,441,960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118"/>
        </w:trPr>
        <w:tc>
          <w:tcPr>
            <w:tcW w:w="4780" w:type="dxa"/>
            <w:vAlign w:val="bottom"/>
            <w:gridSpan w:val="2"/>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61,855,668</w:t>
            </w:r>
          </w:p>
        </w:tc>
        <w:tc>
          <w:tcPr>
            <w:tcW w:w="1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61,855,668</w:t>
            </w: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-889000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-889000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-889000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-889000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-889000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-889000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-889000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-889000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-323215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-323215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300" w:firstLine="439"/>
        <w:spacing w:after="0" w:line="262" w:lineRule="auto"/>
        <w:rPr>
          <w:sz w:val="20"/>
          <w:szCs w:val="20"/>
          <w:color w:val="auto"/>
        </w:rPr>
      </w:pPr>
      <w:r>
        <w:rPr>
          <w:rFonts w:ascii="Times New Roman" w:cs="Times New Roman" w:eastAsia="Times New Roman" w:hAnsi="Times New Roman"/>
          <w:sz w:val="18"/>
          <w:szCs w:val="18"/>
          <w:color w:val="auto"/>
        </w:rPr>
        <w:t>Management has determined that operational control of the Globalstar business passed to New Globalstar with the completion of the first stage of the Thermo Transaction on December 5, 2003. Accordingly, Old Globalstar's results of operations and cash flows prior to December 5, 2003 are presented as the "Predecessor" or "Predecessor Period." The results of operations, financial position and cash flows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2" w:right="319" w:bottom="1440" w:gutter="0" w:footer="0" w:header="0"/>
        </w:sectPr>
      </w:pPr>
    </w:p>
    <w:bookmarkStart w:id="136" w:name="page137"/>
    <w:bookmarkEnd w:id="136"/>
    <w:p>
      <w:pPr>
        <w:ind w:right="80"/>
        <w:spacing w:after="0" w:line="275" w:lineRule="auto"/>
        <w:rPr>
          <w:sz w:val="20"/>
          <w:szCs w:val="20"/>
          <w:color w:val="auto"/>
        </w:rPr>
      </w:pPr>
      <w:r>
        <w:rPr>
          <w:rFonts w:ascii="Times New Roman" w:cs="Times New Roman" w:eastAsia="Times New Roman" w:hAnsi="Times New Roman"/>
          <w:sz w:val="18"/>
          <w:szCs w:val="18"/>
          <w:color w:val="auto"/>
        </w:rPr>
        <w:t>of New Globalstar and Globalstar, L.P. thereafter are collectively presented as the "Successor," and periods after December 5, 2003 are referred to as "Successor Period(s)." The Thermo Transaction has been accounted for using the purchase method of accounting.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assets acquired, liabilities assumed and the allocation of the acquisition cost (in thousands):</w:t>
      </w:r>
    </w:p>
    <w:p>
      <w:pPr>
        <w:spacing w:after="0" w:line="22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December 5, 2003</w:t>
            </w:r>
          </w:p>
        </w:tc>
      </w:tr>
      <w:tr>
        <w:trPr>
          <w:trHeight w:val="120"/>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r>
      <w:tr>
        <w:trPr>
          <w:trHeight w:val="22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106"/>
        </w:trPr>
        <w:tc>
          <w:tcPr>
            <w:tcW w:w="6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48,243</w:t>
            </w:r>
          </w:p>
        </w:tc>
      </w:tr>
      <w:tr>
        <w:trPr>
          <w:trHeight w:val="118"/>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2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w:t>
            </w:r>
          </w:p>
        </w:tc>
      </w:tr>
      <w:tr>
        <w:trPr>
          <w:trHeight w:val="217"/>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118"/>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w:t>
            </w:r>
          </w:p>
        </w:tc>
      </w:tr>
      <w:tr>
        <w:trPr>
          <w:trHeight w:val="120"/>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61"/>
        </w:trPr>
        <w:tc>
          <w:tcPr>
            <w:tcW w:w="6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-1764030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-1764030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-1334770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-1334770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-1043305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-1043305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-614680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-614680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Globalstar</w:t>
      </w:r>
    </w:p>
    <w:p>
      <w:pPr>
        <w:spacing w:after="0" w:line="227"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The New Globalstar operating agreement provides that the term of the Company shall continue until the sale of substantially all of the Company's assets or certain other defined events. Each member's liability is limited to its contributions. Generally net profits, net losses and distributions are allocated to members in proportion to their respective membership interests.</w:t>
      </w:r>
    </w:p>
    <w:p>
      <w:pPr>
        <w:spacing w:after="0" w:line="186" w:lineRule="exact"/>
        <w:rPr>
          <w:sz w:val="20"/>
          <w:szCs w:val="20"/>
          <w:color w:val="auto"/>
        </w:rPr>
      </w:pPr>
    </w:p>
    <w:p>
      <w:pPr>
        <w:jc w:val="both"/>
        <w:ind w:right="60" w:firstLine="429"/>
        <w:spacing w:after="0" w:line="262" w:lineRule="auto"/>
        <w:rPr>
          <w:sz w:val="20"/>
          <w:szCs w:val="20"/>
          <w:color w:val="auto"/>
        </w:rPr>
      </w:pPr>
      <w:r>
        <w:rPr>
          <w:rFonts w:ascii="Times New Roman" w:cs="Times New Roman" w:eastAsia="Times New Roman" w:hAnsi="Times New Roman"/>
          <w:sz w:val="18"/>
          <w:szCs w:val="18"/>
          <w:color w:val="auto"/>
        </w:rPr>
        <w:t>As of December 31, 2005, Globalstar's operating subsidiaries included Globalstar USA, LLC, Globalstar Canada Satellite Co., Globalstar Europe Satellite Services, Ltd, and Globalstar de Venezuela, which provide satellite services in the United States, Canada, Europe, and South America, respectively. In addition, the Company and its subsidiaries own and operate the Globalstar System including satellites and gateways (Note 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Old Globalstar</w:t>
      </w:r>
    </w:p>
    <w:p>
      <w:pPr>
        <w:spacing w:after="0" w:line="227" w:lineRule="exact"/>
        <w:rPr>
          <w:sz w:val="20"/>
          <w:szCs w:val="20"/>
          <w:color w:val="auto"/>
        </w:rPr>
      </w:pPr>
    </w:p>
    <w:p>
      <w:pPr>
        <w:ind w:right="140" w:firstLine="439"/>
        <w:spacing w:after="0" w:line="262" w:lineRule="auto"/>
        <w:rPr>
          <w:sz w:val="20"/>
          <w:szCs w:val="20"/>
          <w:color w:val="auto"/>
        </w:rPr>
      </w:pPr>
      <w:r>
        <w:rPr>
          <w:rFonts w:ascii="Times New Roman" w:cs="Times New Roman" w:eastAsia="Times New Roman" w:hAnsi="Times New Roman"/>
          <w:sz w:val="18"/>
          <w:szCs w:val="18"/>
          <w:color w:val="auto"/>
        </w:rPr>
        <w:t>Old Globalstar was a limited partnership, formed in Delaware in November 1993. General partners were jointly and severally liable for the recourse debt and other recourse obligations of Old Globalstar to the extent Old Globalstar was unable to pay such debts. Limited partners' liability was limited to their contributions.</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partnership deficit of Old Globalstar: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4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5"/>
              </w:rPr>
              <w:t>Successor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December 4, 2003</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Partnership Interests (RPPI):</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8% Series A (4,356,295 outstanding at December 4 and 31, 2003,</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unit convertible into .53085 ordinary partnership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9% Series B (389,500 outstanding at December 4 and 31, 2003; each</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 convertible into .47562 ordinary partnership interests)</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Ordinary general partnership interests (4,910,604 interests outstanding</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4 and 31, 2003)</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(3,376,073)</w:t>
            </w:r>
          </w:p>
        </w:tc>
        <w:tc>
          <w:tcPr>
            <w:tcW w:w="4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(3,386,774)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Ordinary limited partnership interests (19,937,500 interests outstanding</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4 and 31, 2003)</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(239,740)</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(239,740)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(3,412,478)</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(3,423,179)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-2141220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-2141220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-2141220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-2141220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-323215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 w:firstLine="439"/>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2003, no 8% or 9% RPPIs were converted to ordinary partnership interests. As described in Note 2, effective June 29, 2004, all partnership interests in Old Globalstar were cancelled without consideration.</w:t>
      </w:r>
    </w:p>
    <w:p>
      <w:pPr>
        <w:spacing w:after="0" w:line="174" w:lineRule="exact"/>
        <w:rPr>
          <w:sz w:val="20"/>
          <w:szCs w:val="20"/>
          <w:color w:val="auto"/>
        </w:rPr>
      </w:pPr>
    </w:p>
    <w:p>
      <w:pPr>
        <w:ind w:right="80" w:firstLine="439"/>
        <w:spacing w:after="0" w:line="262" w:lineRule="auto"/>
        <w:rPr>
          <w:sz w:val="20"/>
          <w:szCs w:val="20"/>
          <w:color w:val="auto"/>
        </w:rPr>
      </w:pPr>
      <w:r>
        <w:rPr>
          <w:rFonts w:ascii="Times New Roman" w:cs="Times New Roman" w:eastAsia="Times New Roman" w:hAnsi="Times New Roman"/>
          <w:sz w:val="18"/>
          <w:szCs w:val="18"/>
          <w:color w:val="auto"/>
        </w:rPr>
        <w:t>Officers and employees of Old Globalstar were eligible to participate in the Company's general partner's 1994 Stock Option Plan. No options were granted and no compensation expense was recorded during the years ended December 31, 2003 and 2004. At December 31, 2003, there were 5,408,567 options outstanding.</w:t>
      </w:r>
    </w:p>
    <w:p>
      <w:pPr>
        <w:spacing w:after="0" w:line="186" w:lineRule="exact"/>
        <w:rPr>
          <w:sz w:val="20"/>
          <w:szCs w:val="20"/>
          <w:color w:val="auto"/>
        </w:rPr>
      </w:pPr>
    </w:p>
    <w:p>
      <w:pPr>
        <w:ind w:right="100" w:firstLine="439"/>
        <w:spacing w:after="0" w:line="262" w:lineRule="auto"/>
        <w:rPr>
          <w:sz w:val="20"/>
          <w:szCs w:val="20"/>
          <w:color w:val="auto"/>
        </w:rPr>
      </w:pPr>
      <w:r>
        <w:rPr>
          <w:rFonts w:ascii="Times New Roman" w:cs="Times New Roman" w:eastAsia="Times New Roman" w:hAnsi="Times New Roman"/>
          <w:sz w:val="18"/>
          <w:szCs w:val="18"/>
          <w:color w:val="auto"/>
        </w:rPr>
        <w:t>Prior to 2003, Old Globalstar issued warrants in connection with the issuance of certain senior notes, service provider arrangements, and Globalstar construction contracts. These warrants were recorded at fair value at the date of issuance. No warrants were issued during the years ended December 31, 2003 or 2004.</w:t>
      </w:r>
    </w:p>
    <w:p>
      <w:pPr>
        <w:spacing w:after="0" w:line="186" w:lineRule="exact"/>
        <w:rPr>
          <w:sz w:val="20"/>
          <w:szCs w:val="20"/>
          <w:color w:val="auto"/>
        </w:rPr>
      </w:pPr>
    </w:p>
    <w:p>
      <w:pPr>
        <w:ind w:right="160" w:firstLine="439"/>
        <w:spacing w:after="0" w:line="258" w:lineRule="auto"/>
        <w:rPr>
          <w:sz w:val="20"/>
          <w:szCs w:val="20"/>
          <w:color w:val="auto"/>
        </w:rPr>
      </w:pPr>
      <w:r>
        <w:rPr>
          <w:rFonts w:ascii="Times New Roman" w:cs="Times New Roman" w:eastAsia="Times New Roman" w:hAnsi="Times New Roman"/>
          <w:sz w:val="18"/>
          <w:szCs w:val="18"/>
          <w:color w:val="auto"/>
        </w:rPr>
        <w:t>In connection with the Plan, the outstanding stock options and warrants were effectively cancelled and there are no remaining contingent equity issuances with regard to Old Globalstar. Pro forma compensation expense disclosures for Old Globalstar for the period from January 1, 2003 through December 4, 2003 have been omitted because such amounts would not be significant to 2003 operating results and the related stock options and warrants were not exercisable for membership interest units of New Globalstar.</w:t>
      </w:r>
    </w:p>
    <w:p>
      <w:pPr>
        <w:spacing w:after="0" w:line="190"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Globalstar Telecommunications Limited ("GTL"), an entity whose sole business was acting as one of two general partners of Old Globalstar, was a publicly traded entity. Old Globalstar was a voluntary filer with the Securities and Exchange Commission. In January 2004, Old Globalstar filed a Form 15 with the Securities and Exchange Commission to suspend its reporting under the Securities Exchange Act of 1934.</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8" w:name="page139"/>
    <w:bookmarkEnd w:id="13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Globalstar owns and operates a satellite constellation that forms the backbone of a global telecommunications network designed to serve virtually every populated area of the world. Globalstar's worldwide, low-earth orbit ("LEO") satellite-based digital telecommunications system (the "Globalstar System"), which uses QUALCOMM's patented CDMA technology, provides mobile and fixed telephone service to customers who live, work or travel beyond the reach of terrestrially based communications networks. The Globalstar System has been providing satellite based wireless communications services since 1999. The Globalstar System's coverage is designed to enable its service providers to extend telecommunications services to people who lack basic telephone service and to enhance wireless communications in areas underserved or not served by cellular systems, providing a telecommunications solution in parts of the world where the build-out of terrestrial systems is not economically justified.</w:t>
      </w:r>
    </w:p>
    <w:p>
      <w:pPr>
        <w:spacing w:after="0" w:line="195"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On February 15, 2002 (the "Petition Date"), Old Globalstar and three of its subsidiaries filed voluntary petitions under Chapter 11 of the United States Bankruptcy Code in the United States Bankruptcy Court ("Bankruptcy Court") for the District of Delaware. Old Globalstar and its debtor subsidiaries remained in possession of their assets and properties and continued to operate their businesses as debtors-in-possession.</w:t>
      </w:r>
    </w:p>
    <w:p>
      <w:pPr>
        <w:spacing w:after="0" w:line="186"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Under Chapter 11, substantially all unsecured liabilities as of the Petition Date were subject to compromise or other treatment under a plan of reorganization, which was required to be approved and confirmed by the Bankruptcy Court. For financial reporting purposes, those liabilities and obligations whose treatment and satisfaction were dependent on the outcome of the Chapter 11 case were segregated in the consolidated balance sheet as liabilities subject to compromise. Generally, all actions to enforce or otherwise require repayment of Old Globalstar's pre-petition liabilities were stayed under the Bankruptcy Code while Old Globalstar continued its business operations as a debtor-in-possession.</w:t>
      </w:r>
    </w:p>
    <w:p>
      <w:pPr>
        <w:spacing w:after="0" w:line="193"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During the course of its financial restructuring, Old Globalstar developed a business plan, which was predicated on an infusion of funds and assumed the consolidation of certain Globalstar service provider operations into Globalstar. Several of the acquisitions contemplated in the business plan have been completed (Notes 4 and 17). The Company believes that its consolidation strategy has brought additional efficiencies to the operation of the Globalstar System and allowed for increased consistency in product and service offerings in the Americas and Europe. In addition, Globalstar has revised its business relationships with its independent service providers and continues to explore the possible acquisition of additional Globalstar service provider operations.</w:t>
      </w:r>
    </w:p>
    <w:p>
      <w:pPr>
        <w:spacing w:after="0" w:line="193" w:lineRule="exact"/>
        <w:rPr>
          <w:sz w:val="20"/>
          <w:szCs w:val="20"/>
          <w:color w:val="auto"/>
        </w:rPr>
      </w:pPr>
    </w:p>
    <w:p>
      <w:pPr>
        <w:ind w:right="20" w:firstLine="439"/>
        <w:spacing w:after="0" w:line="255" w:lineRule="auto"/>
        <w:rPr>
          <w:sz w:val="20"/>
          <w:szCs w:val="20"/>
          <w:color w:val="auto"/>
        </w:rPr>
      </w:pPr>
      <w:r>
        <w:rPr>
          <w:rFonts w:ascii="Times New Roman" w:cs="Times New Roman" w:eastAsia="Times New Roman" w:hAnsi="Times New Roman"/>
          <w:sz w:val="18"/>
          <w:szCs w:val="18"/>
          <w:color w:val="auto"/>
        </w:rPr>
        <w:t>Under auction procedures approved by the Bankruptcy Court, in April 2003 ICO Global Communications (Holdings) Limited ("ICO"), one of the three qualified investors that participated in the auction, was ultimately selected as the bidder proposing the highest and best offer for Old Globalstar's assets. Old Globalstar and ICO subsequently entered into an investment agreement (the "ICO Investment Agreement"), and Old Globalstar and an affiliate of ICO subsequently entered into a $35.0 million secured, super priority debtor-in-possession credit agreement (the "ICO DIP Facility") as of May 19, 2003. A portion of the ICO DIP Facility was used to repay $10.0 million borrowed under previous debtor-in-possession financing that had been provided by a consortium of lenders, including representatives of the Old Globalstar Official Committee of Unsecured Creditors (the "Creditors' Committee").</w:t>
      </w:r>
    </w:p>
    <w:p>
      <w:pPr>
        <w:spacing w:after="0" w:line="193" w:lineRule="exact"/>
        <w:rPr>
          <w:sz w:val="20"/>
          <w:szCs w:val="20"/>
          <w:color w:val="auto"/>
        </w:rPr>
      </w:pPr>
    </w:p>
    <w:p>
      <w:pPr>
        <w:ind w:right="80" w:firstLine="439"/>
        <w:spacing w:after="0" w:line="262" w:lineRule="auto"/>
        <w:rPr>
          <w:sz w:val="20"/>
          <w:szCs w:val="20"/>
          <w:color w:val="auto"/>
        </w:rPr>
      </w:pPr>
      <w:r>
        <w:rPr>
          <w:rFonts w:ascii="Times New Roman" w:cs="Times New Roman" w:eastAsia="Times New Roman" w:hAnsi="Times New Roman"/>
          <w:sz w:val="18"/>
          <w:szCs w:val="18"/>
          <w:color w:val="auto"/>
        </w:rPr>
        <w:t>In October 2003, ICO informed Old Globalstar that it believed that unspecified conditions to the closing of the ICO Investment Agreement would not be satisfied and therefore consented to Old Globalstar reopening discussions with other potential investors. On November 17, 2003, Old Globalstar, Thermo and the Creditors' Committee executed a term sheet regarding a proposed transaction. On December 2, 2003,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39" w:name="page140"/>
    <w:bookmarkEnd w:id="139"/>
    <w:p>
      <w:pPr>
        <w:ind w:right="40"/>
        <w:spacing w:after="0" w:line="275" w:lineRule="auto"/>
        <w:rPr>
          <w:sz w:val="20"/>
          <w:szCs w:val="20"/>
          <w:color w:val="auto"/>
        </w:rPr>
      </w:pPr>
      <w:r>
        <w:rPr>
          <w:rFonts w:ascii="Times New Roman" w:cs="Times New Roman" w:eastAsia="Times New Roman" w:hAnsi="Times New Roman"/>
          <w:sz w:val="18"/>
          <w:szCs w:val="18"/>
          <w:color w:val="auto"/>
        </w:rPr>
        <w:t>the Bankruptcy Court entered an order authorizing the Thermo Transaction. On December 5, 2003, Old Globalstar, the Creditors' Committee and Thermo entered into the Asset Contribution Agreement.</w:t>
      </w:r>
    </w:p>
    <w:p>
      <w:pPr>
        <w:spacing w:after="0" w:line="174"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Old Globalstar submitted its Disclosure Statement and Fourth Amended Joint Plan to the Bankruptcy Court on May 3, 2004. The Bankruptcy Court confirmed the Plan on June 17, 2004, and the Plan became effective June 29, 2004 (the "Effective Date"). Pursuant to the Plan, on the Effective Date, all partnership interests in Old Globalstar were cancelled without consideration, Old Globalstar's membership interests in Globalstar were distributed to its unsecured creditors and Old Globalstar was dissolved. Globalstar Capital Corporation, a former subsidiary of Old Globalstar, remains as a debtor entity responsible for the resolution of claims against Old Globalstar and the wind up of Old Globalstar. New Globalstar does not have any continuing financial commitment related to the wind up.</w:t>
      </w:r>
    </w:p>
    <w:p>
      <w:pPr>
        <w:spacing w:after="0" w:line="193" w:lineRule="exact"/>
        <w:rPr>
          <w:sz w:val="20"/>
          <w:szCs w:val="20"/>
          <w:color w:val="auto"/>
        </w:rPr>
      </w:pPr>
    </w:p>
    <w:p>
      <w:pPr>
        <w:ind w:firstLine="439"/>
        <w:spacing w:after="0" w:line="291" w:lineRule="auto"/>
        <w:rPr>
          <w:sz w:val="20"/>
          <w:szCs w:val="20"/>
          <w:color w:val="auto"/>
        </w:rPr>
      </w:pPr>
      <w:r>
        <w:rPr>
          <w:rFonts w:ascii="Times New Roman" w:cs="Times New Roman" w:eastAsia="Times New Roman" w:hAnsi="Times New Roman"/>
          <w:sz w:val="16"/>
          <w:szCs w:val="16"/>
          <w:color w:val="auto"/>
        </w:rPr>
        <w:t>On March 25, 2003, Old Globalstar entered into a settlement and release agreement with Elsacom SpA ("Elsacom") and a gateway asset purchase agreement (collectively the "Elsacom Settlement") with a wholly owned subsidiary of Elsacom. Elsacom is the primary Globalstar service provider in Central and Eastern Europe, the operator of the gateway located in Avezzano, Italy and, through its affiliate, Globalstar Northern Europe, the former operator of the gateway located in Karkkila, Finland. Under the terms of the Elsacom Settlement, Old Globalstar received cash payments totaling $2.2 million, in two installments, in March 2003 and June 2003 and the release of all past payment obligations, including certain pre-petition liabilities, due to Elsacom in exchange for liquidation of the gateway contract payments due to Old Globalstar from Elsacom. Additionally, Old Globalstar retained title to the gateway equipment installed in Finland. Old Globalstar dismantled the Finland gateway and placed the removable parts, which contain most of the gateway's electronics, into storage for future deployment.</w:t>
      </w:r>
    </w:p>
    <w:p>
      <w:pPr>
        <w:spacing w:after="0" w:line="167" w:lineRule="exact"/>
        <w:rPr>
          <w:sz w:val="20"/>
          <w:szCs w:val="20"/>
          <w:color w:val="auto"/>
        </w:rPr>
      </w:pPr>
    </w:p>
    <w:p>
      <w:pPr>
        <w:ind w:right="160" w:firstLine="439"/>
        <w:spacing w:after="0" w:line="285" w:lineRule="auto"/>
        <w:rPr>
          <w:sz w:val="20"/>
          <w:szCs w:val="20"/>
          <w:color w:val="auto"/>
        </w:rPr>
      </w:pPr>
      <w:r>
        <w:rPr>
          <w:rFonts w:ascii="Times New Roman" w:cs="Times New Roman" w:eastAsia="Times New Roman" w:hAnsi="Times New Roman"/>
          <w:sz w:val="16"/>
          <w:szCs w:val="16"/>
          <w:color w:val="auto"/>
        </w:rPr>
        <w:t>On March 14, 2003, Loral, the Creditors' Committee and Old Globalstar signed a term sheet outlining the terms and conditions of a comprehensive settlement of certain contested matters and a release of the claims against Loral (the "Loral Settlement"). Also on March 14, 2003, Old Globalstar and the Creditors' Committee filed a joint motion with the Bankruptcy Court under Bankruptcy Rule 9019 for an order approving the Loral Settlement. The Bankruptcy Court approved the Loral Settlement on April 14, 2003. The parties executed a definitive agreement reflecting the terms of the Loral Settlement as of April 8, 2003, and closed the various interrelated transactions on July 10, 2003. Pursuant to the definitive settlement agreement, as of the closing, among other things:</w:t>
      </w:r>
    </w:p>
    <w:p>
      <w:pPr>
        <w:ind w:right="200" w:firstLine="8"/>
        <w:spacing w:after="0" w:line="251"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Globalstar received title to eight spare satellites; (2) certain agreements under which Loral held exclusive rights to provide Old Globalstar services to certain defense, national security and other government agencies and in the aviation market were terminated and a new joint venture owned 75% by Old Globalstar and 25% by Loral was formed to pursue business opportunities with those governmental agencies ($300,000 and $100,000 of Government Services, LLC ("GSLLC") accounts payable were converted to equity, respectively);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 prepayments ($2.2 million) made by it under its 2GHz satellite contract with Space Systems/Loral, Inc. ("SS/L"), an affiliate of Loral, as reduced by certain financial obligations of Old Globalstar to Loral ($109,000); (6) Loral's designated individuals resigned from Old Globalstar's General Partners Committee, and officers of Old Globalstar were appointed as members of the General Partners Committee; and (7) Old Globalstar and its subsidiaries and Loral and its subsidiaries and affiliates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provided mutual releases of claims and Old Globalstar and its subsidiaries released any claims against the members of the Committee.</w:t>
      </w:r>
    </w:p>
    <w:p>
      <w:pPr>
        <w:spacing w:after="0" w:line="225"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 xml:space="preserve">On April 13, 2004, Globalstar, Old Globalstar, certain subsidiaries of both Globalstar entities, the Creditors' Committee, Thermo and QUALCOMM entered into a Settlement Agreement and Release (the "QUALCOMM Settlement"). Under the terms of the QUALCOMM Settlement: QUALCOMM's unsecured claim against the estate of Old Globalstar was liquidated at a value of approximately $661.3 million; QUALCOMM's unsecured claim received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Globalstar entered into a series of new commercial agreements which defined, among other items, the terms under which Globalstar would continue to have a royalty free right to use certain QUALCOMM intellectual property and would continue to purchase products and engineering services from QUALCOMM.</w:t>
      </w:r>
    </w:p>
    <w:p>
      <w:pPr>
        <w:spacing w:after="0" w:line="192" w:lineRule="exact"/>
        <w:rPr>
          <w:sz w:val="20"/>
          <w:szCs w:val="20"/>
          <w:color w:val="auto"/>
        </w:rPr>
      </w:pPr>
    </w:p>
    <w:p>
      <w:pPr>
        <w:ind w:right="260" w:firstLine="439"/>
        <w:spacing w:after="0" w:line="255" w:lineRule="auto"/>
        <w:rPr>
          <w:sz w:val="20"/>
          <w:szCs w:val="20"/>
          <w:color w:val="auto"/>
        </w:rPr>
      </w:pPr>
      <w:r>
        <w:rPr>
          <w:rFonts w:ascii="Times New Roman" w:cs="Times New Roman" w:eastAsia="Times New Roman" w:hAnsi="Times New Roman"/>
          <w:sz w:val="18"/>
          <w:szCs w:val="18"/>
          <w:color w:val="auto"/>
        </w:rPr>
        <w:t>Globalstar is dependent on QUALCOMM for gateway hardware and software, and also as the exclusive manufacturer of phones using the IS-41 CDMA North American standard. Ericsson OCM Limited ("Ericsson") and Telit, which until 2000 manufactured phones and other products for the Company, have discontinued manufacturing these products, and there is no assurance that QUALCOMM will not choose to terminate its business relationship with Globalstar. Management believes that its relationship with QUALCOMM is strong; however, if necessary, this relationship can be replaced. If the relationship were to be replaced, there may be a substantial period of time in which products would not be available or a new relationship may involve a significantly different cost structure.</w:t>
      </w:r>
    </w:p>
    <w:p>
      <w:pPr>
        <w:spacing w:after="0" w:line="193" w:lineRule="exact"/>
        <w:rPr>
          <w:sz w:val="20"/>
          <w:szCs w:val="20"/>
          <w:color w:val="auto"/>
        </w:rPr>
      </w:pPr>
    </w:p>
    <w:p>
      <w:pPr>
        <w:ind w:right="140" w:firstLine="439"/>
        <w:spacing w:after="0" w:line="258" w:lineRule="auto"/>
        <w:rPr>
          <w:sz w:val="20"/>
          <w:szCs w:val="20"/>
          <w:color w:val="auto"/>
        </w:rPr>
      </w:pPr>
      <w:r>
        <w:rPr>
          <w:rFonts w:ascii="Times New Roman" w:cs="Times New Roman" w:eastAsia="Times New Roman" w:hAnsi="Times New Roman"/>
          <w:sz w:val="18"/>
          <w:szCs w:val="18"/>
          <w:color w:val="auto"/>
        </w:rPr>
        <w:t>SS/L completed production of seven of the eight spare satellites. All eight are in storage in California. Title to those satellites was transferred to Old Globalstar effective July 10, 2003, and was subsequently transferred to New Globalstar as part of the Asset Contribution Agreement. Globalstar is dependent on SS/L to complete construction of the eighth satellite if Globalstar determines that the eighth satellite must be launched. There can be no assurance that SS/L will remain a going concern or will retain the capability to complete the eighth satellite.</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Pre-petition Debt</w:t>
      </w:r>
    </w:p>
    <w:p>
      <w:pPr>
        <w:spacing w:after="0" w:line="227" w:lineRule="exact"/>
        <w:rPr>
          <w:sz w:val="20"/>
          <w:szCs w:val="20"/>
          <w:color w:val="auto"/>
        </w:rPr>
      </w:pPr>
    </w:p>
    <w:p>
      <w:pPr>
        <w:ind w:right="180" w:firstLine="429"/>
        <w:spacing w:after="0" w:line="275" w:lineRule="auto"/>
        <w:rPr>
          <w:sz w:val="20"/>
          <w:szCs w:val="20"/>
          <w:color w:val="auto"/>
        </w:rPr>
      </w:pPr>
      <w:r>
        <w:rPr>
          <w:rFonts w:ascii="Times New Roman" w:cs="Times New Roman" w:eastAsia="Times New Roman" w:hAnsi="Times New Roman"/>
          <w:sz w:val="18"/>
          <w:szCs w:val="18"/>
          <w:color w:val="auto"/>
        </w:rPr>
        <w:t>As a result of the Chapter 11 filing, no principal or interest payments were made on unsecured pre-petition debt. Interest expense on pre-petition debt was not paid during the bankruptcy proceeding and was not an allowed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Preparation of Financial Statements</w:t>
      </w:r>
    </w:p>
    <w:p>
      <w:pPr>
        <w:spacing w:after="0" w:line="227" w:lineRule="exact"/>
        <w:rPr>
          <w:sz w:val="20"/>
          <w:szCs w:val="20"/>
          <w:color w:val="auto"/>
        </w:rPr>
      </w:pPr>
    </w:p>
    <w:p>
      <w:pPr>
        <w:jc w:val="both"/>
        <w:ind w:right="160" w:firstLine="436"/>
        <w:spacing w:after="0" w:line="31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560" w:firstLine="43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Globalstar, its wholly owned subsidiaries and its 75% owned subsidiary, Government Services, L.L.C. All significant intercompany transactions and balances have been eliminated in the consolidation.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Prior to 2005, one subsidiary was 98% owned by Globalstar and 2% owned by minority interests (Thermo). Minority interest amounts were not significant.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2005, a $100,000 payment was made to redeem the 2% minority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Information</w:t>
      </w:r>
    </w:p>
    <w:p>
      <w:pPr>
        <w:spacing w:after="0" w:line="227"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as of June 30, 2006 and for the six months ended June 30, 2005 and 2006 is unaudited. In the opinion of management, such information includes all adjustments, consisting of normal recurring adjustments, that are necessary for a fair presentation of the Company's consolidated financial position, results of operations, and cash flows for such periods. Operating results for the six months ended June 30, 2006 are not necessarily indicative of the results to be expected for the full year or any future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three months or less.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ind w:right="40" w:firstLine="439"/>
        <w:spacing w:after="0" w:line="262" w:lineRule="auto"/>
        <w:rPr>
          <w:sz w:val="20"/>
          <w:szCs w:val="20"/>
          <w:color w:val="auto"/>
        </w:rPr>
      </w:pPr>
      <w:r>
        <w:rPr>
          <w:rFonts w:ascii="Times New Roman" w:cs="Times New Roman" w:eastAsia="Times New Roman" w:hAnsi="Times New Roman"/>
          <w:sz w:val="18"/>
          <w:szCs w:val="18"/>
          <w:color w:val="auto"/>
        </w:rPr>
        <w:t>Except for the payables to affiliates and the note payable to Loral (Note 7), the carrying amounts of financial instruments approximate fair value due to the short maturities of these instruments. The fair value of the payables to affiliates and the note payable to Loral are not practicable to estimate based on the related party nature of the underlying transactions. The Company has no material off-balance sheet financial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260" w:firstLine="429"/>
        <w:spacing w:after="0" w:line="258" w:lineRule="auto"/>
        <w:rPr>
          <w:sz w:val="20"/>
          <w:szCs w:val="20"/>
          <w:color w:val="auto"/>
        </w:rPr>
      </w:pPr>
      <w:r>
        <w:rPr>
          <w:rFonts w:ascii="Times New Roman" w:cs="Times New Roman" w:eastAsia="Times New Roman" w:hAnsi="Times New Roman"/>
          <w:sz w:val="18"/>
          <w:szCs w:val="18"/>
          <w:color w:val="auto"/>
        </w:rPr>
        <w:t>Accounts receivable are uncollateralized and consist primarily of on-going service revenue and equipment receivables. Management reviews accounts receivable on a periodic basis to determine if any receivables will potentially be uncollectible. Accounts receivable balances that are determined likely to be uncollectible are included in the allowance for doubtful accounts. After all attempts to collect a receivable have failed, the receivable is written off against the allowance.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activity in the allowance for doubtful accounts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Predecessor</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260" w:type="dxa"/>
            <w:vAlign w:val="bottom"/>
          </w:tcPr>
          <w:p>
            <w:pPr>
              <w:spacing w:after="0"/>
              <w:rPr>
                <w:sz w:val="24"/>
                <w:szCs w:val="24"/>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December 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60" w:type="dxa"/>
            <w:vAlign w:val="bottom"/>
          </w:tcPr>
          <w:p>
            <w:pPr>
              <w:spacing w:after="0"/>
              <w:rPr>
                <w:sz w:val="18"/>
                <w:szCs w:val="18"/>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4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December 4,</w:t>
            </w:r>
          </w:p>
        </w:tc>
        <w:tc>
          <w:tcPr>
            <w:tcW w:w="260" w:type="dxa"/>
            <w:vAlign w:val="bottom"/>
          </w:tcPr>
          <w:p>
            <w:pPr>
              <w:spacing w:after="0"/>
              <w:rPr>
                <w:sz w:val="18"/>
                <w:szCs w:val="18"/>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4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at beginning of</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Provision, net of recoveries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(1,411)</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18"/>
        </w:trPr>
        <w:tc>
          <w:tcPr>
            <w:tcW w:w="21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-2021205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-2021205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-2021205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-2021205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-1317625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-1317625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-1317625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-1317625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-1317625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-1317625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-1317625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-1317625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-1317625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-1317625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-323215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-323215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-323215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-323215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40" w:firstLine="439"/>
        <w:spacing w:after="0" w:line="301" w:lineRule="auto"/>
        <w:rPr>
          <w:sz w:val="20"/>
          <w:szCs w:val="20"/>
          <w:color w:val="auto"/>
        </w:rPr>
      </w:pPr>
      <w:r>
        <w:rPr>
          <w:rFonts w:ascii="Times New Roman" w:cs="Times New Roman" w:eastAsia="Times New Roman" w:hAnsi="Times New Roman"/>
          <w:sz w:val="16"/>
          <w:szCs w:val="16"/>
          <w:color w:val="auto"/>
        </w:rPr>
        <w:t>Inventory consists of purchased products, including fixed and mobile user terminals, accessories and gateway spare parts. Inventory acquired on December 5, 2003 is stated at fair value at the date of the Thermo Transaction and subsequent transactions are stated at the lower of cost or market. Inventory prior to December 5, 2003 was stated at the lower of cost or market. Cost is computed using the first-in, first-out (FIFO) method which determines the acquisition cost on a FIFO basis. Inventory allowances are recorded for inventories with a lower market value or which are slow moving. Unsaleable inventory is written off.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 w:firstLine="439"/>
        <w:spacing w:after="0" w:line="275" w:lineRule="auto"/>
        <w:rPr>
          <w:sz w:val="20"/>
          <w:szCs w:val="20"/>
          <w:color w:val="auto"/>
        </w:rPr>
      </w:pPr>
      <w:r>
        <w:rPr>
          <w:rFonts w:ascii="Times New Roman" w:cs="Times New Roman" w:eastAsia="Times New Roman" w:hAnsi="Times New Roman"/>
          <w:sz w:val="18"/>
          <w:szCs w:val="18"/>
          <w:color w:val="auto"/>
        </w:rPr>
        <w:t>Property and equipment is stated at acquisition cost, less accumulated depreciation and impairment. Depreciation is provided using the straight-line method over the estimated useful lives of the respective assets, as follows:</w:t>
      </w:r>
    </w:p>
    <w:p>
      <w:pPr>
        <w:spacing w:after="0" w:line="188"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System:</w:t>
            </w:r>
          </w:p>
        </w:tc>
        <w:tc>
          <w:tcPr>
            <w:tcW w:w="4600" w:type="dxa"/>
            <w:vAlign w:val="bottom"/>
            <w:shd w:val="clear" w:color="auto" w:fill="CCEEFF"/>
          </w:tcPr>
          <w:p>
            <w:pPr>
              <w:spacing w:after="0"/>
              <w:rPr>
                <w:sz w:val="18"/>
                <w:szCs w:val="18"/>
                <w:color w:val="auto"/>
              </w:rPr>
            </w:pPr>
          </w:p>
        </w:tc>
      </w:tr>
      <w:tr>
        <w:trPr>
          <w:trHeight w:val="216"/>
        </w:trPr>
        <w:tc>
          <w:tcPr>
            <w:tcW w:w="2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 segment</w:t>
            </w:r>
          </w:p>
        </w:tc>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Up to periods of 10 years from commencement of service</w:t>
            </w:r>
          </w:p>
        </w:tc>
      </w:tr>
      <w:tr>
        <w:trPr>
          <w:trHeight w:val="216"/>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Ground segment</w:t>
            </w:r>
          </w:p>
        </w:tc>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Up to periods of 10 years from commencement of service</w:t>
            </w:r>
          </w:p>
        </w:tc>
      </w:tr>
      <w:tr>
        <w:trPr>
          <w:trHeight w:val="43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&amp; equipment</w:t>
            </w:r>
          </w:p>
        </w:tc>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 to 10 years</w:t>
            </w:r>
          </w:p>
        </w:tc>
      </w:tr>
      <w:tr>
        <w:trPr>
          <w:trHeight w:val="41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Shorter of lease term or the estimated useful lives of the</w:t>
            </w:r>
          </w:p>
        </w:tc>
      </w:tr>
      <w:tr>
        <w:trPr>
          <w:trHeight w:val="230"/>
        </w:trPr>
        <w:tc>
          <w:tcPr>
            <w:tcW w:w="2600" w:type="dxa"/>
            <w:vAlign w:val="bottom"/>
            <w:shd w:val="clear" w:color="auto" w:fill="CCEEFF"/>
          </w:tcPr>
          <w:p>
            <w:pPr>
              <w:spacing w:after="0"/>
              <w:rPr>
                <w:sz w:val="20"/>
                <w:szCs w:val="20"/>
                <w:color w:val="auto"/>
              </w:rPr>
            </w:pPr>
          </w:p>
        </w:tc>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improvements, generally 5 years</w:t>
            </w:r>
          </w:p>
        </w:tc>
      </w:tr>
    </w:tbl>
    <w:p>
      <w:pPr>
        <w:spacing w:after="0" w:line="202" w:lineRule="exact"/>
        <w:rPr>
          <w:sz w:val="20"/>
          <w:szCs w:val="20"/>
          <w:color w:val="auto"/>
        </w:rPr>
      </w:pPr>
    </w:p>
    <w:p>
      <w:pPr>
        <w:ind w:right="260" w:firstLine="436"/>
        <w:spacing w:after="0" w:line="275" w:lineRule="auto"/>
        <w:rPr>
          <w:sz w:val="20"/>
          <w:szCs w:val="20"/>
          <w:color w:val="auto"/>
        </w:rPr>
      </w:pPr>
      <w:r>
        <w:rPr>
          <w:rFonts w:ascii="Times New Roman" w:cs="Times New Roman" w:eastAsia="Times New Roman" w:hAnsi="Times New Roman"/>
          <w:sz w:val="18"/>
          <w:szCs w:val="18"/>
          <w:color w:val="auto"/>
        </w:rPr>
        <w:t>The Globalstar System includes costs for the design, manufacture, test, and launch of a constellation of low-earth orbit satellites, including in-orbit spare satellites (the "Space Segment"), and primary and backup control centers and gateways (the "Ground Segment").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t>Losses from in-orbit failures of satellites are recorded in the period it is determined that the satellite is not recoverable.</w:t>
      </w:r>
    </w:p>
    <w:p>
      <w:pPr>
        <w:spacing w:after="0" w:line="225" w:lineRule="exact"/>
        <w:rPr>
          <w:sz w:val="20"/>
          <w:szCs w:val="20"/>
          <w:color w:val="auto"/>
        </w:rPr>
      </w:pPr>
    </w:p>
    <w:p>
      <w:pPr>
        <w:jc w:val="both"/>
        <w:ind w:right="180" w:firstLine="436"/>
        <w:spacing w:after="0" w:line="310" w:lineRule="auto"/>
        <w:rPr>
          <w:sz w:val="20"/>
          <w:szCs w:val="20"/>
          <w:color w:val="auto"/>
        </w:rPr>
      </w:pPr>
      <w:r>
        <w:rPr>
          <w:rFonts w:ascii="Times New Roman" w:cs="Times New Roman" w:eastAsia="Times New Roman" w:hAnsi="Times New Roman"/>
          <w:sz w:val="16"/>
          <w:szCs w:val="16"/>
          <w:color w:val="auto"/>
        </w:rPr>
        <w:t>The carrying value of the Globalstar System is reviewed for impairment whenever events or changes in circumstances indicate that the recorded value of the Space Segment and Ground Segment, taken as a whole, may not be recoverable. Globalstar looks to current and future undiscounted cash flows, excluding financing costs, as primary indicators of recoverability. If impairment is determined to exist, any related impairment loss is calculated based on fair value.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a launch failure in September 1998, Old Globalstar decided to purchase eight additional satellites for $148.0 million (including performance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of up to $16.0 million) to serve as on-ground spares. Costs of $147.0 million (including a portion of the performance incentives) were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for these spare satellites. Prior to 2002, Old Globalstar recorded an impairment of these costs, and at December 31, 2002 they were carried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$24.2 million. Seven of the eight have been completed, and all eight are in storage in California. Depreciation of these assets will not begin until the satellites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placed in service. As of December 31, 2004, these assets were recorded at $946,000, of which $858,000 was based on the Company's allocation of the Thermo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acquisition cost. During the year ended December 31, 2005 and the six months ended June 30, 2006, the Company incurred additional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$2.1 million and $50.0 million (unaudited), respectively, in preparation for the future launch of these satellites.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Gateway Receivables</w:t>
      </w:r>
    </w:p>
    <w:p>
      <w:pPr>
        <w:spacing w:after="0" w:line="227" w:lineRule="exact"/>
        <w:rPr>
          <w:sz w:val="20"/>
          <w:szCs w:val="20"/>
          <w:color w:val="auto"/>
        </w:rPr>
      </w:pPr>
    </w:p>
    <w:p>
      <w:pPr>
        <w:ind w:right="220" w:firstLine="439"/>
        <w:spacing w:after="0" w:line="262" w:lineRule="auto"/>
        <w:rPr>
          <w:sz w:val="20"/>
          <w:szCs w:val="20"/>
          <w:color w:val="auto"/>
        </w:rPr>
      </w:pPr>
      <w:r>
        <w:rPr>
          <w:rFonts w:ascii="Times New Roman" w:cs="Times New Roman" w:eastAsia="Times New Roman" w:hAnsi="Times New Roman"/>
          <w:sz w:val="18"/>
          <w:szCs w:val="18"/>
          <w:color w:val="auto"/>
        </w:rPr>
        <w:t>Old Globalstar entered into an agreement with QUALCOMM for the manufacture, deployment and maintenance of gateways. Old Globalstar, in turn, invoiced the service providers for the contract costs plus a markup. The net receivables were $1.0 million at December 31, 2004 and 2005 and zero at June 30, 2006.</w:t>
      </w:r>
    </w:p>
    <w:p>
      <w:pPr>
        <w:spacing w:after="0" w:line="186" w:lineRule="exact"/>
        <w:rPr>
          <w:sz w:val="20"/>
          <w:szCs w:val="20"/>
          <w:color w:val="auto"/>
        </w:rPr>
      </w:pPr>
    </w:p>
    <w:p>
      <w:pPr>
        <w:ind w:right="160" w:firstLine="429"/>
        <w:spacing w:after="0" w:line="339" w:lineRule="auto"/>
        <w:rPr>
          <w:sz w:val="20"/>
          <w:szCs w:val="20"/>
          <w:color w:val="auto"/>
        </w:rPr>
      </w:pPr>
      <w:r>
        <w:rPr>
          <w:rFonts w:ascii="Times New Roman" w:cs="Times New Roman" w:eastAsia="Times New Roman" w:hAnsi="Times New Roman"/>
          <w:sz w:val="16"/>
          <w:szCs w:val="16"/>
          <w:color w:val="auto"/>
        </w:rPr>
        <w:t>As of December 31, 2005, the Company was in negotiation for the purchase of a service provider jointly owned by Globalstar Americas Holding (GAH), Globalstar Americas Telecommunications (GAT), and Astral Technologies Investment Limited (Astral), collectively, the GA Companies (Note 17).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Transaction Costs</w:t>
      </w:r>
    </w:p>
    <w:p>
      <w:pPr>
        <w:spacing w:after="0" w:line="227"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t>These costs represent costs incurred in obtaining long-term credit facilities and expenses related to the Company's proposed initial public offering of its common stock (IPO). These costs are classified as long-term other assets and will be amortized as additional interest expense over the term of the credit facilities or netted against equity proceeds. As of December 31, 2005 and June 30, 2006, the Company had gross deferred offering costs related to the credit facilities of $524,000 and $3,583,000 (unaudited) and the IPO of $200,000 and $507,000 (unaudited), respectively. Approximately $46,000 was recorded as interest expense for the six months ended June 30, 2006.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227"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("SFAS") No. 143, "Accounting for Asset Retirement Obligations," the Company capitalized, as part of the carrying amount, the estimated costs associated with the retirement of two gateways owned by the Company. As of December 31, 2005, the Company had accrued $450,000 for asset retirement obligations. The Company believes this estimate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will be sufficient to satisfy the Company's obligation under leases to remove the gateway equipment and restore the sites to their original condition.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Deferred Revenues</w:t>
      </w:r>
    </w:p>
    <w:p>
      <w:pPr>
        <w:spacing w:after="0" w:line="227"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Customer activation fees are deferred and recognized over four to five year periods, which approximates the estimated average life of the customer relationship. The Company periodically evaluates the estimated customer relationship life. Historically, changes in the estimated life have not been material to the Company's financial statements.</w:t>
      </w:r>
    </w:p>
    <w:p>
      <w:pPr>
        <w:spacing w:after="0" w:line="186" w:lineRule="exact"/>
        <w:rPr>
          <w:sz w:val="20"/>
          <w:szCs w:val="20"/>
          <w:color w:val="auto"/>
        </w:rPr>
      </w:pPr>
    </w:p>
    <w:p>
      <w:pPr>
        <w:ind w:right="120" w:firstLine="439"/>
        <w:spacing w:after="0" w:line="255" w:lineRule="auto"/>
        <w:rPr>
          <w:sz w:val="20"/>
          <w:szCs w:val="20"/>
          <w:color w:val="auto"/>
        </w:rPr>
      </w:pPr>
      <w:r>
        <w:rPr>
          <w:rFonts w:ascii="Times New Roman" w:cs="Times New Roman" w:eastAsia="Times New Roman" w:hAnsi="Times New Roman"/>
          <w:sz w:val="18"/>
          <w:szCs w:val="18"/>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 cycle. To the extent that bill cycles fall during the course of a given month and a portion of the monthly services have not been delivered at month end, fees are prorated and fees associated with the undelivered portion of a given month are deferred. Under the Company's Liberty Plans, customers prepay for the minutes purchased. Revenue is deferred until the minutes are used or the prepaid time period expires. Unused minutes are accumulated until they expire, usually one year after activation.</w:t>
      </w:r>
    </w:p>
    <w:p>
      <w:pPr>
        <w:spacing w:after="0" w:line="193" w:lineRule="exact"/>
        <w:rPr>
          <w:sz w:val="20"/>
          <w:szCs w:val="20"/>
          <w:color w:val="auto"/>
        </w:rPr>
      </w:pPr>
    </w:p>
    <w:p>
      <w:pPr>
        <w:ind w:right="200" w:firstLine="439"/>
        <w:spacing w:after="0" w:line="256" w:lineRule="auto"/>
        <w:rPr>
          <w:sz w:val="20"/>
          <w:szCs w:val="20"/>
          <w:color w:val="auto"/>
        </w:rPr>
      </w:pPr>
      <w:r>
        <w:rPr>
          <w:rFonts w:ascii="Times New Roman" w:cs="Times New Roman" w:eastAsia="Times New Roman" w:hAnsi="Times New Roman"/>
          <w:sz w:val="18"/>
          <w:szCs w:val="18"/>
          <w:color w:val="auto"/>
        </w:rPr>
        <w:t>Globalstar also provides certain engineering services to assist customers in developing new technologies related to the Globalstar System. The revenues associated with these services are recorded when the services are rendered and the expenses are recorded when incurred. During 2005, the Company recorded engineering services revenues of $3.5 million and related costs of $1.7 million. Engineering services revenues and cost of services were not significant in 2003 and 2004. Engineering service revenues and related costs were $1.1 million (unaudited) and $0.9 million (unaudited), respectively for the six months ended June 30, 2006.</w:t>
      </w:r>
    </w:p>
    <w:p>
      <w:pPr>
        <w:spacing w:after="0" w:line="193" w:lineRule="exact"/>
        <w:rPr>
          <w:sz w:val="20"/>
          <w:szCs w:val="20"/>
          <w:color w:val="auto"/>
        </w:rPr>
      </w:pPr>
    </w:p>
    <w:p>
      <w:pPr>
        <w:ind w:right="260" w:firstLine="439"/>
        <w:spacing w:after="0" w:line="262" w:lineRule="auto"/>
        <w:rPr>
          <w:sz w:val="20"/>
          <w:szCs w:val="20"/>
          <w:color w:val="auto"/>
        </w:rPr>
      </w:pPr>
      <w:r>
        <w:rPr>
          <w:rFonts w:ascii="Times New Roman" w:cs="Times New Roman" w:eastAsia="Times New Roman" w:hAnsi="Times New Roman"/>
          <w:sz w:val="18"/>
          <w:szCs w:val="18"/>
          <w:color w:val="auto"/>
        </w:rPr>
        <w:t>Globalstar owns and operates the Globalstar satellite constellation and earns a portion of its revenues through the sale of airtime minutes on a wholesale basis to independent service providers. Revenue from sales to service providers is recognized based upon airtime minutes processed and contractual fee arrangements.</w:t>
      </w:r>
    </w:p>
    <w:p>
      <w:pPr>
        <w:spacing w:after="0" w:line="186" w:lineRule="exact"/>
        <w:rPr>
          <w:sz w:val="20"/>
          <w:szCs w:val="20"/>
          <w:color w:val="auto"/>
        </w:rPr>
      </w:pPr>
    </w:p>
    <w:p>
      <w:pPr>
        <w:ind w:right="140" w:firstLine="429"/>
        <w:spacing w:after="0" w:line="256" w:lineRule="auto"/>
        <w:rPr>
          <w:sz w:val="20"/>
          <w:szCs w:val="20"/>
          <w:color w:val="auto"/>
        </w:rPr>
      </w:pPr>
      <w:r>
        <w:rPr>
          <w:rFonts w:ascii="Times New Roman" w:cs="Times New Roman" w:eastAsia="Times New Roman" w:hAnsi="Times New Roman"/>
          <w:sz w:val="18"/>
          <w:szCs w:val="18"/>
          <w:color w:val="auto"/>
        </w:rPr>
        <w:t>Airtime revenue is also earned from third party service providers that use the Globalstar System. Prior to December 31, 2005, airtime revenue related to certain of these service providers was recognized on a cash basis due to concerns about the collectibility of the underlying receivables. These revenues were not material to total revenue. As of December 31, 2005, based on Management's review of the payment history of service provider receivables, the revenue recognition was changed from the cash basis to an accrual basis. If any receivable is deemed likely to be uncollectible, the receivable is accounted for in the allowance for doubtful accounts.</w:t>
      </w:r>
    </w:p>
    <w:p>
      <w:pPr>
        <w:spacing w:after="0" w:line="193" w:lineRule="exact"/>
        <w:rPr>
          <w:sz w:val="20"/>
          <w:szCs w:val="20"/>
          <w:color w:val="auto"/>
        </w:rPr>
      </w:pPr>
    </w:p>
    <w:p>
      <w:pPr>
        <w:ind w:right="80" w:firstLine="439"/>
        <w:spacing w:after="0" w:line="275" w:lineRule="auto"/>
        <w:rPr>
          <w:sz w:val="20"/>
          <w:szCs w:val="20"/>
          <w:color w:val="auto"/>
        </w:rPr>
      </w:pPr>
      <w:r>
        <w:rPr>
          <w:rFonts w:ascii="Times New Roman" w:cs="Times New Roman" w:eastAsia="Times New Roman" w:hAnsi="Times New Roman"/>
          <w:sz w:val="18"/>
          <w:szCs w:val="18"/>
          <w:color w:val="auto"/>
        </w:rPr>
        <w:t>Subscriber equipment revenue represents the sale of fixed,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74" w:lineRule="exact"/>
        <w:rPr>
          <w:sz w:val="20"/>
          <w:szCs w:val="20"/>
          <w:color w:val="auto"/>
        </w:rPr>
      </w:pPr>
    </w:p>
    <w:p>
      <w:pPr>
        <w:ind w:right="360" w:firstLine="439"/>
        <w:spacing w:after="0" w:line="262" w:lineRule="auto"/>
        <w:rPr>
          <w:sz w:val="20"/>
          <w:szCs w:val="20"/>
          <w:color w:val="auto"/>
        </w:rPr>
      </w:pPr>
      <w:r>
        <w:rPr>
          <w:rFonts w:ascii="Times New Roman" w:cs="Times New Roman" w:eastAsia="Times New Roman" w:hAnsi="Times New Roman"/>
          <w:sz w:val="18"/>
          <w:szCs w:val="18"/>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5" w:name="page146"/>
    <w:bookmarkEnd w:id="145"/>
    <w:p>
      <w:pPr>
        <w:ind w:right="20"/>
        <w:spacing w:after="0" w:line="258" w:lineRule="auto"/>
        <w:rPr>
          <w:sz w:val="20"/>
          <w:szCs w:val="20"/>
          <w:color w:val="auto"/>
        </w:rPr>
      </w:pPr>
      <w:r>
        <w:rPr>
          <w:rFonts w:ascii="Times New Roman" w:cs="Times New Roman" w:eastAsia="Times New Roman" w:hAnsi="Times New Roman"/>
          <w:sz w:val="18"/>
          <w:szCs w:val="18"/>
          <w:color w:val="auto"/>
        </w:rPr>
        <w:t>sufficiently separable and there exists sufficient evidence of their fair values to separately account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20" w:firstLine="439"/>
        <w:spacing w:after="0" w:line="262" w:lineRule="auto"/>
        <w:rPr>
          <w:sz w:val="20"/>
          <w:szCs w:val="20"/>
          <w:color w:val="auto"/>
        </w:rPr>
      </w:pPr>
      <w:r>
        <w:rPr>
          <w:rFonts w:ascii="Times New Roman" w:cs="Times New Roman" w:eastAsia="Times New Roman" w:hAnsi="Times New Roman"/>
          <w:sz w:val="18"/>
          <w:szCs w:val="18"/>
          <w:color w:val="auto"/>
        </w:rPr>
        <w:t>Research and development costs were $1.4 million and $52,000 for the Predecessor and Successor Periods in 2003, respectively, and $2.0 million and $2.4 million for the years ended December 31, 2004 and 2005, respectively and $1.1 million (unaudited) for the six months ended June 30, 2006, and are expensed as incurred as part of marketing, general and administrative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color w:val="auto"/>
        </w:rPr>
        <w:t>Foreign currency assets and liabilities are remeasured into U.S. dollars at current exchange rates and revenue and expenses are translated at the average exchange rates in effect during each period. For the years ended December 31, 2004 and 2005 and six months ended June 30, 2005 and 2006, the foreign currency translation adjustments were $168,000, $538,000, $(266,000) (unaudited) and $1,732,000 (unaudited), respectively.</w:t>
      </w:r>
    </w:p>
    <w:p>
      <w:pPr>
        <w:spacing w:after="0" w:line="186" w:lineRule="exact"/>
        <w:rPr>
          <w:sz w:val="20"/>
          <w:szCs w:val="20"/>
          <w:color w:val="auto"/>
        </w:rPr>
      </w:pPr>
    </w:p>
    <w:p>
      <w:pPr>
        <w:ind w:right="20" w:firstLine="439"/>
        <w:spacing w:after="0" w:line="275" w:lineRule="auto"/>
        <w:rPr>
          <w:sz w:val="20"/>
          <w:szCs w:val="20"/>
          <w:color w:val="auto"/>
        </w:rPr>
      </w:pPr>
      <w:r>
        <w:rPr>
          <w:rFonts w:ascii="Times New Roman" w:cs="Times New Roman" w:eastAsia="Times New Roman" w:hAnsi="Times New Roman"/>
          <w:sz w:val="18"/>
          <w:szCs w:val="18"/>
          <w:color w:val="auto"/>
        </w:rPr>
        <w:t>Foreign currency transaction gains and losses are included in net income (loss). Foreign currency transaction gains and losses are classified as other income or expense on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color w:val="auto"/>
        </w:rPr>
        <w:t>Until January 1, 2006, Globalstar was treated as a partnership for U.S. tax purposes (Notes 13 and 17). Generally, taxable income or loss, deductions and credits of the Company were passed through to its members. Globalstar does have some corporate subsidiaries that require a tax provision or benefit using the asset and liability method of accounting for income taxes as prescribed by SFAS No. 109, "Accounting for Income Taxes." As of December 31, 2004 and 2005, the corporate subsidiaries had gross deferred tax assets of approximately $10.6 million and $7.6 million, respectively. A valuation reserve has been set up to reserve $5.9 million and $5.2 million, respectively, due to concerns about the Company's ability to generate sufficient income in those corporate subsidiaries to be able to utilize the deferred tax assets</w:t>
      </w:r>
    </w:p>
    <w:p>
      <w:pPr>
        <w:spacing w:after="0" w:line="193" w:lineRule="exact"/>
        <w:rPr>
          <w:sz w:val="20"/>
          <w:szCs w:val="20"/>
          <w:color w:val="auto"/>
        </w:rPr>
      </w:pPr>
    </w:p>
    <w:p>
      <w:pPr>
        <w:ind w:right="120" w:firstLine="439"/>
        <w:spacing w:after="0" w:line="275" w:lineRule="auto"/>
        <w:rPr>
          <w:sz w:val="20"/>
          <w:szCs w:val="20"/>
          <w:color w:val="auto"/>
        </w:rPr>
      </w:pPr>
      <w:r>
        <w:rPr>
          <w:rFonts w:ascii="Times New Roman" w:cs="Times New Roman" w:eastAsia="Times New Roman" w:hAnsi="Times New Roman"/>
          <w:sz w:val="18"/>
          <w:szCs w:val="18"/>
          <w:color w:val="auto"/>
        </w:rPr>
        <w:t>Effective January 1, 2006, Globalstar and its U.S. operating subsidiaries elected to be taxed as a corporation in the United States and began accounting for these entities under SFAS 109.</w:t>
      </w:r>
    </w:p>
    <w:p>
      <w:pPr>
        <w:spacing w:after="0" w:line="174" w:lineRule="exact"/>
        <w:rPr>
          <w:sz w:val="20"/>
          <w:szCs w:val="20"/>
          <w:color w:val="auto"/>
        </w:rPr>
      </w:pPr>
    </w:p>
    <w:p>
      <w:pPr>
        <w:ind w:right="380" w:firstLine="439"/>
        <w:spacing w:after="0" w:line="275" w:lineRule="auto"/>
        <w:rPr>
          <w:sz w:val="20"/>
          <w:szCs w:val="20"/>
          <w:color w:val="auto"/>
        </w:rPr>
      </w:pPr>
      <w:r>
        <w:rPr>
          <w:rFonts w:ascii="Times New Roman" w:cs="Times New Roman" w:eastAsia="Times New Roman" w:hAnsi="Times New Roman"/>
          <w:sz w:val="18"/>
          <w:szCs w:val="18"/>
          <w:color w:val="auto"/>
        </w:rPr>
        <w:t>Old Globalstar was organized as a Delaware limited partnership with various corporate subsidiaries. Generally, taxable income or loss, deductions and credits of the partnership were passed through to its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right="480" w:firstLine="436"/>
        <w:spacing w:after="0" w:line="262" w:lineRule="auto"/>
        <w:rPr>
          <w:sz w:val="20"/>
          <w:szCs w:val="20"/>
          <w:color w:val="auto"/>
        </w:rPr>
      </w:pPr>
      <w:r>
        <w:rPr>
          <w:rFonts w:ascii="Times New Roman" w:cs="Times New Roman" w:eastAsia="Times New Roman" w:hAnsi="Times New Roman"/>
          <w:sz w:val="18"/>
          <w:szCs w:val="18"/>
          <w:color w:val="auto"/>
        </w:rPr>
        <w:t>The Company has elected to follow Accounting Principles Board Opinion No. 25, "Accounting for Stock Issued to Employees," ("APB No. 25") and related interpretations in accounting for its employee stock options. Under APB No. 25, no compensation expense is recognized if the exercise price of the Company's stock options equals or exceeds the fair value of the underlying stock at the date of grant.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6" w:name="page147"/>
    <w:bookmarkEnd w:id="146"/>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Pro forma information regarding net income (loss) is required by SFAS No. 123, "Accounting for Stock-Based Compensation," which also requires that the information be determined as if the Company has accounted for its employee stock options granted under the fair value method. Effective January 1, 2005, the Company promised one of its board members the option to purchase up to 120,000 shares at a price of approximately $2.67 per share (as adjusted for a six-for-one stock split). The Company has included these options within its diluted earnings per share computations for all periods in which such options are outstanding. The Company has not disclosed the pro forma information as the pro forma effect is not significant.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ind w:right="100" w:firstLine="436"/>
        <w:spacing w:after="0" w:line="290" w:lineRule="auto"/>
        <w:rPr>
          <w:sz w:val="20"/>
          <w:szCs w:val="20"/>
          <w:color w:val="auto"/>
        </w:rPr>
      </w:pPr>
      <w:r>
        <w:rPr>
          <w:rFonts w:ascii="Times New Roman" w:cs="Times New Roman" w:eastAsia="Times New Roman" w:hAnsi="Times New Roman"/>
          <w:sz w:val="16"/>
          <w:szCs w:val="16"/>
          <w:color w:val="auto"/>
        </w:rPr>
        <w:t>The Company applies the provisions of SFAS No. 128, "Earnings Per Share," which requires companies to present basic and diluted earnings per share. Basic earnings per share is computed based on the weighted-average number of common shares outstanding during the period. Common stock equivalents are included in the calculation of diluted earnings per share only when the effect of their inclusion would be dilutive. The effect of common stock equivalents has been excluded from the calculation of diluted earnings per share for the Predecessor and Successor Periods in 2003 because they were anti-dilutive. For the year ended December 31, 2005 and the six months ended June 30, 2006, weighted average shares outstanding for diluted earnings per share includes the effects of the 120,000 stock options promised to a board member in January 2005. For the six months ended June 30, 2006, weighted average shares outstanding for diluted earnings per share includes the effects of the 120,000 stock options which the Company agreed to grant to a new board member during the first quarter of 2005 and shares of common stock that are contingently issuable to the former stockholders of the GA Companies (Note 17).</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 (in thousands,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5, Through December 31, 2003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 2004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Outstanding</w:t>
            </w: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220" w:type="dxa"/>
            <w:vAlign w:val="bottom"/>
          </w:tcPr>
          <w:p>
            <w:pPr>
              <w:spacing w:after="0"/>
              <w:rPr>
                <w:sz w:val="12"/>
                <w:szCs w:val="12"/>
                <w:color w:val="auto"/>
              </w:rPr>
            </w:pPr>
          </w:p>
        </w:tc>
        <w:tc>
          <w:tcPr>
            <w:tcW w:w="1240" w:type="dxa"/>
            <w:vAlign w:val="bottom"/>
          </w:tcPr>
          <w:p>
            <w:pPr>
              <w:jc w:val="right"/>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Outstanding</w:t>
            </w:r>
          </w:p>
        </w:tc>
        <w:tc>
          <w:tcPr>
            <w:tcW w:w="100" w:type="dxa"/>
            <w:vAlign w:val="bottom"/>
          </w:tcPr>
          <w:p>
            <w:pPr>
              <w:spacing w:after="0"/>
              <w:rPr>
                <w:sz w:val="12"/>
                <w:szCs w:val="12"/>
                <w:color w:val="auto"/>
              </w:rPr>
            </w:pPr>
          </w:p>
        </w:tc>
        <w:tc>
          <w:tcPr>
            <w:tcW w:w="700" w:type="dxa"/>
            <w:vAlign w:val="bottom"/>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4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2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00" w:type="dxa"/>
            <w:vAlign w:val="bottom"/>
          </w:tcPr>
          <w:p>
            <w:pPr>
              <w:spacing w:after="0"/>
              <w:rPr>
                <w:sz w:val="15"/>
                <w:szCs w:val="15"/>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00" w:type="dxa"/>
            <w:vAlign w:val="bottom"/>
            <w:tcBorders>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Basic earnings (loss) per</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60,463,917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 to director</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right w:val="single" w:sz="8" w:color="CCEEFF"/>
            </w:tcBorders>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Globalstar Americas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Telecommunications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 acquisition</w:t>
            </w:r>
          </w:p>
        </w:tc>
        <w:tc>
          <w:tcPr>
            <w:tcW w:w="220" w:type="dxa"/>
            <w:vAlign w:val="bottom"/>
            <w:shd w:val="clear" w:color="auto" w:fill="CCEEFF"/>
          </w:tcPr>
          <w:p>
            <w:pPr>
              <w:spacing w:after="0"/>
              <w:rPr>
                <w:sz w:val="20"/>
                <w:szCs w:val="20"/>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w:t>
            </w: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60,463,917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40" w:type="dxa"/>
            <w:vAlign w:val="bottom"/>
            <w:gridSpan w:val="2"/>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F-23</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-2818765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-2818765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-2818765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-2818765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-2381250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-2381250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-2381250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-2381250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-2381250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-2381250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-2381250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-2381250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-2381250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-2381250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-2381250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-1815465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-1815465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-1815465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-1815465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-1815465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-1815465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-1815465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-1815465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-957580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-957580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-957580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-957580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-957580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-957580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Year Ended December 31, 2005</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2005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1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Outstanding</w:t>
            </w:r>
          </w:p>
        </w:tc>
        <w:tc>
          <w:tcPr>
            <w:tcW w:w="160" w:type="dxa"/>
            <w:vAlign w:val="bottom"/>
          </w:tcPr>
          <w:p>
            <w:pPr>
              <w:spacing w:after="0"/>
              <w:rPr>
                <w:sz w:val="12"/>
                <w:szCs w:val="12"/>
                <w:color w:val="auto"/>
              </w:rPr>
            </w:pPr>
          </w:p>
        </w:tc>
        <w:tc>
          <w:tcPr>
            <w:tcW w:w="900" w:type="dxa"/>
            <w:vAlign w:val="bottom"/>
          </w:tcPr>
          <w:p>
            <w:pPr>
              <w:jc w:val="right"/>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Per-Share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Outstanding</w:t>
            </w:r>
          </w:p>
        </w:tc>
        <w:tc>
          <w:tcPr>
            <w:tcW w:w="120" w:type="dxa"/>
            <w:vAlign w:val="bottom"/>
          </w:tcPr>
          <w:p>
            <w:pPr>
              <w:spacing w:after="0"/>
              <w:rPr>
                <w:sz w:val="12"/>
                <w:szCs w:val="12"/>
                <w:color w:val="auto"/>
              </w:rPr>
            </w:pPr>
          </w:p>
        </w:tc>
        <w:tc>
          <w:tcPr>
            <w:tcW w:w="78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(Numerator)</w:t>
            </w: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60" w:type="dxa"/>
            <w:vAlign w:val="bottom"/>
          </w:tcPr>
          <w:p>
            <w:pPr>
              <w:spacing w:after="0"/>
              <w:rPr>
                <w:sz w:val="15"/>
                <w:szCs w:val="15"/>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(Numerator)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00" w:type="dxa"/>
            <w:vAlign w:val="bottom"/>
            <w:tcBorders>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Basic earnings (loss) per</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61,855,668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61,855,668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 to director</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 acquisition</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2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61,955,874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61,955,874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2006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gridSpan w:val="3"/>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Outstanding</w:t>
            </w:r>
          </w:p>
        </w:tc>
        <w:tc>
          <w:tcPr>
            <w:tcW w:w="12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Per-Share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2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gridSpan w:val="4"/>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61,957,906</w:t>
            </w:r>
          </w:p>
        </w:tc>
        <w:tc>
          <w:tcPr>
            <w:tcW w:w="2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to director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100,206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GAT acquisition</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16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5"/>
            <w:vMerge w:val="continue"/>
          </w:tcPr>
          <w:p>
            <w:pPr>
              <w:spacing w:after="0"/>
              <w:rPr>
                <w:sz w:val="24"/>
                <w:szCs w:val="24"/>
                <w:color w:val="auto"/>
              </w:rPr>
            </w:pPr>
          </w:p>
        </w:tc>
        <w:tc>
          <w:tcPr>
            <w:tcW w:w="18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62,287,618</w:t>
            </w:r>
          </w:p>
        </w:tc>
        <w:tc>
          <w:tcPr>
            <w:tcW w:w="200" w:type="dxa"/>
            <w:vAlign w:val="bottom"/>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-4053205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-4053205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-4053205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-4053205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-3616325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-3616325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-3616325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-3616325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-3616325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-3616325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-3616325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-3616325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-3616325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-3616325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-3616325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-3616325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-3049905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-3049905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-3049905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-3049905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-3049905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-3049905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-3049905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-3049905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-2466975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-2466975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-2466975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-2466975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-2466975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-2466975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-2466975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-2466975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-1772285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-1772285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-1334770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-1334770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-1334770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-1334770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-1334770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-1334770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-906145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-906145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-906145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-906145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-323215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Net Income and Pro Forma Earnings Per Share (Unaudited)</w:t>
      </w:r>
    </w:p>
    <w:p>
      <w:pPr>
        <w:spacing w:after="0" w:line="227" w:lineRule="exact"/>
        <w:rPr>
          <w:sz w:val="20"/>
          <w:szCs w:val="20"/>
          <w:color w:val="auto"/>
        </w:rPr>
      </w:pPr>
    </w:p>
    <w:p>
      <w:pPr>
        <w:ind w:right="80" w:firstLine="439"/>
        <w:spacing w:after="0" w:line="275" w:lineRule="auto"/>
        <w:rPr>
          <w:sz w:val="20"/>
          <w:szCs w:val="20"/>
          <w:color w:val="auto"/>
        </w:rPr>
      </w:pPr>
      <w:r>
        <w:rPr>
          <w:rFonts w:ascii="Times New Roman" w:cs="Times New Roman" w:eastAsia="Times New Roman" w:hAnsi="Times New Roman"/>
          <w:sz w:val="18"/>
          <w:szCs w:val="18"/>
          <w:color w:val="auto"/>
        </w:rPr>
        <w:t>Pro forma net income and pro forma earnings per share for the year ended December 31, 2005 and the six months ended June 30, 2005 has been calculated as if the Company had been a C corporation for federal income tax purposes (Note 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right="20" w:firstLine="439"/>
        <w:spacing w:after="0" w:line="255" w:lineRule="auto"/>
        <w:rPr>
          <w:sz w:val="20"/>
          <w:szCs w:val="20"/>
          <w:color w:val="auto"/>
        </w:rPr>
      </w:pPr>
      <w:r>
        <w:rPr>
          <w:rFonts w:ascii="Times New Roman" w:cs="Times New Roman" w:eastAsia="Times New Roman" w:hAnsi="Times New Roman"/>
          <w:sz w:val="18"/>
          <w:szCs w:val="18"/>
          <w:color w:val="auto"/>
        </w:rPr>
        <w:t xml:space="preserve">In November 2004, Financial Accounting Standards Board ("FASB") issued SFAS No. 151, "Inventory Costs," which amends the guidance in ARB No. 43, Chapter 4, </w:t>
      </w:r>
      <w:r>
        <w:rPr>
          <w:rFonts w:ascii="Times New Roman" w:cs="Times New Roman" w:eastAsia="Times New Roman" w:hAnsi="Times New Roman"/>
          <w:sz w:val="18"/>
          <w:szCs w:val="18"/>
          <w:i w:val="1"/>
          <w:iCs w:val="1"/>
          <w:color w:val="auto"/>
        </w:rPr>
        <w:t>Inventory Pricing</w:t>
      </w:r>
      <w:r>
        <w:rPr>
          <w:rFonts w:ascii="Times New Roman" w:cs="Times New Roman" w:eastAsia="Times New Roman" w:hAnsi="Times New Roman"/>
          <w:sz w:val="18"/>
          <w:szCs w:val="18"/>
          <w:color w:val="auto"/>
        </w:rPr>
        <w:t>, to clarify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The Company has completed its evaluation of SFAS No. 151 and has determined that the Statement will not have a material effect on its consolidated financial statements.</w:t>
      </w:r>
    </w:p>
    <w:p>
      <w:pPr>
        <w:spacing w:after="0" w:line="193" w:lineRule="exact"/>
        <w:rPr>
          <w:sz w:val="20"/>
          <w:szCs w:val="20"/>
          <w:color w:val="auto"/>
        </w:rPr>
      </w:pPr>
    </w:p>
    <w:p>
      <w:pPr>
        <w:ind w:right="140" w:firstLine="439"/>
        <w:spacing w:after="0" w:line="339" w:lineRule="auto"/>
        <w:rPr>
          <w:sz w:val="20"/>
          <w:szCs w:val="20"/>
          <w:color w:val="auto"/>
        </w:rPr>
      </w:pPr>
      <w:r>
        <w:rPr>
          <w:rFonts w:ascii="Times New Roman" w:cs="Times New Roman" w:eastAsia="Times New Roman" w:hAnsi="Times New Roman"/>
          <w:sz w:val="16"/>
          <w:szCs w:val="16"/>
          <w:color w:val="auto"/>
        </w:rPr>
        <w:t>In December 2004, the FASB issued SFAS No. 153, "Exchanges of Nonmonetary Assets an amendment of APB Opinion No. 29." This Statement amends Opinion 29 to eliminate the exception for nonmonetary exchanges of similar productive assets and replaces it with a general exception for exchanges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8" w:name="page149"/>
    <w:bookmarkEnd w:id="148"/>
    <w:p>
      <w:pPr>
        <w:ind w:right="300"/>
        <w:spacing w:after="0" w:line="258" w:lineRule="auto"/>
        <w:rPr>
          <w:sz w:val="20"/>
          <w:szCs w:val="20"/>
          <w:color w:val="auto"/>
        </w:rPr>
      </w:pPr>
      <w:r>
        <w:rPr>
          <w:rFonts w:ascii="Times New Roman" w:cs="Times New Roman" w:eastAsia="Times New Roman" w:hAnsi="Times New Roman"/>
          <w:sz w:val="18"/>
          <w:szCs w:val="18"/>
          <w:color w:val="auto"/>
        </w:rPr>
        <w:t>of nonmonetary assets that do not have commercial substance. A nonmonetary exchange has commercial substance if the future cash flows of the entity are expected to change significantly as a result of the exchange. This Statement is effective for nonmonetary exchanges occurring in fiscal periods beginning after June 15, 2005. The Company has completed its evaluation of SFAS No. 153 and has determined that the Statement does not have a material effect on its consolidated financial statements.</w:t>
      </w:r>
    </w:p>
    <w:p>
      <w:pPr>
        <w:spacing w:after="0" w:line="190" w:lineRule="exact"/>
        <w:rPr>
          <w:sz w:val="20"/>
          <w:szCs w:val="20"/>
          <w:color w:val="auto"/>
        </w:rPr>
      </w:pPr>
    </w:p>
    <w:p>
      <w:pPr>
        <w:ind w:right="340" w:firstLine="439"/>
        <w:spacing w:after="0" w:line="256" w:lineRule="auto"/>
        <w:rPr>
          <w:sz w:val="20"/>
          <w:szCs w:val="20"/>
          <w:color w:val="auto"/>
        </w:rPr>
      </w:pPr>
      <w:r>
        <w:rPr>
          <w:rFonts w:ascii="Times New Roman" w:cs="Times New Roman" w:eastAsia="Times New Roman" w:hAnsi="Times New Roman"/>
          <w:sz w:val="18"/>
          <w:szCs w:val="18"/>
          <w:color w:val="auto"/>
        </w:rPr>
        <w:t>In December 2004, the FASB issued SFAS No. 123 (revised 2004), "Share-Based Payment"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The Company will adopt SFAS No. 123R effective January 1, 2006 and does not expect the adoption to have a material effect on its consolidated financial position or results of operations.</w:t>
      </w:r>
    </w:p>
    <w:p>
      <w:pPr>
        <w:spacing w:after="0" w:line="193"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In March 2005, the FASB issued FASB Interpretation ("FIN") No. 47, "Accounting for Conditional Asset Retirement Obligations" ("FIN No. 47"), which is effective no later than the end of fiscal years ending after December 15, 2005. FIN No. 47 clarifies the term conditional asset retirement obligation as used in SFAS No. 143, "Accounting for Asset Retirement Obligations". Conditional asset retirement obligation refers to a legal obligation to perform an asset retirement activity in which the timing and (or) method of settlement are conditional on a future event that may or may not be within the control of the entity. The Company does not expect the adoption of FIN No. 47 to have a material effect on its consolidated financial position or results of operations.</w:t>
      </w:r>
    </w:p>
    <w:p>
      <w:pPr>
        <w:spacing w:after="0" w:line="193" w:lineRule="exact"/>
        <w:rPr>
          <w:sz w:val="20"/>
          <w:szCs w:val="20"/>
          <w:color w:val="auto"/>
        </w:rPr>
      </w:pPr>
    </w:p>
    <w:p>
      <w:pPr>
        <w:ind w:right="160" w:firstLine="439"/>
        <w:spacing w:after="0" w:line="290" w:lineRule="auto"/>
        <w:rPr>
          <w:sz w:val="20"/>
          <w:szCs w:val="20"/>
          <w:color w:val="auto"/>
        </w:rPr>
      </w:pPr>
      <w:r>
        <w:rPr>
          <w:rFonts w:ascii="Times New Roman" w:cs="Times New Roman" w:eastAsia="Times New Roman" w:hAnsi="Times New Roman"/>
          <w:sz w:val="16"/>
          <w:szCs w:val="16"/>
          <w:color w:val="auto"/>
        </w:rPr>
        <w:t>In May 2005, the FASB issued SFAS No. 154, "Accounting Changes and Error Corrections"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 between "retrospective application" of an accounting principle and the "restatement" of financial statements to reflect the correction of an error. SFAS No. 154 replaces Accounting Principles Bulletin ("APB") No. 20, "Accounting Changes" ("APB No. 20"), and SFAS No. 3, "Reporting Accounting Changes in Interim Financial Statements." APB No. 20 previously required that most voluntary 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The Company does not expect the adoption of SFAS No. 154 to have a material effect on its consolidated financial position or results of operations.</w:t>
      </w:r>
    </w:p>
    <w:p>
      <w:pPr>
        <w:spacing w:after="0" w:line="16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In February 2006, the FASB issued SFAS No. 155, "Accounting for Certain Hybrid Financial Instruments—an amendment of FASB Statements No. 133 (Accounting for Derivative Instruments and Hedging Activities) and No. 140 (Accounting for Transfers and Servicing of Financial Assets and Extinguishments of Liabilities)" ("SFAS No. 155"), which permits fair value remeasurement for any hybrid financial instrument that contains an embedded derivative that otherwise would require bifurcation. In addition, SFAS No. 155 establishes a requirement to evaluate interests in securitized financial assets to identify interests that are freestanding derivatives or that are hybrid financial instruments that contain an embedded derivative requiring bifurcation under the requirements of Statement No. 133. SFAS No. 155 will be effective for all financial instruments acquired or issued after the beginning of an entity's first fiscal year that begins after September 15, 2006. The Company will adopt SFAS No. 155 effective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ind w:right="640"/>
        <w:spacing w:after="0" w:line="275" w:lineRule="auto"/>
        <w:rPr>
          <w:sz w:val="20"/>
          <w:szCs w:val="20"/>
          <w:color w:val="auto"/>
        </w:rPr>
      </w:pPr>
      <w:r>
        <w:rPr>
          <w:rFonts w:ascii="Times New Roman" w:cs="Times New Roman" w:eastAsia="Times New Roman" w:hAnsi="Times New Roman"/>
          <w:sz w:val="18"/>
          <w:szCs w:val="18"/>
          <w:color w:val="auto"/>
        </w:rPr>
        <w:t>January 1, 2007. The Company does not expect the adoption of SFAS No. 155 to have a material effect on its consolidated financial position or results of operations.</w:t>
      </w:r>
    </w:p>
    <w:p>
      <w:pPr>
        <w:spacing w:after="0" w:line="174"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In March 2006, the FASB issued SFAS No. 156, "Accounting for Servicing of Financial Assets—an amendment of FASB Statement No. 140" ("SFAS No. 156"). SFAS No. 156 amends FASB Statement No. 140, "Accounting for Transfers and Servicing of Financial Assets and Extinguishments of Liabilities," with respect to the accounting for separately recognized servicing assets and servicing liabilities. SFAS No. 156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SFAS No. 156 will be effective as of the beginning of an entity's first fiscal year that begins after September 15, 2006. The Company will adopt SFAS No. 156 effective January 1, 2007. The Company does not expect the adoption of SFAS No. 156 to have a material effect on its consolidated financial position or results of operations.</w:t>
      </w:r>
    </w:p>
    <w:p>
      <w:pPr>
        <w:spacing w:after="0" w:line="19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Globalstar Canada Satellite Co. ("GCSC")</w:t>
      </w:r>
    </w:p>
    <w:p>
      <w:pPr>
        <w:spacing w:after="0" w:line="227" w:lineRule="exact"/>
        <w:rPr>
          <w:sz w:val="20"/>
          <w:szCs w:val="20"/>
          <w:color w:val="auto"/>
        </w:rPr>
      </w:pPr>
    </w:p>
    <w:p>
      <w:pPr>
        <w:ind w:right="480" w:firstLine="439"/>
        <w:spacing w:after="0" w:line="275" w:lineRule="auto"/>
        <w:rPr>
          <w:sz w:val="20"/>
          <w:szCs w:val="20"/>
          <w:color w:val="auto"/>
        </w:rPr>
      </w:pPr>
      <w:r>
        <w:rPr>
          <w:rFonts w:ascii="Times New Roman" w:cs="Times New Roman" w:eastAsia="Times New Roman" w:hAnsi="Times New Roman"/>
          <w:sz w:val="18"/>
          <w:szCs w:val="18"/>
          <w:color w:val="auto"/>
        </w:rPr>
        <w:t>Prior to 2003, Old Globalstar controlled 50.1% of GCSC, the Company's Canadian satellite service provider. In connection with the Loral Settlement described in Note 2, Old Globalstar acquired Loral's 49.9% minority interest in July 2003.</w:t>
      </w:r>
    </w:p>
    <w:p>
      <w:pPr>
        <w:spacing w:after="0" w:line="174" w:lineRule="exact"/>
        <w:rPr>
          <w:sz w:val="20"/>
          <w:szCs w:val="20"/>
          <w:color w:val="auto"/>
        </w:rPr>
      </w:pPr>
    </w:p>
    <w:p>
      <w:pPr>
        <w:ind w:right="300" w:firstLine="439"/>
        <w:spacing w:after="0" w:line="255" w:lineRule="auto"/>
        <w:rPr>
          <w:sz w:val="20"/>
          <w:szCs w:val="20"/>
          <w:color w:val="auto"/>
        </w:rPr>
      </w:pPr>
      <w:r>
        <w:rPr>
          <w:rFonts w:ascii="Times New Roman" w:cs="Times New Roman" w:eastAsia="Times New Roman" w:hAnsi="Times New Roman"/>
          <w:sz w:val="18"/>
          <w:szCs w:val="18"/>
          <w:color w:val="auto"/>
        </w:rPr>
        <w:t>Prior to 2003, Old Globalstar owned 33.33% of Globalstar Canada Holding Co. ("GCHC"). Pursuant to Old Globalstar's new business plan, on May 6, 2003, Old Globalstar acquired the remaining 66.67% of the outstanding common stock of GCHC. As a result of this stock purchase, Old Globalstar indirectly owned 100% of Globalstar Canada Co. ("GCC"). The acquisition costs were $376,000, including legal fees. This transaction, combined with Old Globalstar's acquisition of GCSC, provided Old Globalstar with 100% ownership of the Canadian service provider operations. GCC and GCHC were amalgamated into GCSC on November 1, 2004. The following table summarizes the estimated values of the assets acquired and liabilities assumed with the acquisition (in thousands):</w:t>
      </w:r>
    </w:p>
    <w:p>
      <w:pPr>
        <w:spacing w:after="0" w:line="191"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May 6,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-1764030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-1197610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-1197610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-906145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-906145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-614680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-614680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firstLine="436"/>
        <w:spacing w:after="0" w:line="275" w:lineRule="auto"/>
        <w:rPr>
          <w:sz w:val="20"/>
          <w:szCs w:val="20"/>
          <w:color w:val="auto"/>
        </w:rPr>
      </w:pPr>
      <w:r>
        <w:rPr>
          <w:rFonts w:ascii="Times New Roman" w:cs="Times New Roman" w:eastAsia="Times New Roman" w:hAnsi="Times New Roman"/>
          <w:sz w:val="18"/>
          <w:szCs w:val="18"/>
          <w:color w:val="auto"/>
        </w:rPr>
        <w:t>The results of operations of GCC have been included in the consolidated financial statements from the date of acquisition. The Company's pro forma results of operations assuming the transaction had been completed on January 1, 2003 are not determinable.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i w:val="1"/>
          <w:iCs w:val="1"/>
          <w:color w:val="auto"/>
        </w:rPr>
        <w:t>Globalstar de Venezuela, C.A.("GdeV")</w:t>
      </w:r>
    </w:p>
    <w:p>
      <w:pPr>
        <w:spacing w:after="0" w:line="227"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Pursuant to Globalstar's continuing consolidation strategy, on February 4, 2005, GdeV, a recently formed indirect (through GCSC) subsidiary of Globalstar, executed a series of agreements to acquire the mobile satellite services business assets of TE.SA.M. de Venezuela, C.A. ("TESAM"), the Globalstar service provider in Venezuela, at a cost of $1.6 million. This asset purchase is expected to be completed in two stages. The first stage, which transferred certain nonregulated assets, including the land where the Venezuelan gateway is located, was completed upon the execution of the agreements.</w:t>
      </w:r>
    </w:p>
    <w:p>
      <w:pPr>
        <w:spacing w:after="0" w:line="19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second stage of the transaction, which would transfer regulated assets including the gateway equipment, will be completed after the Venezuelan regulatory consents are obtained. Management has determined that operational control passed to New Globalstar with the completion of the first stage of the transaction in February 2005. Regulatory approval is expected in 2006. Pursuant to the purchase agreements, GdeV paid approximately $342,000 upon execution of the agreements. The $1,250,000 balance of the purchase price is payable in sixteen quarterly installments of $78,125 (interest imputed at 7.0% resulting in a discount of approximately $250,000). Only the first two of these sixteen quarterly installments were required in advance of Venezuelan regulatory approvals. Principal payments to be made in 2006, 2007, 2008, and 2009 are $309,735, $277,644, $297,596, and $77,682, respectively.</w:t>
      </w:r>
    </w:p>
    <w:p>
      <w:pPr>
        <w:spacing w:after="0" w:line="193" w:lineRule="exact"/>
        <w:rPr>
          <w:sz w:val="20"/>
          <w:szCs w:val="20"/>
          <w:color w:val="auto"/>
        </w:rPr>
      </w:pPr>
    </w:p>
    <w:p>
      <w:pPr>
        <w:ind w:right="48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allocation of the estimated values of the assets acquired and liabilities assumed in the acquisition (in thousands):</w:t>
      </w:r>
    </w:p>
    <w:p>
      <w:pPr>
        <w:spacing w:after="0" w:line="172"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4, 2005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8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118"/>
        </w:trPr>
        <w:tc>
          <w:tcPr>
            <w:tcW w:w="3860" w:type="dxa"/>
            <w:vAlign w:val="bottom"/>
            <w:gridSpan w:val="2"/>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48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-1764030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-1334770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-1334770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-1043305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-1043305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-614680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-614680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The results of operations of GdeV have been included in the Company's consolidated financial statements from the date of acquisition. The Company's pro forma results of operations assuming the transaction had been completed on January 1, 2004 are not determinable.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4"/>
                <w:szCs w:val="24"/>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4"/>
                <w:szCs w:val="2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0" w:type="dxa"/>
            <w:vAlign w:val="bottom"/>
          </w:tcPr>
          <w:p>
            <w:pPr>
              <w:spacing w:after="0"/>
              <w:rPr>
                <w:sz w:val="1"/>
                <w:szCs w:val="1"/>
                <w:color w:val="auto"/>
              </w:rPr>
            </w:pPr>
          </w:p>
        </w:tc>
      </w:tr>
      <w:tr>
        <w:trPr>
          <w:trHeight w:val="245"/>
        </w:trPr>
        <w:tc>
          <w:tcPr>
            <w:tcW w:w="980" w:type="dxa"/>
            <w:vAlign w:val="bottom"/>
            <w:vMerge w:val="restart"/>
          </w:tcPr>
          <w:p>
            <w:pPr>
              <w:spacing w:after="0"/>
              <w:rPr>
                <w:sz w:val="21"/>
                <w:szCs w:val="21"/>
                <w:color w:val="auto"/>
              </w:rPr>
            </w:pP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System:</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Space segment</w:t>
            </w: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0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8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Ground segment</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Spare satellites and launch costs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4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(8,571)</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(11,806)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(14,177)</w:t>
            </w: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200" w:type="dxa"/>
            <w:vAlign w:val="bottom"/>
          </w:tcPr>
          <w:p>
            <w:pPr>
              <w:spacing w:after="0"/>
              <w:rPr>
                <w:sz w:val="24"/>
                <w:szCs w:val="24"/>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18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-2432685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-2432685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-2432685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-2432685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-2432685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-2432685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-751840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-751840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-751840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-751840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-323215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firstLine="439"/>
        <w:spacing w:after="0" w:line="289" w:lineRule="auto"/>
        <w:rPr>
          <w:sz w:val="20"/>
          <w:szCs w:val="20"/>
          <w:color w:val="auto"/>
        </w:rPr>
      </w:pPr>
      <w:r>
        <w:rPr>
          <w:rFonts w:ascii="Times New Roman" w:cs="Times New Roman" w:eastAsia="Times New Roman" w:hAnsi="Times New Roman"/>
          <w:sz w:val="16"/>
          <w:szCs w:val="16"/>
          <w:color w:val="auto"/>
        </w:rPr>
        <w:t>Property and equipment consists of an in-orbit satellite constellation, ground equipment, and support equipment located in various countries around the world. During the years ended December 31, 2005 and 2004, the Company recorded impairment charges of $114,000 and $114,000, respectively, related to satellite failures. There were no satellite failures during the six months ended June 30, 2006. During the 2003 Predecessor Period, Old Globalstar recorded an impairment charge of $2.5 million (classified as an operating expense) related to the space segment resulting from a satellite failure and recorded a $211.9 million impairment charge (classified as impairment of assets) related to the Globalstar System, including space segment, ground segment, replacement satellites, unsold production gateways, and other related assets. This charge resulted from a reduction in the estimated fair values of these assets as indicated by the acquisition cost of the Thermo Transaction. During 2004, the Company began construction of a gateway located in Florida. Construction was completed in July 2005 with a cost of $2.9 million. During 2005, the Company began construction of a gateway located in Alaska. Through December 31, 2005, actual costs incurred were approximately $3.3 million. The Alaska gateway construction was completed by June 30, 2006 for a total cost of $4.8 million.</w:t>
      </w:r>
    </w:p>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TERM LOANS</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On March 6, 2003, the Bankruptcy Court approved $10.0 million in debtor-in-possession financing provided by a consortium of lenders, including two members of the Creditors' Committee. Funds totaling $10.0 million were drawn, including the final draw of $2.0 million made on May 8, 2003. On May 27, 2003, the $10.0 million debtor-in-possession financing was retired with proceeds drawn from the ICO DIP Facility at a total cost of $10.4 million, including repayment of the $10.0 million principal balance, accrued interest of $149,000, the funding of the lender's legal expense of $12,000 and $250,000 placed into an escrow account to fund the lenders' commitment fee.</w:t>
      </w:r>
    </w:p>
    <w:p>
      <w:pPr>
        <w:spacing w:after="0" w:line="193" w:lineRule="exact"/>
        <w:rPr>
          <w:sz w:val="20"/>
          <w:szCs w:val="20"/>
          <w:color w:val="auto"/>
        </w:rPr>
      </w:pPr>
    </w:p>
    <w:p>
      <w:pPr>
        <w:ind w:right="140" w:firstLine="436"/>
        <w:spacing w:after="0" w:line="275" w:lineRule="auto"/>
        <w:rPr>
          <w:sz w:val="20"/>
          <w:szCs w:val="20"/>
          <w:color w:val="auto"/>
        </w:rPr>
      </w:pPr>
      <w:r>
        <w:rPr>
          <w:rFonts w:ascii="Times New Roman" w:cs="Times New Roman" w:eastAsia="Times New Roman" w:hAnsi="Times New Roman"/>
          <w:sz w:val="18"/>
          <w:szCs w:val="18"/>
          <w:color w:val="auto"/>
        </w:rPr>
        <w:t>The ICO DIP Facility provided access to $35.0 million that could be borrowed in increments of $1.0 million with no more than one borrowing allowed in any calendar month. The funding provided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52" w:name="page153"/>
    <w:bookmarkEnd w:id="152"/>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ICO DIP Facility was limited to $20.0 million until certain conditions had been satisfied. The terms of the ICO DIP Facility provided ICO with a security interest in substantially all the assets of Old Globalstar and its debtor subsidiaries, exclusive of $15.0 million cash reserved to fund a liquidation of Old Globalstar if it were to become necessary. Three borrowings, totaling $20.0 million, were executed as of December 5, 2003. Interest accrued on the loans at 8% per annum. The maturity date of the ICO DIP Facility was the earlier of the closing of the ICO transaction or December 31, 2003.</w:t>
      </w:r>
    </w:p>
    <w:p>
      <w:pPr>
        <w:spacing w:after="0" w:line="190"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6"/>
          <w:szCs w:val="16"/>
          <w:color w:val="auto"/>
        </w:rPr>
        <w:t>In December 2003, Thermo and Globalstar entered into a new debtor-in-possession financing agreement (the "Thermo DIP Facility"). The Thermo DIP Facility provided Globalstar with access to up to $43.0 million, subject to certain conditions. Interest accrued on the Thermo DIP Facility at 8% per annum. On December 5, 2003, Thermo purchased from ICO all of ICO's rights under the ICO DIP Facility for consideration of $10.0 million in cash plus accrued interest of $765,000 and a promissory note issued by Thermo for $10.0 million. Subsequent to December 5, 2003, an additional $1.6 million was drawn on the Thermo DIP Facility and an additional $5.0 million was drawn from February to March 2004. In connection with the second stage of the Thermo Transaction in April 2004, $17.9 million of the Thermo DIP Facility (including accrued interest) was converted to New Globalstar membership interests. The remaining $10.0 million principal and $524,000 accrued interest due under the Thermo DIP Facility was paid in full in December 2004. Interest expense on the Thermo DIP Facility for the Successor Period in 2003 and for the year ended December 31, 2004 was $123,000 and $1,087,000, respectively.</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NOTE PAYABLE TO LORAL</w:t>
      </w:r>
    </w:p>
    <w:p>
      <w:pPr>
        <w:spacing w:after="0" w:line="227" w:lineRule="exact"/>
        <w:rPr>
          <w:sz w:val="20"/>
          <w:szCs w:val="20"/>
          <w:color w:val="auto"/>
        </w:rPr>
      </w:pPr>
    </w:p>
    <w:p>
      <w:pPr>
        <w:ind w:right="100" w:firstLine="341"/>
        <w:spacing w:after="0" w:line="275" w:lineRule="auto"/>
        <w:rPr>
          <w:sz w:val="20"/>
          <w:szCs w:val="20"/>
          <w:color w:val="auto"/>
        </w:rPr>
      </w:pPr>
      <w:r>
        <w:rPr>
          <w:rFonts w:ascii="Times New Roman" w:cs="Times New Roman" w:eastAsia="Times New Roman" w:hAnsi="Times New Roman"/>
          <w:sz w:val="18"/>
          <w:szCs w:val="18"/>
          <w:color w:val="auto"/>
        </w:rPr>
        <w:t>As a result of the Loral Settlement described in Note 2, the Company had a restructured note payable to Loral in the amount of approximately $4.0 million with interest at 6% per annum due in equal quarterly installments of $364,000 plus interest from June 2005 through March 2008.</w:t>
      </w:r>
    </w:p>
    <w:p>
      <w:pPr>
        <w:spacing w:after="0" w:line="174" w:lineRule="exact"/>
        <w:rPr>
          <w:sz w:val="20"/>
          <w:szCs w:val="20"/>
          <w:color w:val="auto"/>
        </w:rPr>
      </w:pPr>
    </w:p>
    <w:p>
      <w:pPr>
        <w:ind w:firstLine="439"/>
        <w:spacing w:after="0" w:line="253" w:lineRule="auto"/>
        <w:rPr>
          <w:sz w:val="20"/>
          <w:szCs w:val="20"/>
          <w:color w:val="auto"/>
        </w:rPr>
      </w:pPr>
      <w:r>
        <w:rPr>
          <w:rFonts w:ascii="Times New Roman" w:cs="Times New Roman" w:eastAsia="Times New Roman" w:hAnsi="Times New Roman"/>
          <w:sz w:val="18"/>
          <w:szCs w:val="18"/>
          <w:color w:val="auto"/>
        </w:rPr>
        <w:t>On July 31, 2005, the note payable and accrued interest to Loral totaled approximately $4.0 million. Pursuant to an agreement reached with Loral effective July 31, 2005, this amount was settled in exchange for a) the offset of an $818,000 receivable due to Globalstar; b) cash of $500,000 paid by Globalstar; c) the issuance of three credit memos by Globalstar of $300,000, $500,000 and $1,809,000 by Globalstar to Loral to be used for future purchases of equipment and air time payments; and d) the forgiveness of $100,000 by Loral (recorded as other income). As of December 31, 2005 and June 30, 2006, the credit memos for $300,000 and $500,000 had open purchase commitments placed against the remaining balances of approximately $24,000 and $408,000, respectively, and $24,000 and approximately $0, respectively. Approximately $635,000 and $1,366,000 (unaudited) of the $1,809,000 credit memo had been utilized as of December 31, 2005 and June 3o, 2006, respectively. This credit memo is expected to expire in October 2006. As of December 31, 2005, unused credit memos totaling approximately $1,606,000 were classified as deferred revenue on the accompanying consolidated balance sheet. As of June 30, 2006 unused credit memos total $467,000.</w:t>
      </w:r>
    </w:p>
    <w:p>
      <w:pPr>
        <w:spacing w:after="0" w:line="197" w:lineRule="exact"/>
        <w:rPr>
          <w:sz w:val="20"/>
          <w:szCs w:val="20"/>
          <w:color w:val="auto"/>
        </w:rPr>
      </w:pPr>
    </w:p>
    <w:p>
      <w:pPr>
        <w:ind w:right="280" w:firstLine="439"/>
        <w:spacing w:after="0" w:line="275" w:lineRule="auto"/>
        <w:rPr>
          <w:sz w:val="20"/>
          <w:szCs w:val="20"/>
          <w:color w:val="auto"/>
        </w:rPr>
      </w:pPr>
      <w:r>
        <w:rPr>
          <w:rFonts w:ascii="Times New Roman" w:cs="Times New Roman" w:eastAsia="Times New Roman" w:hAnsi="Times New Roman"/>
          <w:sz w:val="18"/>
          <w:szCs w:val="18"/>
          <w:color w:val="auto"/>
        </w:rPr>
        <w:t>Interest expense on the note payable to Loral for the Predecessor and Successor periods in 2003 and the years ended December 31, 2004 and 2005 was $337,000, $8,000, $237,000 and $176,000, respectively.</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2004</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2005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0" w:type="dxa"/>
            <w:vAlign w:val="bottom"/>
          </w:tcPr>
          <w:p>
            <w:pPr>
              <w:spacing w:after="0"/>
              <w:rPr>
                <w:sz w:val="1"/>
                <w:szCs w:val="1"/>
                <w:color w:val="auto"/>
              </w:rPr>
            </w:pPr>
          </w:p>
        </w:tc>
      </w:tr>
      <w:tr>
        <w:trPr>
          <w:trHeight w:val="245"/>
        </w:trPr>
        <w:tc>
          <w:tcPr>
            <w:tcW w:w="1040" w:type="dxa"/>
            <w:vAlign w:val="bottom"/>
            <w:vMerge w:val="restart"/>
          </w:tcPr>
          <w:p>
            <w:pPr>
              <w:spacing w:after="0"/>
              <w:rPr>
                <w:sz w:val="21"/>
                <w:szCs w:val="21"/>
                <w:color w:val="auto"/>
              </w:rPr>
            </w:pPr>
          </w:p>
        </w:tc>
        <w:tc>
          <w:tcPr>
            <w:tcW w:w="3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500" w:type="dxa"/>
            <w:vAlign w:val="bottom"/>
            <w:shd w:val="clear" w:color="auto" w:fill="CCEEFF"/>
          </w:tcPr>
          <w:p>
            <w:pPr>
              <w:jc w:val="right"/>
              <w:ind w:right="133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1,838</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property and other taxes</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1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pension cost—current portion</w:t>
            </w:r>
          </w:p>
        </w:tc>
        <w:tc>
          <w:tcPr>
            <w:tcW w:w="1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00" w:type="dxa"/>
            <w:vAlign w:val="bottom"/>
          </w:tcPr>
          <w:p>
            <w:pPr>
              <w:jc w:val="right"/>
              <w:ind w:right="133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8,056</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-1729740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-1729740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-1729740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-1729740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-1729740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-323215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-323215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accrued expenses primarily include warranty reserve, outsourced logistics services, storage, maintenance, and roaming charges.</w:t>
      </w:r>
    </w:p>
    <w:p>
      <w:pPr>
        <w:spacing w:after="0" w:line="225"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Warranty terms extend from 90 days on equipment accessories to one year for fixed and mobile user terminals. Warranties are accounted for in accordance with SFAS No. 5, "Accounting for Contingencies," such that an accrual is made when it is estimable and probable that a loss has been incurred based on historical experience. Warranty costs are accrued based on historical trends in warranty charges as a percentage of gross product shipments. A provision for estimated future warranty costs is recorded as cost of sales when products are shipped. The resulting accrual is reviewed regularly and periodically adjusted to reflect changes in warranty cost estimates. The following is a summary of the activity in the warranty reserve account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6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Successor</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December 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7"/>
              </w:rPr>
              <w:t>December 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6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at beginning of</w:t>
            </w:r>
          </w:p>
        </w:tc>
        <w:tc>
          <w:tcPr>
            <w:tcW w:w="13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36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(154)</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18"/>
        </w:trPr>
        <w:tc>
          <w:tcPr>
            <w:tcW w:w="2080" w:type="dxa"/>
            <w:vAlign w:val="bottom"/>
            <w:gridSpan w:val="2"/>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60" w:type="dxa"/>
            <w:vAlign w:val="bottom"/>
          </w:tcPr>
          <w:p>
            <w:pPr>
              <w:jc w:val="right"/>
              <w:ind w:right="119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-2021205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-2021205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-2021205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-2021205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-1317625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-1317625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-1317625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-1317625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-1317625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-1317625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-1317625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-1317625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-1317625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-1317625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-323215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-323215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-323215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-323215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-323215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LINE OF CREDIT</w:t>
      </w:r>
    </w:p>
    <w:p>
      <w:pPr>
        <w:spacing w:after="0" w:line="227"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On December 14, 2005, the Company entered into a Loan and Security Agreement with Union Bank of California, N.A. providing for revolving credit loans of up to $15.0 million. The agreement provided for interest at either a base rate equal to the higher of the Federal Funds rate plus 0.5% or the bank's reference rate or a LIBOR based rate equal to the LIBOR rate for the relevant period plus 2.25%. All loans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54" w:name="page155"/>
    <w:bookmarkEnd w:id="154"/>
    <w:p>
      <w:pPr>
        <w:ind w:right="120"/>
        <w:spacing w:after="0" w:line="275" w:lineRule="auto"/>
        <w:rPr>
          <w:sz w:val="20"/>
          <w:szCs w:val="20"/>
          <w:color w:val="auto"/>
        </w:rPr>
      </w:pPr>
      <w:r>
        <w:rPr>
          <w:rFonts w:ascii="Times New Roman" w:cs="Times New Roman" w:eastAsia="Times New Roman" w:hAnsi="Times New Roman"/>
          <w:sz w:val="18"/>
          <w:szCs w:val="18"/>
          <w:color w:val="auto"/>
        </w:rPr>
        <w:t>under the loan agreement matured no later than December 31, 2007. The loans could be prepaid without penalty at any time. The Company's indebtedness under the loan agreement was guaranteed by its principal subsidiaries and was secured by a first lien on our and their personal property.</w:t>
      </w:r>
    </w:p>
    <w:p>
      <w:pPr>
        <w:spacing w:after="0" w:line="174" w:lineRule="exact"/>
        <w:rPr>
          <w:sz w:val="20"/>
          <w:szCs w:val="20"/>
          <w:color w:val="auto"/>
        </w:rPr>
      </w:pPr>
    </w:p>
    <w:p>
      <w:pPr>
        <w:ind w:right="660" w:firstLine="436"/>
        <w:spacing w:after="0" w:line="262" w:lineRule="auto"/>
        <w:rPr>
          <w:sz w:val="20"/>
          <w:szCs w:val="20"/>
          <w:color w:val="auto"/>
        </w:rPr>
      </w:pPr>
      <w:r>
        <w:rPr>
          <w:rFonts w:ascii="Times New Roman" w:cs="Times New Roman" w:eastAsia="Times New Roman" w:hAnsi="Times New Roman"/>
          <w:sz w:val="18"/>
          <w:szCs w:val="18"/>
          <w:color w:val="auto"/>
        </w:rPr>
        <w:t>The loan agreement contained covenants limiting the Company's ability to dispose of assets, change its business, merge, make acquisitions, incur indebtedness or liens, pay dividends, make investments or engage in certain transactions with affiliates. Additionally, the agreement contained covenants requiring Globalstar to maintain certain financial and operating covenants and others that restrict distributions.</w:t>
      </w:r>
    </w:p>
    <w:p>
      <w:pPr>
        <w:spacing w:after="0" w:line="186" w:lineRule="exact"/>
        <w:rPr>
          <w:sz w:val="20"/>
          <w:szCs w:val="20"/>
          <w:color w:val="auto"/>
        </w:rPr>
      </w:pPr>
    </w:p>
    <w:p>
      <w:pPr>
        <w:ind w:right="240" w:firstLine="436"/>
        <w:spacing w:after="0" w:line="275" w:lineRule="auto"/>
        <w:rPr>
          <w:sz w:val="20"/>
          <w:szCs w:val="20"/>
          <w:color w:val="auto"/>
        </w:rPr>
      </w:pPr>
      <w:r>
        <w:rPr>
          <w:rFonts w:ascii="Times New Roman" w:cs="Times New Roman" w:eastAsia="Times New Roman" w:hAnsi="Times New Roman"/>
          <w:sz w:val="18"/>
          <w:szCs w:val="18"/>
          <w:color w:val="auto"/>
        </w:rPr>
        <w:t>The Company never borrowed any funds under this loan agreement. On April 19, 2006, the Company terminated the Loan and Security Agreement with Union Bank in preparation for entering into a Credit Agreement with Wachovia Investment Holdings, LLC on April 24, 2006 (Note 18).</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PAYABLES TO AFFILIATES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Payables to affiliates relate to normal purchase transactions and are comprised of the following (in thousands):</w:t>
      </w: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40" w:type="dxa"/>
            <w:vAlign w:val="bottom"/>
          </w:tcPr>
          <w:p>
            <w:pPr>
              <w:spacing w:after="0"/>
              <w:rPr>
                <w:sz w:val="20"/>
                <w:szCs w:val="20"/>
                <w:color w:val="auto"/>
              </w:rPr>
            </w:pPr>
          </w:p>
        </w:tc>
        <w:tc>
          <w:tcPr>
            <w:tcW w:w="170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QUALCOMM</w:t>
            </w:r>
          </w:p>
        </w:tc>
        <w:tc>
          <w:tcPr>
            <w:tcW w:w="2800" w:type="dxa"/>
            <w:vAlign w:val="bottom"/>
            <w:gridSpan w:val="2"/>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1,200</w:t>
            </w:r>
          </w:p>
        </w:tc>
        <w:tc>
          <w:tcPr>
            <w:tcW w:w="1700" w:type="dxa"/>
            <w:vAlign w:val="bottom"/>
            <w:gridSpan w:val="2"/>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Thermo Capital Partners</w:t>
            </w: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1,316</w:t>
            </w:r>
          </w:p>
        </w:tc>
        <w:tc>
          <w:tcPr>
            <w:tcW w:w="1700" w:type="dxa"/>
            <w:vAlign w:val="bottom"/>
            <w:gridSpan w:val="2"/>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30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-1043305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-1043305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-1043305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-1043305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-1043305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-1043305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-323215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-323215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Thermo incurs certain general and administrative expenses on behalf of the Company, which are charged to the Company.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2004 and 2005 and the six months ended June 30, 2005 and 2006, total expenses were approximately $116,000, $76,000, $51,008 (unaudited),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 (unaudited), respectively. For the years ended December 31, 2004 and 2005 and the six months ended June 30, 2005 and 2006, the Company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$39,000, $145,000, $72,000 (unaudited), and $72,000 (unaudited), respectively, of expenses related to services provided by officers of Thermo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as a contribution to capital. The Thermo expense charges are based on actual amounts incurred or upon allocated employee time.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believes the allocations are reasonable.</w:t>
      </w:r>
    </w:p>
    <w:p>
      <w:pPr>
        <w:spacing w:after="0" w:line="211" w:lineRule="exact"/>
        <w:rPr>
          <w:sz w:val="20"/>
          <w:szCs w:val="20"/>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7"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Beginning in 2001, Old Globalstar implemented a number of initiatives designed to reduce its cost of operations and restructure the Company's finances. These initiatives included reductions in Old Globalstar's workforce, the development of financial restructuring plans, negotiations with Old Globalstar's significant creditors, and the initiation of Old Globalstar's Chapter 11 case on February 15, 2002.</w:t>
      </w:r>
    </w:p>
    <w:p>
      <w:pPr>
        <w:spacing w:after="0" w:line="186"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Restructuring was completed during 2004 and the Company did not have any restructuring charges for the year ended December 31, 2005 or the six months ended June 30, 2006. For the Predecessor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Successor Periods of 2003 and the year ended December 31, 2004, restructuring and reorganization charges were as follows (in thousands):</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8"/>
              </w:rPr>
              <w:t>December 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7"/>
              </w:rPr>
              <w:t>December 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40" w:type="dxa"/>
            <w:vAlign w:val="bottom"/>
            <w:gridSpan w:val="2"/>
          </w:tcPr>
          <w:p>
            <w:pPr>
              <w:jc w:val="center"/>
              <w:ind w:left="111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advisory fees</w:t>
            </w:r>
          </w:p>
        </w:tc>
        <w:tc>
          <w:tcPr>
            <w:tcW w:w="2140" w:type="dxa"/>
            <w:vAlign w:val="bottom"/>
            <w:gridSpan w:val="2"/>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3,308</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Creditor advisory fees</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separation costs</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restructuring costs</w:t>
            </w:r>
          </w:p>
        </w:tc>
        <w:tc>
          <w:tcPr>
            <w:tcW w:w="2140" w:type="dxa"/>
            <w:vAlign w:val="bottom"/>
            <w:gridSpan w:val="2"/>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5,381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-2158365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-2158365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-2158365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-2158365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-1454785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-1454785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-1454785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-1454785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-1454785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-1454785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-751840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-751840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-751840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-751840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-751840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-323215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-323215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8"/>
          <w:szCs w:val="18"/>
          <w:color w:val="auto"/>
        </w:rPr>
        <w:t>Globalstar Advisory Fees—Old Globalstar retained financial advisors, restructuring counsel and other advisors to assist in the development of its financial restructuring plans, discussions with its various creditor groups and preparation for its Chapter 11 bankruptcy petition.</w:t>
      </w:r>
    </w:p>
    <w:p>
      <w:pPr>
        <w:spacing w:after="0" w:line="174" w:lineRule="exact"/>
        <w:rPr>
          <w:sz w:val="20"/>
          <w:szCs w:val="20"/>
          <w:color w:val="auto"/>
        </w:rPr>
      </w:pPr>
    </w:p>
    <w:p>
      <w:pPr>
        <w:ind w:right="100" w:firstLine="439"/>
        <w:spacing w:after="0" w:line="339" w:lineRule="auto"/>
        <w:rPr>
          <w:sz w:val="20"/>
          <w:szCs w:val="20"/>
          <w:color w:val="auto"/>
        </w:rPr>
      </w:pPr>
      <w:r>
        <w:rPr>
          <w:rFonts w:ascii="Times New Roman" w:cs="Times New Roman" w:eastAsia="Times New Roman" w:hAnsi="Times New Roman"/>
          <w:sz w:val="16"/>
          <w:szCs w:val="16"/>
          <w:color w:val="auto"/>
        </w:rPr>
        <w:t>Creditor Advisory Fees—At Old Globalstar's expense, Old Globalstar's informal committee of bondholders and later the Creditors' Committee retained financial advisors and restructuring counsel. Old Globalstar discontinued paying the informal committee's expenses upon formation of the Creditors' Committee.</w:t>
      </w:r>
    </w:p>
    <w:p>
      <w:pPr>
        <w:spacing w:after="0" w:line="128" w:lineRule="exact"/>
        <w:rPr>
          <w:sz w:val="20"/>
          <w:szCs w:val="20"/>
          <w:color w:val="auto"/>
        </w:rPr>
      </w:pPr>
    </w:p>
    <w:p>
      <w:pPr>
        <w:ind w:right="220" w:firstLine="439"/>
        <w:spacing w:after="0" w:line="275" w:lineRule="auto"/>
        <w:rPr>
          <w:sz w:val="20"/>
          <w:szCs w:val="20"/>
          <w:color w:val="auto"/>
        </w:rPr>
      </w:pPr>
      <w:r>
        <w:rPr>
          <w:rFonts w:ascii="Times New Roman" w:cs="Times New Roman" w:eastAsia="Times New Roman" w:hAnsi="Times New Roman"/>
          <w:sz w:val="18"/>
          <w:szCs w:val="18"/>
          <w:color w:val="auto"/>
        </w:rPr>
        <w:t>Employee Separation Costs—These costs represent severance and related obligations in relation to Old Globalstar's reduction in workforce implemented through 2004.</w:t>
      </w:r>
    </w:p>
    <w:p>
      <w:pPr>
        <w:spacing w:after="0" w:line="174" w:lineRule="exact"/>
        <w:rPr>
          <w:sz w:val="20"/>
          <w:szCs w:val="20"/>
          <w:color w:val="auto"/>
        </w:rPr>
      </w:pPr>
    </w:p>
    <w:p>
      <w:pPr>
        <w:ind w:firstLine="429"/>
        <w:spacing w:after="0" w:line="258" w:lineRule="auto"/>
        <w:rPr>
          <w:sz w:val="20"/>
          <w:szCs w:val="20"/>
          <w:color w:val="auto"/>
        </w:rPr>
      </w:pPr>
      <w:r>
        <w:rPr>
          <w:rFonts w:ascii="Times New Roman" w:cs="Times New Roman" w:eastAsia="Times New Roman" w:hAnsi="Times New Roman"/>
          <w:sz w:val="18"/>
          <w:szCs w:val="18"/>
          <w:color w:val="auto"/>
        </w:rPr>
        <w:t>All restructuring expenditures were paid in 2004 except approximately $1.5 million that remained in Old Globalstar's accounts at December 31, 2004. As of December 31, 2005, Old Globalstar retained approximately $623,000 in cash related to its restructuring plans and wind up costs. This cash is not reflected on the Company's accompanying consolidated balance sheets as of December 31, 2004 and 2005 and June 30, 2006. Old Globalstar management believes that the remaining cash will be adequate to pay Old Globalstar's restructuring liabilities and wind up costs.</w:t>
      </w:r>
    </w:p>
    <w:p>
      <w:pPr>
        <w:spacing w:after="0" w:line="1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PENSIONS AND OTHER 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Pensions</w:t>
      </w:r>
    </w:p>
    <w:p>
      <w:pPr>
        <w:spacing w:after="0" w:line="227"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6" w:name="page157"/>
    <w:bookmarkEnd w:id="156"/>
    <w:p>
      <w:pPr>
        <w:ind w:right="340"/>
        <w:spacing w:after="0" w:line="275" w:lineRule="auto"/>
        <w:rPr>
          <w:sz w:val="20"/>
          <w:szCs w:val="20"/>
          <w:color w:val="auto"/>
        </w:rPr>
      </w:pPr>
      <w:r>
        <w:rPr>
          <w:rFonts w:ascii="Times New Roman" w:cs="Times New Roman" w:eastAsia="Times New Roman" w:hAnsi="Times New Roman"/>
          <w:sz w:val="18"/>
          <w:szCs w:val="18"/>
          <w:color w:val="auto"/>
        </w:rPr>
        <w:t>not currently accruing benefits beyond those accrued as of October 23, 2003. Globalstar's funding policy is to fund the Globalstar Plan in accordance with the Internal Revenue Code and regulations.</w:t>
      </w:r>
    </w:p>
    <w:p>
      <w:pPr>
        <w:spacing w:after="0" w:line="174" w:lineRule="exact"/>
        <w:rPr>
          <w:sz w:val="20"/>
          <w:szCs w:val="20"/>
          <w:color w:val="auto"/>
        </w:rPr>
      </w:pPr>
    </w:p>
    <w:p>
      <w:pPr>
        <w:ind w:right="120" w:firstLine="439"/>
        <w:spacing w:after="0" w:line="275" w:lineRule="auto"/>
        <w:rPr>
          <w:sz w:val="20"/>
          <w:szCs w:val="20"/>
          <w:color w:val="auto"/>
        </w:rPr>
      </w:pPr>
      <w:r>
        <w:rPr>
          <w:rFonts w:ascii="Times New Roman" w:cs="Times New Roman" w:eastAsia="Times New Roman" w:hAnsi="Times New Roman"/>
          <w:sz w:val="18"/>
          <w:szCs w:val="18"/>
          <w:color w:val="auto"/>
        </w:rPr>
        <w:t>Components of the net periodic benefit cost of the Company's contributory defined benefit pension plan for the years ended December 31, were as follows (in thousands):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net</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Curtailment loss</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-1300480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-1300480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-1300480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-1300480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-1300480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-1300480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-323215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measurement date (December 31), the status of the Company's defined benefit pension plan was as follows (in thousands):</w:t>
      </w:r>
    </w:p>
    <w:p>
      <w:pPr>
        <w:spacing w:after="0" w:line="223"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 beginning of year</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 end of year</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6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60" w:type="dxa"/>
            <w:vAlign w:val="bottom"/>
            <w:gridSpan w:val="2"/>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plan assets, beginning of year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18"/>
        </w:trPr>
        <w:tc>
          <w:tcPr>
            <w:tcW w:w="476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status, end of year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less benefit obligation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105"/>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on the balance sheet consist of:</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60" w:type="dxa"/>
            <w:vAlign w:val="bottom"/>
            <w:gridSpan w:val="2"/>
            <w:vMerge w:val="continue"/>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liability</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-3650615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-3650615</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-3650615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-3650615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-2947035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-2947035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-2947035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-2947035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-1935480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-1935480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-1935480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-1935480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-1197610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-1197610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-1197610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-1197610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assumptions used to determine the benefit obligations at December 31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2005</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8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1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5.75%</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5.50%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28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F-33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-786130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-786130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-786130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-786130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8"/>
          <w:szCs w:val="18"/>
          <w:color w:val="auto"/>
        </w:rPr>
        <w:t>The principal actuarial assumptions to determine net period benefit cost for the years ended December 31 were as follows:</w:t>
      </w:r>
    </w:p>
    <w:p>
      <w:pPr>
        <w:spacing w:after="0" w:line="22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140" w:type="dxa"/>
            <w:vAlign w:val="bottom"/>
          </w:tcPr>
          <w:p>
            <w:pPr>
              <w:spacing w:after="0"/>
              <w:rPr>
                <w:sz w:val="20"/>
                <w:szCs w:val="20"/>
                <w:color w:val="auto"/>
              </w:rPr>
            </w:pPr>
          </w:p>
        </w:tc>
      </w:tr>
      <w:tr>
        <w:trPr>
          <w:trHeight w:val="120"/>
        </w:trPr>
        <w:tc>
          <w:tcPr>
            <w:tcW w:w="55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05"/>
        </w:trPr>
        <w:tc>
          <w:tcPr>
            <w:tcW w:w="5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6.25%</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5.75%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8.50%</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4"/>
              </w:rPr>
              <w:t>7.50%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-492760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-492760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-492760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-492760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-492760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-492760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assumptions, investment policies and strategies for the Globalstar Plan are determined by the Globalstar Plan Committee. Prior to June 1, 2004, the assumptions, investment policies and strategies for the Globalstar segment of the Loral Plan were determined by the Loral Plan Committee. The expected long-term rate of return on pension plan assets is selected by taking into account the expected duration of the projected benefit obligation for the plans, the asset mix of the plans and the fact that the plan assets are actively managed to mitigate risk.</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defined benefit pension plan asset allocation as of the measurement date (December 31) and the target asset allocation, presented as a percentage of</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plan assets were as follows: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488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960" w:type="dxa"/>
            <w:vAlign w:val="bottom"/>
            <w:gridSpan w:val="2"/>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gridSpan w:val="2"/>
          </w:tcPr>
          <w:p>
            <w:pPr>
              <w:spacing w:after="0"/>
              <w:rPr>
                <w:sz w:val="5"/>
                <w:szCs w:val="5"/>
                <w:color w:val="auto"/>
              </w:rPr>
            </w:pPr>
          </w:p>
        </w:tc>
        <w:tc>
          <w:tcPr>
            <w:tcW w:w="48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benefit payments to retirees are expected to be paid as follows (in thousands):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2011-2015</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-2327910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-2327910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-2327910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-2327910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-2327910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-2327910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-1761490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-1761490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-1761490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-1761490</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2005, the Company contributed $727,000 to the Globalstar Plan. For the six months ended June 30, 2006, the Company contributed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$1,283,000 to the Globalstar Plan. The Company expects to contribute a total of approximately $2,138,000 to the Globalstar Plan in 2006. Due to delays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transition of the Loral Plan to the Globalstar Plan and the payment schedules under applicable pension laws, some amounts related to 2005 obligations are being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during 2006.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227" w:lineRule="exact"/>
        <w:rPr>
          <w:sz w:val="20"/>
          <w:szCs w:val="20"/>
          <w:color w:val="auto"/>
        </w:rPr>
      </w:pPr>
    </w:p>
    <w:p>
      <w:pPr>
        <w:ind w:right="220" w:firstLine="439"/>
        <w:spacing w:after="0" w:line="339" w:lineRule="auto"/>
        <w:rPr>
          <w:sz w:val="20"/>
          <w:szCs w:val="20"/>
          <w:color w:val="auto"/>
        </w:rPr>
      </w:pPr>
      <w:r>
        <w:rPr>
          <w:rFonts w:ascii="Times New Roman" w:cs="Times New Roman" w:eastAsia="Times New Roman" w:hAnsi="Times New Roman"/>
          <w:sz w:val="16"/>
          <w:szCs w:val="16"/>
          <w:color w:val="auto"/>
        </w:rPr>
        <w:t>Old Globalstar reimbursed Loral for the cost of Old Globalstar retirees' participation in the Loral retiree medical plan through May 2004. Old Globalstar withheld $63,000 claimed as due to a dispute with Loral over the pension plan. New Globalstar has not assumed liabilities related to the Loral retiree medical</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8" w:name="page159"/>
    <w:bookmarkEnd w:id="158"/>
    <w:p>
      <w:pPr>
        <w:ind w:right="320"/>
        <w:spacing w:after="0" w:line="275" w:lineRule="auto"/>
        <w:rPr>
          <w:sz w:val="20"/>
          <w:szCs w:val="20"/>
          <w:color w:val="auto"/>
        </w:rPr>
      </w:pPr>
      <w:r>
        <w:rPr>
          <w:rFonts w:ascii="Times New Roman" w:cs="Times New Roman" w:eastAsia="Times New Roman" w:hAnsi="Times New Roman"/>
          <w:sz w:val="18"/>
          <w:szCs w:val="18"/>
          <w:color w:val="auto"/>
        </w:rPr>
        <w:t>plan. Old Globalstar's liabilities related to the Loral retiree medical plan have been included in the liabilities subject to compromise. Subsequent to May 2004, New Globalstar did not bear any cost associated with the participation of Old Globalstar's retirees in the Loral retiree medical plan.</w:t>
      </w:r>
    </w:p>
    <w:p>
      <w:pPr>
        <w:spacing w:after="0" w:line="174" w:lineRule="exact"/>
        <w:rPr>
          <w:sz w:val="20"/>
          <w:szCs w:val="20"/>
          <w:color w:val="auto"/>
        </w:rPr>
      </w:pPr>
    </w:p>
    <w:p>
      <w:pPr>
        <w:ind w:right="20" w:firstLine="439"/>
        <w:spacing w:after="0" w:line="301" w:lineRule="auto"/>
        <w:rPr>
          <w:sz w:val="20"/>
          <w:szCs w:val="20"/>
          <w:color w:val="auto"/>
        </w:rPr>
      </w:pPr>
      <w:r>
        <w:rPr>
          <w:rFonts w:ascii="Times New Roman" w:cs="Times New Roman" w:eastAsia="Times New Roman" w:hAnsi="Times New Roman"/>
          <w:sz w:val="16"/>
          <w:szCs w:val="16"/>
          <w:color w:val="auto"/>
        </w:rPr>
        <w:t>New Globalstar has not maintained its own plan to provide medical benefits for its retirees, although some Old Globalstar retirees have continued to be covered under the Loral Retiree Medical Plan sponsored by Loral. Retirees of Old Globalstar and New Globalstar participate in an Employee Term Life Insurance Plan offered by New Globalstar. New Globalstar continues to offer this plan to current retirees. Furthermore, New Globalstar reserves the right to terminate its employee or retiree benefit programs at any time and, accordingly, has not obligated itself to provide any such benefits for any specified period of time.</w:t>
      </w:r>
    </w:p>
    <w:p>
      <w:pPr>
        <w:spacing w:after="0" w:line="157" w:lineRule="exact"/>
        <w:rPr>
          <w:sz w:val="20"/>
          <w:szCs w:val="20"/>
          <w:color w:val="auto"/>
        </w:rPr>
      </w:pPr>
    </w:p>
    <w:p>
      <w:pPr>
        <w:ind w:right="100" w:firstLine="439"/>
        <w:spacing w:after="0" w:line="262" w:lineRule="auto"/>
        <w:rPr>
          <w:sz w:val="20"/>
          <w:szCs w:val="20"/>
          <w:color w:val="auto"/>
        </w:rPr>
      </w:pPr>
      <w:r>
        <w:rPr>
          <w:rFonts w:ascii="Times New Roman" w:cs="Times New Roman" w:eastAsia="Times New Roman" w:hAnsi="Times New Roman"/>
          <w:sz w:val="18"/>
          <w:szCs w:val="18"/>
          <w:color w:val="auto"/>
        </w:rPr>
        <w:t>Eligible retirees of New Globalstar participating in the Loral Supplemental Executive Retirement Plan will remain in such plan. New Globalstar will not offer a comparable plan to these former employees of Old Globalstar. New Globalstar does not bear any cost related to the participation of certain Old Globalstar employees in the Loral Supplemental Executive Retirement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Employee Plans</w:t>
      </w:r>
    </w:p>
    <w:p>
      <w:pPr>
        <w:spacing w:after="0" w:line="227"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Old Globalstar and the Company established various other employee benefit plans. These included Old Globalstar's employee stock option plan that was cancelled in 2004 (Note 1), an employee incentive program, an employee savings plan (described below) and other employee/management incentive compensation plans. The employee / management compensation plans are based upon annual performance measures and other criteria. The total expense related to these plans for the Predecessor and Successor Periods in 2003 were $1.7 million and $0.4 million, respectively, and for the years ended December 31, 2004 and 2005 were $0.9 million and $2.0 million, respectively.</w:t>
      </w:r>
    </w:p>
    <w:p>
      <w:pPr>
        <w:spacing w:after="0" w:line="193"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On August 1, 2001, Old Globalstar adopted a defined contribution employee savings plan, or "401(k)," which provided that Old Globalstar would match the contributions of participating employees up to a designated level. Prior to August 1, 2001, Old Globalstar's employees participated in the Loral 401(k) plan. This plan was continued by New Globalstar. Under this plan, the matching contributions were approximately $390,000, $237,000, $112,000 and $121,000 (unaudited) for 2003, 2004, 2005 and the six months ended June 30, 2006, respectively. As a cost reduction measure, Company matching of employee contributions was suspended in July 2004, but was reintroduced at a reduced level in January 2005.</w:t>
      </w:r>
    </w:p>
    <w:p>
      <w:pPr>
        <w:spacing w:after="0" w:line="1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7" w:lineRule="exact"/>
        <w:rPr>
          <w:sz w:val="20"/>
          <w:szCs w:val="20"/>
          <w:color w:val="auto"/>
        </w:rPr>
      </w:pPr>
    </w:p>
    <w:p>
      <w:pPr>
        <w:ind w:right="260" w:firstLine="351"/>
        <w:spacing w:after="0" w:line="310" w:lineRule="auto"/>
        <w:rPr>
          <w:sz w:val="20"/>
          <w:szCs w:val="20"/>
          <w:color w:val="auto"/>
        </w:rPr>
      </w:pPr>
      <w:r>
        <w:rPr>
          <w:rFonts w:ascii="Times New Roman" w:cs="Times New Roman" w:eastAsia="Times New Roman" w:hAnsi="Times New Roman"/>
          <w:sz w:val="16"/>
          <w:szCs w:val="16"/>
          <w:color w:val="auto"/>
        </w:rPr>
        <w:t>Prior to January 1, 2006, the Company and its U.S. operating subsidiaries were treated as partnerships for U.S. tax purposes. Generally, taxable income or loss, deductions and credits of the partnership were passed through to its partners. The Company does have significant foreign corporate subsidiaries that are taxable in their respective countries. There is also foreign withholding tax that is withheld on various income payments made to the Company.</w:t>
      </w:r>
    </w:p>
    <w:p>
      <w:pPr>
        <w:spacing w:after="0" w:line="151" w:lineRule="exact"/>
        <w:rPr>
          <w:sz w:val="20"/>
          <w:szCs w:val="20"/>
          <w:color w:val="auto"/>
        </w:rPr>
      </w:pPr>
    </w:p>
    <w:p>
      <w:pPr>
        <w:jc w:val="both"/>
        <w:ind w:right="140" w:firstLine="439"/>
        <w:spacing w:after="0" w:line="301" w:lineRule="auto"/>
        <w:rPr>
          <w:sz w:val="20"/>
          <w:szCs w:val="20"/>
          <w:color w:val="auto"/>
        </w:rPr>
      </w:pPr>
      <w:r>
        <w:rPr>
          <w:rFonts w:ascii="Times New Roman" w:cs="Times New Roman" w:eastAsia="Times New Roman" w:hAnsi="Times New Roman"/>
          <w:sz w:val="16"/>
          <w:szCs w:val="16"/>
          <w:color w:val="auto"/>
        </w:rPr>
        <w:t>Effective January 1, 2006, the Company elected to be taxed as a C corporation in the United States. Under SFAS No. 109, when an enterprise changes its tax status from non-taxable to taxable, the effect of recognizing deferred tax assets and liabilities is included in income from continuing operations in the period of change. As a result, the Company recognized a gross deferred tax asset of $204.2 million and a gross deferred tax liability of $0.1 million on January 1, 2006. SFAS No. 109 also requires that deferred tax assets be reduced by a valuation allowance if it is more likely than not that some portion or all of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9" w:name="page160"/>
    <w:bookmarkEnd w:id="159"/>
    <w:p>
      <w:pPr>
        <w:ind w:right="140"/>
        <w:spacing w:after="0" w:line="258" w:lineRule="auto"/>
        <w:rPr>
          <w:sz w:val="20"/>
          <w:szCs w:val="20"/>
          <w:color w:val="auto"/>
        </w:rPr>
      </w:pPr>
      <w:r>
        <w:rPr>
          <w:rFonts w:ascii="Times New Roman" w:cs="Times New Roman" w:eastAsia="Times New Roman" w:hAnsi="Times New Roman"/>
          <w:sz w:val="18"/>
          <w:szCs w:val="18"/>
          <w:color w:val="auto"/>
        </w:rPr>
        <w:t>deferred tax asset will not be realized. In evaluating the need for a valuation allowance, the Company takes into account various factors including the expected level of future taxable income and available tax planning strategies. Accordingly, the Company also determined that it was more likely than not that it would not recognize the entire deferred tax asset; therefore, the Company established a valuation allowance of $182.7 million, resulting in recognition of a net deferred tax benefit of $21.4 million.</w:t>
      </w:r>
    </w:p>
    <w:p>
      <w:pPr>
        <w:spacing w:after="0" w:line="190"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The foreign subsidiaries have traditionally had large deferred tax assets. The Company regularly reviews its deferred tax assets for recoverability taking into consideration such factors as historical financial results, projected future taxable income and the expected timing of the reversals of existing temporary differences. SFAS No. 109 requires the Company to record a valuation allowance when it is "more likely than not that some portion or all of the deferred tax assets will not be realized." It further states "forming a conclusion that a valuation allowance is not needed is difficult when there is negative evidence such as cumulative losses in recent years." Since the purchase of the Canadian entities and until December 31, 2004, the Company maintained a 100% valuation allowance equal to the deferred tax assets after considering deferred tax assets that can be realized through offsets, if any, to existing taxable temporary differences.</w:t>
      </w:r>
    </w:p>
    <w:p>
      <w:pPr>
        <w:spacing w:after="0" w:line="195"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8"/>
          <w:szCs w:val="18"/>
          <w:color w:val="auto"/>
        </w:rPr>
        <w:t>Based upon the Canadian subsidiaries' results of operations since December 31, 2001, and their expected profitability in 2005, the Company concluded, effective December 31, 2004, that it was more likely than not that approximately $4.8 million of its net deferred tax assets would be realized. As a result, in accordance with SFAS No. 109, this amount of the valuation allowance applied to such net deferred tax assets was reversed in the fourth quarter of 2004. Reversal of the valuation allowance resulted in a non-cash income tax benefit in the fourth quarter of 2004 totaling $4.8 million. This benefit represented the Company's estimated realizable deferred tax assets, excluding those deferred tax assets that resulted from the ongoing Canadian operation in 2005. At December 31, 2004, the Company's valuation allowance of approximately $5.9 million represented management's estimate at that time of net operating loss carryforwards both in the Canadian subsidiaries and other foreign subsidiaries which management did not believe were more likely than not to be utilized before the losses would expire unused.</w:t>
      </w:r>
    </w:p>
    <w:p>
      <w:pPr>
        <w:spacing w:after="0" w:line="192" w:lineRule="exact"/>
        <w:rPr>
          <w:sz w:val="20"/>
          <w:szCs w:val="20"/>
          <w:color w:val="auto"/>
        </w:rPr>
      </w:pPr>
    </w:p>
    <w:p>
      <w:pPr>
        <w:ind w:right="260" w:firstLine="439"/>
        <w:spacing w:after="0" w:line="289" w:lineRule="auto"/>
        <w:rPr>
          <w:sz w:val="20"/>
          <w:szCs w:val="20"/>
          <w:color w:val="auto"/>
        </w:rPr>
      </w:pPr>
      <w:r>
        <w:rPr>
          <w:rFonts w:ascii="Times New Roman" w:cs="Times New Roman" w:eastAsia="Times New Roman" w:hAnsi="Times New Roman"/>
          <w:sz w:val="16"/>
          <w:szCs w:val="16"/>
          <w:color w:val="auto"/>
        </w:rPr>
        <w:t>Based upon the Canadian subsidiaries' results of operations for the year ended December 31, 2005 and their expected profitability in 2006, the Company concluded that it was more likely than not that all of the remaining Canadian net deferred tax assets will be realized. As a result, in accordance with SFAS</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No. 109, the valuation allowance applied to such net deferred tax assets was reversed in the third quarter of 2005. Reversal of the valuation allowance resulted in a non-cash income tax benefit in the third quarter of 2005 totaling $4.2 million. The Company also recorded a deferred tax expense of $6.6 million related to the reversal of certain temporary differences, resulting in a net deferred tax expense of approximately $2.4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ind w:left="440"/>
        <w:spacing w:after="0"/>
        <w:rPr>
          <w:sz w:val="20"/>
          <w:szCs w:val="20"/>
          <w:color w:val="auto"/>
        </w:rPr>
      </w:pPr>
      <w:r>
        <w:rPr>
          <w:rFonts w:ascii="Times New Roman" w:cs="Times New Roman" w:eastAsia="Times New Roman" w:hAnsi="Times New Roman"/>
          <w:sz w:val="18"/>
          <w:szCs w:val="18"/>
          <w:color w:val="auto"/>
        </w:rPr>
        <w:t>The components of income tax expense (benefit)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January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December 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2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2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jc w:val="center"/>
              <w:ind w:left="2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December 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2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60" w:type="dxa"/>
            <w:vAlign w:val="bottom"/>
          </w:tcPr>
          <w:p>
            <w:pPr>
              <w:spacing w:after="0"/>
              <w:rPr>
                <w:sz w:val="15"/>
                <w:szCs w:val="15"/>
                <w:color w:val="auto"/>
              </w:rPr>
            </w:pPr>
          </w:p>
        </w:tc>
        <w:tc>
          <w:tcPr>
            <w:tcW w:w="146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Federal tax (benefit)</w:t>
            </w:r>
          </w:p>
        </w:tc>
        <w:tc>
          <w:tcPr>
            <w:tcW w:w="1120" w:type="dxa"/>
            <w:vAlign w:val="bottom"/>
          </w:tcPr>
          <w:p>
            <w:pPr>
              <w:jc w:val="right"/>
              <w:ind w:right="9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140" w:type="dxa"/>
            <w:vAlign w:val="bottom"/>
          </w:tcPr>
          <w:p>
            <w:pPr>
              <w:jc w:val="right"/>
              <w:ind w:right="9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State tax</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tax</w:t>
            </w:r>
          </w:p>
        </w:tc>
        <w:tc>
          <w:tcPr>
            <w:tcW w:w="1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40" w:type="dxa"/>
            <w:vAlign w:val="bottom"/>
            <w:tcBorders>
              <w:right w:val="single" w:sz="8" w:color="CCEEFF"/>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Federal and state tax (benefit)</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tax (benefit)</w:t>
            </w:r>
          </w:p>
        </w:tc>
        <w:tc>
          <w:tcPr>
            <w:tcW w:w="1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2"/>
              </w:rPr>
              <w:t>(4,777)</w:t>
            </w: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2,422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2"/>
              </w:rPr>
              <w:t>(4,777)</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2,422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(18,500)</w:t>
            </w:r>
          </w:p>
        </w:tc>
        <w:tc>
          <w:tcPr>
            <w:tcW w:w="0" w:type="dxa"/>
            <w:vAlign w:val="bottom"/>
          </w:tcPr>
          <w:p>
            <w:pPr>
              <w:spacing w:after="0"/>
              <w:rPr>
                <w:sz w:val="1"/>
                <w:szCs w:val="1"/>
                <w:color w:val="auto"/>
              </w:rPr>
            </w:pPr>
          </w:p>
        </w:tc>
      </w:tr>
      <w:tr>
        <w:trPr>
          <w:trHeight w:val="118"/>
        </w:trPr>
        <w:tc>
          <w:tcPr>
            <w:tcW w:w="2300" w:type="dxa"/>
            <w:vAlign w:val="bottom"/>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120" w:type="dxa"/>
            <w:vAlign w:val="bottom"/>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60" w:type="dxa"/>
            <w:vAlign w:val="bottom"/>
            <w:gridSpan w:val="2"/>
          </w:tcPr>
          <w:p>
            <w:pPr>
              <w:jc w:val="right"/>
              <w:ind w:right="109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2"/>
              </w:rPr>
              <w:t>(4,314)</w:t>
            </w: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2,502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(17,459)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-2466975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-2466975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-2466975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-2466975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-1935480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-1935480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-1935480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-1935480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-1935480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-1935480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-1935480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-1935480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-1935480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-1935480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-1935480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-1935480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-1155065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-1155065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-1155065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-1155065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-1155065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-1155065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-1155065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-1155065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-1155065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-528955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-528955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-528955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-528955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-528955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-528955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-528955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-528955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-528955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-528955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-528955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-528955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-280035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-280035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-280035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-280035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-280035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-280035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-280035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-280035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-280035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-280035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-280035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and foreign components of income (loss) before income taxes are presented below (in thousands):</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Predecessor</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280" w:type="dxa"/>
            <w:vAlign w:val="bottom"/>
          </w:tcPr>
          <w:p>
            <w:pPr>
              <w:spacing w:after="0"/>
              <w:rPr>
                <w:sz w:val="24"/>
                <w:szCs w:val="24"/>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5"/>
              </w:rPr>
              <w:t>December 5,</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280" w:type="dxa"/>
            <w:vAlign w:val="bottom"/>
          </w:tcPr>
          <w:p>
            <w:pPr>
              <w:spacing w:after="0"/>
              <w:rPr>
                <w:sz w:val="18"/>
                <w:szCs w:val="18"/>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300" w:type="dxa"/>
            <w:vAlign w:val="bottom"/>
          </w:tcPr>
          <w:p>
            <w:pPr>
              <w:spacing w:after="0"/>
              <w:rPr>
                <w:sz w:val="18"/>
                <w:szCs w:val="18"/>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2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December 4,</w:t>
            </w:r>
          </w:p>
        </w:tc>
        <w:tc>
          <w:tcPr>
            <w:tcW w:w="280" w:type="dxa"/>
            <w:vAlign w:val="bottom"/>
          </w:tcPr>
          <w:p>
            <w:pPr>
              <w:spacing w:after="0"/>
              <w:rPr>
                <w:sz w:val="18"/>
                <w:szCs w:val="18"/>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00" w:type="dxa"/>
            <w:vAlign w:val="bottom"/>
          </w:tcPr>
          <w:p>
            <w:pPr>
              <w:spacing w:after="0"/>
              <w:rPr>
                <w:sz w:val="18"/>
                <w:szCs w:val="18"/>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income (loss)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(263,745)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(3,023)</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(11,688)</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(loss)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income (loss) before income</w:t>
            </w:r>
          </w:p>
        </w:tc>
        <w:tc>
          <w:tcPr>
            <w:tcW w:w="260" w:type="dxa"/>
            <w:vAlign w:val="bottom"/>
            <w:shd w:val="clear" w:color="auto" w:fill="CCEEFF"/>
          </w:tcPr>
          <w:p>
            <w:pPr>
              <w:spacing w:after="0"/>
              <w:rPr>
                <w:sz w:val="17"/>
                <w:szCs w:val="17"/>
                <w:color w:val="auto"/>
              </w:rPr>
            </w:pPr>
          </w:p>
        </w:tc>
        <w:tc>
          <w:tcPr>
            <w:tcW w:w="15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(261,710)</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-1591945</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-1591945</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-1591945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-1591945</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-889000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-889000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-889000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-889000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-889000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-889000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-889000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-889000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-460375</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-460375</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-460375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-460375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-460375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-460375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-460375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-460375</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net deferred income tax assets as of December 31,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foreign net operating loss and credit carryforwards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Basis in subsidiaries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(5,177)</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5480" w:type="dxa"/>
            <w:vAlign w:val="bottom"/>
            <w:vMerge w:val="restart"/>
          </w:tcPr>
          <w:p>
            <w:pPr>
              <w:ind w:left="4200"/>
              <w:spacing w:after="0"/>
              <w:rPr>
                <w:sz w:val="20"/>
                <w:szCs w:val="20"/>
                <w:color w:val="auto"/>
              </w:rPr>
            </w:pPr>
            <w:r>
              <w:rPr>
                <w:rFonts w:ascii="Times New Roman" w:cs="Times New Roman" w:eastAsia="Times New Roman" w:hAnsi="Times New Roman"/>
                <w:sz w:val="18"/>
                <w:szCs w:val="18"/>
                <w:color w:val="auto"/>
              </w:rPr>
              <w:t>F-37</w:t>
            </w: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54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-1952625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-1952625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-1952625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-1952625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-1249045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-1249045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-1249045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-1249045</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-820420</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-820420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-820420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-820420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1" w:name="page162"/>
    <w:bookmarkEnd w:id="161"/>
    <w:p>
      <w:pPr>
        <w:ind w:right="160" w:firstLine="429"/>
        <w:spacing w:after="0" w:line="275" w:lineRule="auto"/>
        <w:rPr>
          <w:sz w:val="20"/>
          <w:szCs w:val="20"/>
          <w:color w:val="auto"/>
        </w:rPr>
      </w:pPr>
      <w:r>
        <w:rPr>
          <w:rFonts w:ascii="Times New Roman" w:cs="Times New Roman" w:eastAsia="Times New Roman" w:hAnsi="Times New Roman"/>
          <w:sz w:val="18"/>
          <w:szCs w:val="18"/>
          <w:color w:val="auto"/>
        </w:rPr>
        <w:t>As of December 31, 2005, the foreign subsidiaries have cumulative foreign and U.S net operating loss carryforwards for income tax reporting purposes of approximately $37.0 million. The net operating loss carryforwards expire on various dates from 2009 to 2024.</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actual provision for income taxes differs from the statutory U.S. federal income tax rate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26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December 5,</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December 4,</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U.S. statutory rate of 35%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(91,599)</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Nontaxable partnership interest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Change in valuation allowance and utilization of</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income tax at various rates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-2141220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-2141220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-2141220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-2141220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-1437640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-1437640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-1437640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-1437640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-1437640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-1437640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-1437640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-1437640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-323215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-323215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GEOGRAPHIC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revenue by geographic location is presented net of eliminations for intercompany sales, and 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5,</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Six Months</w:t>
            </w:r>
          </w:p>
        </w:tc>
        <w:tc>
          <w:tcPr>
            <w:tcW w:w="8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80" w:type="dxa"/>
            <w:vAlign w:val="bottom"/>
          </w:tcPr>
          <w:p>
            <w:pPr>
              <w:spacing w:after="0"/>
              <w:rPr>
                <w:sz w:val="18"/>
                <w:szCs w:val="18"/>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0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December 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18"/>
                <w:szCs w:val="18"/>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Subscriber equipment: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subscriber equipment</w:t>
            </w:r>
          </w:p>
        </w:tc>
        <w:tc>
          <w:tcPr>
            <w:tcW w:w="1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F-38</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-4473575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-4473575</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-4473575</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-4473575</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-3770630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-3770630</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-3770630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-3770630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-3770630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-3770630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-3770630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-3770630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-3770630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-3770630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-3770630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-3770630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-2501265</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-2501265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-2501265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-2501265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-2501265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-2501265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-2501265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-2501265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-2501265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-2501265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-2501265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-2501265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-1249045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-1249045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-1249045</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-1249045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-1249045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-1249045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-1249045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-1249045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-1249045</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-1249045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-1249045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-1249045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-820420</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-820420</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-820420</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-820420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-820420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-820420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-820420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-820420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-820420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-820420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-820420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-820420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ind w:left="440"/>
        <w:spacing w:after="0"/>
        <w:rPr>
          <w:sz w:val="20"/>
          <w:szCs w:val="20"/>
          <w:color w:val="auto"/>
        </w:rPr>
      </w:pPr>
      <w:r>
        <w:rPr>
          <w:rFonts w:ascii="Times New Roman" w:cs="Times New Roman" w:eastAsia="Times New Roman" w:hAnsi="Times New Roman"/>
          <w:sz w:val="18"/>
          <w:szCs w:val="18"/>
          <w:color w:val="auto"/>
        </w:rPr>
        <w:t>The long-lived assets (property and equipment and additional spare satellites) by geographic location are as follows (in thousands):</w:t>
      </w: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 w:type="dxa"/>
            <w:vAlign w:val="bottom"/>
          </w:tcPr>
          <w:p>
            <w:pPr>
              <w:spacing w:after="0"/>
              <w:rPr>
                <w:sz w:val="20"/>
                <w:szCs w:val="20"/>
                <w:color w:val="auto"/>
              </w:rPr>
            </w:pPr>
          </w:p>
        </w:tc>
      </w:tr>
      <w:tr>
        <w:trPr>
          <w:trHeight w:val="120"/>
        </w:trPr>
        <w:tc>
          <w:tcPr>
            <w:tcW w:w="4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2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Carribean</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r>
      <w:tr>
        <w:trPr>
          <w:trHeight w:val="228"/>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2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r>
      <w:tr>
        <w:trPr>
          <w:trHeight w:val="106"/>
        </w:trPr>
        <w:tc>
          <w:tcPr>
            <w:tcW w:w="4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long-lived assets</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20" w:type="dxa"/>
            <w:vAlign w:val="bottom"/>
          </w:tcPr>
          <w:p>
            <w:pPr>
              <w:spacing w:after="0"/>
              <w:rPr>
                <w:sz w:val="18"/>
                <w:szCs w:val="18"/>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5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-1300480</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-1300480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-1300480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OTHER RELATED PARTY TRANSACTIONS</w:t>
      </w:r>
    </w:p>
    <w:p>
      <w:pPr>
        <w:spacing w:after="0" w:line="227"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Old Globalstar had a number of transactions with QUALCOMM, Loral and other affiliates. Such transactions were negotiated on an arms-length basis and Old Globalstar believed that the arrangements were no less favorable to Old Globalstar than could be obtained from unaffiliated parties. QUALCOMM and Loral's ownership interest in New Globalstar was substantially diluted upon closing of the Thermo Transaction and the settlement transactions disclosed in Note 2. After the Thermo equity transactions, the A and B rights transactions, and the subsequent QUALCOMM transaction, Loral's ownership interest in New Globalstar is less than 5% and QUALCOMM's ownership interest is approximately 6.72% as of December 31, 2005.</w:t>
      </w:r>
    </w:p>
    <w:p>
      <w:pPr>
        <w:spacing w:after="0" w:line="19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On July 17, 2001, the FCC granted Old Globalstar and seven other applicants authorizations to construct, launch and operate MSS systems in the 2 GHz band, subject to strict milestone requirements. Old Globalstar entered into a non-contingent contract with SS/L for the construction of a second generation Globalstar satellite system that would operate in the 2 GHz band on July 16, 2002. On January 30, 2003, the FCC's International Bureau declared Old Globalstar's 2 GHz license to be null and void. As a result of this regulatory action on January 31, 2003, Old Globalstar instructed SS/L to stop work on the contract and requested repayment of the balance of the payment that had not been spent. SS/L did repay the balance and agreed to maintain the stop-work status of the project. In June 2004, the FCC affirmed the Bureau's decision, and Globalstar has requested reconsideration. Globalstar believes that this action by the FCC is inconsistent with the facts and the law and will ultimately be reversed.</w:t>
      </w:r>
    </w:p>
    <w:p>
      <w:pPr>
        <w:spacing w:after="0" w:line="195"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Subsidiaries of Loral have formed joint ventures with partners, which have executed service provider agreements granting the joint ventures exclusive rights to provide Globalstar service to users in Brazil, Mexico, and Russia. Founding service provider agreements were entered into with certain of Old Globalstar's limited partners for specific countries. These agreements were rejected in Old Globalstar's Chapter 11 Plan. The service providers continue to provide Globalstar service and several have negotiated new Satellite Services Agreements with Globalstar.</w:t>
      </w:r>
    </w:p>
    <w:p>
      <w:pPr>
        <w:spacing w:after="0" w:line="190" w:lineRule="exact"/>
        <w:rPr>
          <w:sz w:val="20"/>
          <w:szCs w:val="20"/>
          <w:color w:val="auto"/>
        </w:rPr>
      </w:pPr>
    </w:p>
    <w:p>
      <w:pPr>
        <w:ind w:right="40" w:firstLine="439"/>
        <w:spacing w:after="0" w:line="258" w:lineRule="auto"/>
        <w:rPr>
          <w:sz w:val="20"/>
          <w:szCs w:val="20"/>
          <w:color w:val="auto"/>
        </w:rPr>
      </w:pPr>
      <w:r>
        <w:rPr>
          <w:rFonts w:ascii="Times New Roman" w:cs="Times New Roman" w:eastAsia="Times New Roman" w:hAnsi="Times New Roman"/>
          <w:sz w:val="18"/>
          <w:szCs w:val="18"/>
          <w:color w:val="auto"/>
        </w:rPr>
        <w:t>On July 9, 2004, Globalstar issued a purchase order to QUALCOMM under the terms of previously executed commercial agreements for 40,000 QUALCOMM GSP-1600 mobile phones at a price of $26.0 million. Consistent with the terms of the commercial agreements, Globalstar paid $6.5 million (25%) against this purchase order in 2004; the remaining 75% was due upon the delivery of each unit. Delivery of these units by QUALCOMM commenced in January 2005. The Company and QUALCOMM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ind w:right="40"/>
        <w:spacing w:after="0" w:line="339" w:lineRule="auto"/>
        <w:rPr>
          <w:sz w:val="20"/>
          <w:szCs w:val="20"/>
          <w:color w:val="auto"/>
        </w:rPr>
      </w:pPr>
      <w:r>
        <w:rPr>
          <w:rFonts w:ascii="Times New Roman" w:cs="Times New Roman" w:eastAsia="Times New Roman" w:hAnsi="Times New Roman"/>
          <w:sz w:val="16"/>
          <w:szCs w:val="16"/>
          <w:color w:val="auto"/>
        </w:rPr>
        <w:t>subsequently agreed to certain credits and discounts. As of December 31, 2005, the contract was 100% fulfilled. Also, under the terms of the commercial agreements, Globalstar has continued to place production orders with QUALCOMM for fixed user terminals, car kits and accessory items on an as required basis.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2005, Globalstar issued separate purchase orders for additional phone equipment and accessories under the terms of previously executed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 agreements to QUALCOMM that aggregate to a total commitment balance of approximately $158.0 million. Approximately $107.0 million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$158.0 million consists of the new generation of phones and fixed user terminals, car kits and accessories which will start to be delivered in September 2006.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$51.0 million consists of phones and accessories under the original commercial agreement. At June 30, 2006, 67% (unaudited) of the $51.0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for GSP-1600 phones and accessories, had been fulfilled and the remainder is expected to be fulfilled by the end of 2006.</w:t>
      </w:r>
    </w:p>
    <w:p>
      <w:pPr>
        <w:spacing w:after="0" w:line="21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Within the terms of the commercial agreements, the Company paid Qualcomm approximately 15% to 25% of the total order as advances for inventory. As of December 31, 2004 and 2005 and June 30, 2006, total advances to QUALCOMM for inventory were $8.8 million, $13.5 million and $18.7 million (unaudited), respectively. Under the new agreements, Globalstar did not receive any additional discounts from QUALCOMM.</w:t>
      </w:r>
    </w:p>
    <w:p>
      <w:pPr>
        <w:spacing w:after="0" w:line="186" w:lineRule="exact"/>
        <w:rPr>
          <w:sz w:val="20"/>
          <w:szCs w:val="20"/>
          <w:color w:val="auto"/>
        </w:rPr>
      </w:pPr>
    </w:p>
    <w:p>
      <w:pPr>
        <w:ind w:right="40" w:firstLine="436"/>
        <w:spacing w:after="0" w:line="275" w:lineRule="auto"/>
        <w:rPr>
          <w:sz w:val="20"/>
          <w:szCs w:val="20"/>
          <w:color w:val="auto"/>
        </w:rPr>
      </w:pPr>
      <w:r>
        <w:rPr>
          <w:rFonts w:ascii="Times New Roman" w:cs="Times New Roman" w:eastAsia="Times New Roman" w:hAnsi="Times New Roman"/>
          <w:sz w:val="18"/>
          <w:szCs w:val="18"/>
          <w:color w:val="auto"/>
        </w:rPr>
        <w:t>The total orders placed with QUALCOMM as of December 31, 2005 and June 30, 2006 were approximately $182.1 million and $186.3 million (unaudited) with an outstanding commitment balance of approximately $136.0 million and $123.1 million (unaudited), respectively.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September 2005, QUALCOMM entered into a buyback arrangement with Globalstar whereby Globalstar delivered several hundred GSP-1600 phones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contracted to provide service to QUALCOMM's customers. Revenue recognized for equipment during 2005 under this arrangement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$440,000 with a related cost of subscriber equipment of $314,000. Related service billings of $595,000 were recorded to deferred service revenue. Revenue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billings are recognized based on actual usage.</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purchases from affiliates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January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5"/>
              </w:rPr>
              <w:t>Six Months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December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QUALCOMM</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SS/L</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GCC(1)</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affiliates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40,174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-2312670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-2312670</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-2312670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-2312670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-1609090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-1609090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-1609090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-1609090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-1609090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-1609090</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-1609090</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-1609090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-1609090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-1609090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-1609090</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-477520</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-477520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-477520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-477520</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-477520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-477520</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-477520</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-477520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-477520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-477520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GCC purchases through May 5, 2003, the date of the GCC acquisition.</w:t>
      </w:r>
    </w:p>
    <w:p>
      <w:pPr>
        <w:spacing w:after="0" w:line="225" w:lineRule="exact"/>
        <w:rPr>
          <w:sz w:val="20"/>
          <w:szCs w:val="20"/>
          <w:color w:val="auto"/>
        </w:rPr>
      </w:pPr>
    </w:p>
    <w:p>
      <w:pPr>
        <w:ind w:right="760" w:firstLine="436"/>
        <w:spacing w:after="0" w:line="275" w:lineRule="auto"/>
        <w:rPr>
          <w:sz w:val="20"/>
          <w:szCs w:val="20"/>
          <w:color w:val="auto"/>
        </w:rPr>
      </w:pPr>
      <w:r>
        <w:rPr>
          <w:rFonts w:ascii="Times New Roman" w:cs="Times New Roman" w:eastAsia="Times New Roman" w:hAnsi="Times New Roman"/>
          <w:sz w:val="18"/>
          <w:szCs w:val="18"/>
          <w:color w:val="auto"/>
        </w:rPr>
        <w:t>Total usage revenues from affiliates for the Predecessor and Successor Periods in 2003 and the year ended December 31, 2004 were $2.1 million, $0.2 million, and $0.8 million, respectively. There was no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4" w:name="page165"/>
    <w:bookmarkEnd w:id="164"/>
    <w:p>
      <w:pPr>
        <w:ind w:right="200"/>
        <w:spacing w:after="0" w:line="262" w:lineRule="auto"/>
        <w:rPr>
          <w:sz w:val="20"/>
          <w:szCs w:val="20"/>
          <w:color w:val="auto"/>
        </w:rPr>
      </w:pPr>
      <w:r>
        <w:rPr>
          <w:rFonts w:ascii="Times New Roman" w:cs="Times New Roman" w:eastAsia="Times New Roman" w:hAnsi="Times New Roman"/>
          <w:sz w:val="18"/>
          <w:szCs w:val="18"/>
          <w:color w:val="auto"/>
        </w:rPr>
        <w:t>usage revenue from affiliates during 2005 or the six months ended June 30, 2006. As of April 2004, these customers, except QUALCOMM, ceased to be considered affiliates. Total equipment revenue from QUALCOMM was approximately $440,000 and $0 (unaudited) for the year ended December 31, 2005 and the six months ended June 30, 2006. There were no equipment sales to affiliates in 2003 or 2004.</w:t>
      </w:r>
    </w:p>
    <w:p>
      <w:pPr>
        <w:spacing w:after="0" w:line="1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Minimum Lease Obligations</w:t>
      </w:r>
    </w:p>
    <w:p>
      <w:pPr>
        <w:spacing w:after="0" w:line="227" w:lineRule="exact"/>
        <w:rPr>
          <w:sz w:val="20"/>
          <w:szCs w:val="20"/>
          <w:color w:val="auto"/>
        </w:rPr>
      </w:pPr>
    </w:p>
    <w:p>
      <w:pPr>
        <w:ind w:right="340" w:firstLine="439"/>
        <w:spacing w:after="0" w:line="262" w:lineRule="auto"/>
        <w:rPr>
          <w:sz w:val="20"/>
          <w:szCs w:val="20"/>
          <w:color w:val="auto"/>
        </w:rPr>
      </w:pPr>
      <w:r>
        <w:rPr>
          <w:rFonts w:ascii="Times New Roman" w:cs="Times New Roman" w:eastAsia="Times New Roman" w:hAnsi="Times New Roman"/>
          <w:sz w:val="18"/>
          <w:szCs w:val="18"/>
          <w:color w:val="auto"/>
        </w:rPr>
        <w:t>Globalstar currently has several leases for facilities throughout the United States and around the world including, California, Florida, Washington D.C., Texas, Canada, Ireland, France, Venezuela, and Colombia. The leases expire on various dates through August 2015. The following table presents the future minimum lease payments (in thousands):</w:t>
      </w:r>
    </w:p>
    <w:p>
      <w:pPr>
        <w:spacing w:after="0" w:line="184"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-1300480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-1300480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520" w:firstLine="439"/>
        <w:spacing w:after="0" w:line="275" w:lineRule="auto"/>
        <w:rPr>
          <w:sz w:val="20"/>
          <w:szCs w:val="20"/>
          <w:color w:val="auto"/>
        </w:rPr>
      </w:pPr>
      <w:r>
        <w:rPr>
          <w:rFonts w:ascii="Times New Roman" w:cs="Times New Roman" w:eastAsia="Times New Roman" w:hAnsi="Times New Roman"/>
          <w:sz w:val="18"/>
          <w:szCs w:val="18"/>
          <w:color w:val="auto"/>
        </w:rPr>
        <w:t>Rent expense for the Predecessor and Successor Periods in 2003 and the years ended December 31, 2004 and 2005 were approximately $3.6 million, $0.2 million, $2.1 million, and $1.5 million, respectively. Rent expense for the six months ended June 30, 2006 was $0.7 million (unaudited).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340" w:firstLine="439"/>
        <w:spacing w:after="0" w:line="262"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involving ordinary and routine claims incidental to our business. Management currently believes that the outcome of these proceedings, either individually or in the aggregate, will not have a material adverse effect on the Company's business, results of operations or financial condition. The Company is involved in certain litigation matters as discussed below.</w:t>
      </w:r>
    </w:p>
    <w:p>
      <w:pPr>
        <w:spacing w:after="0" w:line="186" w:lineRule="exact"/>
        <w:rPr>
          <w:sz w:val="20"/>
          <w:szCs w:val="20"/>
          <w:color w:val="auto"/>
        </w:rPr>
      </w:pPr>
    </w:p>
    <w:p>
      <w:pPr>
        <w:ind w:right="40" w:firstLine="429"/>
        <w:spacing w:after="0" w:line="256" w:lineRule="auto"/>
        <w:rPr>
          <w:sz w:val="20"/>
          <w:szCs w:val="20"/>
          <w:color w:val="auto"/>
        </w:rPr>
      </w:pPr>
      <w:r>
        <w:rPr>
          <w:rFonts w:ascii="Times New Roman" w:cs="Times New Roman" w:eastAsia="Times New Roman" w:hAnsi="Times New Roman"/>
          <w:sz w:val="18"/>
          <w:szCs w:val="18"/>
          <w:color w:val="auto"/>
        </w:rPr>
        <w:t>Advanced Metering and Technologies Inc. ("AMT") filed with the Bankruptcy Court on April 24, 2003 a motion asking the Bankruptcy Court to reconsider its approval of the Loral Settlement. The Bankruptcy Court denied AMT's motion for reconsideration on May 30, 2003, and thereafter on June 9, 2003, AMT filed a notice of appeal of the Bankruptcy Court's order approving the Loral Settlement. Globalstar believes that AMT's appeal is without merit and will ultimately be denied, although no assurance can be given in this regard or as to what relief, if any, might be granted in the event AMT were to be successful on appeal.</w:t>
      </w:r>
    </w:p>
    <w:p>
      <w:pPr>
        <w:spacing w:after="0" w:line="193"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In December 2004, a female employee of Globalstar lodged a complaint of sexual harassment against a male employee. Both the complainant and the defendant filed Notices of Right to sue with the California Department of Fair Employment &amp; Housing ("DFEH"). The Company, with the assistance of outside counsel, investigated and took certain remedial actions; however, the complainant declined to withdraw her DFEH notices. On June 2, 2005, the complainant filed a complaint against Globalstar and the male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5" w:name="page166"/>
    <w:bookmarkEnd w:id="165"/>
    <w:p>
      <w:pPr>
        <w:ind w:right="340"/>
        <w:spacing w:after="0" w:line="258" w:lineRule="auto"/>
        <w:rPr>
          <w:sz w:val="20"/>
          <w:szCs w:val="20"/>
          <w:color w:val="auto"/>
        </w:rPr>
      </w:pPr>
      <w:r>
        <w:rPr>
          <w:rFonts w:ascii="Times New Roman" w:cs="Times New Roman" w:eastAsia="Times New Roman" w:hAnsi="Times New Roman"/>
          <w:sz w:val="18"/>
          <w:szCs w:val="18"/>
          <w:color w:val="auto"/>
        </w:rPr>
        <w:t>employee in Santa Clara County Superior Court seeking compensatory and punitive damages in an unspecified amount. Globalstar's insurer, XL Specialty, notified Globalstar that the Company's defense is covered by Globalstar's employee practices insurance and assigned its counsel to defend the Company. The defendant male employee has joined in the defense. The policy has a $100,000 per claim retention amount, which the litigation has exceeded. The parties unsuccessfully attempted to mediate in August 2005.</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26, 2005, Loral/QUALCOMM Satellite Services, L.P., et al. ("Loral"), filed a motion for an order in its Delaware bankruptcy case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2004 seeking to compel Globalstar and certain affiliates and individuals to produce documents and appear for oral examination. Globalstar answered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a motion in the same court for declaratory judgment. Loral's motion was denied, and the declaratory judgment proceeding remains pending. The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involves Globalstar's management of Government Services, LLC ("GSLLC"), in which Loral holds a 25 percent minority interest, and alleged breach of fiduciary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duty by the directors of GSLLC. Loral and Globalstar have exchanged documents requested in discovery and depositions are scheduled for March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Globalstar and its counsel believe that Loral's allegations are without merit; however, if Loral prevails on the declaratory judgment motion, then Globalstar could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ordered to pay Loral an unspecified amount of compensation and/or damages. Globalstar has filed a motion for partial summary judgment which, if granted,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would substantially narrow Globalstar's potential liability. Globalstar has notified its insurance carrier of the case, and the insurance carrier has reserved all rights.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Globalstar does not yet know whether any damages awarded would be covered by insurance. The parties have been meeting to assess the value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and potentially settle the matter.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Costs</w:t>
      </w:r>
    </w:p>
    <w:p>
      <w:pPr>
        <w:spacing w:after="0" w:line="227" w:lineRule="exact"/>
        <w:rPr>
          <w:sz w:val="20"/>
          <w:szCs w:val="20"/>
          <w:color w:val="auto"/>
        </w:rPr>
      </w:pPr>
    </w:p>
    <w:p>
      <w:pPr>
        <w:ind w:right="160" w:firstLine="439"/>
        <w:spacing w:after="0" w:line="258" w:lineRule="auto"/>
        <w:rPr>
          <w:sz w:val="20"/>
          <w:szCs w:val="20"/>
          <w:color w:val="auto"/>
        </w:rPr>
      </w:pPr>
      <w:r>
        <w:rPr>
          <w:rFonts w:ascii="Times New Roman" w:cs="Times New Roman" w:eastAsia="Times New Roman" w:hAnsi="Times New Roman"/>
          <w:sz w:val="18"/>
          <w:szCs w:val="18"/>
          <w:color w:val="auto"/>
        </w:rPr>
        <w:t>On September 19, 2005, Globalstar executed a contract for approximately 59.0 million Euros ($72.0 million at December 31, 2005) for two launches of four satellites each. The contract also provides for a compatibility and feasibility study. As of December 31, 2005, Globalstar had made payments of approximately $122,000. Globalstar has authorized the vendor to proceed with both launches. Total payments under the contract will be paid by April 2007 and will be recorded as an increase to spare satellites and launch costs as such amounts are invoiced or become due under the terms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Arbitration</w:t>
      </w:r>
    </w:p>
    <w:p>
      <w:pPr>
        <w:spacing w:after="0" w:line="227"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On January 13, 2006, Elsacom N.V., an independent gateway operator whose territories include portions of Central and Eastern Europe and North Africa, served us with a notice of arbitration pursuant to a dispute resolution provision in its Satellite Services Agreement. The dispute stems from our decision in Fall 2005 to realign coverage of the two gateways serving Western and Central Europe. Elsacom has not specified the amount of damages that it is seeking. Elsacom asserts that the realignment diminishes its rights under its Satellite Services Agreement. We disagree and intend to defend our decision vigorously. The arbitration is scheduled to be held in January 2007.</w:t>
      </w:r>
    </w:p>
    <w:p>
      <w:pPr>
        <w:spacing w:after="0" w:line="1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SIX MONTHS 2006 EVENTS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Globalstar Americas Telecommunications, LTD</w:t>
      </w:r>
    </w:p>
    <w:p>
      <w:pPr>
        <w:spacing w:after="0" w:line="227" w:lineRule="exact"/>
        <w:rPr>
          <w:sz w:val="20"/>
          <w:szCs w:val="20"/>
          <w:color w:val="auto"/>
        </w:rPr>
      </w:pPr>
    </w:p>
    <w:p>
      <w:pPr>
        <w:ind w:right="480" w:firstLine="439"/>
        <w:spacing w:after="0" w:line="275" w:lineRule="auto"/>
        <w:rPr>
          <w:sz w:val="20"/>
          <w:szCs w:val="20"/>
          <w:color w:val="auto"/>
        </w:rPr>
      </w:pPr>
      <w:r>
        <w:rPr>
          <w:rFonts w:ascii="Times New Roman" w:cs="Times New Roman" w:eastAsia="Times New Roman" w:hAnsi="Times New Roman"/>
          <w:sz w:val="18"/>
          <w:szCs w:val="18"/>
          <w:color w:val="auto"/>
        </w:rPr>
        <w:t>Effective January 1, 2006, the Company consummated an agreement dated December 30, 2005 to purchase all of the issued and outstanding stock of Globalstar Americas Holding (GAH), Globalstar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6" w:name="page167"/>
    <w:bookmarkEnd w:id="166"/>
    <w:p>
      <w:pPr>
        <w:spacing w:after="0" w:line="252" w:lineRule="auto"/>
        <w:rPr>
          <w:sz w:val="20"/>
          <w:szCs w:val="20"/>
          <w:color w:val="auto"/>
        </w:rPr>
      </w:pPr>
      <w:r>
        <w:rPr>
          <w:rFonts w:ascii="Times New Roman" w:cs="Times New Roman" w:eastAsia="Times New Roman" w:hAnsi="Times New Roman"/>
          <w:sz w:val="18"/>
          <w:szCs w:val="18"/>
          <w:color w:val="auto"/>
        </w:rPr>
        <w:t>Americas Telecommunications (GAT), and Astral Technologies Investment Limited (Astral), collectively, the "GA Companies." The GA Companies own assets, contract rights, and licenses necessary and sufficient to operate a satellite communications business in Panama, Costa Rica, Nicaragua, Honduras, El Salvador, Guatemala, and Belize (collectively, the "Territory"). The Company believes the purchase of the GA Companies will further enhance Globalstar's presence and coverage in the South America region and consolidation efforts. The stipulated purchase price for the GA Companies is $5,250,500 payable substantially 100% in Globalstar membership units or common stock. At the time of closing of the purchase of the GA Companies, the selling stockholders received 91,986 units (subsequently converted into the same number of shares of Series A redeemable common stock as explained in "Incorporation in 2006" below) of the Company. The acquisition agreement provides that if by the earlier of November 15, 2006 or 15 trading days after the redeemable common stock becomes marketable following either an initial public offering or registration pursuant to Section 12 of the Exchange Act, the per share market value of the Company's stock multiplied by the number of shares that the selling stockholders received does not equal or exceed $5.2 million, then the Company is obligated either to redeem the stock issued to the selling stockholders for $5.2 million, or pay the selling stockholders the difference between $5.2 million and the market value of the stock received on the earlier of the two dates described above. If the stock is trading at that time, the Company has the further option of paying the difference in cash or in stock valued as of the date of delivery. Accordingly, if the market value of the common stock on the earlier of those dates is $17.00 per share (the mid-point of the expected price range for the Company's initial public offering) the Company will be required either to redeem the shares issued in the transaction for $5.2 million in cash or issue approximately $3.6 million in cash or additional shares of common stock to the selling stockholders. If the Company fails either to complete its initial public offering or to register its common stock pursuant to Section 12 and the Company does not redeem the stock for $5.2 million, the selling stockholders may rescind the transaction.</w:t>
      </w:r>
    </w:p>
    <w:p>
      <w:pPr>
        <w:spacing w:after="0" w:line="196" w:lineRule="exact"/>
        <w:rPr>
          <w:sz w:val="20"/>
          <w:szCs w:val="20"/>
          <w:color w:val="auto"/>
        </w:rPr>
      </w:pPr>
    </w:p>
    <w:p>
      <w:pPr>
        <w:ind w:right="74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preliminary allocation of the estimated values of the assets acquired and liabilities assumed in the acquisition (in thousands):</w:t>
      </w:r>
    </w:p>
    <w:p>
      <w:pPr>
        <w:spacing w:after="0" w:line="17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1, 2006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5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-1901190</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-1901190</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-1334770</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-1334770</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-1043305</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-1043305</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-614680</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-614680</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700" w:firstLine="436"/>
        <w:spacing w:after="0" w:line="275" w:lineRule="auto"/>
        <w:rPr>
          <w:sz w:val="20"/>
          <w:szCs w:val="20"/>
          <w:color w:val="auto"/>
        </w:rPr>
      </w:pPr>
      <w:r>
        <w:rPr>
          <w:rFonts w:ascii="Times New Roman" w:cs="Times New Roman" w:eastAsia="Times New Roman" w:hAnsi="Times New Roman"/>
          <w:sz w:val="18"/>
          <w:szCs w:val="18"/>
          <w:color w:val="auto"/>
        </w:rPr>
        <w:t>The results of operations of the GA Companies have been included in the Company's consolidated financial statements from January 1, 2006. The Company's pro forma results of operations assuming the transaction had been completed on January 1, 2005 are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in 2006</w:t>
      </w:r>
    </w:p>
    <w:p>
      <w:pPr>
        <w:spacing w:after="0" w:line="227" w:lineRule="exact"/>
        <w:rPr>
          <w:sz w:val="20"/>
          <w:szCs w:val="20"/>
          <w:color w:val="auto"/>
        </w:rPr>
      </w:pPr>
    </w:p>
    <w:p>
      <w:pPr>
        <w:ind w:right="380" w:firstLine="439"/>
        <w:spacing w:after="0" w:line="275" w:lineRule="auto"/>
        <w:rPr>
          <w:sz w:val="20"/>
          <w:szCs w:val="20"/>
          <w:color w:val="auto"/>
        </w:rPr>
      </w:pPr>
      <w:r>
        <w:rPr>
          <w:rFonts w:ascii="Times New Roman" w:cs="Times New Roman" w:eastAsia="Times New Roman" w:hAnsi="Times New Roman"/>
          <w:sz w:val="18"/>
          <w:szCs w:val="18"/>
          <w:color w:val="auto"/>
        </w:rPr>
        <w:t>Prior to 2006, the Company and its U.S. operating subsidiaries were limited liability companies that were treated as partnerships for U.S. tax purposes. Generally, taxable income or loss, deductions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7" w:name="page168"/>
    <w:bookmarkEnd w:id="167"/>
    <w:p>
      <w:pPr>
        <w:spacing w:after="0" w:line="288" w:lineRule="auto"/>
        <w:rPr>
          <w:sz w:val="20"/>
          <w:szCs w:val="20"/>
          <w:color w:val="auto"/>
        </w:rPr>
      </w:pPr>
      <w:r>
        <w:rPr>
          <w:rFonts w:ascii="Times New Roman" w:cs="Times New Roman" w:eastAsia="Times New Roman" w:hAnsi="Times New Roman"/>
          <w:sz w:val="16"/>
          <w:szCs w:val="16"/>
          <w:color w:val="auto"/>
        </w:rPr>
        <w:t>credits of the partnership are passed through to its partners. In preparation for raising financing and meeting commitments to register Globalstar shares of common stock under the Securities Exchange Act of 1934 no later than October 2006, Globalstar elected to be taxed as a C corporation effective January 1, 2006. Effective March 17, 2006, Globalstar was converted from a limited liability company into a corporation under Delaware law. On that date, the Company's 61,947,654 issued and outstanding membership units were automatically converted into a like number of shares of common stock, its Third Amended and Restated Limited Liability Company Agreement was replaced by a Certificate of Incorporation and by Bylaws, the number of shares of stock it was authorized to issued was increased from 20,000,000 to 800,000,000, and its name was changed to Globalstar, Inc. In connection with its conversion into a corporation, the Company established three classes of $0.0001 par value common stock, Series A (300,000,000 shares authorized); Series B (20,000,000 shares authorized); and Series C (480,000,000 shares authorized). All classes of common stock have identical rights and privileges except with respect to their rights to elect directors. Series A holders can elect two directors, Series B holders can elect one director, and Series C holders can elect up to five directors. Under the applicable Delaware statute, all assets and liabilities of the limited liability company became the property of and were deemed to be assumed by the corporation.</w:t>
      </w:r>
    </w:p>
    <w:p>
      <w:pPr>
        <w:spacing w:after="0" w:line="390"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January 1, 2006, Globalstar, Inc. and its U.S. operating subsidiaries began to account for income taxes pursuant to SFAS No. 109, "Accounting for Income Taxes." As a result, the Company established gross deferred tax assets and liabilities of $204.2 million and $0.1 million, respectively. The Company then reviewed these deferred tax assets for recoverability taking into consideration such factors as historical financial results, projected future taxable income and the expected timing of the reversals of existing temporary differences. Based on management's review of these factors, the Company recorded a $182.7 million valuation allowance against its newly established gross deferred tax assets. As a result, the Company recorded a $21.4 million deferred tax benefit on January 1, 2006 related to its election to be taxed as a C corporation. Management is continuing to assess the recoverability of its gross deferred tax assets, which may result in a future adjustment to its valuation allowance.</w:t>
      </w:r>
    </w:p>
    <w:p>
      <w:pPr>
        <w:spacing w:after="0" w:line="195" w:lineRule="exact"/>
        <w:rPr>
          <w:sz w:val="20"/>
          <w:szCs w:val="20"/>
          <w:color w:val="auto"/>
        </w:rPr>
      </w:pPr>
    </w:p>
    <w:p>
      <w:pPr>
        <w:ind w:right="420" w:firstLine="439"/>
        <w:spacing w:after="0" w:line="258" w:lineRule="auto"/>
        <w:rPr>
          <w:sz w:val="20"/>
          <w:szCs w:val="20"/>
          <w:color w:val="auto"/>
        </w:rPr>
      </w:pPr>
      <w:r>
        <w:rPr>
          <w:rFonts w:ascii="Times New Roman" w:cs="Times New Roman" w:eastAsia="Times New Roman" w:hAnsi="Times New Roman"/>
          <w:sz w:val="18"/>
          <w:szCs w:val="18"/>
          <w:color w:val="auto"/>
        </w:rPr>
        <w:t>Pursuant to the operating agreement of Globalstar, in connection with its conversion to a Delaware corporation, Globalstar was obligated to distribute $685,848 to Thermo. This amount has been reflected as a payable to affiliates on the Company's March 31, 2006 unaudited consolidated balance sheet. This amount represents a deferred payment of interest that accrued from December 6, 2003 to April 14, 2004 on loans made by Thermo to Globalstar that were converted to equity on April 14, 2004.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Globalstar Financing Transaction</w:t>
      </w:r>
    </w:p>
    <w:p>
      <w:pPr>
        <w:spacing w:after="0" w:line="227" w:lineRule="exact"/>
        <w:rPr>
          <w:sz w:val="20"/>
          <w:szCs w:val="20"/>
          <w:color w:val="auto"/>
        </w:rPr>
      </w:pPr>
    </w:p>
    <w:p>
      <w:pPr>
        <w:ind w:right="20" w:firstLine="439"/>
        <w:spacing w:after="0" w:line="285" w:lineRule="auto"/>
        <w:rPr>
          <w:sz w:val="20"/>
          <w:szCs w:val="20"/>
          <w:color w:val="auto"/>
        </w:rPr>
      </w:pPr>
      <w:r>
        <w:rPr>
          <w:rFonts w:ascii="Times New Roman" w:cs="Times New Roman" w:eastAsia="Times New Roman" w:hAnsi="Times New Roman"/>
          <w:sz w:val="16"/>
          <w:szCs w:val="16"/>
          <w:color w:val="auto"/>
        </w:rPr>
        <w:t>On April 24, 2006, the Company entered into a credit agreement with Wachovia Investment Holdings, LLC, providing for a term loan, a delayed draw term loan, and a revolving credit facility totaling $200.0 million. The credit agreement was amended as of June 16, June 23 and June 30, 2006 to extend the term loan funding deadline and related dates, and to postpone the effect of certain financial covenants until the term loan is funded. The revolving credit facility will bear interest at either a base rate equal to the higher of the Federal Funds Rate plus 0.5% or the prime rate or the bank's reference rate plus an applicable margin of</w:t>
      </w:r>
    </w:p>
    <w:p>
      <w:pPr>
        <w:spacing w:after="0" w:line="3"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2.25% to 3.0% or a LIBOR based rate equal to the LIBOR rate for the relevant period plus an applicable margin of 3.25% to 4.0% per annum. The applicable margin will depend on the applicable leverage ratio, as defined in the agreement. With respect to the term loan and delayed draw term loan, the interest rate margin will be equal to 4.00% per annum for LIBOR rate loans and 3.00% per annum for base rate loans. The term loan, delayed draw term loan and the revolving credit facility are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68" w:name="page169"/>
    <w:bookmarkEnd w:id="168"/>
    <w:p>
      <w:pPr>
        <w:ind w:right="100"/>
        <w:spacing w:after="0" w:line="255" w:lineRule="auto"/>
        <w:rPr>
          <w:sz w:val="20"/>
          <w:szCs w:val="20"/>
          <w:color w:val="auto"/>
        </w:rPr>
      </w:pPr>
      <w:r>
        <w:rPr>
          <w:rFonts w:ascii="Times New Roman" w:cs="Times New Roman" w:eastAsia="Times New Roman" w:hAnsi="Times New Roman"/>
          <w:sz w:val="18"/>
          <w:szCs w:val="18"/>
          <w:color w:val="auto"/>
        </w:rPr>
        <w:t>subject to a commitment fee of 0.50%, 0.50% to 2.0% (as defined in the agreement), and 0.375% to 0.50%, respectively. These rates are subject to change pending completion of syndication efforts. All loans under the agreement mature not later than June 30, 2011. The loans are not subject to a prepayment penalty. The Company's indebtedness under the agreement is guaranteed by its principal domestic subsidiaries and is secured by a first lien on its and their property. The agreement contains covenants limiting the Company's ability to dispose of assets, change its business, merge, make acquisitions, incur indebtedness or liens, pay dividends, make investments or engage in certain transactions with its affiliates. Additionally, the agreement contains covenants requiring Globalstar to maintain certain financial and operating covenants and others that restrict capital expenditures.</w:t>
      </w:r>
    </w:p>
    <w:p>
      <w:pPr>
        <w:spacing w:after="0" w:line="193" w:lineRule="exact"/>
        <w:rPr>
          <w:sz w:val="20"/>
          <w:szCs w:val="20"/>
          <w:color w:val="auto"/>
        </w:rPr>
      </w:pPr>
    </w:p>
    <w:p>
      <w:pPr>
        <w:ind w:right="40" w:firstLine="429"/>
        <w:spacing w:after="0" w:line="255" w:lineRule="auto"/>
        <w:rPr>
          <w:sz w:val="20"/>
          <w:szCs w:val="20"/>
          <w:color w:val="auto"/>
        </w:rPr>
      </w:pPr>
      <w:r>
        <w:rPr>
          <w:rFonts w:ascii="Times New Roman" w:cs="Times New Roman" w:eastAsia="Times New Roman" w:hAnsi="Times New Roman"/>
          <w:sz w:val="18"/>
          <w:szCs w:val="18"/>
          <w:color w:val="auto"/>
        </w:rPr>
        <w:t>As required by the lender under the credit agreement as a condition to extending credit, the Company also executed an agreement with an affiliate of Thermo to provide Globalstar up to an additional $200.0 million of equity via an irrevocable standby purchase commitment. The irrevocable standby purchase commitment allows the Company to put shares of its Series A common stock to Thermo Funding Company LLC at a predetermined price of approximately $16.17 per share when the Company requires additional liquidity. Thermo Funding Company may also elect to purchase the shares at any time. Minority stockholders in Globalstar who are accredited investors will be provided an opportunity to participate in the equity financing. On June 30, 2006, Thermo Funding Company purchased 927,840 shares of Series A common stock for an aggregate purchase price of $15,000,080.</w:t>
      </w:r>
    </w:p>
    <w:p>
      <w:pPr>
        <w:spacing w:after="0" w:line="193" w:lineRule="exact"/>
        <w:rPr>
          <w:sz w:val="20"/>
          <w:szCs w:val="20"/>
          <w:color w:val="auto"/>
        </w:rPr>
      </w:pPr>
    </w:p>
    <w:p>
      <w:pPr>
        <w:ind w:right="40" w:firstLine="439"/>
        <w:spacing w:after="0" w:line="262" w:lineRule="auto"/>
        <w:rPr>
          <w:sz w:val="20"/>
          <w:szCs w:val="20"/>
          <w:color w:val="auto"/>
        </w:rPr>
      </w:pPr>
      <w:r>
        <w:rPr>
          <w:rFonts w:ascii="Times New Roman" w:cs="Times New Roman" w:eastAsia="Times New Roman" w:hAnsi="Times New Roman"/>
          <w:sz w:val="18"/>
          <w:szCs w:val="18"/>
          <w:color w:val="auto"/>
        </w:rPr>
        <w:t>On August 16, 2006, we amended and restated the credit agreement. Among other changes, the amended and restated credit agreement reduced the committed amount of the credit facility to $150.0 million, consisting of a $50.0 million revolving credit facility and a $100.0 million delayed draw term loan. See "Note 18. Subsequent Events (unaudited)—</w:t>
      </w:r>
      <w:r>
        <w:rPr>
          <w:rFonts w:ascii="Times New Roman" w:cs="Times New Roman" w:eastAsia="Times New Roman" w:hAnsi="Times New Roman"/>
          <w:sz w:val="18"/>
          <w:szCs w:val="18"/>
          <w:i w:val="1"/>
          <w:iCs w:val="1"/>
          <w:color w:val="auto"/>
        </w:rPr>
        <w:t>Amended and Restated Credit Agreement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w:t>
      </w:r>
    </w:p>
    <w:p>
      <w:pPr>
        <w:spacing w:after="0" w:line="227"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On June 26, 2006, the litigation related to the employee sexual harassment claim was settled by agreement among the plaintiff, the individual defendant, the Company and its insurer. The settlement amount was not material and was paid to the plaintiff on July 12, 2006.</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SUBSEQUENT EVENTS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ind w:right="40" w:firstLine="439"/>
        <w:spacing w:after="0" w:line="255" w:lineRule="auto"/>
        <w:rPr>
          <w:sz w:val="20"/>
          <w:szCs w:val="20"/>
          <w:color w:val="auto"/>
        </w:rPr>
      </w:pPr>
      <w:r>
        <w:rPr>
          <w:rFonts w:ascii="Times New Roman" w:cs="Times New Roman" w:eastAsia="Times New Roman" w:hAnsi="Times New Roman"/>
          <w:sz w:val="18"/>
          <w:szCs w:val="18"/>
          <w:color w:val="auto"/>
        </w:rPr>
        <w:t>On July 12, 2006, the Company's board of directors adopted and a majority of our stockholders approved an Equity Incentive Plan ("Equity Plan") which will become effective upon the registration of its common stock under the Securities Act of 1933 or the Securities Exchange Act of 1934. The purpose of the Equity Plan is to make available incentives that will assist the Company in attracting, retaining and motivating employees, directors and consultants whose contributions are essential to its success. The Company may provide these incentives through the grant of stock options, stock appreciation rights, restricted stock purchase rights, restricted stock bonuses, restricted stock units, performance shares or performance units. The Plan will be administered by the compensation committee of the board of directors. The compensation committee has authorized no grants under the Plan.</w:t>
      </w:r>
    </w:p>
    <w:p>
      <w:pPr>
        <w:spacing w:after="0" w:line="193" w:lineRule="exact"/>
        <w:rPr>
          <w:sz w:val="20"/>
          <w:szCs w:val="20"/>
          <w:color w:val="auto"/>
        </w:rPr>
      </w:pPr>
    </w:p>
    <w:p>
      <w:pPr>
        <w:ind w:right="200" w:firstLine="439"/>
        <w:spacing w:after="0" w:line="275" w:lineRule="auto"/>
        <w:rPr>
          <w:sz w:val="20"/>
          <w:szCs w:val="20"/>
          <w:color w:val="auto"/>
        </w:rPr>
      </w:pPr>
      <w:r>
        <w:rPr>
          <w:rFonts w:ascii="Times New Roman" w:cs="Times New Roman" w:eastAsia="Times New Roman" w:hAnsi="Times New Roman"/>
          <w:sz w:val="18"/>
          <w:szCs w:val="18"/>
          <w:color w:val="auto"/>
        </w:rPr>
        <w:t>In January 2005, the Company discussed the issuance of 120,000 options to Peter Dalton prior to his joining the board. These options were issued in July 2006 (Note 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i w:val="1"/>
          <w:iCs w:val="1"/>
          <w:color w:val="auto"/>
        </w:rPr>
        <w:t>Amended and Restated Credit Agreement</w:t>
      </w:r>
    </w:p>
    <w:p>
      <w:pPr>
        <w:spacing w:after="0" w:line="227" w:lineRule="exact"/>
        <w:rPr>
          <w:sz w:val="20"/>
          <w:szCs w:val="20"/>
          <w:color w:val="auto"/>
        </w:rPr>
      </w:pPr>
    </w:p>
    <w:p>
      <w:pPr>
        <w:ind w:firstLine="439"/>
        <w:spacing w:after="0" w:line="285" w:lineRule="auto"/>
        <w:rPr>
          <w:sz w:val="20"/>
          <w:szCs w:val="20"/>
          <w:color w:val="auto"/>
        </w:rPr>
      </w:pPr>
      <w:r>
        <w:rPr>
          <w:rFonts w:ascii="Times New Roman" w:cs="Times New Roman" w:eastAsia="Times New Roman" w:hAnsi="Times New Roman"/>
          <w:sz w:val="16"/>
          <w:szCs w:val="16"/>
          <w:color w:val="auto"/>
        </w:rPr>
        <w:t xml:space="preserve">On August 16, 2006, the Company entered into an amended and restated credit agreement with Wachovia Investment Holdings, LLC, as administrative agent and swingline lender, and Wachovia Bank, National Association, as issuing lender, which was subsequently amended on October 2, 2006. The amended and restated credit agreement provides for a $50.0 million revolving credit facility and a $100.0 million delayed draw term loan facility. The delayed draw term loan may be drawn after January 1, 2008 and prior to August 16, 2009, but only if the Company has received aggregate net cash proceeds of $200.0 million from sales after April 24, 2006 of the Company's common stock (including sales pursuant to the irrevocable standby stock purchase agreement) prior to the draw date and if, after giving effect to the delayed draw term loan and thereafter at the end of each quarter while the delayed draw term loan is outstanding, the Company's consolidated senior secured leverage ratio does not exceed 3.5 to 1.0. The delayed draw term loan facility will be reduced in an amount equal to the sum of 50% of the net proceeds of any sales of the Company's common stock (other than sales pursuant to the irrevocable standby stock purchase agreement or the parallel offering to the Company's other stockholders who are accredited investors and net proceeds of up to $100.0 million from any other issuance of the Company's common stock after August 16, 2006), 100% of the proceeds of any additional term loans under the facility (described below) that the Company incurs prior to the draw of the delayed draw term loan, and 50% of the proceeds of certain permitted unsecured debt financing that the Company incurs prior to the draw of the delayed draw term loan. If drawn, the delayed draw term loan will be subject to prepayment in an amount equal to the sum of 50% of the net proceeds of such sales of common stock and 50% of the net proceeds of certain additional indebtedness, including any such additional term loans, that the Company incurs subsequent to such draw. Other customary prepayment provisions also apply. In addition to the $50.0 million revolving and $100.0 million delayed draw term loan facilities, the amended and restated credit agreement permits the Company to incur additional term loans on an equally and ratably secured,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in an aggregate amount of up to $150.0 million (plus the amount of any reduction in the delayed draw term loan facility or prepayment of the delayed draw term loan described above resulting from sales of common stock or any additional term loans) from the lenders under the credit agreement or other banks, financial institutions or investment funds approved by the Company and the administrative agent. The Company has not received any commitments for these additional term loans. These additional term loans may be incurred only if no event of default then exists, if the Company is in pro-forma compliance with all of the financial covenants of the credit agreement, and if, after giving effect thereto, the Company's consolidated total leverage ratio does not exceed 5.5 to 1.0.</w:t>
      </w:r>
    </w:p>
    <w:p>
      <w:pPr>
        <w:spacing w:after="0" w:line="387" w:lineRule="exact"/>
        <w:rPr>
          <w:sz w:val="20"/>
          <w:szCs w:val="20"/>
          <w:color w:val="auto"/>
        </w:rPr>
      </w:pPr>
    </w:p>
    <w:p>
      <w:pPr>
        <w:jc w:val="both"/>
        <w:ind w:right="80" w:firstLine="429"/>
        <w:spacing w:after="0" w:line="289" w:lineRule="auto"/>
        <w:rPr>
          <w:sz w:val="20"/>
          <w:szCs w:val="20"/>
          <w:color w:val="auto"/>
        </w:rPr>
      </w:pPr>
      <w:r>
        <w:rPr>
          <w:rFonts w:ascii="Times New Roman" w:cs="Times New Roman" w:eastAsia="Times New Roman" w:hAnsi="Times New Roman"/>
          <w:sz w:val="16"/>
          <w:szCs w:val="16"/>
          <w:color w:val="auto"/>
        </w:rPr>
        <w:t>As under the initial Wachovia credit facility described in Note 17, all revolving credit loans will mature on June 30, 2010 and all term loans will mature on June 30, 2011. Revolving credit loans will bear interest at LIBOR plus 4.25% to 4.75% or the greater of the prime rate or Federal Funds rate plus 3.25% to</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3.75%. The delayed draw term loan will bear interest at LIBOR plus 6.0% or the greater of the prime rate or Federal Funds rate plus 5.0%, and the delayed draw term loan facility bears an annual commitment fee of 2.0% until drawn or terminated. Additional term loans will bear interest at rates to be negotiated. The loans may be prepaid without penalty at any time.</w:t>
      </w:r>
    </w:p>
    <w:p>
      <w:pPr>
        <w:spacing w:after="0" w:line="192" w:lineRule="exact"/>
        <w:rPr>
          <w:sz w:val="20"/>
          <w:szCs w:val="20"/>
          <w:color w:val="auto"/>
        </w:rPr>
      </w:pPr>
    </w:p>
    <w:p>
      <w:pPr>
        <w:ind w:right="60" w:firstLine="436"/>
        <w:spacing w:after="0" w:line="275" w:lineRule="auto"/>
        <w:rPr>
          <w:sz w:val="20"/>
          <w:szCs w:val="20"/>
          <w:color w:val="auto"/>
        </w:rPr>
      </w:pPr>
      <w:r>
        <w:rPr>
          <w:rFonts w:ascii="Times New Roman" w:cs="Times New Roman" w:eastAsia="Times New Roman" w:hAnsi="Times New Roman"/>
          <w:sz w:val="18"/>
          <w:szCs w:val="18"/>
          <w:color w:val="auto"/>
        </w:rPr>
        <w:t>The amended and restated credit agreement is guaranteed and secured in the same manner as, and contains other representations, warranties, covenants and conditions essentially identical to those of, the initial Wachovia credit agreement described in Note 17.</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70" w:name="page171"/>
    <w:bookmarkEnd w:id="170"/>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PROPOSED STOCK SPLIT</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intends to authorize a six-for-one stock split (in the form of a five shares for one share stock dividend) immediately prior to the Company's initial public offering. All references to shares of common stock and membership interests and their respective per-unit amounts in these consolidated financial statements and notes to consolidated financial statements have been restated to reflect the effect of this proposed stock split on a retroactive basis as if it had occurred on December 5, 2003.</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71" w:name="page172"/>
    <w:bookmarkEnd w:id="171"/>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2576195</wp:posOffset>
            </wp:positionH>
            <wp:positionV relativeFrom="page">
              <wp:posOffset>88900</wp:posOffset>
            </wp:positionV>
            <wp:extent cx="2418080" cy="92646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clrChange>
                        <a:clrFrom>
                          <a:srgbClr val="FFFFFF"/>
                        </a:clrFrom>
                        <a:clrTo>
                          <a:srgbClr val="FFFFFF">
                            <a:alpha val="0"/>
                          </a:srgbClr>
                        </a:clrTo>
                      </a:clrChange>
                      <a:extLst>
                        <a:ext uri="{28A0092B-C50C-407E-A947-70E740481C1C}"/>
                      </a:extLst>
                    </a:blip>
                    <a:srcRect/>
                    <a:stretch>
                      <a:fillRect/>
                    </a:stretch>
                  </pic:blipFill>
                  <pic:spPr bwMode="auto">
                    <a:xfrm>
                      <a:off x="0" y="0"/>
                      <a:ext cx="2418080" cy="92646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4"/>
          <w:szCs w:val="24"/>
          <w:b w:val="1"/>
          <w:bCs w:val="1"/>
          <w:color w:val="2B85FF"/>
        </w:rPr>
        <w:t>6,500,000 Shares</w:t>
      </w:r>
    </w:p>
    <w:p>
      <w:pPr>
        <w:spacing w:after="0" w:line="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2B85FF"/>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2B85FF"/>
        </w:rPr>
        <w:t>PROSPECTUS</w:t>
      </w:r>
    </w:p>
    <w:p>
      <w:pPr>
        <w:spacing w:after="0" w:line="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2B85FF"/>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130810</wp:posOffset>
            </wp:positionV>
            <wp:extent cx="1050290" cy="215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2B85FF"/>
        </w:rPr>
        <w:t>Wachovia Securities</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2B85FF"/>
        </w:rPr>
        <w:t>JPMorgan</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2B85FF"/>
        </w:rPr>
        <w:t>Jefferies &amp; Company</w:t>
      </w:r>
    </w:p>
    <w:p>
      <w:pPr>
        <w:spacing w:after="0" w:line="208"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8"/>
          <w:szCs w:val="18"/>
          <w:b w:val="1"/>
          <w:bCs w:val="1"/>
          <w:color w:val="2B85FF"/>
        </w:rPr>
        <w:t>Until , 2006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229" w:lineRule="exact"/>
        <w:rPr>
          <w:sz w:val="20"/>
          <w:szCs w:val="20"/>
          <w:color w:val="auto"/>
        </w:rPr>
      </w:pPr>
    </w:p>
    <w:p>
      <w:pPr>
        <w:ind w:right="680" w:firstLine="43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in connection with the distribution of the securities being registered. All amounts are estimated except the Securities and Exchange Commission registration fee and the NASD filing fee.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NASD filing fee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Registrar and transfer agent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officer liability insurance premium</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78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The registrant's certificate of incorporation provides that, to the fullest extent provided from time to time by Delaware law, the registrant (a) shall indemnify its directors and officers against judgments, fines, penalties, amounts paid in settlement and expenses incurred by them in connection with actions, suits, proceedings or claims arising out of their service to the registrant and, upon receipt of certain undertakings, shall advance expenses to them in connection with such matters and (b) may maintain insurance or make other financial arrangements on behalf of its directors and officers for any liability and expenses incurred by them, whether or not the registrant has authority to indemnify them against such liability and expenses. No arrangement made by the registrant may provide protection for a person judged liable for intentional misconduct, fraud or a knowing violation of law, unless advancement of expenses or indemnification is ordered by a court.</w:t>
      </w:r>
    </w:p>
    <w:p>
      <w:pPr>
        <w:spacing w:after="0" w:line="195" w:lineRule="exact"/>
        <w:rPr>
          <w:sz w:val="20"/>
          <w:szCs w:val="20"/>
          <w:color w:val="auto"/>
        </w:rPr>
      </w:pPr>
    </w:p>
    <w:p>
      <w:pPr>
        <w:ind w:right="80" w:firstLine="436"/>
        <w:spacing w:after="0" w:line="275" w:lineRule="auto"/>
        <w:rPr>
          <w:sz w:val="20"/>
          <w:szCs w:val="20"/>
          <w:color w:val="auto"/>
        </w:rPr>
      </w:pPr>
      <w:r>
        <w:rPr>
          <w:rFonts w:ascii="Times New Roman" w:cs="Times New Roman" w:eastAsia="Times New Roman" w:hAnsi="Times New Roman"/>
          <w:sz w:val="18"/>
          <w:szCs w:val="18"/>
          <w:color w:val="auto"/>
        </w:rPr>
        <w:t>The registrant intends to maintain directors' and officers' liability insurance insuring its directors and executive officers against certain liabilities arising out of their service as such to the registrant.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The registrant has issued unregistered securities in the transactions described below. The number of securities issued and the per-share and per-unit prices, have not been adjusted for the six-for-one stock split and the conversion of our three series of common stock into one class of common stock to be effected immediately prior to this offering described in the prospectus included in this registration statement.</w:t>
      </w:r>
    </w:p>
    <w:p>
      <w:pPr>
        <w:spacing w:after="0" w:line="186"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On December 5, 2003, the registrant (then named "New Operating Globalstar LLC" or "Globalstar LLC" prior to its conversion to a Delaware corporation), pursuant to an Asset Contribution Agreement dated as of December 5, 2003 among itself, Thermo Capital Partners LLC, Globalstar Holdings LLC, Globalstar Leasing LLC, Globalstar, L.P. ("Old Globalstar") and certain subsidiaries of Old Globalstar, issued to Globalstar Holdings LLC a 91.23% membership interest in exchange for $1,000,000 in cash and assets valued at $9,400,000 and issued to Globalstar Satellite LP (then named "Thermo Satellite LP") an 8.77% membership interest in exchange for $1,000,000 in cash. At that time, Old Globalstar owned a 93.4%</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3" w:name="page174"/>
    <w:bookmarkEnd w:id="173"/>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membership interest in Globalstar Holdings LLC and an affiliate of Thermo Capital Partners, L.L.C. owned the remaining 6.6% membership interest. Globalstar Satellite LP was controlled by an affiliate of Thermo Capital Partners, L.L.C. Globalstar Holdings LLC had acquired the assets from Old Globalstar as a capital contribution. The issuance of these membership interests in Globalstar LLC was exempt from registration pursuant to Section 4(2) of the Securities Act of 1933 as a transaction not involving a public offering.</w:t>
      </w:r>
    </w:p>
    <w:p>
      <w:pPr>
        <w:spacing w:after="0" w:line="190" w:lineRule="exact"/>
        <w:rPr>
          <w:sz w:val="20"/>
          <w:szCs w:val="20"/>
          <w:color w:val="auto"/>
        </w:rPr>
      </w:pPr>
    </w:p>
    <w:p>
      <w:pPr>
        <w:ind w:right="220" w:firstLine="439"/>
        <w:spacing w:after="0" w:line="258" w:lineRule="auto"/>
        <w:rPr>
          <w:sz w:val="20"/>
          <w:szCs w:val="20"/>
          <w:color w:val="auto"/>
        </w:rPr>
      </w:pPr>
      <w:r>
        <w:rPr>
          <w:rFonts w:ascii="Times New Roman" w:cs="Times New Roman" w:eastAsia="Times New Roman" w:hAnsi="Times New Roman"/>
          <w:sz w:val="18"/>
          <w:szCs w:val="18"/>
          <w:color w:val="auto"/>
        </w:rPr>
        <w:t>On April 14, 2004, pursuant to the Asset Contribution Agreement described above, Globalstar Satellite LP converted $16,600,000 principal amount of outstanding debt of the registrant into capital, contributed or agreed to contribute a total of $24,235,357 in cash to the registrant, and transferred an 18.75% membership interest in the registrant to Old Globalstar and its subsidiaries. Simultaneously, Globalstar Holdings LLC contributed cash and certain assets to the registrant. After such transactions, the registrant was owned as follows:</w:t>
      </w:r>
    </w:p>
    <w:p>
      <w:pPr>
        <w:spacing w:after="0" w:line="20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Globalstar Holdings LLC</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Globalstar Satellite LP</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Globalstar and subsidiaries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were exempt from registration pursuant to Section 4(2) of the Securities Act as transactions not involving a public offering.</w:t>
      </w:r>
    </w:p>
    <w:p>
      <w:pPr>
        <w:spacing w:after="0" w:line="225"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color w:val="auto"/>
        </w:rPr>
        <w:t>On June 29, 2004, Old Globalstar was dissolved pursuant to its First Modified Fourth Amended Joint Plan under Chapter 11 of the Bankruptcy Code and its 18.75% interest (represented by 1,875,000 membership units) was distributed to its unsecured creditors. This transaction was exempt from registration pursuant to Section 1145 of the Bankruptcy Code because the transaction was authorized by a plan of liquidition approved by the bankruptcy court.</w:t>
      </w:r>
    </w:p>
    <w:p>
      <w:pPr>
        <w:spacing w:after="0" w:line="186" w:lineRule="exact"/>
        <w:rPr>
          <w:sz w:val="20"/>
          <w:szCs w:val="20"/>
          <w:color w:val="auto"/>
        </w:rPr>
      </w:pPr>
    </w:p>
    <w:p>
      <w:pPr>
        <w:ind w:firstLine="439"/>
        <w:spacing w:after="0" w:line="258" w:lineRule="auto"/>
        <w:rPr>
          <w:sz w:val="20"/>
          <w:szCs w:val="20"/>
          <w:color w:val="auto"/>
        </w:rPr>
      </w:pPr>
      <w:r>
        <w:rPr>
          <w:rFonts w:ascii="Times New Roman" w:cs="Times New Roman" w:eastAsia="Times New Roman" w:hAnsi="Times New Roman"/>
          <w:sz w:val="18"/>
          <w:szCs w:val="18"/>
          <w:color w:val="auto"/>
        </w:rPr>
        <w:t>Pursuant to a rights offering completed on October 12, 2004, the registrant sold 1,512,000 membership units to unsecured creditors of Old Globalstar at a price of $8,000,000 in cash and an additional 46,782 membership units to certain of such creditors at a price of $749,000 in cash. Such sales were required by Old Globalstar's bankruptcy plan and were exempt from registration pursuant to Section 1145 of the Bankruptcy Code because the transaction was authorized by a plan of liquidition approved by the bankruptcy court.</w:t>
      </w:r>
    </w:p>
    <w:p>
      <w:pPr>
        <w:spacing w:after="0" w:line="190" w:lineRule="exact"/>
        <w:rPr>
          <w:sz w:val="20"/>
          <w:szCs w:val="20"/>
          <w:color w:val="auto"/>
        </w:rPr>
      </w:pPr>
    </w:p>
    <w:p>
      <w:pPr>
        <w:ind w:right="60" w:firstLine="439"/>
        <w:spacing w:after="0" w:line="258" w:lineRule="auto"/>
        <w:rPr>
          <w:sz w:val="20"/>
          <w:szCs w:val="20"/>
          <w:color w:val="auto"/>
        </w:rPr>
      </w:pPr>
      <w:r>
        <w:rPr>
          <w:rFonts w:ascii="Times New Roman" w:cs="Times New Roman" w:eastAsia="Times New Roman" w:hAnsi="Times New Roman"/>
          <w:sz w:val="18"/>
          <w:szCs w:val="18"/>
          <w:color w:val="auto"/>
        </w:rPr>
        <w:t>In October 2004, the registrant and QUALCOMM Incorporated agreed that QUALCOMM would provide mobile phones and various accessories valued at $7,200,000 to the registrant in exchange for $1,875,000 in cash and 309,278 membership units. The issuance of these membership units was exempt from registration under Section 4(2) of the Securities Act as a transaction not involving a public offering. QUALCOMM Incorporated was not affiliated with the registrant prior to this transaction.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Effective January 1, 2006, the registrant purchased the stock of three companies which owned and operated a satellite communications business in Central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 These companies also owned five acres of real property in Nicaragua not used directly in the telecommunications business. At the time of the closing,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received 15,331 units (subsequently converted into the same number of shares of Series A common stock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registrant's conversion to a corporation) of the registrant with a value of approximately $5.2 million. The acquisition agreement provides that if by the earlier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2006 or 15 trading days after the common stock becomes marketable following either an initial public offering or registration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12 of the Exchange Act, the per share market value of the registrant's stock multiplied by the number of shares that the selling stockholders received does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equal or exceed $5.2 million, then the registrant is obligated either to redeem the stock issued to the selling stockholders for $5.2 million, or pay the selling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the difference between $5.2 million and the market value of the stock received on the earlier of the two dates described above. If the stock is trading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that time, the registrant has the further option of paying the difference in cash or in stock valued as of the date of delivery. If the registrant fails either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its initial public offering or to register its common stock pursuant to Section 12, and the registrant does not redeem the stock for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74" w:name="page175"/>
    <w:bookmarkEnd w:id="174"/>
    <w:p>
      <w:pPr>
        <w:spacing w:after="0" w:line="258" w:lineRule="auto"/>
        <w:rPr>
          <w:sz w:val="20"/>
          <w:szCs w:val="20"/>
          <w:color w:val="auto"/>
        </w:rPr>
      </w:pPr>
      <w:r>
        <w:rPr>
          <w:rFonts w:ascii="Times New Roman" w:cs="Times New Roman" w:eastAsia="Times New Roman" w:hAnsi="Times New Roman"/>
          <w:sz w:val="18"/>
          <w:szCs w:val="18"/>
          <w:color w:val="auto"/>
        </w:rPr>
        <w:t>$5.2 million, the selling stockholders may rescind the transaction. The issuance of this common stock was exempt from registration under Section 4(2) of the Securities Act as a transaction not involving a public offering. The owners of the three companies who received the registrant's stock represented that they were sophisticated individuals, were acquiring the stock for investment and not for resale, had received adequate information concerning the registrant and were able to bear the risk of investing in the registrant's stock. All such individuals reside outside the United States and none is affiliated with the registrant.</w:t>
      </w:r>
    </w:p>
    <w:p>
      <w:pPr>
        <w:spacing w:after="0" w:line="190"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March 17, 2006, the registrant was converted into a Delaware corporation named Globalstar, Inc. In connection with such conversion, all outstanding membership units of the registrant were converted into shares of common stock. The issuance of this common stock was exempt from registration under Sections 2(3) and 3(a)(9) of the Securities Act because it did not involve any sale of securities and because it involved the issuance by registrant of its common stock in exchange for its membership interests. No commission or other remuneration was paid or given directly or indirectly in the transaction. The conversion was approved by the board of managers of the registrant (without a vote of the members of the registrant) under authority granted to them in the registrant's operating agreement. As the form of the operating agreement was approved by the bankruptcy court as part of Old Globalstar's plan of liquidation, the transaction is also exempt from registration under Section 1145 of the Bankruptcy Code.</w:t>
      </w:r>
    </w:p>
    <w:p>
      <w:pPr>
        <w:spacing w:after="0" w:line="195" w:lineRule="exact"/>
        <w:rPr>
          <w:sz w:val="20"/>
          <w:szCs w:val="20"/>
          <w:color w:val="auto"/>
        </w:rPr>
      </w:pPr>
    </w:p>
    <w:p>
      <w:pPr>
        <w:ind w:right="80" w:firstLine="439"/>
        <w:spacing w:after="0" w:line="253" w:lineRule="auto"/>
        <w:rPr>
          <w:sz w:val="20"/>
          <w:szCs w:val="20"/>
          <w:color w:val="auto"/>
        </w:rPr>
      </w:pPr>
      <w:r>
        <w:rPr>
          <w:rFonts w:ascii="Times New Roman" w:cs="Times New Roman" w:eastAsia="Times New Roman" w:hAnsi="Times New Roman"/>
          <w:sz w:val="18"/>
          <w:szCs w:val="18"/>
          <w:color w:val="auto"/>
        </w:rPr>
        <w:t>On April 24, 2006, the registrant entered into an irrevocable standby stock purchase agreement with Thermo Funding Company LLC, an affiliate of the registrant, pursuant to which the latter agreed to purchase up to 2,061,896 shares of common stock at a price of $97 per share. Thermo Funding Company purchased 154,640 of such shares on June 30, 2006 for an aggregate purchase price of $15,000,080. The standby stock purchase agreement was required by the lender as a condition to entering into the registrant's credit agreement. As required by the registrant's certificate of incorporation, other stockholders of the registrant who have certified that they are accredited investors as defined under Rule 501 of Regulation D and requested a private placement memorandum are being provided an opportunity to agree to purchase additional shares of common stock on substantially the same terms pursuant to a private placement memorandum to be distributed to those stockholders who have certified that they are accredited investors. The sale of all of such shares will be exempt from registration under Section 4(2) of the Securities Act and Rule 506 thereunder. All of the purchasers must certify that they are acquiring the shares for investment. No remuneration or compensation will be paid to anyone by registrant in connection with such sales.</w:t>
      </w:r>
    </w:p>
    <w:p>
      <w:pPr>
        <w:spacing w:after="0" w:line="197" w:lineRule="exact"/>
        <w:rPr>
          <w:sz w:val="20"/>
          <w:szCs w:val="20"/>
          <w:color w:val="auto"/>
        </w:rPr>
      </w:pPr>
    </w:p>
    <w:p>
      <w:pPr>
        <w:ind w:right="80" w:firstLine="439"/>
        <w:spacing w:after="0" w:line="255" w:lineRule="auto"/>
        <w:rPr>
          <w:sz w:val="20"/>
          <w:szCs w:val="20"/>
          <w:color w:val="auto"/>
        </w:rPr>
      </w:pPr>
      <w:r>
        <w:rPr>
          <w:rFonts w:ascii="Times New Roman" w:cs="Times New Roman" w:eastAsia="Times New Roman" w:hAnsi="Times New Roman"/>
          <w:sz w:val="18"/>
          <w:szCs w:val="18"/>
          <w:color w:val="auto"/>
        </w:rPr>
        <w:t>On April 20, 2005, the registrant's board of directors approved the grant to Peter Dalton, an independent director, of an option to purchase 20,000 shares of common stock at a price of $16 per share. The option had been promised to Mr. Dalton (who joined the board in early January 2005) during the first quarter of 2005 by the registrant's Chairman, Chief Executive Officer and controlling member. The issuance of this option was, and the sale of any shares pursuant to its exercise will be, exempt from registration under Section 4(2) of the Securities Act. Mr. Dalton is a sophisticated investor, will acquire the stock for investment, has access to sufficient information concerning the registrant and is able to bear the risk of his investment. Mr. Dalton is not affiliated with the registrant other than in his capacity as a member of the registrant's board of directors.</w:t>
      </w:r>
    </w:p>
    <w:p>
      <w:pPr>
        <w:spacing w:after="0" w:line="193"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8"/>
          <w:szCs w:val="18"/>
          <w:color w:val="auto"/>
        </w:rPr>
        <w:t>Except for the securities issued pursuant to Section 1145 of the Bankruptcy Code, the above-referenced securities are deemed to be restricted securities for the purposes of the Securities Act. No underwriters were involved in connection with the sale of any of the above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43"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S-1 is set forth in the Exhibit Index and is incorporated in this Item 16(a) by reference.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75" w:name="page176"/>
    <w:bookmarkEnd w:id="175"/>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60" w:firstLine="429"/>
        <w:spacing w:after="0" w:line="275"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required disclosures appear in the audited financial statements included in this registration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229" w:lineRule="exact"/>
        <w:rPr>
          <w:sz w:val="20"/>
          <w:szCs w:val="20"/>
          <w:color w:val="auto"/>
        </w:rPr>
      </w:pPr>
    </w:p>
    <w:p>
      <w:pPr>
        <w:ind w:right="80" w:firstLine="439"/>
        <w:spacing w:after="0" w:line="275" w:lineRule="auto"/>
        <w:rPr>
          <w:sz w:val="20"/>
          <w:szCs w:val="20"/>
          <w:color w:val="auto"/>
        </w:rPr>
      </w:pPr>
      <w:r>
        <w:rPr>
          <w:rFonts w:ascii="Times New Roman" w:cs="Times New Roman" w:eastAsia="Times New Roman" w:hAnsi="Times New Roman"/>
          <w:sz w:val="18"/>
          <w:szCs w:val="18"/>
          <w:color w:val="auto"/>
        </w:rPr>
        <w:t>*(f) 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4"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undersigned registrant hereby undertakes that:</w:t>
      </w:r>
    </w:p>
    <w:p>
      <w:pPr>
        <w:spacing w:after="0" w:line="225" w:lineRule="exact"/>
        <w:rPr>
          <w:sz w:val="20"/>
          <w:szCs w:val="20"/>
          <w:color w:val="auto"/>
        </w:rPr>
      </w:pPr>
    </w:p>
    <w:p>
      <w:pPr>
        <w:ind w:left="540" w:right="80" w:firstLine="359"/>
        <w:spacing w:after="0" w:line="262" w:lineRule="auto"/>
        <w:tabs>
          <w:tab w:leader="none" w:pos="12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Times New Roman" w:cs="Times New Roman" w:eastAsia="Times New Roman" w:hAnsi="Times New Roman"/>
          <w:sz w:val="18"/>
          <w:szCs w:val="18"/>
          <w:color w:val="auto"/>
        </w:rPr>
      </w:pPr>
    </w:p>
    <w:p>
      <w:pPr>
        <w:ind w:left="540" w:right="220" w:firstLine="359"/>
        <w:spacing w:after="0" w:line="262" w:lineRule="auto"/>
        <w:tabs>
          <w:tab w:leader="none" w:pos="12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each post-effective amendment that contains a form of prospectus shall be deemed to be a new registration statement relating to the securities offering therein, and the offering of such securities at that time shall be deemed to be the initial bona fide offering thereof.</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Paragraph references correspond to those of Items 512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93115" cy="215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76" w:name="page177"/>
    <w:bookmarkEnd w:id="1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43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to the Registration Statement to be signed on its behalf by the undersigned, thereunto duly authorized, in Milpitas, California as of October 2, 2006.</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7" w:lineRule="exact"/>
        <w:rPr>
          <w:sz w:val="20"/>
          <w:szCs w:val="20"/>
          <w:color w:val="auto"/>
        </w:rPr>
      </w:pPr>
    </w:p>
    <w:p>
      <w:pPr>
        <w:ind w:left="56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81280</wp:posOffset>
            </wp:positionV>
            <wp:extent cx="3262630" cy="215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Fuad Ahmad</w:t>
      </w:r>
    </w:p>
    <w:p>
      <w:pPr>
        <w:spacing w:after="0" w:line="21"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 and Chief Financial Officer</w:t>
      </w:r>
    </w:p>
    <w:p>
      <w:pPr>
        <w:spacing w:after="0" w:line="213" w:lineRule="exact"/>
        <w:rPr>
          <w:sz w:val="20"/>
          <w:szCs w:val="20"/>
          <w:color w:val="auto"/>
        </w:rPr>
      </w:pPr>
    </w:p>
    <w:p>
      <w:pPr>
        <w:ind w:right="180" w:firstLine="43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to the Registration Statement has been signed by the following persons in the capacities indicated as of October 2, 2006.</w:t>
      </w:r>
    </w:p>
    <w:p>
      <w:pPr>
        <w:spacing w:after="0" w:line="172" w:lineRule="exact"/>
        <w:rPr>
          <w:sz w:val="20"/>
          <w:szCs w:val="20"/>
          <w:color w:val="auto"/>
        </w:rPr>
      </w:pPr>
    </w:p>
    <w:p>
      <w:pPr>
        <w:ind w:left="2440"/>
        <w:spacing w:after="0"/>
        <w:tabs>
          <w:tab w:leader="none" w:pos="84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215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0" w:type="dxa"/>
            <w:vAlign w:val="bottom"/>
          </w:tcPr>
          <w:p>
            <w:pPr>
              <w:spacing w:after="0"/>
              <w:rPr>
                <w:sz w:val="1"/>
                <w:szCs w:val="1"/>
                <w:color w:val="auto"/>
              </w:rPr>
            </w:pPr>
          </w:p>
        </w:tc>
      </w:tr>
      <w:tr>
        <w:trPr>
          <w:trHeight w:val="133"/>
        </w:trPr>
        <w:tc>
          <w:tcPr>
            <w:tcW w:w="7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and Director</w:t>
            </w: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Monroe III</w:t>
            </w:r>
          </w:p>
        </w:tc>
        <w:tc>
          <w:tcPr>
            <w:tcW w:w="1020" w:type="dxa"/>
            <w:vAlign w:val="bottom"/>
          </w:tcPr>
          <w:p>
            <w:pPr>
              <w:spacing w:after="0"/>
              <w:rPr>
                <w:sz w:val="22"/>
                <w:szCs w:val="22"/>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Fuad Ahmad</w:t>
            </w: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0" w:type="dxa"/>
            <w:vAlign w:val="bottom"/>
          </w:tcPr>
          <w:p>
            <w:pPr>
              <w:spacing w:after="0"/>
              <w:rPr>
                <w:sz w:val="1"/>
                <w:szCs w:val="1"/>
                <w:color w:val="auto"/>
              </w:rPr>
            </w:pPr>
          </w:p>
        </w:tc>
      </w:tr>
      <w:tr>
        <w:trPr>
          <w:trHeight w:val="133"/>
        </w:trPr>
        <w:tc>
          <w:tcPr>
            <w:tcW w:w="7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*Fuad Ahmad</w:t>
            </w:r>
          </w:p>
        </w:tc>
        <w:tc>
          <w:tcPr>
            <w:tcW w:w="10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Dalton</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F. Lynch</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 Roberts</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Fuad Ahmad</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0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Fuad Ahmad, as attorney-in-fact</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-3479165</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-2912745</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-2346960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-1781175</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-1214755</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-648970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-648970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20"/>
        </w:trPr>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920" w:type="dxa"/>
            <w:vAlign w:val="bottom"/>
            <w:tcBorders>
              <w:bottom w:val="single" w:sz="8" w:color="808080"/>
            </w:tcBorders>
          </w:tcPr>
          <w:p>
            <w:pPr>
              <w:spacing w:after="0"/>
              <w:rPr>
                <w:sz w:val="10"/>
                <w:szCs w:val="10"/>
                <w:color w:val="auto"/>
              </w:rPr>
            </w:pPr>
          </w:p>
        </w:tc>
      </w:tr>
      <w:tr>
        <w:trPr>
          <w:trHeight w:val="3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Globalstar, Inc.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Form of Amended and Restated Bylaws of Globalstar, Inc.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Opinion of Taft, Stettinius &amp; Hollister LLP</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Amended and Restated Credit Agreement dated as of August 16, 2006 among Globalstar, Inc., the lenders referred to therein, and Wachovia</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Investment Holdings, LLC, as Administrative Agent.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Second Amended and Restated Irrevocable Standby Stock Purchase Agreement dated as of August 25, 2006 among Globalstar,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Wachovia Investment Holdings, LLC and Thermo Funding Company LLC.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Escrow Agreement dated as of April 24, 2006 among Thermo Funding Company LLC, Globalstar, Inc., Wachovia Bank and UBS AG, New</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York Branch, as Escrow Agent.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Globalstar, Inc. 2006 Equity Incentive Plan.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Launch Services Agreement by and between Globalstar LLC and Starsem dated September 21, 2005.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Satellite Products Supply Agreement by and between QUALCOMM Incorporated and New Operating Globalstar LLC dated as of April 13,</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Amendment Number 1 to Satellite Products Supply Agreement dated as of May 25, 2005.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Amendment Number 2 to Satellite Products Supply Agreement dated as of May 25, 2005.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Amendment Number 3 to Satellite Products Supply Agreement dated as of September 30, 2005.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Globalstar Companies Designated Executive Incentive Compensation Memorandum dated as of June 1, 2005, effective as of November 1,</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Asset Contribution Agreement by and among Globalstar, L.P., New Operating Globalstar LLC, Thermo Capital Partners LLC and certain of</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their affiliates dated as of December 5, 2003.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7"/>
              </w:rPr>
              <w:t>Agreement for Sale of Globalstar Satellite Mobile Phones entered into as of April 13, 2004 by and between QUALCOMM Incorporated and</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Operating Globalstar LLC.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First Amendment to Agreement for Sale of Globalstar Satellite Mobile Phones entered into as of October 5, 2004 by and between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QUALCOMM Incorporated and Globalstar LLC.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between Globalstar Canada Satellite Co. and Richardson Electronics, Ltd. dated April 17, 2006.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Master Agreement between Globalstar LLC and Space Systems/Loral, Inc. for Professional Services effective as of June 1, 2004.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Amendment dated as of September 29, 2006 to Amended and Restated Credit Agreement dated as of August 16, 2006.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Statement of computation of per share earnings</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Letter from GHP Horwath, P.C. pursuant to Item 601(b)(16) of Regulation S-K.</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Subsidiaries of Globalstar, Inc.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Consent of Crowe Chizek and Company LLP</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Consent of GHP Horwath, P.C.</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Consent of Taft, Stettinius &amp; Hollister LLP (included in Exhibit 5.1)</w:t>
            </w: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120"/>
        </w:trPr>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9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-4971415</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-4971415</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-4971415</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52" w:lineRule="exact"/>
        <w:rPr>
          <w:sz w:val="20"/>
          <w:szCs w:val="20"/>
          <w:color w:val="auto"/>
        </w:rPr>
      </w:pPr>
    </w:p>
    <w:p>
      <w:pPr>
        <w:ind w:left="540" w:hanging="532"/>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39"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Our Business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Industry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Competitive Strengths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Our Growth Strategy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Company History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Recent Developments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The Offering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Summary Historical Consolidated Financial and Other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ind w:right="4999"/>
        <w:spacing w:after="0" w:line="250" w:lineRule="auto"/>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SPECIAL NOTE REGARDING FORWARD-LOOKING STATEMENTS</w:t>
        </w:r>
      </w:hyperlink>
      <w:r>
        <w:rPr>
          <w:rFonts w:ascii="Times New Roman" w:cs="Times New Roman" w:eastAsia="Times New Roman" w:hAnsi="Times New Roman"/>
          <w:sz w:val="18"/>
          <w:szCs w:val="18"/>
          <w:u w:val="single" w:color="auto"/>
          <w:color w:val="0000EE"/>
        </w:rPr>
        <w:t xml:space="preserve"> </w:t>
      </w:r>
      <w:hyperlink w:anchor="page34">
        <w:r>
          <w:rPr>
            <w:rFonts w:ascii="Times New Roman" w:cs="Times New Roman" w:eastAsia="Times New Roman" w:hAnsi="Times New Roman"/>
            <w:sz w:val="18"/>
            <w:szCs w:val="18"/>
            <w:u w:val="single" w:color="auto"/>
            <w:color w:val="0000EE"/>
          </w:rPr>
          <w:t>USE OF PROCEEDS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DIVIDEND POLICY AND RESTRICTIONS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CAPITALIZATION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DILUTION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SELECTED HISTORICAL CONSOLIDATED FINANCIAL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BUSINESS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COMPANY HISTORY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REGULATION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MANAGEMENT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PRINCIPAL STOCKHOLDERS</w:t>
        </w:r>
      </w:hyperlink>
    </w:p>
    <w:p>
      <w:pPr>
        <w:spacing w:after="0" w:line="9" w:lineRule="exact"/>
        <w:rPr>
          <w:sz w:val="20"/>
          <w:szCs w:val="20"/>
          <w:color w:val="auto"/>
        </w:rPr>
      </w:pPr>
    </w:p>
    <w:p>
      <w:pPr>
        <w:ind w:right="4879"/>
        <w:spacing w:after="0" w:line="250" w:lineRule="auto"/>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CERTAIN RELATIONSHIPS AND RELATED PARTY TRANSACTIONS</w:t>
        </w:r>
      </w:hyperlink>
      <w:r>
        <w:rPr>
          <w:rFonts w:ascii="Times New Roman" w:cs="Times New Roman" w:eastAsia="Times New Roman" w:hAnsi="Times New Roman"/>
          <w:sz w:val="18"/>
          <w:szCs w:val="18"/>
          <w:u w:val="single" w:color="auto"/>
          <w:color w:val="0000EE"/>
        </w:rPr>
        <w:t xml:space="preserve"> </w:t>
      </w:r>
      <w:hyperlink w:anchor="page115">
        <w:r>
          <w:rPr>
            <w:rFonts w:ascii="Times New Roman" w:cs="Times New Roman" w:eastAsia="Times New Roman" w:hAnsi="Times New Roman"/>
            <w:sz w:val="18"/>
            <w:szCs w:val="18"/>
            <w:u w:val="single" w:color="auto"/>
            <w:color w:val="0000EE"/>
          </w:rPr>
          <w:t>DESCRIPTION OF CAPITAL STOCK</w:t>
        </w:r>
      </w:hyperlink>
      <w:r>
        <w:rPr>
          <w:rFonts w:ascii="Times New Roman" w:cs="Times New Roman" w:eastAsia="Times New Roman" w:hAnsi="Times New Roman"/>
          <w:sz w:val="18"/>
          <w:szCs w:val="18"/>
          <w:u w:val="single" w:color="auto"/>
          <w:color w:val="0000EE"/>
        </w:rPr>
        <w:t xml:space="preserve"> </w:t>
      </w:r>
      <w:hyperlink w:anchor="page119">
        <w:r>
          <w:rPr>
            <w:rFonts w:ascii="Times New Roman" w:cs="Times New Roman" w:eastAsia="Times New Roman" w:hAnsi="Times New Roman"/>
            <w:sz w:val="18"/>
            <w:szCs w:val="18"/>
            <w:u w:val="single" w:color="auto"/>
            <w:color w:val="0000EE"/>
          </w:rPr>
          <w:t>SHARES ELIGIBLE FOR FUTURE SALE</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UNDERWRITING</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LEGAL MATTERS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EXPERTS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CHANGES IN AND DISAGREEMENTS WITH ACCOUNTANTS ON ACCOUNTING AND FINANCIAL DISCLOSURES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WHERE YOU CAN FIND ADDITIONAL INFORMATION</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INDEX TO CONSOLIDATED FINANCIAL STATEMENTS</w:t>
        </w:r>
      </w:hyperlink>
    </w:p>
    <w:p>
      <w:pPr>
        <w:spacing w:after="0" w:line="9" w:lineRule="exact"/>
        <w:rPr>
          <w:rFonts w:ascii="Times New Roman" w:cs="Times New Roman" w:eastAsia="Times New Roman" w:hAnsi="Times New Roman"/>
          <w:sz w:val="18"/>
          <w:szCs w:val="18"/>
          <w:u w:val="single" w:color="auto"/>
          <w:color w:val="0000EE"/>
        </w:rPr>
      </w:pPr>
    </w:p>
    <w:p>
      <w:pPr>
        <w:ind w:right="879"/>
        <w:spacing w:after="0" w:line="252" w:lineRule="auto"/>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REPORT OF INDEPENDENT REGISTERED PUBLIC ACCOUNTING FIRM</w:t>
        </w:r>
      </w:hyperlink>
      <w:r>
        <w:rPr>
          <w:rFonts w:ascii="Times New Roman" w:cs="Times New Roman" w:eastAsia="Times New Roman" w:hAnsi="Times New Roman"/>
          <w:sz w:val="18"/>
          <w:szCs w:val="18"/>
          <w:u w:val="single" w:color="auto"/>
          <w:color w:val="0000EE"/>
        </w:rPr>
        <w:t xml:space="preserve"> </w:t>
      </w:r>
      <w:hyperlink w:anchor="page127">
        <w:r>
          <w:rPr>
            <w:rFonts w:ascii="Times New Roman" w:cs="Times New Roman" w:eastAsia="Times New Roman" w:hAnsi="Times New Roman"/>
            <w:sz w:val="18"/>
            <w:szCs w:val="18"/>
            <w:u w:val="single" w:color="auto"/>
            <w:color w:val="0000EE"/>
          </w:rPr>
          <w:t>REPORT OF INDEPENDENT REGISTERED PUBLIC ACCOUNTING FIRM</w:t>
        </w:r>
      </w:hyperlink>
      <w:r>
        <w:rPr>
          <w:rFonts w:ascii="Times New Roman" w:cs="Times New Roman" w:eastAsia="Times New Roman" w:hAnsi="Times New Roman"/>
          <w:sz w:val="18"/>
          <w:szCs w:val="18"/>
          <w:u w:val="single" w:color="auto"/>
          <w:color w:val="0000EE"/>
        </w:rPr>
        <w:t xml:space="preserve"> </w:t>
      </w:r>
      <w:hyperlink w:anchor="page128">
        <w:r>
          <w:rPr>
            <w:rFonts w:ascii="Times New Roman" w:cs="Times New Roman" w:eastAsia="Times New Roman" w:hAnsi="Times New Roman"/>
            <w:sz w:val="18"/>
            <w:szCs w:val="18"/>
            <w:u w:val="single" w:color="auto"/>
            <w:color w:val="0000EE"/>
          </w:rPr>
          <w:t>GLOBALSTAR, INC. CONSOLIDATED BALANCE SHEETS (In thousands, except share data)</w:t>
        </w:r>
      </w:hyperlink>
      <w:r>
        <w:rPr>
          <w:rFonts w:ascii="Times New Roman" w:cs="Times New Roman" w:eastAsia="Times New Roman" w:hAnsi="Times New Roman"/>
          <w:sz w:val="18"/>
          <w:szCs w:val="18"/>
          <w:u w:val="single" w:color="auto"/>
          <w:color w:val="0000EE"/>
        </w:rPr>
        <w:t xml:space="preserve"> </w:t>
      </w:r>
      <w:hyperlink w:anchor="page129">
        <w:r>
          <w:rPr>
            <w:rFonts w:ascii="Times New Roman" w:cs="Times New Roman" w:eastAsia="Times New Roman" w:hAnsi="Times New Roman"/>
            <w:sz w:val="18"/>
            <w:szCs w:val="18"/>
            <w:u w:val="single" w:color="auto"/>
            <w:color w:val="0000EE"/>
          </w:rPr>
          <w:t>GLOBALSTAR, INC. CONSOLIDATED STATEMENTS OF OPERATIONS (In thousands, except share data)</w:t>
        </w:r>
      </w:hyperlink>
      <w:r>
        <w:rPr>
          <w:rFonts w:ascii="Times New Roman" w:cs="Times New Roman" w:eastAsia="Times New Roman" w:hAnsi="Times New Roman"/>
          <w:sz w:val="18"/>
          <w:szCs w:val="18"/>
          <w:u w:val="single" w:color="auto"/>
          <w:color w:val="0000EE"/>
        </w:rPr>
        <w:t xml:space="preserve"> </w:t>
      </w:r>
      <w:hyperlink w:anchor="page130">
        <w:r>
          <w:rPr>
            <w:rFonts w:ascii="Times New Roman" w:cs="Times New Roman" w:eastAsia="Times New Roman" w:hAnsi="Times New Roman"/>
            <w:sz w:val="18"/>
            <w:szCs w:val="18"/>
            <w:u w:val="single" w:color="auto"/>
            <w:color w:val="0000EE"/>
          </w:rPr>
          <w:t>GLOBALSTAR, INC. CONSOLIDATED STATEMENTS OF COMPREHENSIVE INCOME (LOSS) (In thousands)</w:t>
        </w:r>
      </w:hyperlink>
      <w:r>
        <w:rPr>
          <w:rFonts w:ascii="Times New Roman" w:cs="Times New Roman" w:eastAsia="Times New Roman" w:hAnsi="Times New Roman"/>
          <w:sz w:val="18"/>
          <w:szCs w:val="18"/>
          <w:u w:val="single" w:color="auto"/>
          <w:color w:val="0000EE"/>
        </w:rPr>
        <w:t xml:space="preserve"> </w:t>
      </w:r>
      <w:hyperlink w:anchor="page131">
        <w:r>
          <w:rPr>
            <w:rFonts w:ascii="Times New Roman" w:cs="Times New Roman" w:eastAsia="Times New Roman" w:hAnsi="Times New Roman"/>
            <w:sz w:val="18"/>
            <w:szCs w:val="18"/>
            <w:u w:val="single" w:color="auto"/>
            <w:color w:val="0000EE"/>
          </w:rPr>
          <w:t>GLOBALSTAR, INC. CONSOLIDATED STATEMENTS OF OWNERSHIP EQUITY (DEFICIT) (In thousands, except share data)</w:t>
        </w:r>
      </w:hyperlink>
      <w:r>
        <w:rPr>
          <w:rFonts w:ascii="Times New Roman" w:cs="Times New Roman" w:eastAsia="Times New Roman" w:hAnsi="Times New Roman"/>
          <w:sz w:val="18"/>
          <w:szCs w:val="18"/>
          <w:u w:val="single" w:color="auto"/>
          <w:color w:val="0000EE"/>
        </w:rPr>
        <w:t xml:space="preserve"> </w:t>
      </w:r>
      <w:hyperlink w:anchor="page133">
        <w:r>
          <w:rPr>
            <w:rFonts w:ascii="Times New Roman" w:cs="Times New Roman" w:eastAsia="Times New Roman" w:hAnsi="Times New Roman"/>
            <w:sz w:val="18"/>
            <w:szCs w:val="18"/>
            <w:u w:val="single" w:color="auto"/>
            <w:color w:val="0000EE"/>
          </w:rPr>
          <w:t>GLOBALSTAR, INC. CONSOLIDATED STATEMENTS OF CASH FLOWS (In thousands)</w:t>
        </w:r>
      </w:hyperlink>
    </w:p>
    <w:p>
      <w:pPr>
        <w:spacing w:after="0" w:line="20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GLOBALSTAR, INC. NOTES TO CONSOLIDATED FINANCIAL STATEMENTS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PART II INFORMATION NOT REQUIRED IN PROSPECTUS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SIGNATURES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0219"/>
          </w:cols>
          <w:pgMar w:left="240" w:top="814" w:right="1440" w:bottom="1440" w:gutter="0" w:footer="0" w:header="0"/>
        </w:sectPr>
      </w:pPr>
    </w:p>
    <w:bookmarkStart w:id="179" w:name="page180"/>
    <w:bookmarkEnd w:id="179"/>
    <w:p>
      <w:pPr>
        <w:spacing w:after="0"/>
        <w:rPr>
          <w:rFonts w:ascii="Times New Roman" w:cs="Times New Roman" w:eastAsia="Times New Roman" w:hAnsi="Times New Roman"/>
          <w:sz w:val="22"/>
          <w:szCs w:val="22"/>
          <w:color w:val="0000EE"/>
        </w:rPr>
      </w:pPr>
      <w:hyperlink w:anchor="page19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6"/>
          <w:szCs w:val="16"/>
          <w:b w:val="1"/>
          <w:bCs w:val="1"/>
          <w:color w:val="auto"/>
        </w:rPr>
        <w:t>Exhibit 10.16</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AMENDMENT TO AMENDED AND RESTATED CREDIT AGREEMENT</w:t>
      </w:r>
    </w:p>
    <w:p>
      <w:pPr>
        <w:spacing w:after="0" w:line="225" w:lineRule="exact"/>
        <w:rPr>
          <w:sz w:val="20"/>
          <w:szCs w:val="20"/>
          <w:color w:val="auto"/>
        </w:rPr>
      </w:pPr>
    </w:p>
    <w:p>
      <w:pPr>
        <w:ind w:right="540" w:firstLine="348"/>
        <w:spacing w:after="0" w:line="262" w:lineRule="auto"/>
        <w:rPr>
          <w:sz w:val="20"/>
          <w:szCs w:val="20"/>
          <w:color w:val="auto"/>
        </w:rPr>
      </w:pPr>
      <w:r>
        <w:rPr>
          <w:rFonts w:ascii="Times New Roman" w:cs="Times New Roman" w:eastAsia="Times New Roman" w:hAnsi="Times New Roman"/>
          <w:sz w:val="18"/>
          <w:szCs w:val="18"/>
          <w:color w:val="auto"/>
        </w:rPr>
        <w:t>This Amendment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September 29, 2006, among GLOBALSTAR,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to the Credit Agreement referenced below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WACHOVIA INVESTMENT HOLDINGS, LLC,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STATEMENT OF PURPOSE:</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Lenders agreed to extend certain credit facilities to the Borrower pursuant to an Amended and Restated Credit Agreement dated as of August 16, 2006 by and among the Borrower, the Lenders and the Administrative Agent (as amended, restated,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Borrower has requested that the Administrative Agent and the Required Lenders agree to amend the Credit Agreement as more specifically set forth herein.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Administrative Agent and the Required Lenders have agreed, subject to the terms and conditions set forth herein, to grant such requests of the Borrower.</w:t>
      </w:r>
    </w:p>
    <w:p>
      <w:pPr>
        <w:spacing w:after="0" w:line="248"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174" w:lineRule="exact"/>
        <w:rPr>
          <w:sz w:val="20"/>
          <w:szCs w:val="20"/>
          <w:color w:val="auto"/>
        </w:rPr>
      </w:pPr>
    </w:p>
    <w:p>
      <w:pPr>
        <w:ind w:right="220" w:firstLine="359"/>
        <w:spacing w:after="0" w:line="275" w:lineRule="auto"/>
        <w:tabs>
          <w:tab w:leader="none" w:pos="70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All capitalized undefined terms used in this Amendment (including, without limitation, in the statement of purpose hereto) shall have the meanings assigned thereto in the Credit Agreement.</w:t>
      </w:r>
    </w:p>
    <w:p>
      <w:pPr>
        <w:spacing w:after="0" w:line="173"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Credit Agreement is hereby amended as follows:</w:t>
      </w:r>
    </w:p>
    <w:p>
      <w:pPr>
        <w:spacing w:after="0" w:line="225"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1.1 of the Credit Agreement ("Definitions")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80" w:right="300" w:firstLine="447"/>
        <w:spacing w:after="0" w:line="275" w:lineRule="auto"/>
        <w:tabs>
          <w:tab w:leader="none" w:pos="1769"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"Applicable Cure Date" is hereby amended by replacing the date "October 13, 2006" with "November 15, 2006" in clause (a).</w:t>
      </w:r>
    </w:p>
    <w:p>
      <w:pPr>
        <w:spacing w:after="0" w:line="173" w:lineRule="exact"/>
        <w:rPr>
          <w:rFonts w:ascii="Times New Roman" w:cs="Times New Roman" w:eastAsia="Times New Roman" w:hAnsi="Times New Roman"/>
          <w:sz w:val="18"/>
          <w:szCs w:val="18"/>
          <w:color w:val="auto"/>
        </w:rPr>
      </w:pPr>
    </w:p>
    <w:p>
      <w:pPr>
        <w:ind w:left="1080" w:right="20" w:firstLine="403"/>
        <w:spacing w:after="0" w:line="275" w:lineRule="auto"/>
        <w:tabs>
          <w:tab w:leader="none" w:pos="177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"Change in Control" is hereby amended by inserting the phrase ", with or without any declaration, demand or giving of notice," in clause (b) of the definition immediately after the word "obligating."</w:t>
      </w:r>
    </w:p>
    <w:p>
      <w:pPr>
        <w:spacing w:after="0" w:line="173"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"Excluded Equity Issuance" is hereby deleted in its entirety and replaced with the following:</w:t>
      </w:r>
    </w:p>
    <w:p>
      <w:pPr>
        <w:spacing w:after="0" w:line="225" w:lineRule="exact"/>
        <w:rPr>
          <w:sz w:val="20"/>
          <w:szCs w:val="20"/>
          <w:color w:val="auto"/>
        </w:rPr>
      </w:pPr>
    </w:p>
    <w:p>
      <w:pPr>
        <w:ind w:left="1080"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Issuance</w:t>
      </w:r>
      <w:r>
        <w:rPr>
          <w:rFonts w:ascii="Times New Roman" w:cs="Times New Roman" w:eastAsia="Times New Roman" w:hAnsi="Times New Roman"/>
          <w:sz w:val="18"/>
          <w:szCs w:val="18"/>
          <w:color w:val="auto"/>
        </w:rPr>
        <w:t>" means (a) the first $100,000,000 of Net Cash Proceeds from any Equity Issuance (other than any Equity Issuance described in the following clause (c) of this definition) of the Borrower following the Amended and Restated Closing Date, including, without limitation, pursuant to the IPO, (b) up to $40,000,000 of Net Cash Proceeds from the IPO in excess of the $100,000,000 referred to in clause (a) hereof and (c) any Equity Issuance pursuant to the Irrevocable Standby Stock Purchase Agreement (including any Equity Issuance pursuant to the exercise of pre-emptive stock purchase rights, to the extent such rights existed on the Original Closing Date, as a result of the Equity Issuance contemplated by the Irrevocable Standby Stock Purchase Agreement).</w:t>
      </w:r>
    </w:p>
    <w:p>
      <w:pPr>
        <w:spacing w:after="0" w:line="193" w:lineRule="exact"/>
        <w:rPr>
          <w:sz w:val="20"/>
          <w:szCs w:val="20"/>
          <w:color w:val="auto"/>
        </w:rPr>
      </w:pPr>
    </w:p>
    <w:p>
      <w:pPr>
        <w:ind w:left="1780" w:hanging="340"/>
        <w:spacing w:after="0"/>
        <w:tabs>
          <w:tab w:leader="none" w:pos="17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"Lender" is hereby amended by replacing the reference to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80" w:right="800" w:firstLine="403"/>
        <w:spacing w:after="0" w:line="275" w:lineRule="auto"/>
        <w:tabs>
          <w:tab w:leader="none" w:pos="17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"Liquidity" is hereby amended by replacing the phrase "Letters of Credit" in clause (c) with the phrase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80" w:name="page181"/>
    <w:bookmarkEnd w:id="180"/>
    <w:p>
      <w:pPr>
        <w:ind w:left="541"/>
        <w:spacing w:after="0"/>
        <w:rPr>
          <w:sz w:val="20"/>
          <w:szCs w:val="20"/>
          <w:color w:val="auto"/>
        </w:rPr>
      </w:pPr>
      <w:r>
        <w:rPr>
          <w:rFonts w:ascii="Times New Roman" w:cs="Times New Roman" w:eastAsia="Times New Roman" w:hAnsi="Times New Roman"/>
          <w:sz w:val="18"/>
          <w:szCs w:val="18"/>
          <w:color w:val="auto"/>
        </w:rPr>
        <w:t>(vi) The definition of "Required Lenders" is hereby deleted in its entirety and replaced with the following:</w:t>
      </w:r>
    </w:p>
    <w:p>
      <w:pPr>
        <w:spacing w:after="0" w:line="225" w:lineRule="exact"/>
        <w:rPr>
          <w:sz w:val="20"/>
          <w:szCs w:val="20"/>
          <w:color w:val="auto"/>
        </w:rPr>
      </w:pPr>
    </w:p>
    <w:p>
      <w:pPr>
        <w:ind w:left="181" w:right="20"/>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Lenders</w:t>
      </w:r>
      <w:r>
        <w:rPr>
          <w:rFonts w:ascii="Times New Roman" w:cs="Times New Roman" w:eastAsia="Times New Roman" w:hAnsi="Times New Roman"/>
          <w:sz w:val="16"/>
          <w:szCs w:val="16"/>
          <w:color w:val="auto"/>
        </w:rPr>
        <w:t xml:space="preserve">" means, at any date, any combination of Lenders having more than fifty percent (50%) of the sum of (a) the aggregate amount of the Revolving Credit Commitment (or, if the Revolving Credit Commitment has been terminated, the aggregate amount of outstanding Revolving Credit Loans, and participations in L/C Obligations and/or Swingline Loans) plus (b) the aggregate outstanding principal amount of the Term Loan (provided that, solely for the purposes of this definition, with respect to the Delayed Draw Term Loan, prior to the Delayed Draw Funding Date, the aggregate amount of the Delayed Draw Term Loan Commitment shall be deemed to be "outstanding");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Revolving Credit Commitment of, Delayed Draw Term Loan Commitment of, and the portion of the Extensions of Credit, as applicable, held or deemed held by, any Defaulting Lender shall be excluded for purposes of making a determination of Required Lenders."</w:t>
      </w:r>
    </w:p>
    <w:p>
      <w:pPr>
        <w:spacing w:after="0" w:line="167"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8"/>
          <w:szCs w:val="18"/>
          <w:color w:val="auto"/>
        </w:rPr>
        <w:t>(vii) The following new definition of "Super Majority Lenders" is hereby inserted in correct alphabetical order:</w:t>
      </w:r>
    </w:p>
    <w:p>
      <w:pPr>
        <w:spacing w:after="0" w:line="228" w:lineRule="exact"/>
        <w:rPr>
          <w:sz w:val="20"/>
          <w:szCs w:val="20"/>
          <w:color w:val="auto"/>
        </w:rPr>
      </w:pPr>
    </w:p>
    <w:p>
      <w:pPr>
        <w:jc w:val="both"/>
        <w:ind w:left="181" w:right="180"/>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Super Majority Lenders</w:t>
      </w:r>
      <w:r>
        <w:rPr>
          <w:rFonts w:ascii="Times New Roman" w:cs="Times New Roman" w:eastAsia="Times New Roman" w:hAnsi="Times New Roman"/>
          <w:sz w:val="17"/>
          <w:szCs w:val="17"/>
          <w:color w:val="auto"/>
        </w:rPr>
        <w:t>" means, at any date, any combination of Lenders having more than (a) sixty-six and two-thirds percent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aggregate amount of the Revolving Credit Commitment (or, if the Revolving Credit Commitment has been terminated, the aggregate amount of outstanding Revolving Credit Loans, and participations in L/C Obligations and/or Swingline Loans) and (b) sixty-six and two-thirds percent</w:t>
      </w:r>
    </w:p>
    <w:p>
      <w:pPr>
        <w:spacing w:after="0" w:line="3" w:lineRule="exact"/>
        <w:rPr>
          <w:sz w:val="20"/>
          <w:szCs w:val="20"/>
          <w:color w:val="auto"/>
        </w:rPr>
      </w:pPr>
    </w:p>
    <w:p>
      <w:pPr>
        <w:ind w:left="181"/>
        <w:spacing w:after="0" w:line="231" w:lineRule="auto"/>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xml:space="preserve">%) of the aggregate outstanding principal amount of the Term Loan (provided that, solely for the purposes of this definition, with respect to the Delayed Draw Term Loan, prior to the Delayed Draw Funding Date, the aggregate amount of the Delayed Draw Term Loan Commitment shall be deemed to be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Credit Commitment of, Delayed Draw Term Loan Commitment of, and the portion of the Extensions of Credit, as applicable, held or deemed held by, any Defaulting Lender shall be excluded for purposes of making a determination of Super Majority Lenders."</w:t>
      </w:r>
    </w:p>
    <w:p>
      <w:pPr>
        <w:spacing w:after="0" w:line="207" w:lineRule="exact"/>
        <w:rPr>
          <w:sz w:val="20"/>
          <w:szCs w:val="20"/>
          <w:color w:val="auto"/>
        </w:rPr>
      </w:pPr>
    </w:p>
    <w:p>
      <w:pPr>
        <w:ind w:left="-359" w:right="40" w:firstLine="359"/>
        <w:spacing w:after="0" w:line="258"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2.2 of the Credit Agreement ("Swingline Loans")</w:t>
      </w:r>
      <w:r>
        <w:rPr>
          <w:rFonts w:ascii="Times New Roman" w:cs="Times New Roman" w:eastAsia="Times New Roman" w:hAnsi="Times New Roman"/>
          <w:sz w:val="18"/>
          <w:szCs w:val="18"/>
          <w:color w:val="auto"/>
        </w:rPr>
        <w:t>. Section 2.2(b)(ii) of the Credit Agreement is hereby amended by inserting the following proviso at the end of such section "provided that in no event shall the amount paid by any Revolving Credit Lender with respect to any Swingline Loan exceed an amount equal to such Revolving Credit Lender's Revolving Credit Commitment Percentage of the original amount of such Swingline Loan."</w:t>
      </w:r>
    </w:p>
    <w:p>
      <w:pPr>
        <w:spacing w:after="0" w:line="190" w:lineRule="exact"/>
        <w:rPr>
          <w:rFonts w:ascii="Times New Roman" w:cs="Times New Roman" w:eastAsia="Times New Roman" w:hAnsi="Times New Roman"/>
          <w:sz w:val="18"/>
          <w:szCs w:val="18"/>
          <w:color w:val="auto"/>
        </w:rPr>
      </w:pPr>
    </w:p>
    <w:p>
      <w:pPr>
        <w:ind w:left="-359" w:right="200" w:firstLine="359"/>
        <w:spacing w:after="0" w:line="262" w:lineRule="auto"/>
        <w:tabs>
          <w:tab w:leader="none" w:pos="3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4.4 of the Credit Agreement ("Prepayments of Term Loan")</w:t>
      </w:r>
      <w:r>
        <w:rPr>
          <w:rFonts w:ascii="Times New Roman" w:cs="Times New Roman" w:eastAsia="Times New Roman" w:hAnsi="Times New Roman"/>
          <w:sz w:val="18"/>
          <w:szCs w:val="18"/>
          <w:color w:val="auto"/>
        </w:rPr>
        <w:t>. Section 4.4(b)(v) ("</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is hereby amended by inserting the phrase "shall be permanently reduced" to the end of the parenthetical phrase "(or, as applicable, the Delayed Draw Term Loan Commitment)."</w:t>
      </w:r>
    </w:p>
    <w:p>
      <w:pPr>
        <w:spacing w:after="0" w:line="186" w:lineRule="exact"/>
        <w:rPr>
          <w:rFonts w:ascii="Times New Roman" w:cs="Times New Roman" w:eastAsia="Times New Roman" w:hAnsi="Times New Roman"/>
          <w:sz w:val="18"/>
          <w:szCs w:val="18"/>
          <w:color w:val="auto"/>
        </w:rPr>
      </w:pPr>
    </w:p>
    <w:p>
      <w:pPr>
        <w:ind w:left="-359" w:right="180" w:firstLine="359"/>
        <w:spacing w:after="0" w:line="275" w:lineRule="auto"/>
        <w:tabs>
          <w:tab w:leader="none" w:pos="3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9.16 of the Credit Agreement ("Second Generation Satellite Constellation")</w:t>
      </w:r>
      <w:r>
        <w:rPr>
          <w:rFonts w:ascii="Times New Roman" w:cs="Times New Roman" w:eastAsia="Times New Roman" w:hAnsi="Times New Roman"/>
          <w:sz w:val="18"/>
          <w:szCs w:val="18"/>
          <w:color w:val="auto"/>
        </w:rPr>
        <w:t>. Section 9.16 of the Credit Agreement is hereby amended by replacing the date "October 13, 2006" with "November 15, 2006."</w:t>
      </w:r>
    </w:p>
    <w:p>
      <w:pPr>
        <w:sectPr>
          <w:pgSz w:w="11900" w:h="16838" w:orient="portrait"/>
          <w:cols w:equalWidth="0" w:num="1">
            <w:col w:w="10501"/>
          </w:cols>
          <w:pgMar w:left="1139" w:top="584" w:right="259" w:bottom="1440" w:gutter="0" w:footer="0" w:header="0"/>
        </w:sectPr>
      </w:pPr>
    </w:p>
    <w:p>
      <w:pPr>
        <w:spacing w:after="0" w:line="174" w:lineRule="exact"/>
        <w:rPr>
          <w:sz w:val="20"/>
          <w:szCs w:val="20"/>
          <w:color w:val="auto"/>
        </w:rPr>
      </w:pPr>
    </w:p>
    <w:p>
      <w:pPr>
        <w:ind w:left="321" w:hanging="321"/>
        <w:spacing w:after="0"/>
        <w:tabs>
          <w:tab w:leader="none" w:pos="32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to Section 11.1(e) ("Limitations on Indebtedness")</w:t>
      </w:r>
      <w:r>
        <w:rPr>
          <w:rFonts w:ascii="Times New Roman" w:cs="Times New Roman" w:eastAsia="Times New Roman" w:hAnsi="Times New Roman"/>
          <w:sz w:val="16"/>
          <w:szCs w:val="16"/>
          <w:color w:val="auto"/>
        </w:rPr>
        <w:t>.</w:t>
      </w:r>
    </w:p>
    <w:p>
      <w:pPr>
        <w:spacing w:after="0" w:line="248" w:lineRule="exact"/>
        <w:rPr>
          <w:rFonts w:ascii="Times New Roman" w:cs="Times New Roman" w:eastAsia="Times New Roman" w:hAnsi="Times New Roman"/>
          <w:sz w:val="16"/>
          <w:szCs w:val="16"/>
          <w:color w:val="auto"/>
        </w:rPr>
      </w:pPr>
    </w:p>
    <w:p>
      <w:pPr>
        <w:ind w:left="361" w:hanging="361"/>
        <w:spacing w:after="0"/>
        <w:tabs>
          <w:tab w:leader="none" w:pos="36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to Section 11.1(f) ("Limitations on Indebtedness")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11.1(e)(iii) is hereby amended by deleting the word "Subordinated."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11.1(f)(v) is hereby amended by:</w:t>
      </w:r>
    </w:p>
    <w:p>
      <w:pPr>
        <w:spacing w:after="0" w:line="200" w:lineRule="exact"/>
        <w:rPr>
          <w:sz w:val="20"/>
          <w:szCs w:val="20"/>
          <w:color w:val="auto"/>
        </w:rPr>
      </w:pPr>
    </w:p>
    <w:p>
      <w:pPr>
        <w:sectPr>
          <w:pgSz w:w="11900" w:h="16838" w:orient="portrait"/>
          <w:cols w:equalWidth="0" w:num="2">
            <w:col w:w="4821" w:space="180"/>
            <w:col w:w="5500"/>
          </w:cols>
          <w:pgMar w:left="1139" w:top="584" w:right="259" w:bottom="1440" w:gutter="0" w:footer="0" w:header="0"/>
          <w:type w:val="continuous"/>
        </w:sectPr>
      </w:pPr>
    </w:p>
    <w:p>
      <w:pPr>
        <w:spacing w:after="0" w:line="25" w:lineRule="exact"/>
        <w:rPr>
          <w:sz w:val="20"/>
          <w:szCs w:val="20"/>
          <w:color w:val="auto"/>
        </w:rPr>
      </w:pPr>
    </w:p>
    <w:p>
      <w:pPr>
        <w:ind w:left="881" w:hanging="253"/>
        <w:spacing w:after="0"/>
        <w:tabs>
          <w:tab w:leader="none" w:pos="88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the word "and" immediately before subsection (ii) with a comma;</w:t>
      </w:r>
    </w:p>
    <w:p>
      <w:pPr>
        <w:spacing w:after="0" w:line="248" w:lineRule="exact"/>
        <w:rPr>
          <w:rFonts w:ascii="Times New Roman" w:cs="Times New Roman" w:eastAsia="Times New Roman" w:hAnsi="Times New Roman"/>
          <w:sz w:val="16"/>
          <w:szCs w:val="16"/>
          <w:color w:val="auto"/>
        </w:rPr>
      </w:pPr>
    </w:p>
    <w:p>
      <w:pPr>
        <w:ind w:left="881" w:hanging="297"/>
        <w:spacing w:after="0"/>
        <w:tabs>
          <w:tab w:leader="none" w:pos="88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semicolon at the end of subsection (ii) with a comma;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1"/>
          </w:cols>
          <w:pgMar w:left="1139" w:top="584" w:right="259" w:bottom="1440" w:gutter="0" w:footer="0" w:header="0"/>
          <w:type w:val="continuous"/>
        </w:sectPr>
      </w:pPr>
    </w:p>
    <w:bookmarkStart w:id="181" w:name="page182"/>
    <w:bookmarkEnd w:id="181"/>
    <w:p>
      <w:pPr>
        <w:ind w:left="541"/>
        <w:spacing w:after="0"/>
        <w:rPr>
          <w:sz w:val="20"/>
          <w:szCs w:val="20"/>
          <w:color w:val="auto"/>
        </w:rPr>
      </w:pPr>
      <w:r>
        <w:rPr>
          <w:rFonts w:ascii="Times New Roman" w:cs="Times New Roman" w:eastAsia="Times New Roman" w:hAnsi="Times New Roman"/>
          <w:sz w:val="18"/>
          <w:szCs w:val="18"/>
          <w:color w:val="auto"/>
        </w:rPr>
        <w:t>(iii) inserting the following subsections at the end of subsection (ii):</w:t>
      </w:r>
    </w:p>
    <w:p>
      <w:pPr>
        <w:spacing w:after="0" w:line="225"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6"/>
          <w:szCs w:val="16"/>
          <w:color w:val="auto"/>
        </w:rPr>
        <w:t>"(iii) such Indebtedness shall mature no earlier than the date which is six (6) months following the later of (x) the Term Loan Maturity Date and</w:t>
      </w:r>
    </w:p>
    <w:p>
      <w:pPr>
        <w:spacing w:after="0" w:line="44" w:lineRule="exact"/>
        <w:rPr>
          <w:sz w:val="20"/>
          <w:szCs w:val="20"/>
          <w:color w:val="auto"/>
        </w:rPr>
      </w:pPr>
    </w:p>
    <w:p>
      <w:pPr>
        <w:ind w:left="181" w:right="240" w:firstLine="8"/>
        <w:spacing w:after="0" w:line="255" w:lineRule="auto"/>
        <w:tabs>
          <w:tab w:leader="none" w:pos="42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Maturity Date, (iv) the terms of such Indebtedness shall comply with the terms of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hereof and (v) such Indebtedness shall otherwise contain terms, conditions, representations and warranties customary for such type of Indebtedness at the time such Indebtedness is incurred."</w:t>
      </w:r>
    </w:p>
    <w:p>
      <w:pPr>
        <w:spacing w:after="0" w:line="192" w:lineRule="exact"/>
        <w:rPr>
          <w:rFonts w:ascii="Times New Roman" w:cs="Times New Roman" w:eastAsia="Times New Roman" w:hAnsi="Times New Roman"/>
          <w:sz w:val="18"/>
          <w:szCs w:val="18"/>
          <w:color w:val="auto"/>
        </w:rPr>
      </w:pPr>
    </w:p>
    <w:p>
      <w:pPr>
        <w:ind w:left="-359" w:right="100" w:firstLine="359"/>
        <w:spacing w:after="0" w:line="262" w:lineRule="auto"/>
        <w:tabs>
          <w:tab w:leader="none" w:pos="3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11.3 ("Limitations on Loans, Advances, Investments and Acquisitions")</w:t>
      </w:r>
      <w:r>
        <w:rPr>
          <w:rFonts w:ascii="Times New Roman" w:cs="Times New Roman" w:eastAsia="Times New Roman" w:hAnsi="Times New Roman"/>
          <w:sz w:val="18"/>
          <w:szCs w:val="18"/>
          <w:color w:val="auto"/>
        </w:rPr>
        <w:t>. Section 11.3(h) is hereby amended by inserting the phrase "in the ordinary course of business, consistent with the Borrower's equity incentive plan" immediately after the phrase "Capital Stock of the Borrower."</w:t>
      </w:r>
    </w:p>
    <w:p>
      <w:pPr>
        <w:spacing w:after="0" w:line="186" w:lineRule="exact"/>
        <w:rPr>
          <w:rFonts w:ascii="Times New Roman" w:cs="Times New Roman" w:eastAsia="Times New Roman" w:hAnsi="Times New Roman"/>
          <w:sz w:val="18"/>
          <w:szCs w:val="18"/>
          <w:color w:val="auto"/>
        </w:rPr>
      </w:pPr>
    </w:p>
    <w:p>
      <w:pPr>
        <w:ind w:left="-359" w:right="20" w:firstLine="359"/>
        <w:spacing w:after="0" w:line="275" w:lineRule="auto"/>
        <w:tabs>
          <w:tab w:leader="none" w:pos="3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11.6 ("Limitations on Dividends and Distributions")</w:t>
      </w:r>
      <w:r>
        <w:rPr>
          <w:rFonts w:ascii="Times New Roman" w:cs="Times New Roman" w:eastAsia="Times New Roman" w:hAnsi="Times New Roman"/>
          <w:sz w:val="18"/>
          <w:szCs w:val="18"/>
          <w:color w:val="auto"/>
        </w:rPr>
        <w:t>. Section 11.6(c) is hereby amended by inserting the parenthetical " (other than the IPO)" immediately after the phrase "from the issue of new shares of its Capital Stock."</w:t>
      </w:r>
    </w:p>
    <w:p>
      <w:pPr>
        <w:spacing w:after="0" w:line="173"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12.1 ("Events of Default")</w:t>
      </w:r>
      <w:r>
        <w:rPr>
          <w:rFonts w:ascii="Times New Roman" w:cs="Times New Roman" w:eastAsia="Times New Roman" w:hAnsi="Times New Roman"/>
          <w:sz w:val="18"/>
          <w:szCs w:val="18"/>
          <w:color w:val="auto"/>
        </w:rPr>
        <w:t>.  Section 12.1(q) is hereby deleted in its entirety and replaced with the following:</w:t>
      </w:r>
    </w:p>
    <w:p>
      <w:pPr>
        <w:spacing w:after="0" w:line="225" w:lineRule="exact"/>
        <w:rPr>
          <w:sz w:val="20"/>
          <w:szCs w:val="20"/>
          <w:color w:val="auto"/>
        </w:rPr>
      </w:pPr>
    </w:p>
    <w:p>
      <w:pPr>
        <w:ind w:left="181" w:right="120"/>
        <w:spacing w:after="0" w:line="293" w:lineRule="auto"/>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u w:val="single" w:color="auto"/>
          <w:color w:val="auto"/>
        </w:rPr>
        <w:t>Irrevocable Standby Stock Purchase Agreement; Escrow Agreement</w:t>
      </w:r>
      <w:r>
        <w:rPr>
          <w:rFonts w:ascii="Times New Roman" w:cs="Times New Roman" w:eastAsia="Times New Roman" w:hAnsi="Times New Roman"/>
          <w:sz w:val="16"/>
          <w:szCs w:val="16"/>
          <w:color w:val="auto"/>
        </w:rPr>
        <w:t>. The Borrower or Thermo Funding Company LLC shall breach any of their respective obligations under either the Irrevocable Standby Stock Purchase Agreement or the Escrow Agreement, or any material provision of the Irrevocable Standby Stock Purchase Agreement or the Escrow Agreement shall cease to be valid and binding on the parties thereto or any such Person shall so state in writing, or the Irrevocable Standby Stock Purchase Agreement or the Escrow Agreement shall be terminated or expire, except pursuant to Equity Issuances by the Borrower of common stock under such Irrevocable Standby Stock Purchase Agreement which has resulted in Net Cash Proceeds to the Borrower of an aggregate of $200,000,000 or otherwise in accordance with its terms."</w:t>
      </w:r>
    </w:p>
    <w:p>
      <w:pPr>
        <w:spacing w:after="0" w:line="165" w:lineRule="exact"/>
        <w:rPr>
          <w:sz w:val="20"/>
          <w:szCs w:val="20"/>
          <w:color w:val="auto"/>
        </w:rPr>
      </w:pPr>
    </w:p>
    <w:p>
      <w:pPr>
        <w:ind w:left="-359" w:right="460" w:firstLine="359"/>
        <w:spacing w:after="0" w:line="275" w:lineRule="auto"/>
        <w:tabs>
          <w:tab w:leader="none" w:pos="3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Article XIII ("The Administrative Agent")</w:t>
      </w:r>
      <w:r>
        <w:rPr>
          <w:rFonts w:ascii="Times New Roman" w:cs="Times New Roman" w:eastAsia="Times New Roman" w:hAnsi="Times New Roman"/>
          <w:sz w:val="18"/>
          <w:szCs w:val="18"/>
          <w:color w:val="auto"/>
        </w:rPr>
        <w:t>. Article XIII is hereby amended by inserting the following Section 13.10 after Section 13.9 thereof:</w:t>
      </w:r>
    </w:p>
    <w:p>
      <w:pPr>
        <w:spacing w:after="0" w:line="174" w:lineRule="exact"/>
        <w:rPr>
          <w:sz w:val="20"/>
          <w:szCs w:val="20"/>
          <w:color w:val="auto"/>
        </w:rPr>
      </w:pPr>
    </w:p>
    <w:p>
      <w:pPr>
        <w:ind w:left="181" w:right="300"/>
        <w:spacing w:after="0" w:line="262"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Irrevocable Standby Stock Purchase Agreement and Escrow Agreement</w:t>
      </w:r>
      <w:r>
        <w:rPr>
          <w:rFonts w:ascii="Times New Roman" w:cs="Times New Roman" w:eastAsia="Times New Roman" w:hAnsi="Times New Roman"/>
          <w:sz w:val="18"/>
          <w:szCs w:val="18"/>
          <w:color w:val="auto"/>
        </w:rPr>
        <w:t>. The Administrative Agent will not agree to any amendment, waiver or modification to the Irrevocable Standby Stock Purchase Agreement or the Escrow Agreement which is in any manner adverse to any Lender unless such amendment, waiver or modification is consented to by the Super Majority Lenders."</w:t>
      </w:r>
    </w:p>
    <w:p>
      <w:pPr>
        <w:spacing w:after="0" w:line="186" w:lineRule="exact"/>
        <w:rPr>
          <w:sz w:val="20"/>
          <w:szCs w:val="20"/>
          <w:color w:val="auto"/>
        </w:rPr>
      </w:pPr>
    </w:p>
    <w:p>
      <w:pPr>
        <w:ind w:left="341" w:hanging="341"/>
        <w:spacing w:after="0"/>
        <w:tabs>
          <w:tab w:leader="none" w:pos="3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14.2 of the Credit Agreement ("Amendments, Waivers and Consents")</w:t>
      </w:r>
      <w:r>
        <w:rPr>
          <w:rFonts w:ascii="Times New Roman" w:cs="Times New Roman" w:eastAsia="Times New Roman" w:hAnsi="Times New Roman"/>
          <w:sz w:val="18"/>
          <w:szCs w:val="18"/>
          <w:color w:val="auto"/>
        </w:rPr>
        <w:t>.  Section 14.2 is hereby amended by:</w:t>
      </w:r>
    </w:p>
    <w:p>
      <w:pPr>
        <w:spacing w:after="0" w:line="225" w:lineRule="exact"/>
        <w:rPr>
          <w:rFonts w:ascii="Times New Roman" w:cs="Times New Roman" w:eastAsia="Times New Roman" w:hAnsi="Times New Roman"/>
          <w:sz w:val="18"/>
          <w:szCs w:val="18"/>
          <w:color w:val="auto"/>
        </w:rPr>
      </w:pPr>
    </w:p>
    <w:p>
      <w:pPr>
        <w:ind w:left="881" w:hanging="253"/>
        <w:spacing w:after="0"/>
        <w:tabs>
          <w:tab w:leader="none" w:pos="8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word "or" at the end of subsection (h) with a semi-colon, and</w:t>
      </w:r>
    </w:p>
    <w:p>
      <w:pPr>
        <w:spacing w:after="0" w:line="225" w:lineRule="exact"/>
        <w:rPr>
          <w:rFonts w:ascii="Times New Roman" w:cs="Times New Roman" w:eastAsia="Times New Roman" w:hAnsi="Times New Roman"/>
          <w:sz w:val="18"/>
          <w:szCs w:val="18"/>
          <w:color w:val="auto"/>
        </w:rPr>
      </w:pPr>
    </w:p>
    <w:p>
      <w:pPr>
        <w:ind w:left="881" w:hanging="297"/>
        <w:spacing w:after="0"/>
        <w:tabs>
          <w:tab w:leader="none" w:pos="8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the following new subsections (j), (k), (l), (m) and (n) immediately after subsection (i):</w:t>
      </w:r>
    </w:p>
    <w:p>
      <w:pPr>
        <w:spacing w:after="0" w:line="225" w:lineRule="exact"/>
        <w:rPr>
          <w:sz w:val="20"/>
          <w:szCs w:val="20"/>
          <w:color w:val="auto"/>
        </w:rPr>
      </w:pPr>
    </w:p>
    <w:p>
      <w:pPr>
        <w:ind w:left="181"/>
        <w:spacing w:after="0" w:line="256" w:lineRule="auto"/>
        <w:rPr>
          <w:sz w:val="20"/>
          <w:szCs w:val="20"/>
          <w:color w:val="auto"/>
        </w:rPr>
      </w:pPr>
      <w:r>
        <w:rPr>
          <w:rFonts w:ascii="Times New Roman" w:cs="Times New Roman" w:eastAsia="Times New Roman" w:hAnsi="Times New Roman"/>
          <w:sz w:val="18"/>
          <w:szCs w:val="18"/>
          <w:color w:val="auto"/>
        </w:rPr>
        <w:t xml:space="preserve">"(j) waive any of the conditions, or waive any Default or Event of Default, for purposes of waiving, or having the effect of waiving, any of the conditions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that are conditions to funding Revolving Credit Loans without the prior written consent of any combination of Revolving Credit Lenders having more than fifty percent (50%) of the aggregate amount of the Revolving Credit Commitment, or if the Revolving Credit Commitment has been terminated, the aggregate amount of outstanding Revolving Credit Loans and participations in L/C Obligations and/or Swingline Loans;</w:t>
      </w:r>
    </w:p>
    <w:p>
      <w:pPr>
        <w:spacing w:after="0" w:line="193" w:lineRule="exact"/>
        <w:rPr>
          <w:sz w:val="20"/>
          <w:szCs w:val="20"/>
          <w:color w:val="auto"/>
        </w:rPr>
      </w:pPr>
    </w:p>
    <w:p>
      <w:pPr>
        <w:ind w:left="181" w:right="920" w:firstLine="8"/>
        <w:spacing w:after="0" w:line="275" w:lineRule="auto"/>
        <w:tabs>
          <w:tab w:leader="none" w:pos="56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from the Guaranty Agreement any of the License Subsidiaries that are Subsidiary Guarantors (other than as authorized in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without the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117475</wp:posOffset>
            </wp:positionV>
            <wp:extent cx="7250430" cy="215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1"/>
          </w:cols>
          <w:pgMar w:left="1139" w:top="584" w:right="239" w:bottom="1440" w:gutter="0" w:footer="0" w:header="0"/>
        </w:sectPr>
      </w:pPr>
    </w:p>
    <w:bookmarkStart w:id="182" w:name="page183"/>
    <w:bookmarkEnd w:id="182"/>
    <w:p>
      <w:pPr>
        <w:ind w:left="1420" w:hanging="332"/>
        <w:spacing w:after="0"/>
        <w:tabs>
          <w:tab w:leader="none" w:pos="142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Lien on the Capital Stock of any License Subsidiary without the written consent of each Lender;</w:t>
      </w:r>
    </w:p>
    <w:p>
      <w:pPr>
        <w:spacing w:after="0" w:line="225" w:lineRule="exact"/>
        <w:rPr>
          <w:rFonts w:ascii="Times New Roman" w:cs="Times New Roman" w:eastAsia="Times New Roman" w:hAnsi="Times New Roman"/>
          <w:sz w:val="18"/>
          <w:szCs w:val="18"/>
          <w:color w:val="auto"/>
        </w:rPr>
      </w:pPr>
    </w:p>
    <w:p>
      <w:pPr>
        <w:ind w:left="1520" w:hanging="432"/>
        <w:spacing w:after="0"/>
        <w:tabs>
          <w:tab w:leader="none" w:pos="152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or otherwise dispose of any Material Communications License without the written consent of each Lender; or</w:t>
      </w:r>
    </w:p>
    <w:p>
      <w:pPr>
        <w:spacing w:after="0" w:line="225" w:lineRule="exact"/>
        <w:rPr>
          <w:rFonts w:ascii="Times New Roman" w:cs="Times New Roman" w:eastAsia="Times New Roman" w:hAnsi="Times New Roman"/>
          <w:sz w:val="18"/>
          <w:szCs w:val="18"/>
          <w:color w:val="auto"/>
        </w:rPr>
      </w:pPr>
    </w:p>
    <w:p>
      <w:pPr>
        <w:ind w:left="1080" w:right="560" w:firstLine="8"/>
        <w:spacing w:after="0" w:line="275" w:lineRule="auto"/>
        <w:tabs>
          <w:tab w:leader="none" w:pos="146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waive or otherwise modify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without the written consent of the Super Majority Lenders."</w:t>
      </w:r>
    </w:p>
    <w:p>
      <w:pPr>
        <w:spacing w:after="0" w:line="173" w:lineRule="exact"/>
        <w:rPr>
          <w:rFonts w:ascii="Times New Roman" w:cs="Times New Roman" w:eastAsia="Times New Roman" w:hAnsi="Times New Roman"/>
          <w:sz w:val="18"/>
          <w:szCs w:val="18"/>
          <w:color w:val="auto"/>
        </w:rPr>
      </w:pPr>
    </w:p>
    <w:p>
      <w:pPr>
        <w:ind w:left="1240" w:hanging="341"/>
        <w:spacing w:after="0"/>
        <w:tabs>
          <w:tab w:leader="none" w:pos="1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14.3 of the Credit Agreement ("Expenses; Indemnity")</w:t>
      </w:r>
      <w:r>
        <w:rPr>
          <w:rFonts w:ascii="Times New Roman" w:cs="Times New Roman" w:eastAsia="Times New Roman" w:hAnsi="Times New Roman"/>
          <w:sz w:val="18"/>
          <w:szCs w:val="18"/>
          <w:color w:val="auto"/>
        </w:rPr>
        <w:t>.  Section 14.3(c) is hereby amended by:</w:t>
      </w:r>
    </w:p>
    <w:p>
      <w:pPr>
        <w:spacing w:after="0" w:line="225" w:lineRule="exact"/>
        <w:rPr>
          <w:rFonts w:ascii="Times New Roman" w:cs="Times New Roman" w:eastAsia="Times New Roman" w:hAnsi="Times New Roman"/>
          <w:sz w:val="18"/>
          <w:szCs w:val="18"/>
          <w:color w:val="auto"/>
        </w:rPr>
      </w:pPr>
    </w:p>
    <w:p>
      <w:pPr>
        <w:ind w:left="1780" w:hanging="253"/>
        <w:spacing w:after="0"/>
        <w:tabs>
          <w:tab w:leader="none" w:pos="1780"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term "Applicable Margin" with the phrase "ratable portion of the aggregate amount of Commitment Percentages," and</w:t>
      </w:r>
    </w:p>
    <w:p>
      <w:pPr>
        <w:spacing w:after="0" w:line="225" w:lineRule="exact"/>
        <w:rPr>
          <w:rFonts w:ascii="Times New Roman" w:cs="Times New Roman" w:eastAsia="Times New Roman" w:hAnsi="Times New Roman"/>
          <w:sz w:val="18"/>
          <w:szCs w:val="18"/>
          <w:color w:val="auto"/>
        </w:rPr>
      </w:pPr>
    </w:p>
    <w:p>
      <w:pPr>
        <w:ind w:left="1780" w:hanging="297"/>
        <w:spacing w:after="0"/>
        <w:tabs>
          <w:tab w:leader="none" w:pos="1780"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phrase "subject to the provisions of Section 5.7" with the phrase "several, not joint nor joint and several."</w:t>
      </w:r>
    </w:p>
    <w:p>
      <w:pPr>
        <w:spacing w:after="0" w:line="225" w:lineRule="exact"/>
        <w:rPr>
          <w:rFonts w:ascii="Times New Roman" w:cs="Times New Roman" w:eastAsia="Times New Roman" w:hAnsi="Times New Roman"/>
          <w:sz w:val="18"/>
          <w:szCs w:val="18"/>
          <w:color w:val="auto"/>
        </w:rPr>
      </w:pPr>
    </w:p>
    <w:p>
      <w:pPr>
        <w:ind w:left="540" w:right="40" w:firstLine="359"/>
        <w:spacing w:after="0" w:line="262" w:lineRule="auto"/>
        <w:tabs>
          <w:tab w:leader="none" w:pos="12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Sections 2.4 ("Repayment and Prepayment of Revolving Credit and Swingline Loans"), 2.5 ("Permanent Reduction of the Revolving Credit Commitment") and 12.2 ("Remedies")</w:t>
      </w:r>
      <w:r>
        <w:rPr>
          <w:rFonts w:ascii="Times New Roman" w:cs="Times New Roman" w:eastAsia="Times New Roman" w:hAnsi="Times New Roman"/>
          <w:sz w:val="18"/>
          <w:szCs w:val="18"/>
          <w:color w:val="auto"/>
        </w:rPr>
        <w:t>. Section 2.4(b), Section 2.5(b) and Section 12.2(b) are hereby amended by replacing the phrase "then undrawn and unexpired amount of such Letters of Credit" in each such section with the term "L/C Obligations."</w:t>
      </w:r>
    </w:p>
    <w:p>
      <w:pPr>
        <w:spacing w:after="0" w:line="186"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2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Updated Schedules</w:t>
      </w:r>
      <w:r>
        <w:rPr>
          <w:rFonts w:ascii="Times New Roman" w:cs="Times New Roman" w:eastAsia="Times New Roman" w:hAnsi="Times New Roman"/>
          <w:sz w:val="18"/>
          <w:szCs w:val="18"/>
          <w:color w:val="auto"/>
        </w:rPr>
        <w:t>. The Schedules to the Credit Agreement are amended and restated in their entirety by the updated Schedules to the Credit Agreement attached hereto.</w:t>
      </w:r>
    </w:p>
    <w:p>
      <w:pPr>
        <w:spacing w:after="0" w:line="173"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to Effectiveness</w:t>
      </w:r>
      <w:r>
        <w:rPr>
          <w:rFonts w:ascii="Times New Roman" w:cs="Times New Roman" w:eastAsia="Times New Roman" w:hAnsi="Times New Roman"/>
          <w:sz w:val="16"/>
          <w:szCs w:val="16"/>
          <w:color w:val="auto"/>
        </w:rPr>
        <w:t>.  Upon the satisfaction of each of the following conditions, this Amendment shall be deemed to be effective as of the date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hereof:</w:t>
      </w:r>
    </w:p>
    <w:p>
      <w:pPr>
        <w:spacing w:after="0" w:line="212" w:lineRule="exact"/>
        <w:rPr>
          <w:rFonts w:ascii="Times New Roman" w:cs="Times New Roman" w:eastAsia="Times New Roman" w:hAnsi="Times New Roman"/>
          <w:sz w:val="16"/>
          <w:szCs w:val="16"/>
          <w:color w:val="auto"/>
        </w:rPr>
      </w:pPr>
    </w:p>
    <w:p>
      <w:pPr>
        <w:ind w:left="1220" w:hanging="321"/>
        <w:spacing w:after="0"/>
        <w:tabs>
          <w:tab w:leader="none" w:pos="12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by the Borrower and the Required Lenders;</w:t>
      </w:r>
    </w:p>
    <w:p>
      <w:pPr>
        <w:spacing w:after="0" w:line="225"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22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been reimbursed for all fees and out of pocket charges and other expenses incurred in connection with this Amendment, including, without limitation, the fees and expenses referred to in Paragraph 7 of this Amendment; and</w:t>
      </w:r>
    </w:p>
    <w:p>
      <w:pPr>
        <w:spacing w:after="0" w:line="173" w:lineRule="exact"/>
        <w:rPr>
          <w:rFonts w:ascii="Times New Roman" w:cs="Times New Roman" w:eastAsia="Times New Roman" w:hAnsi="Times New Roman"/>
          <w:sz w:val="18"/>
          <w:szCs w:val="18"/>
          <w:color w:val="auto"/>
        </w:rPr>
      </w:pPr>
    </w:p>
    <w:p>
      <w:pPr>
        <w:ind w:left="540" w:right="220" w:firstLine="359"/>
        <w:spacing w:after="0" w:line="275" w:lineRule="auto"/>
        <w:tabs>
          <w:tab w:leader="none" w:pos="12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instruments, documents and certificates as the Administrative Agent shall reasonably request in connection with the execution of this Amendment.</w:t>
      </w:r>
    </w:p>
    <w:p>
      <w:pPr>
        <w:spacing w:after="0" w:line="173" w:lineRule="exact"/>
        <w:rPr>
          <w:rFonts w:ascii="Times New Roman" w:cs="Times New Roman" w:eastAsia="Times New Roman" w:hAnsi="Times New Roman"/>
          <w:sz w:val="18"/>
          <w:szCs w:val="18"/>
          <w:color w:val="auto"/>
        </w:rPr>
      </w:pPr>
    </w:p>
    <w:p>
      <w:pPr>
        <w:ind w:firstLine="359"/>
        <w:spacing w:after="0" w:line="256" w:lineRule="auto"/>
        <w:tabs>
          <w:tab w:leader="none" w:pos="70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Amendment</w:t>
      </w:r>
      <w:r>
        <w:rPr>
          <w:rFonts w:ascii="Times New Roman" w:cs="Times New Roman" w:eastAsia="Times New Roman" w:hAnsi="Times New Roman"/>
          <w:sz w:val="18"/>
          <w:szCs w:val="18"/>
          <w:color w:val="auto"/>
        </w:rPr>
        <w:t>. Except as expressly modified hereby, the Credit Agreement and the other Loan Documents shall be and remain in full force and effect. This Amendment shall not be deemed (a) to be a waiver of, or consent to, a modification or amendment of, any other term or condition of the Credit Agreement or any other Loan Document or (b) establish a course of dealing, or to prejudice any other right or rights which the Administrative Agent or the Lenders may now have or may have in the future under or in connection with the Credit Agreement or the other Loan Documents or any of the instruments or agreements referred to therein, as the same may be amended or modified from time to time.</w:t>
      </w:r>
    </w:p>
    <w:p>
      <w:pPr>
        <w:spacing w:after="0" w:line="192" w:lineRule="exact"/>
        <w:rPr>
          <w:rFonts w:ascii="Times New Roman" w:cs="Times New Roman" w:eastAsia="Times New Roman" w:hAnsi="Times New Roman"/>
          <w:sz w:val="18"/>
          <w:szCs w:val="18"/>
          <w:color w:val="auto"/>
        </w:rPr>
      </w:pPr>
    </w:p>
    <w:p>
      <w:pPr>
        <w:ind w:right="360" w:firstLine="359"/>
        <w:spacing w:after="0" w:line="275" w:lineRule="auto"/>
        <w:tabs>
          <w:tab w:leader="none" w:pos="70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Warranties/No Default</w:t>
      </w:r>
      <w:r>
        <w:rPr>
          <w:rFonts w:ascii="Times New Roman" w:cs="Times New Roman" w:eastAsia="Times New Roman" w:hAnsi="Times New Roman"/>
          <w:sz w:val="18"/>
          <w:szCs w:val="18"/>
          <w:color w:val="auto"/>
        </w:rPr>
        <w:t>. By its execution hereof, the Borrower hereby certifies, represents and warrants to the Administrative Agent and the Lenders that:</w:t>
      </w:r>
    </w:p>
    <w:p>
      <w:pPr>
        <w:spacing w:after="0" w:line="17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Licenses are held by License Subsidiaries as of the date hereof.</w:t>
      </w:r>
    </w:p>
    <w:p>
      <w:pPr>
        <w:spacing w:after="0" w:line="225" w:lineRule="exact"/>
        <w:rPr>
          <w:rFonts w:ascii="Times New Roman" w:cs="Times New Roman" w:eastAsia="Times New Roman" w:hAnsi="Times New Roman"/>
          <w:sz w:val="18"/>
          <w:szCs w:val="18"/>
          <w:color w:val="auto"/>
        </w:rPr>
      </w:pPr>
    </w:p>
    <w:p>
      <w:pPr>
        <w:ind w:left="540" w:right="160" w:firstLine="359"/>
        <w:spacing w:after="0" w:line="258" w:lineRule="auto"/>
        <w:tabs>
          <w:tab w:leader="none" w:pos="12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amendments set forth in </w:t>
      </w:r>
      <w:r>
        <w:rPr>
          <w:rFonts w:ascii="Times New Roman" w:cs="Times New Roman" w:eastAsia="Times New Roman" w:hAnsi="Times New Roman"/>
          <w:sz w:val="18"/>
          <w:szCs w:val="18"/>
          <w:u w:val="single" w:color="auto"/>
          <w:color w:val="auto"/>
        </w:rPr>
        <w:t>Section 2(n)</w:t>
      </w:r>
      <w:r>
        <w:rPr>
          <w:rFonts w:ascii="Times New Roman" w:cs="Times New Roman" w:eastAsia="Times New Roman" w:hAnsi="Times New Roman"/>
          <w:sz w:val="18"/>
          <w:szCs w:val="18"/>
          <w:color w:val="auto"/>
        </w:rPr>
        <w:t xml:space="preserve"> above, each of the representations and warranties set forth in the Credit Agreement and the other Loan Documents is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or warranty that is qualified by materiality or by reference to Material Adverse Effect shall be true and correct in all respects) as of the date hereof as if fully set forth herein (except for any representation and warranty made as of an earlier date, which representation and warranty shall remain true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83" w:name="page184"/>
    <w:bookmarkEnd w:id="183"/>
    <w:p>
      <w:pPr>
        <w:ind w:left="181"/>
        <w:spacing w:after="0"/>
        <w:rPr>
          <w:sz w:val="20"/>
          <w:szCs w:val="20"/>
          <w:color w:val="auto"/>
        </w:rPr>
      </w:pPr>
      <w:r>
        <w:rPr>
          <w:rFonts w:ascii="Times New Roman" w:cs="Times New Roman" w:eastAsia="Times New Roman" w:hAnsi="Times New Roman"/>
          <w:sz w:val="18"/>
          <w:szCs w:val="18"/>
          <w:color w:val="auto"/>
        </w:rPr>
        <w:t>correct as of such earlier date) and that no Default or Event of Default has occurred and is continuing as of the date hereof.</w:t>
      </w:r>
    </w:p>
    <w:p>
      <w:pPr>
        <w:spacing w:after="0" w:line="225" w:lineRule="exact"/>
        <w:rPr>
          <w:sz w:val="20"/>
          <w:szCs w:val="20"/>
          <w:color w:val="auto"/>
        </w:rPr>
      </w:pPr>
    </w:p>
    <w:p>
      <w:pPr>
        <w:ind w:left="181" w:right="80" w:firstLine="359"/>
        <w:spacing w:after="0" w:line="339" w:lineRule="auto"/>
        <w:tabs>
          <w:tab w:leader="none" w:pos="859"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the right, power and authority and has taken all necessary corporate and other action to authorize the execution, delivery and performance of this Amendment and each other document executed in connection herewith to which it is a party in accordance with their respective terms.</w:t>
      </w:r>
    </w:p>
    <w:p>
      <w:pPr>
        <w:spacing w:after="0" w:line="128" w:lineRule="exact"/>
        <w:rPr>
          <w:rFonts w:ascii="Times New Roman" w:cs="Times New Roman" w:eastAsia="Times New Roman" w:hAnsi="Times New Roman"/>
          <w:sz w:val="16"/>
          <w:szCs w:val="16"/>
          <w:color w:val="auto"/>
        </w:rPr>
      </w:pPr>
    </w:p>
    <w:p>
      <w:pPr>
        <w:ind w:left="181" w:right="200" w:firstLine="359"/>
        <w:spacing w:after="0" w:line="258" w:lineRule="auto"/>
        <w:tabs>
          <w:tab w:leader="none" w:pos="86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each other document executed in connection herewith has been duly executed and delivered by the duly authorized officers of the Borrower, and each such document constitutes the legal, valid and binding obligation of the Borrower,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90"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1" w:right="40" w:firstLine="359"/>
        <w:spacing w:after="0" w:line="255" w:lineRule="auto"/>
        <w:tabs>
          <w:tab w:leader="none" w:pos="8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Subsidiary Guarantors (i) agrees that the transactions contemplated by this Amendment shall not limit or diminish the obligations of such Subsidiary Guarantor under, or release such Subsidiary Guarantor from any obligations under, the Guaranty Agreement, the Collateral Agreement and each other Security Document to which such Subsidiary Guarantor is a party, (ii) confirms and reaffirms its obligations under the Guaranty Agreement, the Collateral Agreement and each other Security Document to which such Subsidiary Guarantor is a party and (iii) agrees that the Guaranty Agreement, the Collateral Agreement and each other Security Document to which such Subsidiary Guarantor is a party remains in full force and effect and is hereby ratified and confirmed.</w:t>
      </w:r>
    </w:p>
    <w:p>
      <w:pPr>
        <w:spacing w:after="0" w:line="193" w:lineRule="exact"/>
        <w:rPr>
          <w:rFonts w:ascii="Times New Roman" w:cs="Times New Roman" w:eastAsia="Times New Roman" w:hAnsi="Times New Roman"/>
          <w:sz w:val="18"/>
          <w:szCs w:val="18"/>
          <w:color w:val="auto"/>
        </w:rPr>
      </w:pPr>
    </w:p>
    <w:p>
      <w:pPr>
        <w:ind w:left="181" w:right="100" w:firstLine="359"/>
        <w:spacing w:after="0" w:line="258" w:lineRule="auto"/>
        <w:tabs>
          <w:tab w:leader="none" w:pos="86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 Funding Company LLC (i) agrees that the transactions contemplated by this Amendment shall not limit or diminish its obligations under, or release it from any obligations under, the Irrevocable Standby Stock Purchase Agreement or the Escrow Agreement, (ii) confirms and reaffirms its obligations under each of the Irrevocable Standby Stock Purchase Agreement and the Escrow Agreement and (iii) agrees that each of the Irrevocable Standby Stock Purchase Agreement and the Escrow Agreement remains in full force and effect and is hereby ratified and confirmed.</w:t>
      </w:r>
    </w:p>
    <w:p>
      <w:pPr>
        <w:spacing w:after="0" w:line="190" w:lineRule="exact"/>
        <w:rPr>
          <w:rFonts w:ascii="Times New Roman" w:cs="Times New Roman" w:eastAsia="Times New Roman" w:hAnsi="Times New Roman"/>
          <w:sz w:val="18"/>
          <w:szCs w:val="18"/>
          <w:color w:val="auto"/>
        </w:rPr>
      </w:pPr>
    </w:p>
    <w:p>
      <w:pPr>
        <w:ind w:left="181" w:right="340" w:firstLine="359"/>
        <w:spacing w:after="0" w:line="275" w:lineRule="auto"/>
        <w:tabs>
          <w:tab w:leader="none" w:pos="8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each of the Irrevocable Standby Stock Purchase Agreement and the Escrow Agreement is a "Loan Document" as defined in the Credit Agreement.</w:t>
      </w:r>
    </w:p>
    <w:p>
      <w:pPr>
        <w:spacing w:after="0" w:line="173" w:lineRule="exact"/>
        <w:rPr>
          <w:rFonts w:ascii="Times New Roman" w:cs="Times New Roman" w:eastAsia="Times New Roman" w:hAnsi="Times New Roman"/>
          <w:sz w:val="18"/>
          <w:szCs w:val="18"/>
          <w:color w:val="auto"/>
        </w:rPr>
      </w:pPr>
    </w:p>
    <w:p>
      <w:pPr>
        <w:ind w:left="-359" w:right="280" w:firstLine="359"/>
        <w:spacing w:after="0" w:line="262" w:lineRule="auto"/>
        <w:tabs>
          <w:tab w:leader="none" w:pos="3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shall pay all reasonable out-of-pocket fees and expenses of the Administrative Agent in connection with the preparation, execution and delivery of this Amendment, including, without limitation, the reasonable fees and disbursements of counsel for the Administrative Agent.</w:t>
      </w:r>
    </w:p>
    <w:p>
      <w:pPr>
        <w:spacing w:after="0" w:line="186" w:lineRule="exact"/>
        <w:rPr>
          <w:rFonts w:ascii="Times New Roman" w:cs="Times New Roman" w:eastAsia="Times New Roman" w:hAnsi="Times New Roman"/>
          <w:sz w:val="18"/>
          <w:szCs w:val="18"/>
          <w:color w:val="auto"/>
        </w:rPr>
      </w:pPr>
    </w:p>
    <w:p>
      <w:pPr>
        <w:ind w:left="-359" w:right="300" w:firstLine="359"/>
        <w:spacing w:after="0" w:line="275" w:lineRule="auto"/>
        <w:tabs>
          <w:tab w:leader="none" w:pos="3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 of the State of New York (including Section 5-1401 and Section 5-1402 of the General Obligations Law of the State of New York).</w:t>
      </w:r>
    </w:p>
    <w:p>
      <w:pPr>
        <w:spacing w:after="0" w:line="173" w:lineRule="exact"/>
        <w:rPr>
          <w:rFonts w:ascii="Times New Roman" w:cs="Times New Roman" w:eastAsia="Times New Roman" w:hAnsi="Times New Roman"/>
          <w:sz w:val="18"/>
          <w:szCs w:val="18"/>
          <w:color w:val="auto"/>
        </w:rPr>
      </w:pPr>
    </w:p>
    <w:p>
      <w:pPr>
        <w:ind w:left="-359" w:right="140" w:firstLine="359"/>
        <w:spacing w:after="0" w:line="275" w:lineRule="auto"/>
        <w:tabs>
          <w:tab w:leader="none" w:pos="3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separate counterparts, each of which when executed and delivered is an original but all of which taken together constitute one and the same instrument.</w:t>
      </w:r>
    </w:p>
    <w:p>
      <w:pPr>
        <w:spacing w:after="0" w:line="173" w:lineRule="exact"/>
        <w:rPr>
          <w:rFonts w:ascii="Times New Roman" w:cs="Times New Roman" w:eastAsia="Times New Roman" w:hAnsi="Times New Roman"/>
          <w:sz w:val="18"/>
          <w:szCs w:val="18"/>
          <w:color w:val="auto"/>
        </w:rPr>
      </w:pPr>
    </w:p>
    <w:p>
      <w:pPr>
        <w:ind w:left="-359" w:firstLine="359"/>
        <w:spacing w:after="0" w:line="258" w:lineRule="auto"/>
        <w:tabs>
          <w:tab w:leader="none" w:pos="3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Facsimile Transmission</w:t>
      </w:r>
      <w:r>
        <w:rPr>
          <w:rFonts w:ascii="Times New Roman" w:cs="Times New Roman" w:eastAsia="Times New Roman" w:hAnsi="Times New Roman"/>
          <w:sz w:val="18"/>
          <w:szCs w:val="18"/>
          <w:color w:val="auto"/>
        </w:rPr>
        <w:t>. A facsimile, telecopy or other reproduction of this Amendment may be executed by one or more parties hereto, and an executed copy of this Amendment may be delivered by one or more parties hereto by facsimile or similar instantaneous electronic transmission device pursuant to which the signature of or on behalf of such party can be seen, and such execution and delivery shall be considered valid, binding and effective for all purposes. At the request of 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128270</wp:posOffset>
            </wp:positionV>
            <wp:extent cx="7250430" cy="215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584" w:right="2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color w:val="auto"/>
        </w:rPr>
        <w:t>hereto, all parties hereto agree to execute an original of this Amendment as well as any facsimile, telecopy or other reproduction hereof.</w:t>
      </w:r>
    </w:p>
    <w:p>
      <w:pPr>
        <w:sectPr>
          <w:pgSz w:w="11900" w:h="16838" w:orient="portrait"/>
          <w:cols w:equalWidth="0" w:num="1">
            <w:col w:w="10219"/>
          </w:cols>
          <w:pgMar w:left="240" w:top="585" w:right="1440" w:bottom="1440" w:gutter="0" w:footer="0" w:header="0"/>
        </w:sectPr>
      </w:pPr>
    </w:p>
    <w:p>
      <w:pPr>
        <w:spacing w:after="0" w:line="2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Amendment to be duly executed as of the date and year first above written.</w:t>
      </w:r>
    </w:p>
    <w:p>
      <w:pPr>
        <w:spacing w:after="0" w:line="24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GLOBALSTAR, INC</w:t>
      </w:r>
      <w:r>
        <w:rPr>
          <w:rFonts w:ascii="Times New Roman" w:cs="Times New Roman" w:eastAsia="Times New Roman" w:hAnsi="Times New Roman"/>
          <w:sz w:val="18"/>
          <w:szCs w:val="18"/>
          <w:color w:val="auto"/>
        </w:rPr>
        <w:t>., as Borrower</w:t>
      </w:r>
    </w:p>
    <w:p>
      <w:pPr>
        <w:spacing w:after="0" w:line="227" w:lineRule="exact"/>
        <w:rPr>
          <w:sz w:val="20"/>
          <w:szCs w:val="20"/>
          <w:color w:val="auto"/>
        </w:rPr>
      </w:pPr>
    </w:p>
    <w:p>
      <w:pPr>
        <w:jc w:val="center"/>
        <w:ind w:left="3660"/>
        <w:spacing w:after="0"/>
        <w:tabs>
          <w:tab w:leader="none" w:pos="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81280</wp:posOffset>
            </wp:positionV>
            <wp:extent cx="3691890" cy="215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3691890" cy="21590"/>
                    </a:xfrm>
                    <a:prstGeom prst="rect">
                      <a:avLst/>
                    </a:prstGeom>
                    <a:noFill/>
                  </pic:spPr>
                </pic:pic>
              </a:graphicData>
            </a:graphic>
          </wp:anchor>
        </w:drawing>
      </w:r>
    </w:p>
    <w:p>
      <w:pPr>
        <w:sectPr>
          <w:pgSz w:w="11900" w:h="16838" w:orient="portrait"/>
          <w:cols w:equalWidth="0" w:num="1">
            <w:col w:w="11060"/>
          </w:cols>
          <w:pgMar w:left="600" w:top="125" w:right="239" w:bottom="1440" w:gutter="0" w:footer="0" w:header="0"/>
        </w:sect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Fuad Ahmad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and CFO</w:t>
      </w:r>
    </w:p>
    <w:p>
      <w:pPr>
        <w:spacing w:after="0" w:line="222" w:lineRule="exact"/>
        <w:rPr>
          <w:sz w:val="20"/>
          <w:szCs w:val="20"/>
          <w:color w:val="auto"/>
        </w:rPr>
      </w:pPr>
    </w:p>
    <w:p>
      <w:pPr>
        <w:sectPr>
          <w:pgSz w:w="11900" w:h="16838" w:orient="portrait"/>
          <w:cols w:equalWidth="0" w:num="2">
            <w:col w:w="5720" w:space="440"/>
            <w:col w:w="4900"/>
          </w:cols>
          <w:pgMar w:left="600" w:top="125" w:right="239" w:bottom="1440" w:gutter="0" w:footer="0" w:header="0"/>
          <w:type w:val="continuous"/>
        </w:sectPr>
      </w:pPr>
    </w:p>
    <w:p>
      <w:pPr>
        <w:spacing w:after="0" w:line="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GLOBALSTAR LEASING LLC</w:t>
      </w:r>
      <w:r>
        <w:rPr>
          <w:rFonts w:ascii="Times New Roman" w:cs="Times New Roman" w:eastAsia="Times New Roman" w:hAnsi="Times New Roman"/>
          <w:sz w:val="18"/>
          <w:szCs w:val="18"/>
          <w:color w:val="auto"/>
        </w:rPr>
        <w:t>, as Subsidiary Guarantor</w:t>
      </w:r>
    </w:p>
    <w:p>
      <w:pPr>
        <w:spacing w:after="0" w:line="227" w:lineRule="exact"/>
        <w:rPr>
          <w:sz w:val="20"/>
          <w:szCs w:val="20"/>
          <w:color w:val="auto"/>
        </w:rPr>
      </w:pPr>
    </w:p>
    <w:tbl>
      <w:tblPr>
        <w:tblLayout w:type="fixed"/>
        <w:tblInd w:w="468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Monroe III</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Monroe III</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7012305</wp:posOffset>
            </wp:positionH>
            <wp:positionV relativeFrom="paragraph">
              <wp:posOffset>-353695</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-353695</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GLOBALSTAR C, LLC</w:t>
      </w:r>
      <w:r>
        <w:rPr>
          <w:rFonts w:ascii="Times New Roman" w:cs="Times New Roman" w:eastAsia="Times New Roman" w:hAnsi="Times New Roman"/>
          <w:sz w:val="18"/>
          <w:szCs w:val="18"/>
          <w:color w:val="auto"/>
        </w:rPr>
        <w:t>, as Subsidiary Guarantor</w:t>
      </w:r>
    </w:p>
    <w:p>
      <w:pPr>
        <w:spacing w:after="0" w:line="227" w:lineRule="exact"/>
        <w:rPr>
          <w:sz w:val="20"/>
          <w:szCs w:val="20"/>
          <w:color w:val="auto"/>
        </w:rPr>
      </w:pPr>
    </w:p>
    <w:tbl>
      <w:tblPr>
        <w:tblLayout w:type="fixed"/>
        <w:tblInd w:w="468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Fuad Ahmad</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Fuad Ahmad</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7012305</wp:posOffset>
            </wp:positionH>
            <wp:positionV relativeFrom="paragraph">
              <wp:posOffset>-353695</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-353695</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GLOBALSTAR SECURITY SERVICES, LLC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as Subsidiary Guarantor</w:t>
      </w:r>
    </w:p>
    <w:p>
      <w:pPr>
        <w:spacing w:after="0" w:line="213" w:lineRule="exact"/>
        <w:rPr>
          <w:sz w:val="20"/>
          <w:szCs w:val="20"/>
          <w:color w:val="auto"/>
        </w:rPr>
      </w:pPr>
    </w:p>
    <w:tbl>
      <w:tblPr>
        <w:tblLayout w:type="fixed"/>
        <w:tblInd w:w="468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Navarra</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Anthony J. Navarra</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7012305</wp:posOffset>
            </wp:positionH>
            <wp:positionV relativeFrom="paragraph">
              <wp:posOffset>-353695</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-353695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164465</wp:posOffset>
            </wp:positionV>
            <wp:extent cx="7250430" cy="215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25" w:right="239" w:bottom="1440" w:gutter="0" w:footer="0" w:header="0"/>
          <w:type w:val="continuous"/>
        </w:sectPr>
      </w:pPr>
    </w:p>
    <w:bookmarkStart w:id="186" w:name="page187"/>
    <w:bookmarkEnd w:id="1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GSSI, LLC</w:t>
      </w:r>
      <w:r>
        <w:rPr>
          <w:rFonts w:ascii="Times New Roman" w:cs="Times New Roman" w:eastAsia="Times New Roman" w:hAnsi="Times New Roman"/>
          <w:sz w:val="18"/>
          <w:szCs w:val="18"/>
          <w:color w:val="auto"/>
        </w:rPr>
        <w:t>, as Subsidiary Guarantor</w:t>
      </w:r>
    </w:p>
    <w:p>
      <w:pPr>
        <w:spacing w:after="0" w:line="227" w:lineRule="exact"/>
        <w:rPr>
          <w:sz w:val="20"/>
          <w:szCs w:val="20"/>
          <w:color w:val="auto"/>
        </w:rPr>
      </w:pPr>
    </w:p>
    <w:tbl>
      <w:tblPr>
        <w:tblLayout w:type="fixed"/>
        <w:tblInd w:w="38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Fuad Ahmad</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Fuad Ahmad</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-353695</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ATSS CANADA, INC.</w:t>
      </w:r>
      <w:r>
        <w:rPr>
          <w:rFonts w:ascii="Times New Roman" w:cs="Times New Roman" w:eastAsia="Times New Roman" w:hAnsi="Times New Roman"/>
          <w:sz w:val="18"/>
          <w:szCs w:val="18"/>
          <w:color w:val="auto"/>
        </w:rPr>
        <w:t>, as Subsidiary Guarantor</w:t>
      </w:r>
    </w:p>
    <w:p>
      <w:pPr>
        <w:spacing w:after="0" w:line="227" w:lineRule="exact"/>
        <w:rPr>
          <w:sz w:val="20"/>
          <w:szCs w:val="20"/>
          <w:color w:val="auto"/>
        </w:rPr>
      </w:pPr>
    </w:p>
    <w:tbl>
      <w:tblPr>
        <w:tblLayout w:type="fixed"/>
        <w:tblInd w:w="38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Fuad Ahmad</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Fuad Ahmad</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-353695</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GLOBALSTAR USA, LLC</w:t>
      </w:r>
      <w:r>
        <w:rPr>
          <w:rFonts w:ascii="Times New Roman" w:cs="Times New Roman" w:eastAsia="Times New Roman" w:hAnsi="Times New Roman"/>
          <w:sz w:val="18"/>
          <w:szCs w:val="18"/>
          <w:color w:val="auto"/>
        </w:rPr>
        <w:t>, as Subsidiary Guarantor</w:t>
      </w:r>
    </w:p>
    <w:p>
      <w:pPr>
        <w:spacing w:after="0" w:line="227" w:lineRule="exact"/>
        <w:rPr>
          <w:sz w:val="20"/>
          <w:szCs w:val="20"/>
          <w:color w:val="auto"/>
        </w:rPr>
      </w:pPr>
    </w:p>
    <w:tbl>
      <w:tblPr>
        <w:tblLayout w:type="fixed"/>
        <w:tblInd w:w="38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Fuad Ahmad</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Fuad Ahmad</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-353695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87" w:name="page188"/>
    <w:bookmarkEnd w:id="187"/>
    <w:p>
      <w:pPr>
        <w:ind w:left="3840" w:right="120"/>
        <w:spacing w:after="0" w:line="277" w:lineRule="auto"/>
        <w:rPr>
          <w:sz w:val="20"/>
          <w:szCs w:val="20"/>
          <w:color w:val="auto"/>
        </w:rPr>
      </w:pPr>
      <w:r>
        <w:rPr>
          <w:rFonts w:ascii="Times New Roman" w:cs="Times New Roman" w:eastAsia="Times New Roman" w:hAnsi="Times New Roman"/>
          <w:sz w:val="18"/>
          <w:szCs w:val="18"/>
          <w:b w:val="1"/>
          <w:bCs w:val="1"/>
          <w:color w:val="auto"/>
        </w:rPr>
        <w:t>WACHOVIA INVESTMENT HOLDINGS, LLC</w:t>
      </w:r>
      <w:r>
        <w:rPr>
          <w:rFonts w:ascii="Times New Roman" w:cs="Times New Roman" w:eastAsia="Times New Roman" w:hAnsi="Times New Roman"/>
          <w:sz w:val="18"/>
          <w:szCs w:val="18"/>
          <w:color w:val="auto"/>
        </w:rPr>
        <w:t>, as Administrative Agent, Swingline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Issuing Lender and Lender</w:t>
      </w:r>
    </w:p>
    <w:p>
      <w:pPr>
        <w:spacing w:after="0" w:line="172" w:lineRule="exact"/>
        <w:rPr>
          <w:sz w:val="20"/>
          <w:szCs w:val="20"/>
          <w:color w:val="auto"/>
        </w:rPr>
      </w:pPr>
    </w:p>
    <w:tbl>
      <w:tblPr>
        <w:tblLayout w:type="fixed"/>
        <w:tblInd w:w="38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Marc A. Birenbaum</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 A. Birenbaum</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-353695</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88" w:name="page189"/>
    <w:bookmarkEnd w:id="188"/>
    <w:p>
      <w:pPr>
        <w:ind w:left="3840"/>
        <w:spacing w:after="0"/>
        <w:rPr>
          <w:sz w:val="20"/>
          <w:szCs w:val="20"/>
          <w:color w:val="auto"/>
        </w:rPr>
      </w:pPr>
      <w:r>
        <w:rPr>
          <w:rFonts w:ascii="Times New Roman" w:cs="Times New Roman" w:eastAsia="Times New Roman" w:hAnsi="Times New Roman"/>
          <w:sz w:val="18"/>
          <w:szCs w:val="18"/>
          <w:b w:val="1"/>
          <w:bCs w:val="1"/>
          <w:color w:val="auto"/>
        </w:rPr>
        <w:t>BEAR STEARNS CREDIT PRODUCTS INC.</w:t>
      </w:r>
      <w:r>
        <w:rPr>
          <w:rFonts w:ascii="Times New Roman" w:cs="Times New Roman" w:eastAsia="Times New Roman" w:hAnsi="Times New Roman"/>
          <w:sz w:val="18"/>
          <w:szCs w:val="18"/>
          <w:color w:val="auto"/>
        </w:rPr>
        <w:t>, as a Lender</w:t>
      </w:r>
    </w:p>
    <w:p>
      <w:pPr>
        <w:spacing w:after="0" w:line="227" w:lineRule="exact"/>
        <w:rPr>
          <w:sz w:val="20"/>
          <w:szCs w:val="20"/>
          <w:color w:val="auto"/>
        </w:rPr>
      </w:pPr>
    </w:p>
    <w:tbl>
      <w:tblPr>
        <w:tblLayout w:type="fixed"/>
        <w:tblInd w:w="384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Jeffery Tuck</w:t>
            </w:r>
          </w:p>
        </w:tc>
      </w:tr>
      <w:tr>
        <w:trPr>
          <w:trHeight w:val="120"/>
        </w:trPr>
        <w:tc>
          <w:tcPr>
            <w:tcW w:w="5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Jeffery Tuck</w:t>
            </w:r>
          </w:p>
        </w:tc>
      </w:tr>
      <w:tr>
        <w:trPr>
          <w:trHeight w:val="228"/>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-353695</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 FUNDING COMPANY LLC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Monroe III</w:t>
            </w:r>
          </w:p>
        </w:tc>
        <w:tc>
          <w:tcPr>
            <w:tcW w:w="4900" w:type="dxa"/>
            <w:vAlign w:val="bottom"/>
          </w:tcPr>
          <w:p>
            <w:pPr>
              <w:spacing w:after="0"/>
              <w:rPr>
                <w:sz w:val="19"/>
                <w:szCs w:val="19"/>
                <w:color w:val="auto"/>
              </w:rPr>
            </w:pPr>
          </w:p>
        </w:tc>
      </w:tr>
      <w:tr>
        <w:trPr>
          <w:trHeight w:val="120"/>
        </w:trPr>
        <w:tc>
          <w:tcPr>
            <w:tcW w:w="5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r>
      <w:tr>
        <w:trPr>
          <w:trHeight w:val="307"/>
        </w:trPr>
        <w:tc>
          <w:tcPr>
            <w:tcW w:w="5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Monroe III</w:t>
            </w:r>
          </w:p>
        </w:tc>
        <w:tc>
          <w:tcPr>
            <w:tcW w:w="490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Manager</w:t>
            </w:r>
          </w:p>
        </w:tc>
        <w:tc>
          <w:tcPr>
            <w:tcW w:w="4900" w:type="dxa"/>
            <w:vAlign w:val="bottom"/>
          </w:tcPr>
          <w:p>
            <w:pPr>
              <w:spacing w:after="0"/>
              <w:rPr>
                <w:sz w:val="19"/>
                <w:szCs w:val="19"/>
                <w:color w:val="auto"/>
              </w:rPr>
            </w:pPr>
          </w:p>
        </w:tc>
      </w:tr>
      <w:tr>
        <w:trPr>
          <w:trHeight w:val="120"/>
        </w:trPr>
        <w:tc>
          <w:tcPr>
            <w:tcW w:w="5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-443230</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-443230</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Exhibit 10.16</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80">
        <w:r>
          <w:rPr>
            <w:rFonts w:ascii="Times New Roman" w:cs="Times New Roman" w:eastAsia="Times New Roman" w:hAnsi="Times New Roman"/>
            <w:sz w:val="16"/>
            <w:szCs w:val="16"/>
            <w:u w:val="single" w:color="auto"/>
            <w:color w:val="0000EE"/>
          </w:rPr>
          <w:t>AMENDMENT TO AMENDED AND RESTATED CREDIT AGREEMENT</w:t>
        </w:r>
      </w:hyperlink>
    </w:p>
    <w:sectPr>
      <w:pgSz w:w="11900" w:h="16838" w:orient="portrait"/>
      <w:cols w:equalWidth="0" w:num="1">
        <w:col w:w="10219"/>
      </w:cols>
      <w:pgMar w:left="24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lowerLetter"/>
      <w:start w:val="1"/>
    </w:lvl>
  </w:abstractNum>
  <w:abstractNum w:abstractNumId="8">
    <w:nsid w:val="749ABB43"/>
    <w:multiLevelType w:val="hybridMultilevel"/>
    <w:lvl w:ilvl="0">
      <w:lvlJc w:val="left"/>
      <w:lvlText w:val="%1"/>
      <w:numFmt w:val="decimal"/>
      <w:start w:val="1"/>
    </w:lvl>
    <w:lvl w:ilvl="1">
      <w:lvlJc w:val="left"/>
      <w:lvlText w:val="(%2)"/>
      <w:numFmt w:val="lowerLetter"/>
      <w:start w:val="1"/>
    </w:lvl>
  </w:abstractNum>
  <w:abstractNum w:abstractNumId="9">
    <w:nsid w:val="3DC240FB"/>
    <w:multiLevelType w:val="hybridMultilevel"/>
    <w:lvl w:ilvl="0">
      <w:lvlJc w:val="left"/>
      <w:lvlText w:val="(%1)"/>
      <w:numFmt w:val="decimal"/>
      <w:start w:val="9"/>
    </w:lvl>
    <w:lvl w:ilvl="1">
      <w:lvlJc w:val="left"/>
      <w:lvlText w:val="%2"/>
      <w:numFmt w:val="lowerLetter"/>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1)"/>
      <w:numFmt w:val="decimal"/>
      <w:start w:val="2"/>
    </w:lvl>
    <w:lvl w:ilvl="1">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6"/>
    </w:lvl>
  </w:abstractNum>
  <w:abstractNum w:abstractNumId="23">
    <w:nsid w:val="180115BE"/>
    <w:multiLevelType w:val="hybridMultilevel"/>
    <w:lvl w:ilvl="0">
      <w:lvlJc w:val="left"/>
      <w:lvlText w:val="(%1)"/>
      <w:numFmt w:val="lowerLetter"/>
      <w:start w:val="1"/>
    </w:lvl>
  </w:abstractNum>
  <w:abstractNum w:abstractNumId="24">
    <w:nsid w:val="235BA861"/>
    <w:multiLevelType w:val="hybridMultilevel"/>
    <w:lvl w:ilvl="0">
      <w:lvlJc w:val="left"/>
      <w:lvlText w:val="%1"/>
      <w:numFmt w:val="decimal"/>
      <w:start w:val="1"/>
    </w:lvl>
    <w:lvl w:ilvl="1">
      <w:lvlJc w:val="left"/>
      <w:lvlText w:val="(%2)"/>
      <w:numFmt w:val="lowerLetter"/>
      <w:start w:val="1"/>
    </w:lvl>
  </w:abstractNum>
  <w:abstractNum w:abstractNumId="25">
    <w:nsid w:val="47398C89"/>
    <w:multiLevelType w:val="hybridMultilevel"/>
    <w:lvl w:ilvl="0">
      <w:lvlJc w:val="left"/>
      <w:lvlText w:val="(%1)"/>
      <w:numFmt w:val="decimal"/>
      <w:start w:val="9"/>
    </w:lvl>
    <w:lvl w:ilvl="1">
      <w:lvlJc w:val="left"/>
      <w:lvlText w:val="%2"/>
      <w:numFmt w:val="lowerLetter"/>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lvl w:ilvl="1">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lvl w:ilvl="1">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1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2"/>
    </w:lvl>
  </w:abstractNum>
  <w:abstractNum w:abstractNumId="72">
    <w:nsid w:val="14330624"/>
    <w:multiLevelType w:val="hybridMultilevel"/>
    <w:lvl w:ilvl="0">
      <w:lvlJc w:val="left"/>
      <w:lvlText w:val="*"/>
      <w:numFmt w:val="bullet"/>
      <w:start w:val="1"/>
    </w:lvl>
    <w:lvl w:ilvl="1">
      <w:lvlJc w:val="left"/>
      <w:lvlText w:val="(%2)"/>
      <w:numFmt w:val="decimal"/>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7FB7E0AA"/>
    <w:multiLevelType w:val="hybridMultilevel"/>
    <w:lvl w:ilvl="0">
      <w:lvlJc w:val="left"/>
      <w:lvlText w:val="(%1)"/>
      <w:numFmt w:val="lowerRoman"/>
      <w:start w:val="4"/>
    </w:lvl>
  </w:abstractNum>
  <w:abstractNum w:abstractNumId="78">
    <w:nsid w:val="6EB5BD4"/>
    <w:multiLevelType w:val="hybridMultilevel"/>
    <w:lvl w:ilvl="0">
      <w:lvlJc w:val="left"/>
      <w:lvlText w:val="(%1)"/>
      <w:numFmt w:val="lowerLetter"/>
      <w:start w:val="2"/>
    </w:lvl>
  </w:abstractNum>
  <w:abstractNum w:abstractNumId="79">
    <w:nsid w:val="6F6DD9AC"/>
    <w:multiLevelType w:val="hybridMultilevel"/>
    <w:lvl w:ilvl="0">
      <w:lvlJc w:val="left"/>
      <w:lvlText w:val="(%1)"/>
      <w:numFmt w:val="lowerLetter"/>
      <w:start w:val="5"/>
    </w:lvl>
  </w:abstractNum>
  <w:abstractNum w:abstractNumId="80">
    <w:nsid w:val="94211F2"/>
    <w:multiLevelType w:val="hybridMultilevel"/>
    <w:lvl w:ilvl="0">
      <w:lvlJc w:val="left"/>
      <w:lvlText w:val="(%1)"/>
      <w:numFmt w:val="lowerRoman"/>
      <w:start w:val="1"/>
    </w:lvl>
  </w:abstractNum>
  <w:abstractNum w:abstractNumId="81">
    <w:nsid w:val="885E1B"/>
    <w:multiLevelType w:val="hybridMultilevel"/>
    <w:lvl w:ilvl="0">
      <w:lvlJc w:val="left"/>
      <w:lvlText w:val="%1"/>
      <w:numFmt w:val="lowerLetter"/>
      <w:start w:val="1"/>
    </w:lvl>
    <w:lvl w:ilvl="1">
      <w:lvlJc w:val="left"/>
      <w:lvlText w:val="(%2)"/>
      <w:numFmt w:val="lowerLetter"/>
      <w:start w:val="25"/>
    </w:lvl>
  </w:abstractNum>
  <w:abstractNum w:abstractNumId="82">
    <w:nsid w:val="76272110"/>
    <w:multiLevelType w:val="hybridMultilevel"/>
    <w:lvl w:ilvl="0">
      <w:lvlJc w:val="left"/>
      <w:lvlText w:val="(%1)"/>
      <w:numFmt w:val="lowerLetter"/>
      <w:start w:val="7"/>
    </w:lvl>
    <w:lvl w:ilvl="1">
      <w:lvlJc w:val="left"/>
      <w:lvlText w:val="%2"/>
      <w:numFmt w:val="lowerLetter"/>
      <w:start w:val="1"/>
    </w:lvl>
  </w:abstractNum>
  <w:abstractNum w:abstractNumId="83">
    <w:nsid w:val="4C04A8AF"/>
    <w:multiLevelType w:val="hybridMultilevel"/>
    <w:lvl w:ilvl="0">
      <w:lvlJc w:val="left"/>
      <w:lvlText w:val="(%1)"/>
      <w:numFmt w:val="lowerLetter"/>
      <w:start w:val="10"/>
    </w:lvl>
  </w:abstractNum>
  <w:abstractNum w:abstractNumId="84">
    <w:nsid w:val="1716703B"/>
    <w:multiLevelType w:val="hybridMultilevel"/>
    <w:lvl w:ilvl="0">
      <w:lvlJc w:val="left"/>
      <w:lvlText w:val="(%1)"/>
      <w:numFmt w:val="lowerLetter"/>
      <w:start w:val="11"/>
    </w:lvl>
    <w:lvl w:ilvl="1">
      <w:lvlJc w:val="left"/>
      <w:lvlText w:val="(%2)"/>
      <w:numFmt w:val="lowerRoman"/>
      <w:start w:val="1"/>
    </w:lvl>
  </w:abstractNum>
  <w:abstractNum w:abstractNumId="85">
    <w:nsid w:val="14E17E33"/>
    <w:multiLevelType w:val="hybridMultilevel"/>
    <w:lvl w:ilvl="0">
      <w:lvlJc w:val="left"/>
      <w:lvlText w:val="(%1)"/>
      <w:numFmt w:val="lowerLetter"/>
      <w:start w:val="11"/>
    </w:lvl>
  </w:abstractNum>
  <w:abstractNum w:abstractNumId="86">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2"/>
    </w:lvl>
    <w:lvl w:ilvl="3">
      <w:lvlJc w:val="left"/>
      <w:lvlText w:val="%4"/>
      <w:numFmt w:val="lowerRoman"/>
      <w:start w:val="1"/>
    </w:lvl>
  </w:abstractNum>
  <w:abstractNum w:abstractNumId="87">
    <w:nsid w:val="74DE0EE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lvl w:ilvl="3">
      <w:lvlJc w:val="left"/>
      <w:lvlText w:val="(%4)"/>
      <w:numFmt w:val="lowerRoman"/>
      <w:start w:val="1"/>
    </w:lvl>
  </w:abstractNum>
  <w:abstractNum w:abstractNumId="88">
    <w:nsid w:val="68EBC55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9">
    <w:nsid w:val="2DF6D648"/>
    <w:multiLevelType w:val="hybridMultilevel"/>
    <w:lvl w:ilvl="0">
      <w:lvlJc w:val="left"/>
      <w:lvlText w:val="%1"/>
      <w:numFmt w:val="decimal"/>
      <w:start w:val="1"/>
    </w:lvl>
    <w:lvl w:ilvl="1">
      <w:lvlJc w:val="left"/>
      <w:lvlText w:val="(%2)"/>
      <w:numFmt w:val="lowerLetter"/>
      <w:start w:val="3"/>
    </w:lvl>
  </w:abstractNum>
  <w:abstractNum w:abstractNumId="90">
    <w:nsid w:val="46B7D447"/>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jpe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2019-12-15T14:52:42Z</dcterms:created>
  <dcterms:modified xsi:type="dcterms:W3CDTF">2019-12-15T14:52:42Z</dcterms:modified>
</cp:coreProperties>
</file>