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38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000-52183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-130810</wp:posOffset>
            </wp:positionV>
            <wp:extent cx="4202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Holiday Square Blvd.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Covington, LA 70433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(985) 335-1500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-130810</wp:posOffset>
            </wp:positionV>
            <wp:extent cx="4202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5.75% Convertible Senior Notes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each class of securities covered by this Form)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-130175</wp:posOffset>
            </wp:positionV>
            <wp:extent cx="4202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Voting Common Stock, $.0001 par value</w:t>
      </w:r>
    </w:p>
    <w:p>
      <w:pPr>
        <w:spacing w:after="0" w:line="50"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Titles of all other classes of securities for which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-127635</wp:posOffset>
            </wp:positionV>
            <wp:extent cx="4202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 duty to file reports under section 13(a) or 15(d) remains)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ind w:left="4000"/>
              <w:spacing w:after="0"/>
              <w:rPr>
                <w:sz w:val="20"/>
                <w:szCs w:val="20"/>
                <w:color w:val="auto"/>
              </w:rPr>
            </w:pPr>
            <w:r>
              <w:rPr>
                <w:rFonts w:ascii="Arial" w:cs="Arial" w:eastAsia="Arial" w:hAnsi="Arial"/>
                <w:sz w:val="18"/>
                <w:szCs w:val="18"/>
                <w:color w:val="auto"/>
              </w:rPr>
              <w:t>Rule 12g-4(a)(1)</w:t>
            </w:r>
          </w:p>
        </w:tc>
        <w:tc>
          <w:tcPr>
            <w:tcW w:w="5440" w:type="dxa"/>
            <w:vAlign w:val="bottom"/>
            <w:gridSpan w:val="2"/>
          </w:tcPr>
          <w:p>
            <w:pPr>
              <w:ind w:left="320"/>
              <w:spacing w:after="0"/>
              <w:rPr>
                <w:sz w:val="20"/>
                <w:szCs w:val="20"/>
                <w:color w:val="auto"/>
              </w:rPr>
            </w:pPr>
            <w:r>
              <w:rPr>
                <w:rFonts w:ascii="Arial" w:cs="Arial" w:eastAsia="Arial" w:hAnsi="Arial"/>
                <w:sz w:val="18"/>
                <w:szCs w:val="18"/>
                <w:b w:val="1"/>
                <w:bCs w:val="1"/>
                <w:color w:val="auto"/>
              </w:rPr>
              <w:t>x</w:t>
            </w:r>
          </w:p>
        </w:tc>
      </w:tr>
      <w:tr>
        <w:trPr>
          <w:trHeight w:val="216"/>
        </w:trPr>
        <w:tc>
          <w:tcPr>
            <w:tcW w:w="5980" w:type="dxa"/>
            <w:vAlign w:val="bottom"/>
          </w:tcPr>
          <w:p>
            <w:pPr>
              <w:ind w:left="4000"/>
              <w:spacing w:after="0"/>
              <w:rPr>
                <w:sz w:val="20"/>
                <w:szCs w:val="20"/>
                <w:color w:val="auto"/>
              </w:rPr>
            </w:pPr>
            <w:r>
              <w:rPr>
                <w:rFonts w:ascii="Arial" w:cs="Arial" w:eastAsia="Arial" w:hAnsi="Arial"/>
                <w:sz w:val="18"/>
                <w:szCs w:val="18"/>
                <w:color w:val="auto"/>
              </w:rPr>
              <w:t>Rule 12g-4(a)(2)</w:t>
            </w:r>
          </w:p>
        </w:tc>
        <w:tc>
          <w:tcPr>
            <w:tcW w:w="544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980" w:type="dxa"/>
            <w:vAlign w:val="bottom"/>
          </w:tcPr>
          <w:p>
            <w:pPr>
              <w:ind w:left="4000"/>
              <w:spacing w:after="0"/>
              <w:rPr>
                <w:sz w:val="20"/>
                <w:szCs w:val="20"/>
                <w:color w:val="auto"/>
              </w:rPr>
            </w:pPr>
            <w:r>
              <w:rPr>
                <w:rFonts w:ascii="Arial" w:cs="Arial" w:eastAsia="Arial" w:hAnsi="Arial"/>
                <w:sz w:val="18"/>
                <w:szCs w:val="18"/>
                <w:color w:val="auto"/>
              </w:rPr>
              <w:t>Rule 12h-3(b)(1)(i)</w:t>
            </w:r>
          </w:p>
        </w:tc>
        <w:tc>
          <w:tcPr>
            <w:tcW w:w="544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980" w:type="dxa"/>
            <w:vAlign w:val="bottom"/>
          </w:tcPr>
          <w:p>
            <w:pPr>
              <w:ind w:left="4000"/>
              <w:spacing w:after="0"/>
              <w:rPr>
                <w:sz w:val="20"/>
                <w:szCs w:val="20"/>
                <w:color w:val="auto"/>
              </w:rPr>
            </w:pPr>
            <w:r>
              <w:rPr>
                <w:rFonts w:ascii="Arial" w:cs="Arial" w:eastAsia="Arial" w:hAnsi="Arial"/>
                <w:sz w:val="18"/>
                <w:szCs w:val="18"/>
                <w:color w:val="auto"/>
              </w:rPr>
              <w:t>Rule 12h-3(b)(1)(ii)</w:t>
            </w:r>
          </w:p>
        </w:tc>
        <w:tc>
          <w:tcPr>
            <w:tcW w:w="544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980" w:type="dxa"/>
            <w:vAlign w:val="bottom"/>
          </w:tcPr>
          <w:p>
            <w:pPr>
              <w:ind w:left="4000"/>
              <w:spacing w:after="0"/>
              <w:rPr>
                <w:sz w:val="20"/>
                <w:szCs w:val="20"/>
                <w:color w:val="auto"/>
              </w:rPr>
            </w:pPr>
            <w:r>
              <w:rPr>
                <w:rFonts w:ascii="Arial" w:cs="Arial" w:eastAsia="Arial" w:hAnsi="Arial"/>
                <w:sz w:val="18"/>
                <w:szCs w:val="18"/>
                <w:color w:val="auto"/>
              </w:rPr>
              <w:t>Rule 15d-6</w:t>
            </w:r>
          </w:p>
        </w:tc>
        <w:tc>
          <w:tcPr>
            <w:tcW w:w="544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5980" w:type="dxa"/>
            <w:vAlign w:val="bottom"/>
          </w:tcPr>
          <w:p>
            <w:pPr>
              <w:spacing w:after="0"/>
              <w:rPr>
                <w:sz w:val="20"/>
                <w:szCs w:val="20"/>
                <w:color w:val="auto"/>
              </w:rPr>
            </w:pPr>
            <w:r>
              <w:rPr>
                <w:rFonts w:ascii="Arial" w:cs="Arial" w:eastAsia="Arial" w:hAnsi="Arial"/>
                <w:sz w:val="18"/>
                <w:szCs w:val="18"/>
                <w:color w:val="auto"/>
                <w:w w:val="96"/>
              </w:rPr>
              <w:t>Approximate number of holders of record as of the certification or notice date:</w:t>
            </w:r>
          </w:p>
        </w:tc>
        <w:tc>
          <w:tcPr>
            <w:tcW w:w="3160" w:type="dxa"/>
            <w:vAlign w:val="bottom"/>
          </w:tcPr>
          <w:p>
            <w:pPr>
              <w:spacing w:after="0"/>
              <w:rPr>
                <w:sz w:val="24"/>
                <w:szCs w:val="24"/>
                <w:color w:val="auto"/>
              </w:rPr>
            </w:pPr>
          </w:p>
        </w:tc>
        <w:tc>
          <w:tcPr>
            <w:tcW w:w="2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0</w:t>
            </w:r>
          </w:p>
        </w:tc>
      </w:tr>
    </w:tbl>
    <w:p>
      <w:pPr>
        <w:spacing w:after="0" w:line="202"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Exchange Act of 1934, Globalstar, Inc. has caused this certification/notice to be signed on its behalf by the undersigned duly authorized person.</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28, 2014</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James Monroe III</w:t>
            </w: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James Monroe III</w:t>
            </w:r>
          </w:p>
        </w:tc>
      </w:tr>
      <w:tr>
        <w:trPr>
          <w:trHeight w:val="230"/>
        </w:trPr>
        <w:tc>
          <w:tcPr>
            <w:tcW w:w="358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2019-12-07T13:25:56Z</dcterms:created>
  <dcterms:modified xsi:type="dcterms:W3CDTF">2019-12-07T13:25:56Z</dcterms:modified>
</cp:coreProperties>
</file>