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February 28, 2023 (February 27, 2023)</w:t>
      </w:r>
    </w:p>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95" w:right="339" w:bottom="1440" w:gutter="0" w:footer="0" w:header="0"/>
        </w:sectPr>
      </w:pPr>
    </w:p>
    <w:p>
      <w:pPr>
        <w:spacing w:after="0" w:line="31"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001-33117</w:t>
      </w:r>
    </w:p>
    <w:p>
      <w:pPr>
        <w:spacing w:after="0" w:line="1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41-2116508</w:t>
      </w:r>
    </w:p>
    <w:p>
      <w:pPr>
        <w:spacing w:after="0" w:line="1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(IRS Employer</w:t>
      </w:r>
    </w:p>
    <w:p>
      <w:pPr>
        <w:jc w:val="center"/>
        <w:ind w:right="12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860" w:space="720"/>
            <w:col w:w="2540"/>
          </w:cols>
          <w:pgMar w:left="320" w:top="995" w:right="339" w:bottom="1440" w:gutter="0" w:footer="0" w:header="0"/>
          <w:type w:val="continuous"/>
        </w:sectPr>
      </w:pPr>
    </w:p>
    <w:p>
      <w:pPr>
        <w:spacing w:after="0" w:line="17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1351 Holiday Square Blvd.</w:t>
      </w:r>
    </w:p>
    <w:p>
      <w:pPr>
        <w:spacing w:after="0" w:line="31"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Covington, LA</w:t>
      </w:r>
    </w:p>
    <w:p>
      <w:pPr>
        <w:spacing w:after="0" w:line="2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b w:val="1"/>
          <w:bCs w:val="1"/>
          <w:color w:val="auto"/>
        </w:rPr>
        <w:t>70433</w:t>
      </w:r>
    </w:p>
    <w:p>
      <w:pPr>
        <w:spacing w:after="0" w:line="31"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6980" w:space="720"/>
            <w:col w:w="3540"/>
          </w:cols>
          <w:pgMar w:left="320" w:top="995" w:right="339" w:bottom="1440" w:gutter="0" w:footer="0" w:header="0"/>
          <w:type w:val="continuous"/>
        </w:sectPr>
      </w:pP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 (985) 335-1500</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7"/>
          <w:szCs w:val="17"/>
          <w:color w:val="auto"/>
        </w:rPr>
      </w:pPr>
    </w:p>
    <w:p>
      <w:pPr>
        <w:ind w:left="480" w:hanging="360"/>
        <w:spacing w:after="0"/>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type w:val="continuous"/>
        </w:sectPr>
      </w:pPr>
    </w:p>
    <w:p>
      <w:pPr>
        <w:spacing w:after="0" w:line="144"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Common Stock, par value $0.0001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Trading Symbol</w:t>
      </w:r>
    </w:p>
    <w:p>
      <w:pPr>
        <w:spacing w:after="0" w:line="2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GSAT</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Name of exchange on which registered</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NYSE American</w:t>
      </w:r>
    </w:p>
    <w:p>
      <w:pPr>
        <w:spacing w:after="0" w:line="200" w:lineRule="exact"/>
        <w:rPr>
          <w:sz w:val="24"/>
          <w:szCs w:val="24"/>
          <w:color w:val="auto"/>
        </w:rPr>
      </w:pPr>
    </w:p>
    <w:p>
      <w:pPr>
        <w:sectPr>
          <w:pgSz w:w="11900" w:h="16838" w:orient="portrait"/>
          <w:cols w:equalWidth="0" w:num="3">
            <w:col w:w="4300" w:space="720"/>
            <w:col w:w="2240" w:space="720"/>
            <w:col w:w="3260"/>
          </w:cols>
          <w:pgMar w:left="320" w:top="995" w:right="339" w:bottom="1440" w:gutter="0" w:footer="0" w:header="0"/>
          <w:type w:val="continuous"/>
        </w:sectPr>
      </w:pPr>
    </w:p>
    <w:p>
      <w:pPr>
        <w:spacing w:after="0" w:line="142" w:lineRule="exact"/>
        <w:rPr>
          <w:sz w:val="24"/>
          <w:szCs w:val="24"/>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February 27, 2023, Globalstar, Inc. (the “Company”) and its partner (the “Partner”) agreed to amend its previously disclosed Partnership Agreements to provide for, among other things, the Partner’s prepayment of $252 million to the Company (the “Prepayment”). The Company plans to use the proceeds of the Prepayment to pay amounts currently due and payable, and future amounts due, under its previously disclosed Satellite Procurement Agreement with Macdonald, Dettwiler and Associates Corporation, as well as launch, insurance and ancillary costs incurred in connection with the construction and launch of these satellites. The Prepayment replaces the Company’s requirement to raise third-party financing for such costs as previously required under the Partnership Agreements and will be funded on a quarterly basis, subject to certain conditions in the agreement. The remaining amount of the satellite costs is expected to be funded from Globalstar’s operating cash flows.</w:t>
      </w:r>
    </w:p>
    <w:p>
      <w:pPr>
        <w:spacing w:after="0" w:line="1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amount of the Prepayment and fees payable thereon will be recouped from amounts payable by the Partner for services provided by the Company under the Partnership Agreements. The Prepayment is expected to be recouped in installments for a period of 16 quarters beginning no later than the third quarter of 2025. The Prepayment may also be repaid over time through excess cash flow sweeps or voluntary prepayments, as provided under the terms of the prepayment agreement. For as long as any portion of the Prepayment is outstanding, the Company will be subject to certain covenants including interest coverage and leverage ratios, and limitations on certain asset transfers, expenditures and investments.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Amounts payable by the Company in connection with the Prepayment will be guaranteed by Thermo Funding II, LLC, an affiliate of James Monroe, III, the Company’s Executive Chairman and controlling shareholder (collectively, the “Guarantor”), subject to applicable shareholder approval. Prior to such shareholder approval, the Guarantor has agreed to provide support of certain of the Company’s obligations under the Partnership Agreements, the Satellite Procurement Agreement, and certain related contracts directly to the Partner.</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conditions precedent to Prepayment funding, the Company must (i) convert or refinance the remaining loans outstanding under the 2019 Facility Agreement by March 13, 2023 and (ii) grant Partner a first-priority lien in the Company’s assets to secure its obligations under the Partnership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foregoing discussion of the Prepayment and related documents, the terms thereof and the transactions contemplated thereby is hereby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3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0" w:lineRule="exact"/>
        <w:rPr>
          <w:sz w:val="20"/>
          <w:szCs w:val="20"/>
          <w:color w:val="auto"/>
        </w:rPr>
      </w:pPr>
    </w:p>
    <w:p>
      <w:pPr>
        <w:spacing w:after="0" w:line="29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u w:val="single" w:color="auto"/>
          <w:color w:val="auto"/>
        </w:rPr>
        <w:t>/s/ David B. Kagan</w:t>
      </w:r>
    </w:p>
    <w:p>
      <w:pPr>
        <w:spacing w:after="0" w:line="2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David B. Kagan</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2023</w:t>
      </w:r>
    </w:p>
    <w:sectPr>
      <w:pgSz w:w="11900" w:h="16838" w:orient="portrait"/>
      <w:cols w:equalWidth="0" w:num="1">
        <w:col w:w="10340"/>
      </w:cols>
      <w:pgMar w:left="320" w:top="88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2023-02-28T07:41:52Z</dcterms:created>
  <dcterms:modified xsi:type="dcterms:W3CDTF">2023-02-28T07:41:52Z</dcterms:modified>
</cp:coreProperties>
</file>