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Monroe James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1735 NINETEENTH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Globalstar,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GSAT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DENVER</w:t>
            </w:r>
          </w:p>
        </w:tc>
        <w:tc>
          <w:tcPr>
            <w:tcW w:w="1120" w:type="dxa"/>
            <w:vAlign w:val="bottom"/>
          </w:tcPr>
          <w:p>
            <w:pPr>
              <w:ind w:left="280"/>
              <w:spacing w:after="0"/>
              <w:rPr>
                <w:sz w:val="20"/>
                <w:szCs w:val="20"/>
                <w:color w:val="auto"/>
              </w:rPr>
            </w:pPr>
            <w:r>
              <w:rPr>
                <w:rFonts w:ascii="Arial" w:cs="Arial" w:eastAsia="Arial" w:hAnsi="Arial"/>
                <w:sz w:val="18"/>
                <w:szCs w:val="18"/>
                <w:color w:val="0000FF"/>
              </w:rPr>
              <w:t>CO</w:t>
            </w:r>
          </w:p>
        </w:tc>
        <w:tc>
          <w:tcPr>
            <w:tcW w:w="1680" w:type="dxa"/>
            <w:vAlign w:val="bottom"/>
          </w:tcPr>
          <w:p>
            <w:pPr>
              <w:ind w:left="420"/>
              <w:spacing w:after="0"/>
              <w:rPr>
                <w:sz w:val="20"/>
                <w:szCs w:val="20"/>
                <w:color w:val="auto"/>
              </w:rPr>
            </w:pPr>
            <w:r>
              <w:rPr>
                <w:rFonts w:ascii="Arial" w:cs="Arial" w:eastAsia="Arial" w:hAnsi="Arial"/>
                <w:sz w:val="18"/>
                <w:szCs w:val="18"/>
                <w:color w:val="0000FF"/>
              </w:rPr>
              <w:t>80202</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620" w:type="dxa"/>
            <w:vAlign w:val="bottom"/>
            <w:gridSpan w:val="2"/>
            <w:vMerge w:val="restart"/>
          </w:tcPr>
          <w:p>
            <w:pPr>
              <w:ind w:left="700"/>
              <w:spacing w:after="0"/>
              <w:rPr>
                <w:sz w:val="20"/>
                <w:szCs w:val="20"/>
                <w:color w:val="auto"/>
              </w:rPr>
            </w:pPr>
            <w:r>
              <w:rPr>
                <w:rFonts w:ascii="Arial" w:cs="Arial" w:eastAsia="Arial" w:hAnsi="Arial"/>
                <w:sz w:val="18"/>
                <w:szCs w:val="18"/>
                <w:color w:val="0000FF"/>
                <w:w w:val="99"/>
              </w:rPr>
              <w:t>12/31/2019</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X</w:t>
            </w:r>
          </w:p>
        </w:tc>
        <w:tc>
          <w:tcPr>
            <w:tcW w:w="1160" w:type="dxa"/>
            <w:vAlign w:val="bottom"/>
            <w:gridSpan w:val="2"/>
            <w:vMerge w:val="restart"/>
          </w:tcPr>
          <w:p>
            <w:pPr>
              <w:ind w:left="80"/>
              <w:spacing w:after="0"/>
              <w:rPr>
                <w:sz w:val="20"/>
                <w:szCs w:val="20"/>
                <w:color w:val="auto"/>
              </w:rPr>
            </w:pPr>
            <w:r>
              <w:rPr>
                <w:rFonts w:ascii="Arial" w:cs="Arial" w:eastAsia="Arial" w:hAnsi="Arial"/>
                <w:sz w:val="18"/>
                <w:szCs w:val="18"/>
                <w:color w:val="0000FF"/>
              </w:rPr>
              <w:t>9,500,000</w:t>
            </w:r>
            <w:r>
              <w:rPr>
                <w:rFonts w:ascii="Arial" w:cs="Arial" w:eastAsia="Arial" w:hAnsi="Arial"/>
                <w:sz w:val="22"/>
                <w:szCs w:val="22"/>
                <w:color w:val="008000"/>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0.38</w:t>
            </w:r>
          </w:p>
        </w:tc>
        <w:tc>
          <w:tcPr>
            <w:tcW w:w="12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843,003,133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Thermo</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Funding</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II 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31, 2019, Thermo Funding II LLC ("Thermo") exercised warrants to purchase 9,500,000 shares of the Company's Voting Common Stock at an exercise price of $0.38 per share. These warrants were a portion of the warrants to purchase 59,537,578 shares of the Company's Voting Common Stock issued to Thermo in connection with the Second Lien Term Loan Facility the Company entered into with Thermo and certain other lenders on November 26, 2019. The Second Lien Loan Term Loan Facility and certain related transactions are described more fully in the Company's Current Report on Form 8-K filed with the Commission on November 27,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7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James</w:t>
      </w:r>
      <w:r>
        <w:rPr>
          <w:sz w:val="20"/>
          <w:szCs w:val="20"/>
          <w:color w:val="auto"/>
        </w:rPr>
        <w:tab/>
      </w:r>
      <w:r>
        <w:rPr>
          <w:rFonts w:ascii="Arial" w:cs="Arial" w:eastAsia="Arial" w:hAnsi="Arial"/>
          <w:sz w:val="15"/>
          <w:szCs w:val="15"/>
          <w:color w:val="0000FF"/>
        </w:rPr>
        <w:t>01/03/2020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Monroe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92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9664"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2020-01-03T12:38:53Z</dcterms:created>
  <dcterms:modified xsi:type="dcterms:W3CDTF">2020-01-03T12:38:53Z</dcterms:modified>
</cp:coreProperties>
</file>