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53"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color w:val="auto"/>
        </w:rPr>
        <w:t>Date of Report (Date of earliest event reported): October 29, 2024</w:t>
      </w:r>
    </w:p>
    <w:p>
      <w:pPr>
        <w:spacing w:after="0" w:line="17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97" w:right="339" w:bottom="1440" w:gutter="0" w:footer="0" w:header="0"/>
        </w:sectPr>
      </w:pP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001-33117</w:t>
      </w:r>
    </w:p>
    <w:p>
      <w:pPr>
        <w:spacing w:after="0" w:line="1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5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41-2116508</w:t>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8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2560" w:space="720"/>
            <w:col w:w="3220"/>
          </w:cols>
          <w:pgMar w:left="320" w:top="1197" w:right="339" w:bottom="1440" w:gutter="0" w:footer="0" w:header="0"/>
          <w:type w:val="continuous"/>
        </w:sectPr>
      </w:pPr>
    </w:p>
    <w:p>
      <w:pPr>
        <w:spacing w:after="0" w:line="35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Covington, LA</w:t>
      </w:r>
    </w:p>
    <w:p>
      <w:pPr>
        <w:spacing w:after="0" w:line="2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2"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70433</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960" w:space="720"/>
            <w:col w:w="3560"/>
          </w:cols>
          <w:pgMar w:left="320" w:top="1197" w:right="3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(985) 335-1500</w:t>
      </w:r>
    </w:p>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7"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97" w:right="339" w:bottom="1440" w:gutter="0" w:footer="0" w:header="0"/>
          <w:type w:val="continuous"/>
        </w:sectPr>
      </w:pPr>
    </w:p>
    <w:p>
      <w:pPr>
        <w:spacing w:after="0" w:line="212"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GSAT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3920" w:space="720"/>
            <w:col w:w="1920" w:space="720"/>
            <w:col w:w="3960"/>
          </w:cols>
          <w:pgMar w:left="320" w:top="1197" w:right="339" w:bottom="1440" w:gutter="0" w:footer="0" w:header="0"/>
          <w:type w:val="continuous"/>
        </w:sectPr>
      </w:pPr>
    </w:p>
    <w:p>
      <w:pPr>
        <w:spacing w:after="0" w:line="47" w:lineRule="exact"/>
        <w:rPr>
          <w:sz w:val="24"/>
          <w:szCs w:val="24"/>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Services Agreements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previously disclosed, Globalstar, Inc. (the “Company” or “Globalstar”) is party to a terms agreement (as amended, the “Terms Agreement”) with its customer, Apple Inc. (together with its Related Entities (as defined in the Terms Agreement), “Customer”), which Terms Agreement (together with certain related ancillary agreements, the “Services Agreements”) contains terms and conditions governing the development, launch and operation of Satellite Services (as defined in the Terms Agreement).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Reference is made to the prior disclosures with respect to the Services Agreements in the Company’s Annual Report on Form 10-K for the fiscal year ended December 31, 2023, the Company’s Quarterly Report on Form 10-Q for the quarterly period ended June 30, 2024 and the Company’s Current Reports on Form 8-K filed with the Securities and Exchange Commission (the “SEC”) on February 28, 2023 and September 7, 2022 (collectively, the “Prior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Extended MSS Network</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October 29, 2024, the Company and Customer agreed to make certain amendments to the Services Agreements and entered into other related agreements (collectively, the “Updated Services Agreements”) for Globalstar to deliver expanded services to Customer over a new mobile satellite services (“MSS”) network, including a new satellite constellation, expanded ground infrastructure, and increased global MSS licensing (the “Extended MSS Network”). The Extended MSS Network will be owned by Globalstar Licensee, LLC, together with its subsidiaries (collectively, the “Globalstar SPE”), and operated by the Company.</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set forth below, Customer will prepay for certain services to be delivered by the Company to Customer’s end users utilizing the Extended MSS Network and will be a passive equity holder in Globalstar SPE.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Globalstar SPE will hold certain network assets necessary for the Extended MSS Network and will not have commercial operations.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will retain control of the board of managers of the Globalstar SPE and continue to operate and maintain the assets owned by and licenses granted to the Globalstar SPE. Globalstar will retain 100% of all terrestrial, MSS and other revenue and will continue to allocate 85% of its network capacity to render the Satellite Services to Customer across existing and new satellites as well as use the remaining capacity to service its other MSS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Network Assets and Funding</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Updated Services Agreements provide that Customer will make cash prepayments to the Company, including for approved capital expenditures in connection with the Extended MSS Network. These prepayments consist of: (1) an infrastructure prepayment (the “Infrastructure Prepayment”) of up to $1.1 billion as further described under Item 2.03 below, which is to be funded over the construction period on a quarterly basis, the proceeds of which the Globalstar SPE will use, together with the proceeds from the sale of the Customer Class B Units described below to pay amounts due for the Extended MSS Network (including, but not limited to, construction and launch costs) and (2) an amount necessary for the Company to retire at closing its outstanding 13.00% Senior Notes due 2029 (the “2029 Notes”) as further described under Item 1.02 below (the “Current Debt Repayment”). The Infrastructure Prepayment and the funds used for the Current Debt Repayment are contained within one prepayment agreement (the “2024 Prepay Agreement”), as further detailed below.</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Customer has agreed to purchase 400,000 Class B Units in the Globalstar SPE (the “Customer Class B Units”), representing a 20% equity interest, for $400 million to be paid upon the closing which is currently expected to occur on or about November 5, 2024, subject to satisfaction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Service Fees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consideration for the Satellite Services as set forth in the Updated Services Agreements, the incremental service fees due from Customer to the Company include fees tied to the cost of the Extended MSS Network, fees for providing additional related services, fees tied to expenses incurred for the provision of such services, and performance bonuses. A portion of these payments is subject to the satisfaction of certain licensing, service levels and milestone achievements. Additionally, the Updated Services Agreements also provide for certain service fees of $30 million annually to be accelerated.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Obligations of Globalstar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2.03 below for a discussion of the repayment of amounts due under the 2024 Prepay Agreement.</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parties have agreed to certain equity repurchase provisions with respect to the Customer Class B Units, including the right of the Company to call the Customer Class B Units, and the right of Customer to cause the Company or the Globalstar SPE to purchase or redeem, as applicable, a portion of the Customer Class B Units on a quarterly basis beginning in the first full quarter following recovery by Customer of all amounts due under the 2024 Prepay Agreement. Redemption may occur earlier in the event of certain Company breaches as described in Item 2.03 below, in each case subject to the terms and conditions of the Updated Services Agreements.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parties agreed to certain amendments to the 2023 Funding Agreement (as defined in Prior Disclosures) and certain related agreements, including: (1) elimination of cash sweeps; (2) relaxation of certain covenant levels; (3) a one-year deferral of the start of the repayment period from the third quarter of 2025 to the third quarter of 2026; and (4) an amendment to the existing security agreement to provide first lien security with respect to the Company’s obligations under the 2024 Prepay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and Breaches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Updated Services Agreements may be terminated by either party subject to certain notice requirements and, in some cases, other conditions and, depending on the type of termination, certain limitations on the Company’s ability to take certain actions, in each case as further set forth in Item 2.03 below. In the event of a breach by the Company of certain material obligations, the Updated Services Agreements provide for certain remedies for Customer, including, among other things, additional rights until a cure is effected.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2.03 below is incorporated in this Item 1.01 by reference.</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descriptions of the Terms Agreement, the 2024 Prepay Agreement and the other Updated Services Agreements are qualified in their respective entireties by reference to such agreements which the Company expects to file with its Form 10-K for the year ending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will use a portion of the cash proceeds received from Customer, as described in Item 1.01 above, for the Current Debt Repayment, consisting of the aggregate principal amount outstanding of the 2029 Notes of $219 million plus make-whole fees of $13 million, pursuant to the terms of the 2029 Notes, and to discharge the related Indenture, dated as of March 31, 2023, by and among the Company, the subsidiary guarantors party thereto and Wilmington Trust,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ind w:right="428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with respect to the 2024 Prepay Agreement is incorporated in this Item 2.03 by reference.</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Globalstar will use the proceeds from the Infrastructure Prepayment and sale of the Customer Class B Units to fund the capital requirements for the Extended MSS Network. As the Company receives proceeds from the Infrastructure Prepayment, the Company will record a liability on its balance sheet for its obligation to perform future services to Customer. In addition to other service fees, as Globalstar provides the new services, the Company will receive additional service fees and will use these fees to fully pay down the Infrastructure Prepayment liability as well as to repurchase or redeem all Customer Class B Units over time.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full paydown of the 2024 Prepay Agreement and the redemption of the Customer Class B Units are expected to be completed within the design useful life of the new satellites. The Company expects that such amounts payable to Customer will be set off with amounts payable by Customer. The Current Debt Repayment and a portion of the Infrastructure Prepayment may accrue annual fees, as provided in the 2024 Prepay Agreement. Such fees payable to Customer will be reduced or eliminated entirely if the Company meets certain defined milestones.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Subject to certain conditions, if the Company fails to perform certain obligations under the Updated Services Agreements or if Customer terminates the Updated Services Agreements under certain scenarios, the Company would be required to repay amounts advanced under the 2024 Prepayment Agreement and to redeem the Customer Class B Units. Depending on the nature of termination, such repayment and redemption could include paying a percentage of revenue attributable to the Company’s utilization of the Extended MSS Network after such termination, paying a portion of total cash flow, in accordance with the mechanisms set forth in the Updated Services Agreements, or immediate repayment and redemption. During any post-termination repayment and redemption period, the Company may be subject to certain limitations, including, among others, with respect to the incurrence of indebtedness, the payment of dividends and capital expenditures.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the Company or the Globalstar SPE, as applicable, either does not have sufficient cash or accounts receivable from Customer to timely consummate, or does not otherwise timely consummate, the purchase or redemption of Customer Class B Units from Customer after full repayment of the Infrastructure Prepayment, Customer will be entitled, upon notice to the Company, to require the Company to purchase all (or a portion) of such Customer Class B Units in exchange for shares of common stock of the Company based on a five day average volume weighted price ending on the trading day immediately prior to the date of such notice. The issuance of such shares of Company common stock to Customer would not be registered under the Securities Act of 1933 (the “Securities Act”), in reliance on the exemption from registration pursuant to Section 4(a)(2) of the Securities Act. The information set forth in Item 1.01 above is incorporated in this Item 3.02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first annual period following the launch of the expanded Satellite Services, the Company estimates that its total annual revenue is expected to be more than double 2024 annualized levels with an improved EBITDA margin. Excluded from these numbers is upside from, among other areas, terrestrial spectrum and XCOM RAN, which, by their nature are difficult to precisely forecast. The Company remains focused on successfully executing on terrestrial opportunities in addition to driving growth through the monetization of available satellite capacity.</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There is no assurance that the Company will receive all of the revenue estimated or expected under the Updated Services Agreements. The assumptions and estimates of the Company’s future performance, financial condition and liquidity are necessarily subject to uncertainty and risk due to a variety of factors, including, without limitation, those described under Item 1A. Risk Factors of the Company’s Annual Report on Form 10-K for the fiscal year ended December 31, 2023 and in the Company’s other filings with the SEC and as further described under “Forward-Looking Statements” below.</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will host an in-person investor day in December 2024 to provide additional details and updates on its competitive strengths and business strategy and answer questions from investors and analysts.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(the “Exchange Act”), or otherwise subject to the liability of that section, nor shall it be deemed incorporated by reference in any Company filing under the Securities Act or the Exchange Act,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into this Current Report on Form 8-K, other than purely historical information, including, but not limited to, statements regarding the Satellite Services and other terms, conditions and matters under the Terms Agreement, the 2024 Prepay Agreement and the other Services Agreements and Updated Services Agreements, expectations and timing regarding the Satellite Services (and the related construction and launch agreements), expectations regarding sources or set off of payment of obligations, and expectations regarding future revenue, financial performance, financial condition, liquidity, projections, estimates and guidance,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“could,” “should,” “will,” “would,” “will be,” “will continue,” “will likely result,” and similar expressions, although not all forward-looking statements contain these identifying words. These forward-looking statements involve predictions and are based on current expectations and assumptions that are subject to risks and uncertainties. We caution readers that forward-looking statements are not guarantees of future performance and actual results may differ materially from those anticipated, expected, projected or assumed in the forward-looking statements. Risks and uncertainties that could cause or contribute to such differences include, without limitation, those described under Item 1A. Risk Factors of the Company’s Annual Report on Form 10-K for the fiscal year ended December 31, 2023 and in the Company’s other filings with the SEC. The Company undertakes no obligation to update any of the forward-looking statements after the date of this Current Report to reflect actual results, future events or circumstances or changes in our assumptions, business plans or other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 w:name="page6"/>
    <w:bookmarkEnd w:id="5"/>
    <w:p>
      <w:pPr>
        <w:ind w:left="47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91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2024-11-01T06:08:34Z</dcterms:created>
  <dcterms:modified xsi:type="dcterms:W3CDTF">2024-11-01T06:08:34Z</dcterms:modified>
</cp:coreProperties>
</file>