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James Monroe III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Thermo Companies, 1735 19th Street - Suite 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Denver, CO, 80202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(303) 294-0692</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Copies to Christine Harkness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Thermo Companies, 1735 19th Street - Suite 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Denver, CO, 80202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(303) 294-0690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 Investment Holdings LLC</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42,717.00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Thermo Funding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58,833,076.00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58,833,076.00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58,833,076.00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Globalstar Satellite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41,238.00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41,238.00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41,238.00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0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10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Monroe Irr. Educational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200,000.00</w:t>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1">
            <w:col w:w="11240"/>
          </w:cols>
          <w:pgMar w:left="320" w:top="355" w:right="339" w:bottom="3"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355" w:right="339" w:bottom="3"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Monroe III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3"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45,880.00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74,058,249.00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45,880.00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74,058,249.00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74,058,249.00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57.59 %</w:t>
      </w:r>
    </w:p>
    <w:p>
      <w:pPr>
        <w:spacing w:after="0" w:line="44" w:lineRule="exact"/>
        <w:rPr>
          <w:sz w:val="20"/>
          <w:szCs w:val="20"/>
          <w:color w:val="auto"/>
        </w:rPr>
      </w:pPr>
    </w:p>
    <w:p>
      <w:pPr>
        <w:sectPr>
          <w:pgSz w:w="11900" w:h="16838" w:orient="portrait"/>
          <w:cols w:equalWidth="0" w:num="2">
            <w:col w:w="1100" w:space="60"/>
            <w:col w:w="10080"/>
          </w:cols>
          <w:pgMar w:left="320" w:top="355" w:right="339" w:bottom="3"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355" w:right="339" w:bottom="3"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In reference to rows 8, 10 and 11, the number represents an aggregate of 74,058,249 shares of Company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Stock, consisting of 58,833,076 held by Thermo Funding II, LLC, 13,142,665 held by Thermo Funding Company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LLC, 947,273 held by Thermo Properties II, LLC, 790,097 held by Thermo XCOM LLC, 200,000 held by Monroe Irr.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Education Trust, 45,880 held by James Monroe III in his individual capacity, 42,717 held by FL Investment Holdings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LLC, 41,238 held by Globalstar Satellite L.P., 13,347 held by Thermo Investments Limited Partnership and 1,956 held</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by James Monroe III Grantor Trust. 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Thermo Funding Company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13,142,665.00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13,142,665.00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13,142,665.00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ectPr>
          <w:pgSz w:w="11900" w:h="16838" w:orient="portrait"/>
          <w:cols w:equalWidth="0" w:num="2">
            <w:col w:w="1520" w:space="100"/>
            <w:col w:w="9620"/>
          </w:cols>
          <w:pgMar w:left="320" w:top="111" w:right="339" w:bottom="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Thermo Properties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10"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947,273.00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947,273.00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947,273.00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810"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810" w:right="3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10"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Thermo XCOM LLC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790,097.00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790,097.00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790,097.00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Thermo Investments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2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type w:val="continuous"/>
        </w:sectPr>
      </w:pPr>
    </w:p>
    <w:bookmarkStart w:id="8" w:name="page9"/>
    <w:bookmarkEnd w:id="8"/>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COLORADO</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13,347.00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13,347.00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612"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6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Monroe III Grantor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2" w:right="339" w:bottom="0" w:gutter="0" w:footer="0" w:header="0"/>
          <w:type w:val="continuous"/>
        </w:sectPr>
      </w:pPr>
    </w:p>
    <w:bookmarkStart w:id="9" w:name="page10"/>
    <w:bookmarkEnd w:id="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1,956.00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1,956.00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1,956.00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1">
            <w:col w:w="11240"/>
          </w:cols>
          <w:pgMar w:left="320" w:top="10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reference to row 13, the percentage calculation is based on an aggregate of 128,591,126 Common Stock outstanding as of March 23, 2026, according to the definitive proxy statement on Form DEF 14A filed by the Issuer on April 2, 2026.</w:t>
      </w:r>
    </w:p>
    <w:p>
      <w:pPr>
        <w:spacing w:after="0" w:line="200" w:lineRule="exact"/>
        <w:rPr>
          <w:sz w:val="20"/>
          <w:szCs w:val="20"/>
          <w:color w:val="auto"/>
        </w:rPr>
      </w:pPr>
    </w:p>
    <w:p>
      <w:pPr>
        <w:sectPr>
          <w:pgSz w:w="11900" w:h="16838" w:orient="portrait"/>
          <w:cols w:equalWidth="0" w:num="2">
            <w:col w:w="1520" w:space="100"/>
            <w:col w:w="9620"/>
          </w:cols>
          <w:pgMar w:left="320" w:top="10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Globalstar,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1351 Holiday Square Blvd., Covington, LOUISIANA , 70433.</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14 ("Amendment No. 14") to the initial statement on Schedule 13D,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December 14, 2008, as amended by Amendment No. 1 to the Schedule 13D filed on May 18, 2009,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to the Schedule 13D filed on August 11, 2009, by Amendment No. 3 to the Schedule 13D filed on February 16, 2010, by Amendment No. 4 to the Schedule 13D filed on February 14, 2012, by Amendment No. 5 to the Schedule 13D filed on February 14, 2013, by Amendment No. 6 to the Schedule 13D filed on February 17, 2015, by Amendment No. 7 to the Schedule 13D filed on December 19, 2017, by Amendment No. 8 to the Schedule 13D filed on May 07, 2018, by Amendment No. 9 to the Schedule 13D filed on January 4, 2019, by Amendment No. 10 to the Schedule 13D filed on January 3, 2020, by Amendment No. 11 to the Schedule 13D filed on February 25, 2020, by Amendment No. 12 to the Schedule 13D filed on September 07, 2022, and by Amendment No. 13 to the Schedule 13D filed on September 12, 2022, (as so amended, the "Schedule 13D"). This Amendment No. 14 amends and supplements the Schedule 13D as specifically set forth herein. Except as specifically amended by this Amendment No. 14, the Schedule 13D is unchanged. Capitalized terms used in this Amendment No. 14 and not otherwise defined</w:t>
      </w:r>
    </w:p>
    <w:p>
      <w:pPr>
        <w:spacing w:after="0" w:line="2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herein have the meanings given to them 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00"/>
        <w:spacing w:after="0" w:line="253" w:lineRule="auto"/>
        <w:rPr>
          <w:sz w:val="20"/>
          <w:szCs w:val="20"/>
          <w:color w:val="auto"/>
        </w:rPr>
      </w:pPr>
      <w:r>
        <w:rPr>
          <w:rFonts w:ascii="Times New Roman" w:cs="Times New Roman" w:eastAsia="Times New Roman" w:hAnsi="Times New Roman"/>
          <w:sz w:val="21"/>
          <w:szCs w:val="21"/>
          <w:color w:val="auto"/>
        </w:rPr>
        <w:t>Item 2 of the Schedule 13D is hereby amended in its entirety as follows: This statement is filed by: (1) FL Investment Holdings LLC (2) Thermo Funding II, LLC (3) Globalstar Satellite L.P. (4) Monroe Irr. Educational Trust (5) James</w:t>
      </w:r>
    </w:p>
    <w:p>
      <w:pPr>
        <w:spacing w:after="0" w:line="1" w:lineRule="exact"/>
        <w:rPr>
          <w:sz w:val="20"/>
          <w:szCs w:val="20"/>
          <w:color w:val="auto"/>
        </w:rPr>
      </w:pPr>
    </w:p>
    <w:p>
      <w:pPr>
        <w:ind w:left="960" w:right="200" w:hanging="912"/>
        <w:spacing w:after="0" w:line="235" w:lineRule="auto"/>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Monroe III (6) Thermo Funding Company LLC (7) Thermo Properties II, LLC (8) Thermo XCOM LLC (9) Thermo Investments Limited Partnership (10) James Monroe III Grantor Trust Each of the foregoing is referred to as a "Reporting Person" and collectively as the "Reporting Persons."</w:t>
      </w:r>
    </w:p>
    <w:p>
      <w:pPr>
        <w:spacing w:after="0" w:line="15" w:lineRule="exact"/>
        <w:rPr>
          <w:rFonts w:ascii="Times New Roman" w:cs="Times New Roman" w:eastAsia="Times New Roman" w:hAnsi="Times New Roman"/>
          <w:sz w:val="22"/>
          <w:szCs w:val="22"/>
          <w:color w:val="auto"/>
        </w:rPr>
      </w:pPr>
    </w:p>
    <w:p>
      <w:pPr>
        <w:ind w:left="960" w:right="240" w:hanging="912"/>
        <w:spacing w:after="0" w:line="185" w:lineRule="auto"/>
        <w:tabs>
          <w:tab w:leader="none" w:pos="960" w:val="left"/>
        </w:tabs>
        <w:numPr>
          <w:ilvl w:val="0"/>
          <w:numId w:val="1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1735 19th Street, Suite 200, Denver, CO 80202.</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Reporting Person holds assets for investment purposes.</w:t>
      </w:r>
    </w:p>
    <w:p>
      <w:pPr>
        <w:spacing w:after="0" w:line="44" w:lineRule="exact"/>
        <w:rPr>
          <w:rFonts w:ascii="Times New Roman" w:cs="Times New Roman" w:eastAsia="Times New Roman" w:hAnsi="Times New Roman"/>
          <w:sz w:val="22"/>
          <w:szCs w:val="22"/>
          <w:color w:val="auto"/>
        </w:rPr>
      </w:pPr>
    </w:p>
    <w:p>
      <w:pPr>
        <w:ind w:left="960" w:right="760" w:hanging="912"/>
        <w:spacing w:after="0" w:line="185" w:lineRule="auto"/>
        <w:tabs>
          <w:tab w:leader="none" w:pos="960" w:val="left"/>
        </w:tabs>
        <w:numPr>
          <w:ilvl w:val="0"/>
          <w:numId w:val="1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Reporting Person has, during the last five years, been a party to a civil proceeding of a judicial or administrative</w:t>
      </w:r>
    </w:p>
    <w:p>
      <w:pPr>
        <w:sectPr>
          <w:pgSz w:w="11900" w:h="16838" w:orient="portrait"/>
          <w:cols w:equalWidth="0" w:num="1">
            <w:col w:w="11240"/>
          </w:cols>
          <w:pgMar w:left="320" w:top="102" w:right="339" w:bottom="0" w:gutter="0" w:footer="0" w:header="0"/>
          <w:type w:val="continuous"/>
        </w:sectPr>
      </w:pPr>
    </w:p>
    <w:bookmarkStart w:id="10" w:name="page11"/>
    <w:bookmarkEnd w:id="10"/>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body of competent jurisdiction which resulted in Mr. Monroe being at any time subject to a judgment, decree or final order enjoining future violations of, or prohibiting or mandating activities subject to, federal or state securities laws or finding any violation with respect to such laws.</w:t>
      </w:r>
    </w:p>
    <w:p>
      <w:pPr>
        <w:spacing w:after="0" w:line="12" w:lineRule="exact"/>
        <w:rPr>
          <w:sz w:val="20"/>
          <w:szCs w:val="20"/>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James Monroe III is a United States citizen.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3 of the Schedule 13D is hereby amended to add the following: The information in Item 4 of this Schedule 13D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to add the following: The information in Item 3 of this Schedule 13D is incorporated herein by reference. On April 13, 2026, Globalstar, Inc. (the "Issuer") entered into an Agreement and Plan of Merger (the "Merger Agreement") with Amazon.com, Inc., a Delaware corporation ("Parent"), Grapefruit Acquisition Sub I, Inc., a Delaware corporation and a direct wholly owned subsidiary of Parent ("Acquisition Sub I"), and Grapefruit Acquisition Sub II, LLC, a Delaware limited liability company and a direct wholly owned subsidiary of Parent ("Acquisition Sub II" and, together with Parent and Acquisition Sub I, the "Buyer Parties"), pursuant to which, among other things, (a) Acquisition Sub I will merge with and into the Issuer (the "First Merger"), with the Issuer surviving the First Merger as a direct wholly owned subsidiary of Parent (the "Surviving Corporation"), and (b) immediately following the First Merger, the Surviving Corporation will merge with and into Acquisition Sub II (the "Second Merger" and, together with the First Merger, the "Mergers"), with Acquisition Sub II surviving the Second Merger as a direct wholly owned subsidiary of Parent. Upon the effective time of the First Merger, each share of common stock, par value $0.0001 per share, of the Issuer (the "Company Common Stock") issued and outstanding immediately prior to the effective time of the First Merger (other than shares of Company Common Stock that are owned by the Issuer or any of its subsidiaries or the Buyer Parties or any of their respective wholly owned subsidiaries) will be canceled and will cease to exist, and automatically be converted into the right to receive, at the election of the holder thereof in accordance with, and subject to the terms, conditions and procedures set forth in the Merger Agreement, including the adjustments described below, the following consideration (collectively with, if applicable, cash in lieu of fractional shares, the "Merger Consideration"): (i) for each share of Company Common Stock and each share of Company Common Stock that would be issued upon a cashless exercise of a vested and unexercised Company warrant to purchase shares of Company Common Stock (each, a "Company Warrant") immediately prior to the effective time of the First Merger in accordance with the terms of the applicable Warrant Amendment Agreement that the holder of such Company Warrant and the Issuer have entered into or have agreed to enter into (such share of Company Common Stock, the "Warrant Notional Common Share") with respect to which an election to receive Merger Consideration in the form of cash (a "Cash Election") has been properly made in accordance with the procedures set forth in the Merger Agreement, an amount in cash equal to (a) $90.00, without interest, minus (b) the Per Share Adjustment Amount (if any) (as defined below); (ii) for each share of Company Common Stock and each Warrant Notional Common Share with respect to which an election to receive Merger Consideration in the form of shares of common stock, par value $0.01 per share, of Parent (the "Parent Common Stock" and, such election, a "Stock Election") has been properly made in accordance with the procedures set forth in the Merger Agreement, a number of validly issued, fully paid and nonassessable shares of Parent Common Stock equal to the Exchange Ratio (as defined below) (the "Stock Consideration"); and (iii) for each share of Company Common Stock and each Warrant Notional Common Share, other than shares as to which a Cash Election or a Stock Election has been properly made in accordance with the procedures set forth in the Merger Agreement, the right to receive the Stock Consideration. Pursuant to the Merger Agreement, the "Exchange Ratio" is determined as follows:</w:t>
      </w:r>
    </w:p>
    <w:p>
      <w:pPr>
        <w:spacing w:after="0" w:line="251" w:lineRule="exact"/>
        <w:rPr>
          <w:sz w:val="20"/>
          <w:szCs w:val="20"/>
          <w:color w:val="auto"/>
        </w:rPr>
      </w:pPr>
    </w:p>
    <w:p>
      <w:pPr>
        <w:ind w:left="920" w:right="20" w:firstLine="6"/>
        <w:spacing w:after="0" w:line="242" w:lineRule="auto"/>
        <w:tabs>
          <w:tab w:leader="none" w:pos="117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volume weighted average price of the Parent Common Stock over the twenty (20) consecutive trading day period that ends on (and includes) the second trading day immediately prior to the date of the closing of the Mergers (the "Parent Measurement Price") is less than $280.38, the Exchange Ratio will be (x) 0.3210 minus (y) the quotient of the Per Share Adjustment Amount (if any) divided by the Parent Measurement Price; or (ii) if the Parent Measurement Price is greater than or equal to $280.38, the Exchange Ratio will be the quotient of (a) (i) $90.00 minus (ii) the Per Share Adjustment Amount (if any) divided by (b) the Parent Measurement Price. Pursuant to the Merger Agreement and a letter agreement entered into by the Issuer with Apple Inc. ("Customer"), the "Per Share Adjustment Amount" will be an amount equal to the quotient of (a) the aggregate amount payable by the Issuer to Customer, if any, immediately following the completion of the Mergers in the event the Issuer does not achieve certain operational milestones, which amount is capped at a maximum of $110 million, divided by (b) the aggregate number of shares of Company Common Stock to be converted into the right to receive Merger Consideration. If the First Merger is consummated, the Issuer's securities will be de-listed from The Nasdaq Stock Market LLC. The foregoing description of the Merger Agreement does not purport to be complete and is qualified in its entirety by reference to the Merger Agreement, which is attached as Exhibit 2.1 to the Issuer's Form 8-K filed with the U.S. Securities and Exchange Commission on April 14, 2026. On April 13, 2026, in connection with the Issuer's execution of the Merger Agreement, the Reporting Persons entered into a Stockholder Support Agreement (the "Support Agreement") with Parent, pursuant to which the Reporting Persons agreed, among other things, to (a) as promptly as practicable following the execution of the Merger Agreement and, in any event, by no later than twenty-four (24) hours after the execution and delivery of the Merger Agreement, to deliver their written consent approving and adopting the Merger Agreement and the transactions contemplated thereby, including the Mergers (the "Written Consent"), and (b) certain restrictions on transferring their shares of Company Common Stock, subject to customary exceptions. Following the execution of the Merger Agreement, on April 13, 2026, the Reporting Persons executed and delivered to the Issuer the Written Consent. The foregoing description of the Support Agreement does not purport to be complete and is qualified in its entirety by reference to the text of the Support Agreement, which has been filed as an exhibit to this Schedule 13D and is incorporated herein by reference.</w:t>
      </w:r>
    </w:p>
    <w:p>
      <w:pPr>
        <w:sectPr>
          <w:pgSz w:w="11900" w:h="16838" w:orient="portrait"/>
          <w:cols w:equalWidth="0" w:num="1">
            <w:col w:w="11140"/>
          </w:cols>
          <w:pgMar w:left="360" w:top="112" w:right="399" w:bottom="0" w:gutter="0" w:footer="0" w:header="0"/>
        </w:sectPr>
      </w:pPr>
    </w:p>
    <w:bookmarkStart w:id="11" w:name="page12"/>
    <w:bookmarkEnd w:id="11"/>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 of the Schedule 13D is hereby amended and restated in its entirety as follows: The information in Item 3 of</w:t>
      </w:r>
    </w:p>
    <w:p>
      <w:pPr>
        <w:spacing w:after="0" w:line="14" w:lineRule="exact"/>
        <w:rPr>
          <w:sz w:val="20"/>
          <w:szCs w:val="20"/>
          <w:color w:val="auto"/>
        </w:rPr>
      </w:pPr>
    </w:p>
    <w:p>
      <w:pPr>
        <w:ind w:left="920" w:right="80" w:hanging="912"/>
        <w:spacing w:after="0" w:line="184" w:lineRule="auto"/>
        <w:tabs>
          <w:tab w:leader="none" w:pos="920" w:val="left"/>
        </w:tabs>
        <w:numPr>
          <w:ilvl w:val="0"/>
          <w:numId w:val="2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Schedule 13D is incorporated herein by reference. The aggregate number and percentage of the shares of Company Common Stock beneficially owned by each of the Reporting Persons are set forth on rows 11 and 13 of the cover pages of this Schedule 13D and is incorporated herein by reference.</w:t>
      </w:r>
    </w:p>
    <w:p>
      <w:pPr>
        <w:spacing w:after="0" w:line="18" w:lineRule="exact"/>
        <w:rPr>
          <w:rFonts w:ascii="Times New Roman" w:cs="Times New Roman" w:eastAsia="Times New Roman" w:hAnsi="Times New Roman"/>
          <w:sz w:val="42"/>
          <w:szCs w:val="42"/>
          <w:color w:val="auto"/>
          <w:vertAlign w:val="subscript"/>
        </w:rPr>
      </w:pPr>
    </w:p>
    <w:p>
      <w:pPr>
        <w:jc w:val="both"/>
        <w:ind w:left="920" w:right="6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number of shares as to which each Reporting Person has sole power to vote or to direct the vote, shared power to vote or to direct the vote, sole power to dispose or to direct the disposition, or shared power to dispose or to direct the</w:t>
      </w:r>
    </w:p>
    <w:p>
      <w:pPr>
        <w:ind w:left="920" w:right="140" w:hanging="912"/>
        <w:spacing w:after="0" w:line="189" w:lineRule="auto"/>
        <w:tabs>
          <w:tab w:leader="none" w:pos="920" w:val="left"/>
        </w:tabs>
        <w:numPr>
          <w:ilvl w:val="0"/>
          <w:numId w:val="2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disposition is set forth on rows 7 through 10 of the cover pages of this Schedule 13D and is incorporated herein by reference. Effective as of February 10, 2025 at 5:30 PM Eastern Time, the Issuer effected a reverse stock split at a ratio of 1 for 15 for each share of Company Common Stock, and the number of shares reported in this Schedule 13D reflects such reverse stock split.</w:t>
      </w:r>
    </w:p>
    <w:p>
      <w:pPr>
        <w:spacing w:after="0" w:line="14" w:lineRule="exact"/>
        <w:rPr>
          <w:rFonts w:ascii="Times New Roman" w:cs="Times New Roman" w:eastAsia="Times New Roman" w:hAnsi="Times New Roman"/>
          <w:sz w:val="43"/>
          <w:szCs w:val="43"/>
          <w:color w:val="auto"/>
          <w:vertAlign w:val="subscript"/>
        </w:rPr>
      </w:pPr>
    </w:p>
    <w:p>
      <w:pPr>
        <w:ind w:left="920" w:right="380" w:hanging="912"/>
        <w:spacing w:after="0" w:line="185" w:lineRule="auto"/>
        <w:tabs>
          <w:tab w:leader="none" w:pos="92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the Reporting Persons have not effected any transactions in the shares of Company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right="60" w:hanging="912"/>
        <w:spacing w:after="0" w:line="185" w:lineRule="auto"/>
        <w:tabs>
          <w:tab w:leader="none" w:pos="92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Issuer's securities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to add the following: The information in Item 4 of this Schedule 13D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4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to add the following: 99.1 Stockholder Support Agreement, dated April 13, 2026. 99.2 Joint Filing Agreement, dated April 15, 2026.</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FL Investment Holdings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James Monroe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Thermo Funding II,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James Monroe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Globalstar Satellite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James Monroe III, President of Thermo</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Development Inc., as General Partner of</w:t>
      </w:r>
    </w:p>
    <w:p>
      <w:pPr>
        <w:ind w:left="6740"/>
        <w:spacing w:after="0"/>
        <w:rPr>
          <w:sz w:val="20"/>
          <w:szCs w:val="20"/>
          <w:color w:val="auto"/>
        </w:rPr>
      </w:pPr>
      <w:r>
        <w:rPr>
          <w:rFonts w:ascii="Times New Roman" w:cs="Times New Roman" w:eastAsia="Times New Roman" w:hAnsi="Times New Roman"/>
          <w:sz w:val="22"/>
          <w:szCs w:val="22"/>
          <w:color w:val="auto"/>
        </w:rPr>
        <w:t>Globalstar Satellite,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Monroe Irr. Educational Trust</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Marie Shannon Monroe</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Marie Shannon Monroe, Trustee</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James Monroe III</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James Monroe III</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Thermo Funding Company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James Monroe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Thermo Properties II, LLC</w:t>
      </w:r>
    </w:p>
    <w:p>
      <w:pPr>
        <w:sectPr>
          <w:pgSz w:w="11900" w:h="16838" w:orient="portrait"/>
          <w:cols w:equalWidth="0" w:num="1">
            <w:col w:w="11140"/>
          </w:cols>
          <w:pgMar w:left="360" w:top="139" w:right="399" w:bottom="0" w:gutter="0" w:footer="0" w:header="0"/>
        </w:sectPr>
      </w:pPr>
    </w:p>
    <w:bookmarkStart w:id="12" w:name="page13"/>
    <w:bookmarkEnd w:id="12"/>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James Monroe III, Manager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Thermo XCOM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James Monroe III, President of Thermo</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Development Inc., as Manager of Thermo XCOM</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Thermo Investments Limited Partnership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James Monroe III, President of Thermo Greeley I,</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Inc., as General Partner of Thermo Investments</w:t>
      </w:r>
    </w:p>
    <w:p>
      <w:pPr>
        <w:ind w:left="5660"/>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James Monroe III Grantor Trust</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Monroe III</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James Monroe III, Trustee</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ectPr>
          <w:pgSz w:w="11900" w:h="16838" w:orient="portrait"/>
          <w:cols w:equalWidth="0" w:num="1">
            <w:col w:w="10000"/>
          </w:cols>
          <w:pgMar w:left="1440" w:top="180" w:right="459" w:bottom="1440" w:gutter="0" w:footer="0" w:header="0"/>
        </w:sectPr>
      </w:pPr>
    </w:p>
    <w:bookmarkStart w:id="13" w:name="page14"/>
    <w:bookmarkEnd w:id="13"/>
    <w:p>
      <w:pPr>
        <w:ind w:left="1006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SUPPORT AGREEMENT</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STOCKHOLDER SUPPORT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13, 2026, by and among the undersigned stockholders (each, a “</w:t>
      </w:r>
      <w:r>
        <w:rPr>
          <w:rFonts w:ascii="Times New Roman" w:cs="Times New Roman" w:eastAsia="Times New Roman" w:hAnsi="Times New Roman"/>
          <w:sz w:val="22"/>
          <w:szCs w:val="22"/>
          <w:u w:val="single" w:color="auto"/>
          <w:color w:val="auto"/>
        </w:rPr>
        <w:t>Stockholder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Stockholders</w:t>
      </w:r>
      <w:r>
        <w:rPr>
          <w:rFonts w:ascii="Times New Roman" w:cs="Times New Roman" w:eastAsia="Times New Roman" w:hAnsi="Times New Roman"/>
          <w:sz w:val="22"/>
          <w:szCs w:val="22"/>
          <w:color w:val="auto"/>
        </w:rPr>
        <w:t>”) of Globalstar,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Amazon.com,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The parties to this Agreement are sometimes referred to herein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Capitalized terms used herein without definition shall have the respective meanings specified in the Merger Agreement (as defined below).</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WHEREAS, as of the date hereof, each Stockholder owns, beneficially or of record, the number of shares of Company Common Stock set forth across from its name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being all of the shares of Company Common Stock directly or indirectly owned beneficially or of record by such Stockholder as of the date hereof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and together with such additional shares of capital stock that become beneficially owned (within the meaning of Rule 13d-3 promulgated under the Exchange Act) by it, whether upon the exercise of options, conversion of convertible securities or otherwise, after the date hereof until the Expiration Date,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as of the date hereof, the Shares constitute a majority of, and the Stockholders hold a majority of the voting power of, all issued and outstanding shares of Company Common Stock;</w:t>
      </w:r>
    </w:p>
    <w:p>
      <w:pPr>
        <w:spacing w:after="0" w:line="15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Parent, Grapefruit Acquisition Sub I, Inc., a Delaware corporation and a direct wholly owned Subsidiary of Parent (“</w:t>
      </w:r>
      <w:r>
        <w:rPr>
          <w:rFonts w:ascii="Times New Roman" w:cs="Times New Roman" w:eastAsia="Times New Roman" w:hAnsi="Times New Roman"/>
          <w:sz w:val="22"/>
          <w:szCs w:val="22"/>
          <w:u w:val="single" w:color="auto"/>
          <w:color w:val="auto"/>
        </w:rPr>
        <w:t>Acquisition Sub I</w:t>
      </w:r>
      <w:r>
        <w:rPr>
          <w:rFonts w:ascii="Times New Roman" w:cs="Times New Roman" w:eastAsia="Times New Roman" w:hAnsi="Times New Roman"/>
          <w:sz w:val="22"/>
          <w:szCs w:val="22"/>
          <w:color w:val="auto"/>
        </w:rPr>
        <w:t>”), Grapefruit Acquisition Sub II, LLC, a Delaware limited liability company and a direct wholly owned Subsidiary of Parent (“</w:t>
      </w:r>
      <w:r>
        <w:rPr>
          <w:rFonts w:ascii="Times New Roman" w:cs="Times New Roman" w:eastAsia="Times New Roman" w:hAnsi="Times New Roman"/>
          <w:sz w:val="22"/>
          <w:szCs w:val="22"/>
          <w:u w:val="single" w:color="auto"/>
          <w:color w:val="auto"/>
        </w:rPr>
        <w:t>Acquisition Sub II</w:t>
      </w:r>
      <w:r>
        <w:rPr>
          <w:rFonts w:ascii="Times New Roman" w:cs="Times New Roman" w:eastAsia="Times New Roman" w:hAnsi="Times New Roman"/>
          <w:sz w:val="22"/>
          <w:szCs w:val="22"/>
          <w:color w:val="auto"/>
        </w:rPr>
        <w:t>”), and the Company have entered into that certain Agreement and Plan of Merger, dated as of April 13, 2026 (as amended from time to time,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pursuant to which, among other things, (i) Acquisition Sub I shall merge with and into the Company (the “</w:t>
      </w:r>
      <w:r>
        <w:rPr>
          <w:rFonts w:ascii="Times New Roman" w:cs="Times New Roman" w:eastAsia="Times New Roman" w:hAnsi="Times New Roman"/>
          <w:sz w:val="22"/>
          <w:szCs w:val="22"/>
          <w:u w:val="single" w:color="auto"/>
          <w:color w:val="auto"/>
        </w:rPr>
        <w:t>First Merger</w:t>
      </w:r>
      <w:r>
        <w:rPr>
          <w:rFonts w:ascii="Times New Roman" w:cs="Times New Roman" w:eastAsia="Times New Roman" w:hAnsi="Times New Roman"/>
          <w:sz w:val="22"/>
          <w:szCs w:val="22"/>
          <w:color w:val="auto"/>
        </w:rPr>
        <w:t>”), with the Company surviving the First Merger as a direct wholly owned subsidiary of Parent (the “</w:t>
      </w:r>
      <w:r>
        <w:rPr>
          <w:rFonts w:ascii="Times New Roman" w:cs="Times New Roman" w:eastAsia="Times New Roman" w:hAnsi="Times New Roman"/>
          <w:sz w:val="22"/>
          <w:szCs w:val="22"/>
          <w:u w:val="single" w:color="auto"/>
          <w:color w:val="auto"/>
        </w:rPr>
        <w:t>Surviving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(ii) immediately following the First Merger, the Surviving Corporation shall merge with and into Acquisition Sub II (the “</w:t>
      </w:r>
      <w:r>
        <w:rPr>
          <w:rFonts w:ascii="Times New Roman" w:cs="Times New Roman" w:eastAsia="Times New Roman" w:hAnsi="Times New Roman"/>
          <w:sz w:val="22"/>
          <w:szCs w:val="22"/>
          <w:u w:val="single" w:color="auto"/>
          <w:color w:val="auto"/>
        </w:rPr>
        <w:t>Second Merger</w:t>
      </w:r>
      <w:r>
        <w:rPr>
          <w:rFonts w:ascii="Times New Roman" w:cs="Times New Roman" w:eastAsia="Times New Roman" w:hAnsi="Times New Roman"/>
          <w:sz w:val="22"/>
          <w:szCs w:val="22"/>
          <w:color w:val="auto"/>
        </w:rPr>
        <w:t>” and, together with the First Merger, the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with Acquisition Sub II surviving the Second Merger as a direct wholly owned subsidiary of Parent;</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WHEREAS, prior to the execution and delivery of this Agreement, the Company Special Committee has unanimously (i) approved and declared advisable the Merger Agreement and the consummation of the transactions contemplated thereby, including the Mergers, (ii) determined that the Merger Agreement and the transactions contemplated by the Merger Agreement, including the Mergers, are fair to, and in the best interests of, the Company and its stockholders, (iii) recommended that the SRC and the Company Board (a) approve and declare advisable the Merger Agreement and the consummation of the transactions contemplated thereby, including the Mergers and (b) determine that the Merger Agreement and the transactions contemplated by the Merger Agreement, including the Mergers, are fair to, and in the best interests of, the Company and its stockholders and (iv) recommended that the Company Board (a) direct that the Merger Agreement be submitted to the Company’s stockholders for their adoption and (b) resolve,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 w:name="page15"/>
    <w:bookmarkEnd w:id="1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the terms and conditions of the Merger Agreement, to recommend that the Company’s stockholders adopt the Merger Agreement and approve the transactions contemplated by the Merger Agreement, including the Mergers;</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WHEREAS, prior to the execution and delivery of this Agreement, the SRC, acting upon the unanimous recommendation of the Company Special Committee, has unanimously (i) approved and declared advisable the Merger Agreement and the consummation of the transactions contemplated thereby, including the Mergers, (ii) determined that the Merger Agreement and the transactions contemplated by the Merger Agreement, including the Mergers, are fair to, and in the best interests of, the Company and its stockholders, and (iii) recommended that the Company Board (a) approve and declare advisable the Merger Agreement and the transactions contemplated by the Merger Agreement, including the Mergers, (b) determine that the Merger Agreement and the transactions contemplated by the Merger Agreement, including the Mergers, are fair to, and in the best interests of, the Company and its stockholders, (c) direct that the Merger Agreement be submitted to the Company’s stockholders for their adoption and (d) resolve, subject to the terms and conditions of the Merger Agreement, to recommend that the Company’s stockholders adopt the Merger Agreement and approve the transactions contemplated thereby, including the Mergers;</w:t>
      </w:r>
    </w:p>
    <w:p>
      <w:pPr>
        <w:spacing w:after="0" w:line="17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WHEREAS, prior to the execution and delivery of this Agreement, the Company Board, acting upon the unanimous recommendation of each of the Company Special Committee and the SRC, has unanimously (i) authorized the execution and delivery of the Merger Agreement, and approved and declared advisable the Merger Agreement and the consummation of the transactions contemplated thereby, including the Mergers, (ii) determined that the Merger Agreement and the transactions contemplated thereby, including the Mergers, are fair to, and in the best interests of, the Company and its stockholders, (iii) directed that the Merger Agreement be submitted to the Company’s stockholders for their adoption and (iv) subject to the terms and conditions of the Merger Agreement, resolved to recommend that the Company’s stockholders adopt the Merger Agreement and approve the transactions contemplated thereby, including the Mergers; and</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as a condition to the willingness of Parent to enter into the Merger Agreement and as an inducement and in consideration therefor, each Stockholder has agreed to enter into this Agreement.</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TRANSFERS; FIDUCIARY DUTIES; LEGAL OBLIGATIONS</w:t>
      </w:r>
    </w:p>
    <w:p>
      <w:pPr>
        <w:spacing w:after="0" w:line="178"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b w:val="1"/>
          <w:bCs w:val="1"/>
          <w:u w:val="single" w:color="auto"/>
          <w:color w:val="000000"/>
        </w:rPr>
        <w:t>Voting</w:t>
      </w:r>
      <w:r>
        <w:rPr>
          <w:rFonts w:ascii="Times New Roman" w:cs="Times New Roman" w:eastAsia="Times New Roman" w:hAnsi="Times New Roman"/>
          <w:sz w:val="22"/>
          <w:szCs w:val="22"/>
          <w:color w:val="000000"/>
        </w:rPr>
        <w:t>. From and after the date hereof until the termination of this Agreement in accordance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hereof (such date, the “</w:t>
      </w:r>
      <w:r>
        <w:rPr>
          <w:rFonts w:ascii="Times New Roman" w:cs="Times New Roman" w:eastAsia="Times New Roman" w:hAnsi="Times New Roman"/>
          <w:sz w:val="22"/>
          <w:szCs w:val="22"/>
          <w:u w:val="single" w:color="auto"/>
          <w:color w:val="000000"/>
        </w:rPr>
        <w:t>Expiration Date</w:t>
      </w:r>
      <w:r>
        <w:rPr>
          <w:rFonts w:ascii="Times New Roman" w:cs="Times New Roman" w:eastAsia="Times New Roman" w:hAnsi="Times New Roman"/>
          <w:sz w:val="22"/>
          <w:szCs w:val="22"/>
          <w:color w:val="000000"/>
        </w:rPr>
        <w:t>”), each Stockholder agrees that at any meeting (whether annual or special and each adjourned or postponed meeting) of the stockholders of the Company, however called, or in connection with any written consent of the stockholders of the Company, each Stockholder (in such capacity and not in any other capacity)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jc w:val="both"/>
        <w:spacing w:after="0" w:line="239" w:lineRule="auto"/>
        <w:rPr>
          <w:sz w:val="20"/>
          <w:szCs w:val="20"/>
          <w:color w:val="auto"/>
        </w:rPr>
      </w:pPr>
      <w:r>
        <w:rPr>
          <w:rFonts w:ascii="Times New Roman" w:cs="Times New Roman" w:eastAsia="Times New Roman" w:hAnsi="Times New Roman"/>
          <w:sz w:val="22"/>
          <w:szCs w:val="22"/>
          <w:color w:val="auto"/>
        </w:rPr>
        <w:t>will (i) appear at such meeting or otherwise cause all of the Securities owned by such Stockholder (whether beneficially or of record) to be counted as present thereat for purposes of calculating a quorum and (ii) vote or cause to be voted (including by proxy or written consent, if applicable) all of the Securities owned by such Stockholder (whether beneficially or of record), each of the following, a “</w:t>
      </w:r>
      <w:r>
        <w:rPr>
          <w:rFonts w:ascii="Times New Roman" w:cs="Times New Roman" w:eastAsia="Times New Roman" w:hAnsi="Times New Roman"/>
          <w:sz w:val="22"/>
          <w:szCs w:val="22"/>
          <w:u w:val="single" w:color="auto"/>
          <w:color w:val="auto"/>
        </w:rPr>
        <w:t>Required Vote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60" w:firstLine="644"/>
        <w:spacing w:after="0" w:line="238" w:lineRule="auto"/>
        <w:tabs>
          <w:tab w:leader="none" w:pos="2105"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each meeting, if any, at which a vote of the stockholders of the Company on the Merger Agreement and the Mergers, is requested (a “</w:t>
      </w:r>
      <w:r>
        <w:rPr>
          <w:rFonts w:ascii="Times New Roman" w:cs="Times New Roman" w:eastAsia="Times New Roman" w:hAnsi="Times New Roman"/>
          <w:sz w:val="22"/>
          <w:szCs w:val="22"/>
          <w:u w:val="single" w:color="auto"/>
          <w:color w:val="auto"/>
        </w:rPr>
        <w:t>Merger Proposal</w:t>
      </w:r>
      <w:r>
        <w:rPr>
          <w:rFonts w:ascii="Times New Roman" w:cs="Times New Roman" w:eastAsia="Times New Roman" w:hAnsi="Times New Roman"/>
          <w:sz w:val="22"/>
          <w:szCs w:val="22"/>
          <w:color w:val="auto"/>
        </w:rPr>
        <w:t>”), in favor of such Merger Proposal (and, in the event that such Merger Proposal is presented as more than one proposal, in favor of each proposal that is part of such Merger Proposal), and in favor of any other matter presented or proposed as to approval of the Merger Agreement and the Mergers or any part or aspect thereof or any other transactions or matters contemplated by the Merger Agreement;</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44" w:lineRule="auto"/>
        <w:tabs>
          <w:tab w:leader="none" w:pos="2104"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against any Competing Proposal, if any, or any other transaction, proposal, agreement or action made in opposition to adoption of the Merger Agreement or inconsistent with the Mergers and the other transactions or matters contemplated by the Merger Agreement;</w:t>
      </w:r>
    </w:p>
    <w:p>
      <w:pPr>
        <w:spacing w:after="0" w:line="173" w:lineRule="exact"/>
        <w:rPr>
          <w:rFonts w:ascii="Times New Roman" w:cs="Times New Roman" w:eastAsia="Times New Roman" w:hAnsi="Times New Roman"/>
          <w:sz w:val="22"/>
          <w:szCs w:val="22"/>
          <w:color w:val="010000"/>
        </w:rPr>
      </w:pPr>
    </w:p>
    <w:p>
      <w:pPr>
        <w:jc w:val="both"/>
        <w:ind w:left="660" w:firstLine="644"/>
        <w:spacing w:after="0" w:line="239" w:lineRule="auto"/>
        <w:tabs>
          <w:tab w:leader="none" w:pos="2159"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against any other action, agreement or transaction, that is intended, that would or would be reasonably expected, or the effect of which would or would be reasonably expected, to materially impede, interfere with, delay or materially and adversely affect the Mergers or any of the other transactions contemplated by the Merger Agreement or the performance by such Stockholder of its obligations under this Agreement;</w:t>
      </w:r>
    </w:p>
    <w:p>
      <w:pPr>
        <w:spacing w:after="0" w:line="180" w:lineRule="exact"/>
        <w:rPr>
          <w:rFonts w:ascii="Times New Roman" w:cs="Times New Roman" w:eastAsia="Times New Roman" w:hAnsi="Times New Roman"/>
          <w:sz w:val="22"/>
          <w:szCs w:val="22"/>
          <w:color w:val="010000"/>
        </w:rPr>
      </w:pPr>
    </w:p>
    <w:p>
      <w:pPr>
        <w:jc w:val="both"/>
        <w:ind w:left="660" w:firstLine="644"/>
        <w:spacing w:after="0" w:line="261" w:lineRule="auto"/>
        <w:tabs>
          <w:tab w:leader="none" w:pos="2212" w:val="left"/>
        </w:tabs>
        <w:numPr>
          <w:ilvl w:val="0"/>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against any action, proposal, transaction or agreement that would or would reasonably be expected to result in a breach in any material respect of any covenant, representation or warranty or any other obligation or agreement of the Company contained in the Merger Agreement, or of such Stockholder contained in this Agreement; and</w:t>
      </w:r>
    </w:p>
    <w:p>
      <w:pPr>
        <w:spacing w:after="0" w:line="157" w:lineRule="exact"/>
        <w:rPr>
          <w:rFonts w:ascii="Times New Roman" w:cs="Times New Roman" w:eastAsia="Times New Roman" w:hAnsi="Times New Roman"/>
          <w:sz w:val="21"/>
          <w:szCs w:val="21"/>
          <w:color w:val="010000"/>
        </w:rPr>
      </w:pPr>
    </w:p>
    <w:p>
      <w:pPr>
        <w:ind w:left="660" w:firstLine="644"/>
        <w:spacing w:after="0" w:line="258" w:lineRule="auto"/>
        <w:tabs>
          <w:tab w:leader="none" w:pos="2254"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favor of any other matter necessary to the consummation of the transactions contemplated by the Merger Agreement, including the Mergers.</w:t>
      </w:r>
    </w:p>
    <w:p>
      <w:pPr>
        <w:spacing w:after="0" w:line="15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010000"/>
        </w:rPr>
        <w:t xml:space="preserve">1.2 </w:t>
      </w:r>
      <w:r>
        <w:rPr>
          <w:rFonts w:ascii="Times New Roman" w:cs="Times New Roman" w:eastAsia="Times New Roman" w:hAnsi="Times New Roman"/>
          <w:sz w:val="21"/>
          <w:szCs w:val="21"/>
          <w:b w:val="1"/>
          <w:bCs w:val="1"/>
          <w:u w:val="single" w:color="auto"/>
          <w:color w:val="000000"/>
        </w:rPr>
        <w:t>Written Consent</w:t>
      </w:r>
      <w:r>
        <w:rPr>
          <w:rFonts w:ascii="Times New Roman" w:cs="Times New Roman" w:eastAsia="Times New Roman" w:hAnsi="Times New Roman"/>
          <w:sz w:val="21"/>
          <w:szCs w:val="21"/>
          <w:color w:val="000000"/>
        </w:rPr>
        <w:t>. Each Stockholder agrees that, as promptly as practicable following the execution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Merger Agreement, and in any event within twenty-four (24) hours following the execution of the Merger Agreement, each Stockholder shall duly execute and validly deliver to the Company a written consent to adopt the Merger Agreement and approve the transactions contemplated thereby, including the Mergers, in each case, in compliance with the certificate of incorporation and bylaws of the Company, and in the form attached hereto as </w:t>
      </w:r>
      <w:r>
        <w:rPr>
          <w:rFonts w:ascii="Times New Roman" w:cs="Times New Roman" w:eastAsia="Times New Roman" w:hAnsi="Times New Roman"/>
          <w:sz w:val="21"/>
          <w:szCs w:val="21"/>
          <w:u w:val="single" w:color="auto"/>
          <w:color w:val="000000"/>
        </w:rPr>
        <w:t>Exhibit B</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u w:val="single" w:color="auto"/>
          <w:color w:val="000000"/>
        </w:rPr>
        <w:t>Written Consent</w:t>
      </w:r>
      <w:r>
        <w:rPr>
          <w:rFonts w:ascii="Times New Roman" w:cs="Times New Roman" w:eastAsia="Times New Roman" w:hAnsi="Times New Roman"/>
          <w:sz w:val="21"/>
          <w:szCs w:val="21"/>
          <w:color w:val="000000"/>
        </w:rPr>
        <w:t xml:space="preserve">”), with respect to all of its Securities entitled to consent thereto. Each Stockholder irrevocably and unconditionally agrees that, once the Written Consent is delivered, such Stockholder shall not revoke, supersede or modify in any way the Written Consent, or take any action which has the effect of the foregoing, unless and until this Agreement shall have been validly terminated in accordance with </w:t>
      </w:r>
      <w:r>
        <w:rPr>
          <w:rFonts w:ascii="Times New Roman" w:cs="Times New Roman" w:eastAsia="Times New Roman" w:hAnsi="Times New Roman"/>
          <w:sz w:val="21"/>
          <w:szCs w:val="21"/>
          <w:u w:val="single" w:color="auto"/>
          <w:color w:val="000000"/>
        </w:rPr>
        <w:t>Article IV</w:t>
      </w:r>
      <w:r>
        <w:rPr>
          <w:rFonts w:ascii="Times New Roman" w:cs="Times New Roman" w:eastAsia="Times New Roman" w:hAnsi="Times New Roman"/>
          <w:sz w:val="21"/>
          <w:szCs w:val="21"/>
          <w:color w:val="000000"/>
        </w:rPr>
        <w:t>.</w:t>
      </w:r>
    </w:p>
    <w:p>
      <w:pPr>
        <w:spacing w:after="0" w:line="17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010000"/>
        </w:rPr>
        <w:t xml:space="preserve">1.3 </w:t>
      </w:r>
      <w:r>
        <w:rPr>
          <w:rFonts w:ascii="Times New Roman" w:cs="Times New Roman" w:eastAsia="Times New Roman" w:hAnsi="Times New Roman"/>
          <w:sz w:val="22"/>
          <w:szCs w:val="22"/>
          <w:b w:val="1"/>
          <w:bCs w:val="1"/>
          <w:u w:val="single" w:color="auto"/>
          <w:color w:val="000000"/>
        </w:rPr>
        <w:t>Adverse Recommendation Change</w:t>
      </w:r>
      <w:r>
        <w:rPr>
          <w:rFonts w:ascii="Times New Roman" w:cs="Times New Roman" w:eastAsia="Times New Roman" w:hAnsi="Times New Roman"/>
          <w:sz w:val="22"/>
          <w:szCs w:val="22"/>
          <w:color w:val="000000"/>
        </w:rPr>
        <w:t>. Notwithstanding anything to the contrary herein, if, at any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prior to the delivery of the Written Consent, there occurs an Adverse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Recommendation Change in compliance with the terms of the Merger Agreement, then, during the time the Adverse Recommendation Change is in effect, the obligations of the Stockholders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shall only apply to the Securities owned by the Stockholders (whether beneficially or of record) representing in the aggregate 33% of the total number of outstanding shares of Company Common Stock held by all holders of Company Common Stock at the applicable measurement time.</w:t>
      </w:r>
    </w:p>
    <w:p>
      <w:pPr>
        <w:spacing w:after="0" w:line="17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1.4 </w:t>
      </w:r>
      <w:r>
        <w:rPr>
          <w:rFonts w:ascii="Times New Roman" w:cs="Times New Roman" w:eastAsia="Times New Roman" w:hAnsi="Times New Roman"/>
          <w:sz w:val="22"/>
          <w:szCs w:val="22"/>
          <w:b w:val="1"/>
          <w:bCs w:val="1"/>
          <w:u w:val="single" w:color="auto"/>
          <w:color w:val="000000"/>
        </w:rPr>
        <w:t>Irrevocable Proxy</w:t>
      </w:r>
      <w:r>
        <w:rPr>
          <w:rFonts w:ascii="Times New Roman" w:cs="Times New Roman" w:eastAsia="Times New Roman" w:hAnsi="Times New Roman"/>
          <w:sz w:val="22"/>
          <w:szCs w:val="22"/>
          <w:color w:val="000000"/>
        </w:rPr>
        <w:t>. Solely in the event that any Stockholder fails to deliver the Written Consent within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twenty-four (24) hours following the execution of the Merger Agreement, then, each such Stockholder hereby irrevocably grants to, and appoints, Parent and any designee of Parent (determined in Parent’s sole discretion) as such Stockholder’s attorney-in-fact and proxy, with full power of substitution and resubstitution, for and in such Stockholder’s name, to vote, or cause to be voted (including by proxy or written consent) (until the termination of this Agreement in accordance with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any Securities owned (whether beneficially or of record) by such Stockholder solely to the extent, and in the manner, expressly set forth with respect to the Required Votes in </w:t>
      </w:r>
      <w:r>
        <w:rPr>
          <w:rFonts w:ascii="Times New Roman" w:cs="Times New Roman" w:eastAsia="Times New Roman" w:hAnsi="Times New Roman"/>
          <w:sz w:val="22"/>
          <w:szCs w:val="22"/>
          <w:u w:val="single" w:color="auto"/>
          <w:color w:val="000000"/>
        </w:rPr>
        <w:t>Section 1.1</w:t>
      </w:r>
      <w:r>
        <w:rPr>
          <w:rFonts w:ascii="Times New Roman" w:cs="Times New Roman" w:eastAsia="Times New Roman" w:hAnsi="Times New Roman"/>
          <w:sz w:val="22"/>
          <w:szCs w:val="22"/>
          <w:color w:val="000000"/>
        </w:rPr>
        <w:t xml:space="preserve"> before the Expiration Date. The proxy granted by each Stockholder pursuant to this </w:t>
      </w:r>
      <w:r>
        <w:rPr>
          <w:rFonts w:ascii="Times New Roman" w:cs="Times New Roman" w:eastAsia="Times New Roman" w:hAnsi="Times New Roman"/>
          <w:sz w:val="22"/>
          <w:szCs w:val="22"/>
          <w:u w:val="single" w:color="auto"/>
          <w:color w:val="000000"/>
        </w:rPr>
        <w:t>Section 1.4</w:t>
      </w:r>
      <w:r>
        <w:rPr>
          <w:rFonts w:ascii="Times New Roman" w:cs="Times New Roman" w:eastAsia="Times New Roman" w:hAnsi="Times New Roman"/>
          <w:sz w:val="22"/>
          <w:szCs w:val="22"/>
          <w:color w:val="000000"/>
        </w:rPr>
        <w:t xml:space="preserve">, except upon the earlier of the termination of this Agreement in accordance with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and the termination of this </w:t>
      </w:r>
      <w:r>
        <w:rPr>
          <w:rFonts w:ascii="Times New Roman" w:cs="Times New Roman" w:eastAsia="Times New Roman" w:hAnsi="Times New Roman"/>
          <w:sz w:val="22"/>
          <w:szCs w:val="22"/>
          <w:u w:val="single" w:color="auto"/>
          <w:color w:val="000000"/>
        </w:rPr>
        <w:t>Section 1.4</w:t>
      </w:r>
      <w:r>
        <w:rPr>
          <w:rFonts w:ascii="Times New Roman" w:cs="Times New Roman" w:eastAsia="Times New Roman" w:hAnsi="Times New Roman"/>
          <w:sz w:val="22"/>
          <w:szCs w:val="22"/>
          <w:color w:val="000000"/>
        </w:rPr>
        <w:t xml:space="preserve">, is irrevocable and is granted in consideration of Parent entering into this Agreement and the Merger Agreement and incurring certain related fees and expenses. Each Stockholder hereby affirms that such irrevocable proxy is coupled with an interest by reason of the Merger Agreement and, except upon the termination of this Agreement in accordance with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is intended to, and shall be, irrevocable. For the avoidance of doubt, nothing in this </w:t>
      </w:r>
      <w:r>
        <w:rPr>
          <w:rFonts w:ascii="Times New Roman" w:cs="Times New Roman" w:eastAsia="Times New Roman" w:hAnsi="Times New Roman"/>
          <w:sz w:val="22"/>
          <w:szCs w:val="22"/>
          <w:u w:val="single" w:color="auto"/>
          <w:color w:val="000000"/>
        </w:rPr>
        <w:t>Section 1.4</w:t>
      </w:r>
      <w:r>
        <w:rPr>
          <w:rFonts w:ascii="Times New Roman" w:cs="Times New Roman" w:eastAsia="Times New Roman" w:hAnsi="Times New Roman"/>
          <w:sz w:val="22"/>
          <w:szCs w:val="22"/>
          <w:color w:val="000000"/>
        </w:rPr>
        <w:t xml:space="preserve"> or the proxy hereby granted shall affect the authority of any Stockholder to execute and deliver or otherwise affect the validity of the Written Consent contemplated by </w:t>
      </w:r>
      <w:r>
        <w:rPr>
          <w:rFonts w:ascii="Times New Roman" w:cs="Times New Roman" w:eastAsia="Times New Roman" w:hAnsi="Times New Roman"/>
          <w:sz w:val="22"/>
          <w:szCs w:val="22"/>
          <w:u w:val="single" w:color="auto"/>
          <w:color w:val="000000"/>
        </w:rPr>
        <w:t>Section 1.2</w:t>
      </w:r>
      <w:r>
        <w:rPr>
          <w:rFonts w:ascii="Times New Roman" w:cs="Times New Roman" w:eastAsia="Times New Roman" w:hAnsi="Times New Roman"/>
          <w:sz w:val="22"/>
          <w:szCs w:val="22"/>
          <w:color w:val="000000"/>
        </w:rPr>
        <w:t xml:space="preserve"> of this Agreement. Notwithstanding anything herein to the contrary, the provisions of this </w:t>
      </w:r>
      <w:r>
        <w:rPr>
          <w:rFonts w:ascii="Times New Roman" w:cs="Times New Roman" w:eastAsia="Times New Roman" w:hAnsi="Times New Roman"/>
          <w:sz w:val="22"/>
          <w:szCs w:val="22"/>
          <w:u w:val="single" w:color="auto"/>
          <w:color w:val="000000"/>
        </w:rPr>
        <w:t>Section 1.4</w:t>
      </w:r>
      <w:r>
        <w:rPr>
          <w:rFonts w:ascii="Times New Roman" w:cs="Times New Roman" w:eastAsia="Times New Roman" w:hAnsi="Times New Roman"/>
          <w:sz w:val="22"/>
          <w:szCs w:val="22"/>
          <w:color w:val="000000"/>
        </w:rPr>
        <w:t xml:space="preserve"> shall automatically terminate (without any further action of the parties) and be of no further force or effect upon the delivery of the Written Consent in accordance with the terms hereof.</w:t>
      </w:r>
    </w:p>
    <w:p>
      <w:pPr>
        <w:spacing w:after="0" w:line="174"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1.5 </w:t>
      </w:r>
      <w:r>
        <w:rPr>
          <w:rFonts w:ascii="Times New Roman" w:cs="Times New Roman" w:eastAsia="Times New Roman" w:hAnsi="Times New Roman"/>
          <w:sz w:val="22"/>
          <w:szCs w:val="22"/>
          <w:b w:val="1"/>
          <w:bCs w:val="1"/>
          <w:u w:val="single" w:color="auto"/>
          <w:color w:val="000000"/>
        </w:rPr>
        <w:t>Restrictions on Transfers</w:t>
      </w:r>
      <w:r>
        <w:rPr>
          <w:rFonts w:ascii="Times New Roman" w:cs="Times New Roman" w:eastAsia="Times New Roman" w:hAnsi="Times New Roman"/>
          <w:sz w:val="22"/>
          <w:szCs w:val="22"/>
          <w:color w:val="000000"/>
        </w:rPr>
        <w:t>. Each Stockholder hereby agrees that, from the date hereof until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Expiration Date, it shall not, directly or indirectly, except in connection with the consummation of the Mergers and as expressly provided for in the Merger Agreement or with the prior written consent of Parent and the Company, (i) sell, transfer, assign, tender in any tender or exchange offer, pledge, encumber, hypothecate or similarly dispose of (by merger, by testamentary disposition, by operation of law or otherwise), either voluntarily or involuntarily, or enter into any contract, option or other arrangement or understanding with respect to the sale, transfer, assignment, pledge, lien (other than any restrictions created by this Agreement or Liens imposed under applicable securities Laws), hypothecation or other disposition of (by merger, by testamentary disposition, by operation of Law or otherwise), any Securities (each, a “</w:t>
      </w:r>
      <w:r>
        <w:rPr>
          <w:rFonts w:ascii="Times New Roman" w:cs="Times New Roman" w:eastAsia="Times New Roman" w:hAnsi="Times New Roman"/>
          <w:sz w:val="22"/>
          <w:szCs w:val="22"/>
          <w:u w:val="single" w:color="auto"/>
          <w:color w:val="000000"/>
        </w:rPr>
        <w:t>Transfer</w:t>
      </w:r>
      <w:r>
        <w:rPr>
          <w:rFonts w:ascii="Times New Roman" w:cs="Times New Roman" w:eastAsia="Times New Roman" w:hAnsi="Times New Roman"/>
          <w:sz w:val="22"/>
          <w:szCs w:val="22"/>
          <w:color w:val="000000"/>
        </w:rPr>
        <w:t xml:space="preserve">”), (ii) deposit any Securities into a voting trust or enter into a voting agreement or arrangement or grant any proxy, consent or power of attorney with respect thereto or enter into any agreement (other than this Agreement) or take any action that would have the effect of preventing such Stockholder from performing any of its obligations under this Agreement, or (iii) agree (regardless of whether in writing) to take any of the actions referred to in the foregoing clause (i) or (ii). Notwithstanding the foregoing, each Stockholder shall have the right to Transfer its Securities to an Affiliate;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prior to and as a condition to the effectiveness of such Transfer, any Affiliate and related fund entities to which any of such Securities or any interest in any of such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Securities is transferred shall have executed and delivered to Parent a counterpart to this Agreement pursuant to which such Person shall be bound by all terms and provisions of this Agreement. Any Transfer or attempted Transfer of any Securities in violation 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shall be null and void and of no effect. If any involuntary Transfer of any of the Securities shall occur (including a sale by any Stockholder’s trustee in any bankruptcy, or a sale to a purchaser at any creditor’s or court sale), the transferee (which term, as used herein, shall include any and all transferees and subsequent transferees of the initial transferee) shall take and hold such Securities subject to all of the terms of this Agreement, which shall continue in full force and effect until valid termination of this Agreement.</w:t>
      </w:r>
    </w:p>
    <w:p>
      <w:pPr>
        <w:spacing w:after="0" w:line="179"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1.6 </w:t>
      </w:r>
      <w:r>
        <w:rPr>
          <w:rFonts w:ascii="Times New Roman" w:cs="Times New Roman" w:eastAsia="Times New Roman" w:hAnsi="Times New Roman"/>
          <w:sz w:val="22"/>
          <w:szCs w:val="22"/>
          <w:b w:val="1"/>
          <w:bCs w:val="1"/>
          <w:u w:val="single" w:color="auto"/>
          <w:color w:val="000000"/>
        </w:rPr>
        <w:t>Fiduciary Duties; Legal Obligations</w:t>
      </w:r>
      <w:r>
        <w:rPr>
          <w:rFonts w:ascii="Times New Roman" w:cs="Times New Roman" w:eastAsia="Times New Roman" w:hAnsi="Times New Roman"/>
          <w:sz w:val="22"/>
          <w:szCs w:val="22"/>
          <w:color w:val="000000"/>
        </w:rPr>
        <w:t>. Each Stockholder is entering into this Agreement solely in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capacity as the record or beneficial owner of the Securities, and not in any other capacity. Notwithstanding any provision in this Agreement to the contrary, (a) nothing in this Agreement shall limit or restrict a Stockholder, or any officer, director or other Representative of such Stockholder, in his or her capacity as a director or officer of the Company from acting in such capacity or voting in such capacity in the exercise of such person’s fiduciary duties as a director or officer of the Company, in each case, in such person’s sole discretion in accordance with its fiduciary duties under applicable Law, and (b) the taking of any action (or any failures to act) by a Stockholder or any officer, director or other Representative of the Stockholder in his or her capacity as a director or officer of the Company or in the exercise of such person’s fiduciary duties as a director or officer of the Company, shall not be deemed to constitute a breach of this Agreement.</w:t>
      </w:r>
    </w:p>
    <w:p>
      <w:pPr>
        <w:spacing w:after="0" w:line="17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010000"/>
        </w:rPr>
        <w:t xml:space="preserve">1.7 </w:t>
      </w:r>
      <w:r>
        <w:rPr>
          <w:rFonts w:ascii="Times New Roman" w:cs="Times New Roman" w:eastAsia="Times New Roman" w:hAnsi="Times New Roman"/>
          <w:sz w:val="22"/>
          <w:szCs w:val="22"/>
          <w:b w:val="1"/>
          <w:bCs w:val="1"/>
          <w:u w:val="single" w:color="auto"/>
          <w:color w:val="000000"/>
        </w:rPr>
        <w:t>Compliance with Merger Agreement and Other Obligations</w:t>
      </w:r>
      <w:r>
        <w:rPr>
          <w:rFonts w:ascii="Times New Roman" w:cs="Times New Roman" w:eastAsia="Times New Roman" w:hAnsi="Times New Roman"/>
          <w:sz w:val="22"/>
          <w:szCs w:val="22"/>
          <w:color w:val="000000"/>
        </w:rPr>
        <w:t>. Subject to Section 1.6, from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following the execution of this Agreement, each Stockholder shall use their reasonable best efforts to not take, and to cause its Affiliates (which shall not include the Company and its Subsidiaries, who shall instead be bound by the provisions of the Merger Agreement) and Representatives acting at such Stockholder’s direction or on its behalf not to take, directly or indirectly, any action that would reasonably be expected to cause the Company to breach any provision of the Merger Agreement or otherwise restrict, limit or interfere with the Company’s performance of the Merger Agreement or the transactions contemplated by the Merger Agreement. In addition, except as contemplated by the Merger Agreement and the transactions contemplated thereby or with the prior written consent of Parent and the Company, no Stockholder will amend, in a manner adverse to the Company or any of its Subsidiaries, any guaranty or other contract with the Company or its Subsidiaries (or which the Company or its Subsidiaries is a beneficiary thereof) to which it is a party.</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COVENANTS OF THE PARTIES</w:t>
      </w:r>
    </w:p>
    <w:p>
      <w:pPr>
        <w:spacing w:after="0" w:line="18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color w:val="auto"/>
        </w:rPr>
        <w:t>Each Stockholder hereby:</w:t>
      </w:r>
    </w:p>
    <w:p>
      <w:pPr>
        <w:spacing w:after="0" w:line="206" w:lineRule="exact"/>
        <w:rPr>
          <w:sz w:val="20"/>
          <w:szCs w:val="20"/>
          <w:color w:val="auto"/>
        </w:rPr>
      </w:pPr>
    </w:p>
    <w:p>
      <w:pPr>
        <w:jc w:val="both"/>
        <w:ind w:left="660" w:firstLine="644"/>
        <w:spacing w:after="0" w:line="239" w:lineRule="auto"/>
        <w:tabs>
          <w:tab w:leader="none" w:pos="2105"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to promptly notify Parent and the Company of the number of any new Securities acquired by the Stockholder after the date hereof and prior to the Expiration Date, it being understood, for the avoidance of doubt, that any such Securities shall be subject to the terms of this Agreement as though owned by the Stockholder on the date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jc w:val="both"/>
        <w:ind w:left="-460" w:firstLine="644"/>
        <w:spacing w:after="0" w:line="233" w:lineRule="auto"/>
        <w:tabs>
          <w:tab w:leader="none" w:pos="917"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to (i) permit Parent and the Company to publish and disclose in any disclosure required to be made by applicable Law or in accordance with the terms of the Merger Agreement in connection with the transactions contemplated by the Merger Agreement, including in the Registration Statement and Information Statement (or any other filing made pursuant to applicable Law), the Stockholder’s identity and ownership of its Securities and the nature of the Stockholder’s commitments, arrangements and understandings under this Agreement or relating to the Merger Agreement or the transactions contemplated by hereby and thereby, (ii) promptly furnish to Parent and the Company any information relating to the Company and its Subsidiaries and such Stockholder’s direct or indirect ownership of the Securities that is reasonably available to it and that Parent or the Company may reasonably request to comply with applicable Law, (iii) notify Parent and the Company of any legally required corrections with respect to any information supplied by it specifically for use in any such disclosure, if and to the extent that such Stockholder becomes aware, after reasonable diligence, that any such information contained any untrue statement of a material fact or omitted to state a material fact required to be stated therein or necessary in order to make the statements therein, in light of the circumstances under which they were made, not misleading and (iv) reasonably cooperate with the reasonable requests of Parent and the Company in collecting such information needed for them to publish and disclose such information;</w:t>
      </w:r>
    </w:p>
    <w:p>
      <w:pPr>
        <w:spacing w:after="0" w:line="179" w:lineRule="exact"/>
        <w:rPr>
          <w:rFonts w:ascii="Times New Roman" w:cs="Times New Roman" w:eastAsia="Times New Roman" w:hAnsi="Times New Roman"/>
          <w:sz w:val="22"/>
          <w:szCs w:val="22"/>
          <w:color w:val="010000"/>
        </w:rPr>
      </w:pPr>
    </w:p>
    <w:p>
      <w:pPr>
        <w:ind w:left="-460" w:right="20" w:firstLine="644"/>
        <w:spacing w:after="0" w:line="234" w:lineRule="auto"/>
        <w:tabs>
          <w:tab w:leader="none" w:pos="877"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not, and shall cause its Affiliates (which shall not include the Company and its Subsidiaries, who shall instead be bound by the provisions of Section 6.8 of the Merger Agreement) and its and their respective directors, officers, employees, and other Representatives not to, issue or cause the publication of any press release or otherwise make any public statement, disclosure or communication with respect to this Agreement and the transactions contemplated hereby (including the Mergers and the other transactions contemplated by the Merger Agreement) except (i) to the extent required by any applicable Law or Order or (ii) with the prior written consent of Parent, except that no such consent shall be necessary to the extent disclosure (x) is consistent with (and not materially expansive of) prior public communications previously consented to by Parent or (y) relates to any dispute or actual or threatened Actions between or among the parties or their respective Affiliates related to this Agreement, the Merger Agreement or any of the transactions contemplated hereby or thereby;</w:t>
      </w:r>
    </w:p>
    <w:p>
      <w:pPr>
        <w:spacing w:after="0" w:line="179" w:lineRule="exact"/>
        <w:rPr>
          <w:rFonts w:ascii="Times New Roman" w:cs="Times New Roman" w:eastAsia="Times New Roman" w:hAnsi="Times New Roman"/>
          <w:sz w:val="22"/>
          <w:szCs w:val="22"/>
          <w:color w:val="010000"/>
        </w:rPr>
      </w:pPr>
    </w:p>
    <w:p>
      <w:pPr>
        <w:jc w:val="both"/>
        <w:ind w:left="-460" w:firstLine="644"/>
        <w:spacing w:after="0" w:line="244" w:lineRule="auto"/>
        <w:tabs>
          <w:tab w:leader="none" w:pos="944"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and hereby does, authorize the Company or its counsel to notify the Company’s transfer agent that, until the Expiration Date, there is a stop transfer order with respect to all of the Securities (and that this Agreement places limits on the voting and transfer of such Securities);</w:t>
      </w:r>
    </w:p>
    <w:p>
      <w:pPr>
        <w:spacing w:after="0" w:line="173" w:lineRule="exact"/>
        <w:rPr>
          <w:rFonts w:ascii="Times New Roman" w:cs="Times New Roman" w:eastAsia="Times New Roman" w:hAnsi="Times New Roman"/>
          <w:sz w:val="22"/>
          <w:szCs w:val="22"/>
          <w:color w:val="010000"/>
        </w:rPr>
      </w:pPr>
    </w:p>
    <w:p>
      <w:pPr>
        <w:jc w:val="both"/>
        <w:ind w:left="-460" w:firstLine="644"/>
        <w:spacing w:after="0" w:line="251" w:lineRule="auto"/>
        <w:tabs>
          <w:tab w:leader="none" w:pos="972" w:val="left"/>
        </w:tabs>
        <w:numPr>
          <w:ilvl w:val="0"/>
          <w:numId w:val="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shall (i) promptly (and in no event later than twenty-five (25) Business Days following the date that this Agreement is executed) make any filing required by such Stockholder under the HSR Act, (ii) as promptly as reasonably practicable, make any other applications and filings as reasonably determined by the Company and Parent to be required under any Law with respect to the Mergers and the other transactions contemplated by the Merger Agreement and (iii) cooperate and coordinate with the Company and Parent in the making of such filings and submissions;</w:t>
      </w:r>
    </w:p>
    <w:p>
      <w:pPr>
        <w:spacing w:after="0" w:line="3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19" w:name="page20"/>
    <w:bookmarkEnd w:id="19"/>
    <w:p>
      <w:pPr>
        <w:jc w:val="both"/>
        <w:ind w:left="660" w:firstLine="644"/>
        <w:spacing w:after="0" w:line="236" w:lineRule="auto"/>
        <w:tabs>
          <w:tab w:leader="none" w:pos="2203"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that from and after the date hereof until the Expiration Date, except as otherwise provided in Section 6.5 of the Merger Agreement, such Stockholder shall not, and shall cause its directors, officers and Affiliates (which shall not include the Company and its Subsidiaries) not to, and shall instruct and use its commercially reasonable efforts to cause its and its Affiliates’ (which shall not include the Company and its Subsidiaries) other Representatives not to, directly or indirectly, take any action described in clauses (i) through (iv) of Section 6.5(c) of the Merger Agreement; and</w:t>
      </w:r>
    </w:p>
    <w:p>
      <w:pPr>
        <w:spacing w:after="0" w:line="181" w:lineRule="exact"/>
        <w:rPr>
          <w:rFonts w:ascii="Times New Roman" w:cs="Times New Roman" w:eastAsia="Times New Roman" w:hAnsi="Times New Roman"/>
          <w:sz w:val="22"/>
          <w:szCs w:val="22"/>
          <w:color w:val="010000"/>
        </w:rPr>
      </w:pPr>
    </w:p>
    <w:p>
      <w:pPr>
        <w:jc w:val="both"/>
        <w:ind w:left="660" w:firstLine="644"/>
        <w:spacing w:after="0" w:line="244" w:lineRule="auto"/>
        <w:tabs>
          <w:tab w:leader="none" w:pos="2010"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to execute and deliver, or cause to be executed and delivered, such additional instruments, and shall take such further action, as Parent or the Company may reasonably request to the extent necessary to effect the transactions contemplated by this Agreement and the Merger Agreement.</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color w:val="000000"/>
        </w:rPr>
        <w:t>Parent hereby agrees to comply in all material respects with its obligations under the prepayment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with Customer Parent, dated as of the date hereof (the “</w:t>
      </w:r>
      <w:r>
        <w:rPr>
          <w:rFonts w:ascii="Times New Roman" w:cs="Times New Roman" w:eastAsia="Times New Roman" w:hAnsi="Times New Roman"/>
          <w:sz w:val="22"/>
          <w:szCs w:val="22"/>
          <w:u w:val="single" w:color="auto"/>
          <w:color w:val="000000"/>
        </w:rPr>
        <w:t>Assumed Prepayment Agreement</w:t>
      </w:r>
      <w:r>
        <w:rPr>
          <w:rFonts w:ascii="Times New Roman" w:cs="Times New Roman" w:eastAsia="Times New Roman" w:hAnsi="Times New Roman"/>
          <w:sz w:val="22"/>
          <w:szCs w:val="22"/>
          <w:color w:val="000000"/>
        </w:rPr>
        <w:t>”), to the extent necessary or advisable to cause the termination of that certain Secured Guaranty, dated as of February 25, 2023 (as amended), made by one of the Stockholders in favor of Customer Parent, as promptly as practicable after the First Effective Time, including by timely making any required payments under the Assumed Prepayment Agreement in order to effect such termination.</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STOCKHOLDER</w:t>
      </w:r>
    </w:p>
    <w:p>
      <w:pPr>
        <w:spacing w:after="0" w:line="18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color w:val="auto"/>
        </w:rPr>
        <w:t>Each Stockholder represents and warrants to Parent as follows:</w:t>
      </w:r>
    </w:p>
    <w:p>
      <w:pPr>
        <w:spacing w:after="0" w:line="206" w:lineRule="exact"/>
        <w:rPr>
          <w:sz w:val="20"/>
          <w:szCs w:val="20"/>
          <w:color w:val="auto"/>
        </w:rPr>
      </w:pPr>
    </w:p>
    <w:p>
      <w:pPr>
        <w:ind w:left="660" w:firstLine="644"/>
        <w:spacing w:after="0" w:line="258" w:lineRule="auto"/>
        <w:tabs>
          <w:tab w:leader="none" w:pos="2051"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Stockholder has full legal right and capacity to execute and deliver this Agreement, to perform such Stockholder’s obligations hereunder and to consummate the transactions contemplated hereby;</w:t>
      </w:r>
    </w:p>
    <w:p>
      <w:pPr>
        <w:spacing w:after="0" w:line="158" w:lineRule="exact"/>
        <w:rPr>
          <w:rFonts w:ascii="Times New Roman" w:cs="Times New Roman" w:eastAsia="Times New Roman" w:hAnsi="Times New Roman"/>
          <w:sz w:val="22"/>
          <w:szCs w:val="22"/>
          <w:color w:val="010000"/>
        </w:rPr>
      </w:pPr>
    </w:p>
    <w:p>
      <w:pPr>
        <w:jc w:val="both"/>
        <w:ind w:left="660" w:firstLine="644"/>
        <w:spacing w:after="0" w:line="238" w:lineRule="auto"/>
        <w:tabs>
          <w:tab w:leader="none" w:pos="2023"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has been duly executed and delivered by such Stockholder and the execution, delivery and performance of this Agreement by such Stockholder and the consummation of the transactions contemplated hereby have been duly authorized by all necessary action on the part of such Stockholder and no other actions or proceedings on the part of such Stockholder are necessary to authorize this Agreement or to consummate the transactions contemplated hereby;</w:t>
      </w:r>
    </w:p>
    <w:p>
      <w:pPr>
        <w:spacing w:after="0" w:line="176" w:lineRule="exact"/>
        <w:rPr>
          <w:rFonts w:ascii="Times New Roman" w:cs="Times New Roman" w:eastAsia="Times New Roman" w:hAnsi="Times New Roman"/>
          <w:sz w:val="22"/>
          <w:szCs w:val="22"/>
          <w:color w:val="010000"/>
        </w:rPr>
      </w:pPr>
    </w:p>
    <w:p>
      <w:pPr>
        <w:jc w:val="both"/>
        <w:ind w:left="660" w:firstLine="644"/>
        <w:spacing w:after="0" w:line="235" w:lineRule="auto"/>
        <w:tabs>
          <w:tab w:leader="none" w:pos="2200"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execution and delivery of the Merger Agreement by the parties thereto, this Agreement constitutes the valid and binding agreement of such Stockholder, enforceable against such Stockholder in accordance with its terms (provided that (i) such enforcement may be subject to applicable bankruptcy, insolvency (including all Laws related to fraudulent transfers),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Action therefor may be brought);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jc w:val="both"/>
        <w:ind w:left="-460" w:firstLine="644"/>
        <w:spacing w:after="0" w:line="233" w:lineRule="auto"/>
        <w:tabs>
          <w:tab w:leader="none" w:pos="944"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individually or in the aggregate, reasonably be expected to prevent, materially delay or materially impair the consummation of the Mergers, or the performance by such Stockholder of its obligations under this Agreement, the execution and delivery of this Agreement by such Stockholder does not, and the consummation of the transactions contemplated hereby and the compliance with the provisions hereof will not (i) conflict with or violate any Laws or agreements binding upon such Stockholder or the Securities owned by such Stockholder, nor require any authorization, consent or approval of, or filing with, any Governmental Authority, except for filings with the SEC by such Stockholder and under any applicable state securities, takeover, or Blue Sky Laws of various states, Antitrust Laws, Foreign Investment Laws or Satellite and Communications Laws, (ii) conflict with or violate the Organizational Documents of such Stockholder, or (iii) result in the creation or acceleration of any obligations under, or the creation of a Lien (other than any restrictions created by this Agreement or Liens imposed under applicable securities Laws) on the Securities of such Stockholder (with or without notice, lapse of time or both) pursuant to, any Contract or other obligation binding upon such Stockholder;</w:t>
      </w:r>
    </w:p>
    <w:p>
      <w:pPr>
        <w:spacing w:after="0" w:line="184" w:lineRule="exact"/>
        <w:rPr>
          <w:rFonts w:ascii="Times New Roman" w:cs="Times New Roman" w:eastAsia="Times New Roman" w:hAnsi="Times New Roman"/>
          <w:sz w:val="22"/>
          <w:szCs w:val="22"/>
          <w:color w:val="010000"/>
        </w:rPr>
      </w:pPr>
    </w:p>
    <w:p>
      <w:pPr>
        <w:ind w:left="-460" w:firstLine="644"/>
        <w:spacing w:after="0" w:line="258" w:lineRule="auto"/>
        <w:tabs>
          <w:tab w:leader="none" w:pos="877"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Stockholder owns, beneficially or of record, all of the Securities set forth opposite such Stockholder’s name on Exhibit A attached hereto;</w:t>
      </w:r>
    </w:p>
    <w:p>
      <w:pPr>
        <w:spacing w:after="0" w:line="158" w:lineRule="exact"/>
        <w:rPr>
          <w:rFonts w:ascii="Times New Roman" w:cs="Times New Roman" w:eastAsia="Times New Roman" w:hAnsi="Times New Roman"/>
          <w:sz w:val="22"/>
          <w:szCs w:val="22"/>
          <w:color w:val="010000"/>
        </w:rPr>
      </w:pPr>
    </w:p>
    <w:p>
      <w:pPr>
        <w:jc w:val="both"/>
        <w:ind w:left="-460" w:firstLine="644"/>
        <w:spacing w:after="0" w:line="233" w:lineRule="auto"/>
        <w:tabs>
          <w:tab w:leader="none" w:pos="1056"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contemplated by Section 10.2(f) of the Key Terms Agreement and that certain Lock-up and Right of First Offer Agreement (as it may be amended from time to time, the “</w:t>
      </w:r>
      <w:r>
        <w:rPr>
          <w:rFonts w:ascii="Times New Roman" w:cs="Times New Roman" w:eastAsia="Times New Roman" w:hAnsi="Times New Roman"/>
          <w:sz w:val="22"/>
          <w:szCs w:val="22"/>
          <w:u w:val="single" w:color="auto"/>
          <w:color w:val="auto"/>
        </w:rPr>
        <w:t>Lock-up Agreement</w:t>
      </w:r>
      <w:r>
        <w:rPr>
          <w:rFonts w:ascii="Times New Roman" w:cs="Times New Roman" w:eastAsia="Times New Roman" w:hAnsi="Times New Roman"/>
          <w:sz w:val="22"/>
          <w:szCs w:val="22"/>
          <w:color w:val="auto"/>
        </w:rPr>
        <w:t>”), by and among James Monroe III, Thermo Funding II LLC, the Company and the Holder (as defined in the Lock-up Agreement), dated as of September 7, 2022, such Stockholder owns, beneficially or of record, all of the Securities free and clear of any proxy, voting restriction, adverse claim or other Liens (other than any restrictions created by this Agreement or Liens imposed under applicable securities Laws) and controls all of its Securities, has sole voting power over and right to consent with respect to the Securities, and sole power of disposition with respect to all of the Securities, with no restrictions on such Stockholder’s rights of voting or disposition pertaining thereto (except for such transfer restrictions of general applicability as may be provided under the Securities Act and the “blue sky” laws of the various states of the United States), and no person other than such Stockholder has any right to direct or approve the voting or disposition of any of the Securities;</w:t>
      </w:r>
    </w:p>
    <w:p>
      <w:pPr>
        <w:spacing w:after="0" w:line="187" w:lineRule="exact"/>
        <w:rPr>
          <w:rFonts w:ascii="Times New Roman" w:cs="Times New Roman" w:eastAsia="Times New Roman" w:hAnsi="Times New Roman"/>
          <w:sz w:val="22"/>
          <w:szCs w:val="22"/>
          <w:color w:val="010000"/>
        </w:rPr>
      </w:pPr>
    </w:p>
    <w:p>
      <w:pPr>
        <w:jc w:val="both"/>
        <w:ind w:left="-460" w:firstLine="644"/>
        <w:spacing w:after="0" w:line="251" w:lineRule="auto"/>
        <w:tabs>
          <w:tab w:leader="none" w:pos="957" w:val="left"/>
        </w:tabs>
        <w:numPr>
          <w:ilvl w:val="0"/>
          <w:numId w:val="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of the date hereof, no action, suit, investigation or proceeding pending against or, to the knowledge of such Stockholder, threatened against or otherwise affecting, such Stockholder or any of its properties or assets (including Securities) that would reasonably be expected to prevent or materially delay or impair (i) such Stockholder’s ability to perform its obligations hereunder (including the due execution and valid delivery of the Written Consent) or (ii) the consummation of the transactions contemplated by this Agreement and the Merger Agreement, including the Mergers;</w:t>
      </w:r>
    </w:p>
    <w:p>
      <w:pPr>
        <w:spacing w:after="0" w:line="168" w:lineRule="exact"/>
        <w:rPr>
          <w:rFonts w:ascii="Times New Roman" w:cs="Times New Roman" w:eastAsia="Times New Roman" w:hAnsi="Times New Roman"/>
          <w:sz w:val="21"/>
          <w:szCs w:val="21"/>
          <w:color w:val="010000"/>
        </w:rPr>
      </w:pPr>
    </w:p>
    <w:p>
      <w:pPr>
        <w:ind w:left="-460" w:right="380" w:firstLine="644"/>
        <w:spacing w:after="0" w:line="244" w:lineRule="auto"/>
        <w:tabs>
          <w:tab w:leader="none" w:pos="890"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information supplied by such Stockholder for inclusion or incorporation by reference in the Information Statement, the Registration Statement or any other filing Parent or the Company is required by applicable Law to make in connection with the Mergers will not, at the time that such filing is made with the SEC,</w:t>
      </w:r>
    </w:p>
    <w:p>
      <w:pPr>
        <w:spacing w:after="0" w:line="3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21" w:name="page22"/>
    <w:bookmarkEnd w:id="21"/>
    <w:p>
      <w:pPr>
        <w:ind w:left="660" w:right="120"/>
        <w:spacing w:after="0" w:line="282" w:lineRule="auto"/>
        <w:rPr>
          <w:sz w:val="20"/>
          <w:szCs w:val="20"/>
          <w:color w:val="auto"/>
        </w:rPr>
      </w:pPr>
      <w:r>
        <w:rPr>
          <w:rFonts w:ascii="Times New Roman" w:cs="Times New Roman" w:eastAsia="Times New Roman" w:hAnsi="Times New Roman"/>
          <w:sz w:val="21"/>
          <w:szCs w:val="21"/>
          <w:color w:val="auto"/>
        </w:rPr>
        <w:t>contain any untrue statement of a material fact or omit to state any material fact required to be stated therein or necessary in order to make the statements therein, in light of the circumstances under which they are made, not misleading;</w:t>
      </w:r>
    </w:p>
    <w:p>
      <w:pPr>
        <w:spacing w:after="0" w:line="135" w:lineRule="exact"/>
        <w:rPr>
          <w:sz w:val="20"/>
          <w:szCs w:val="20"/>
          <w:color w:val="auto"/>
        </w:rPr>
      </w:pPr>
    </w:p>
    <w:p>
      <w:pPr>
        <w:jc w:val="both"/>
        <w:ind w:left="660" w:firstLine="644"/>
        <w:spacing w:after="0" w:line="244" w:lineRule="auto"/>
        <w:tabs>
          <w:tab w:leader="none" w:pos="2407"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Stockholder has disclosed to the Company Special Committee any transaction, agreements, arrangements or understandings between such Stockholder, on the one hand, and the Company or any of its Subsidiaries or any of its or their respective directors, officers or employees or other representatives, on the other;</w:t>
      </w:r>
    </w:p>
    <w:p>
      <w:pPr>
        <w:spacing w:after="0" w:line="173" w:lineRule="exact"/>
        <w:rPr>
          <w:rFonts w:ascii="Times New Roman" w:cs="Times New Roman" w:eastAsia="Times New Roman" w:hAnsi="Times New Roman"/>
          <w:sz w:val="22"/>
          <w:szCs w:val="22"/>
          <w:color w:val="010000"/>
        </w:rPr>
      </w:pPr>
    </w:p>
    <w:p>
      <w:pPr>
        <w:ind w:left="660" w:right="20" w:firstLine="644"/>
        <w:spacing w:after="0" w:line="258" w:lineRule="auto"/>
        <w:tabs>
          <w:tab w:leader="none" w:pos="1961"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Stockholder understands and acknowledges that Parent and the Company are entering into the Merger Agreement in reliance on such Stockholder’s execution and delivery of this Agreement;</w:t>
      </w:r>
    </w:p>
    <w:p>
      <w:pPr>
        <w:spacing w:after="0" w:line="158" w:lineRule="exact"/>
        <w:rPr>
          <w:rFonts w:ascii="Times New Roman" w:cs="Times New Roman" w:eastAsia="Times New Roman" w:hAnsi="Times New Roman"/>
          <w:sz w:val="22"/>
          <w:szCs w:val="22"/>
          <w:color w:val="010000"/>
        </w:rPr>
      </w:pPr>
    </w:p>
    <w:p>
      <w:pPr>
        <w:ind w:left="2000" w:hanging="696"/>
        <w:spacing w:after="0"/>
        <w:tabs>
          <w:tab w:leader="none" w:pos="2000"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Stockholder has received and reviewed a copy of the Merger Agreement; and</w:t>
      </w:r>
    </w:p>
    <w:p>
      <w:pPr>
        <w:spacing w:after="0" w:line="206" w:lineRule="exact"/>
        <w:rPr>
          <w:rFonts w:ascii="Times New Roman" w:cs="Times New Roman" w:eastAsia="Times New Roman" w:hAnsi="Times New Roman"/>
          <w:sz w:val="22"/>
          <w:szCs w:val="22"/>
          <w:color w:val="010000"/>
        </w:rPr>
      </w:pPr>
    </w:p>
    <w:p>
      <w:pPr>
        <w:jc w:val="both"/>
        <w:ind w:left="660" w:firstLine="644"/>
        <w:spacing w:after="0" w:line="244" w:lineRule="auto"/>
        <w:tabs>
          <w:tab w:leader="none" w:pos="2096"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Stockholders, collectively, (i) hold a majority of the Company Common Stock outstanding as of the effective date of this Agreement and (ii) will hold a majority of the Company Common Stock outstanding on the date the Written Consent is executed.</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This Agreement shall automatically terminate (without any further action of the parties) and be of no further force or effect upon the earliest to occur of (a) the termination of the Merger Agreement in accordance with its terms; (b) the First Effective Time; and (c) the mutual written agreement of the parties hereto and the Company. Notwithstanding the preceding sentence,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survive any termination of this Agreement. Nothing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relieve or otherwise limit any party of liability for a material breach of this Agreement or fraud.</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b w:val="1"/>
          <w:bCs w:val="1"/>
          <w:u w:val="single" w:color="auto"/>
          <w:color w:val="000000"/>
        </w:rPr>
        <w:t>Expenses</w:t>
      </w:r>
      <w:r>
        <w:rPr>
          <w:rFonts w:ascii="Times New Roman" w:cs="Times New Roman" w:eastAsia="Times New Roman" w:hAnsi="Times New Roman"/>
          <w:sz w:val="22"/>
          <w:szCs w:val="22"/>
          <w:color w:val="000000"/>
        </w:rPr>
        <w:t>. Each party shall pay its own expenses incident to preparing for, entering into and carrying out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this Agreement, whether or not the Mergers shall be consummated;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in the event the Merger Agreement is terminated by Parent pursuant to Section 8.1(d)(iii) (</w:t>
      </w:r>
      <w:r>
        <w:rPr>
          <w:rFonts w:ascii="Times New Roman" w:cs="Times New Roman" w:eastAsia="Times New Roman" w:hAnsi="Times New Roman"/>
          <w:sz w:val="22"/>
          <w:szCs w:val="22"/>
          <w:i w:val="1"/>
          <w:iCs w:val="1"/>
          <w:color w:val="000000"/>
        </w:rPr>
        <w:t>Failure to Deliver Written Consent</w:t>
      </w:r>
      <w:r>
        <w:rPr>
          <w:rFonts w:ascii="Times New Roman" w:cs="Times New Roman" w:eastAsia="Times New Roman" w:hAnsi="Times New Roman"/>
          <w:sz w:val="22"/>
          <w:szCs w:val="22"/>
          <w:color w:val="000000"/>
        </w:rPr>
        <w:t>) of the Merger Agreement, the Stockholders shall, severally and jointly, reimburse all reasonable and documented out-of-pocket expenses incurred by Parent, Acquisition Sub I or Acquisition Sub II and their respective Affiliates in connection with Parent’s negotiation, preparation, and execution of this Agreement and the Merger Agreement, including the fees, expenses and disbursements of Parent’s outside counsel, financial advisors, accountants, consultants, and other advisors in connection therewith, together with any costs of enforcement incurred by any of them in seeking to enforce any available remedy at law or in equity (including specific performance) against the Stockholders (collectively, the “</w:t>
      </w:r>
      <w:r>
        <w:rPr>
          <w:rFonts w:ascii="Times New Roman" w:cs="Times New Roman" w:eastAsia="Times New Roman" w:hAnsi="Times New Roman"/>
          <w:sz w:val="22"/>
          <w:szCs w:val="22"/>
          <w:u w:val="single" w:color="auto"/>
          <w:color w:val="000000"/>
        </w:rPr>
        <w:t>Transaction Expenses</w:t>
      </w:r>
      <w:r>
        <w:rPr>
          <w:rFonts w:ascii="Times New Roman" w:cs="Times New Roman" w:eastAsia="Times New Roman" w:hAnsi="Times New Roman"/>
          <w:sz w:val="22"/>
          <w:szCs w:val="22"/>
          <w:color w:val="000000"/>
        </w:rPr>
        <w:t xml:space="preserve">”). Any expense reimbursement due under this </w:t>
      </w:r>
      <w:r>
        <w:rPr>
          <w:rFonts w:ascii="Times New Roman" w:cs="Times New Roman" w:eastAsia="Times New Roman" w:hAnsi="Times New Roman"/>
          <w:sz w:val="22"/>
          <w:szCs w:val="22"/>
          <w:u w:val="single" w:color="auto"/>
          <w:color w:val="000000"/>
        </w:rPr>
        <w:t>Section 5.1</w:t>
      </w:r>
      <w:r>
        <w:rPr>
          <w:rFonts w:ascii="Times New Roman" w:cs="Times New Roman" w:eastAsia="Times New Roman" w:hAnsi="Times New Roman"/>
          <w:sz w:val="22"/>
          <w:szCs w:val="22"/>
          <w:color w:val="000000"/>
        </w:rPr>
        <w:t xml:space="preserve"> shall be paid by wire transfer, at the direction of Parent, no later than two (2) Business Days following Parent’s delivery of a written notice setting forth in reasonable detail the Transaction Expenses. The foregoing shall be without prejudice to any rights and remedies otherwise available to Parent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Stockholders’ reimbursement obligations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automatically terminate (without any further action of the parties) and be of no further force or effect upon the delivery of the Written Consent in accordance with the terms hereof.</w:t>
      </w:r>
    </w:p>
    <w:p>
      <w:pPr>
        <w:spacing w:after="0" w:line="15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b w:val="1"/>
          <w:bCs w:val="1"/>
          <w:u w:val="single" w:color="auto"/>
          <w:color w:val="000000"/>
        </w:rPr>
        <w:t>Notices</w:t>
      </w:r>
      <w:r>
        <w:rPr>
          <w:rFonts w:ascii="Times New Roman" w:cs="Times New Roman" w:eastAsia="Times New Roman" w:hAnsi="Times New Roman"/>
          <w:sz w:val="22"/>
          <w:szCs w:val="22"/>
          <w:color w:val="000000"/>
        </w:rPr>
        <w:t>. All notices, consents and other communications hereunder shall be in writing and shall be given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shall be deemed to have been duly given upon receipt) by hand delivery, by prepaid overnight courier (providing written proof of delivery) or by electronic mail (provided that the sender of such email does not receive an automatic reply from the recipient’s email server indicating that the recipient did not receive such email), addressed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Parent: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Amazon.com,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410 Terry Avenue North</w:t>
      </w:r>
    </w:p>
    <w:p>
      <w:pPr>
        <w:ind w:left="660"/>
        <w:spacing w:after="0" w:line="230" w:lineRule="auto"/>
        <w:rPr>
          <w:sz w:val="20"/>
          <w:szCs w:val="20"/>
          <w:color w:val="auto"/>
        </w:rPr>
      </w:pPr>
      <w:r>
        <w:rPr>
          <w:rFonts w:ascii="Times New Roman" w:cs="Times New Roman" w:eastAsia="Times New Roman" w:hAnsi="Times New Roman"/>
          <w:sz w:val="22"/>
          <w:szCs w:val="22"/>
          <w:color w:val="auto"/>
        </w:rPr>
        <w:t>Seattle, WA 98109</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Attention:</w:t>
        <w:tab/>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Paul, Weiss, Rifkind, Wharton &amp; Garrison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1285 6th Avenue</w:t>
      </w:r>
    </w:p>
    <w:p>
      <w:pPr>
        <w:ind w:left="660"/>
        <w:spacing w:after="0" w:line="230" w:lineRule="auto"/>
        <w:rPr>
          <w:sz w:val="20"/>
          <w:szCs w:val="20"/>
          <w:color w:val="auto"/>
        </w:rPr>
      </w:pPr>
      <w:r>
        <w:rPr>
          <w:rFonts w:ascii="Times New Roman" w:cs="Times New Roman" w:eastAsia="Times New Roman" w:hAnsi="Times New Roman"/>
          <w:sz w:val="22"/>
          <w:szCs w:val="22"/>
          <w:color w:val="auto"/>
        </w:rPr>
        <w:t>New York, NY 10019</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kveeraraghavan@paulweiss.com</w:t>
      </w:r>
    </w:p>
    <w:p>
      <w:pPr>
        <w:ind w:left="1800"/>
        <w:spacing w:after="0" w:line="230" w:lineRule="auto"/>
        <w:rPr>
          <w:sz w:val="20"/>
          <w:szCs w:val="20"/>
          <w:color w:val="auto"/>
        </w:rPr>
      </w:pPr>
      <w:r>
        <w:rPr>
          <w:rFonts w:ascii="Times New Roman" w:cs="Times New Roman" w:eastAsia="Times New Roman" w:hAnsi="Times New Roman"/>
          <w:sz w:val="22"/>
          <w:szCs w:val="22"/>
          <w:color w:val="auto"/>
        </w:rPr>
        <w:t>srichards@paulweiss.com</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Attention:</w:t>
        <w:tab/>
        <w:t>Krishna Veeraraghavan</w:t>
      </w:r>
    </w:p>
    <w:p>
      <w:pPr>
        <w:ind w:left="1800"/>
        <w:spacing w:after="0"/>
        <w:rPr>
          <w:sz w:val="20"/>
          <w:szCs w:val="20"/>
          <w:color w:val="auto"/>
        </w:rPr>
      </w:pPr>
      <w:r>
        <w:rPr>
          <w:rFonts w:ascii="Times New Roman" w:cs="Times New Roman" w:eastAsia="Times New Roman" w:hAnsi="Times New Roman"/>
          <w:sz w:val="22"/>
          <w:szCs w:val="22"/>
          <w:color w:val="auto"/>
        </w:rPr>
        <w:t>Stan Richards</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 xml:space="preserve">If to a Stockholder to the address set forth below such Stockholder’s name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with a copy (which shall not constitute notice) 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Globalstar, Inc.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1351 Holiday Square Blvd.</w:t>
      </w:r>
    </w:p>
    <w:p>
      <w:pPr>
        <w:ind w:left="660"/>
        <w:spacing w:after="0" w:line="230" w:lineRule="auto"/>
        <w:rPr>
          <w:sz w:val="20"/>
          <w:szCs w:val="20"/>
          <w:color w:val="auto"/>
        </w:rPr>
      </w:pPr>
      <w:r>
        <w:rPr>
          <w:rFonts w:ascii="Times New Roman" w:cs="Times New Roman" w:eastAsia="Times New Roman" w:hAnsi="Times New Roman"/>
          <w:sz w:val="22"/>
          <w:szCs w:val="22"/>
          <w:color w:val="auto"/>
        </w:rPr>
        <w:t>Covington, Louisiana 70433</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Attention:</w:t>
        <w:tab/>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One Manhattan West</w:t>
      </w:r>
    </w:p>
    <w:p>
      <w:pPr>
        <w:ind w:left="660"/>
        <w:spacing w:after="0" w:line="230" w:lineRule="auto"/>
        <w:rPr>
          <w:sz w:val="20"/>
          <w:szCs w:val="20"/>
          <w:color w:val="auto"/>
        </w:rPr>
      </w:pPr>
      <w:r>
        <w:rPr>
          <w:rFonts w:ascii="Times New Roman" w:cs="Times New Roman" w:eastAsia="Times New Roman" w:hAnsi="Times New Roman"/>
          <w:sz w:val="22"/>
          <w:szCs w:val="22"/>
          <w:color w:val="auto"/>
        </w:rPr>
        <w:t>New York, NY 10001</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Howard.Ellin@skadden.com</w:t>
      </w:r>
    </w:p>
    <w:p>
      <w:pPr>
        <w:ind w:left="1800"/>
        <w:spacing w:after="0"/>
        <w:rPr>
          <w:sz w:val="20"/>
          <w:szCs w:val="20"/>
          <w:color w:val="auto"/>
        </w:rPr>
      </w:pPr>
      <w:r>
        <w:rPr>
          <w:rFonts w:ascii="Times New Roman" w:cs="Times New Roman" w:eastAsia="Times New Roman" w:hAnsi="Times New Roman"/>
          <w:sz w:val="22"/>
          <w:szCs w:val="22"/>
          <w:color w:val="auto"/>
        </w:rPr>
        <w:t>Michael.Mies@skadden.com</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ind w:left="1800"/>
        <w:spacing w:after="0"/>
        <w:rPr>
          <w:sz w:val="20"/>
          <w:szCs w:val="20"/>
          <w:color w:val="auto"/>
        </w:rPr>
      </w:pPr>
      <w:r>
        <w:rPr>
          <w:rFonts w:ascii="Times New Roman" w:cs="Times New Roman" w:eastAsia="Times New Roman" w:hAnsi="Times New Roman"/>
          <w:sz w:val="22"/>
          <w:szCs w:val="22"/>
          <w:color w:val="auto"/>
        </w:rPr>
        <w:t>Max.Troper@skadden.com</w:t>
      </w:r>
    </w:p>
    <w:p>
      <w:pPr>
        <w:spacing w:after="0" w:line="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Attention:</w:t>
        <w:tab/>
        <w:t>Howard Ellin</w:t>
      </w:r>
    </w:p>
    <w:p>
      <w:pPr>
        <w:ind w:left="1800"/>
        <w:spacing w:after="0" w:line="230" w:lineRule="auto"/>
        <w:rPr>
          <w:sz w:val="20"/>
          <w:szCs w:val="20"/>
          <w:color w:val="auto"/>
        </w:rPr>
      </w:pPr>
      <w:r>
        <w:rPr>
          <w:rFonts w:ascii="Times New Roman" w:cs="Times New Roman" w:eastAsia="Times New Roman" w:hAnsi="Times New Roman"/>
          <w:sz w:val="22"/>
          <w:szCs w:val="22"/>
          <w:color w:val="auto"/>
        </w:rPr>
        <w:t>Michael Mies</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Max Troper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Wilson Sonsini Goodrich &amp; Rosati, Professional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701 5th Ave #5100</w:t>
      </w:r>
    </w:p>
    <w:p>
      <w:pPr>
        <w:ind w:left="660"/>
        <w:spacing w:after="0" w:line="230" w:lineRule="auto"/>
        <w:rPr>
          <w:sz w:val="20"/>
          <w:szCs w:val="20"/>
          <w:color w:val="auto"/>
        </w:rPr>
      </w:pPr>
      <w:r>
        <w:rPr>
          <w:rFonts w:ascii="Times New Roman" w:cs="Times New Roman" w:eastAsia="Times New Roman" w:hAnsi="Times New Roman"/>
          <w:sz w:val="22"/>
          <w:szCs w:val="22"/>
          <w:color w:val="auto"/>
        </w:rPr>
        <w:t>Seattle, WA 98104</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pschultheis@wsgr.com</w:t>
      </w:r>
    </w:p>
    <w:p>
      <w:pPr>
        <w:ind w:left="1800"/>
        <w:spacing w:after="0" w:line="230" w:lineRule="auto"/>
        <w:rPr>
          <w:sz w:val="20"/>
          <w:szCs w:val="20"/>
          <w:color w:val="auto"/>
        </w:rPr>
      </w:pPr>
      <w:r>
        <w:rPr>
          <w:rFonts w:ascii="Times New Roman" w:cs="Times New Roman" w:eastAsia="Times New Roman" w:hAnsi="Times New Roman"/>
          <w:sz w:val="22"/>
          <w:szCs w:val="22"/>
          <w:color w:val="auto"/>
        </w:rPr>
        <w:t>rishii@wsgr.com</w:t>
      </w:r>
    </w:p>
    <w:p>
      <w:pPr>
        <w:ind w:left="1800"/>
        <w:spacing w:after="0" w:line="231" w:lineRule="auto"/>
        <w:rPr>
          <w:sz w:val="20"/>
          <w:szCs w:val="20"/>
          <w:color w:val="auto"/>
        </w:rPr>
      </w:pPr>
      <w:r>
        <w:rPr>
          <w:rFonts w:ascii="Times New Roman" w:cs="Times New Roman" w:eastAsia="Times New Roman" w:hAnsi="Times New Roman"/>
          <w:sz w:val="22"/>
          <w:szCs w:val="22"/>
          <w:color w:val="auto"/>
        </w:rPr>
        <w:t>asimmerman@wsgr.com</w:t>
      </w:r>
    </w:p>
    <w:p>
      <w:pPr>
        <w:ind w:left="1800"/>
        <w:spacing w:after="0" w:line="230" w:lineRule="auto"/>
        <w:rPr>
          <w:sz w:val="20"/>
          <w:szCs w:val="20"/>
          <w:color w:val="auto"/>
        </w:rPr>
      </w:pPr>
      <w:r>
        <w:rPr>
          <w:rFonts w:ascii="Times New Roman" w:cs="Times New Roman" w:eastAsia="Times New Roman" w:hAnsi="Times New Roman"/>
          <w:sz w:val="22"/>
          <w:szCs w:val="22"/>
          <w:color w:val="auto"/>
        </w:rPr>
        <w:t>rkorenblit@wsgr.com</w:t>
      </w:r>
    </w:p>
    <w:p>
      <w:pPr>
        <w:ind w:left="660"/>
        <w:spacing w:after="0" w:line="231" w:lineRule="auto"/>
        <w:tabs>
          <w:tab w:leader="none" w:pos="1780" w:val="left"/>
        </w:tabs>
        <w:rPr>
          <w:sz w:val="20"/>
          <w:szCs w:val="20"/>
          <w:color w:val="auto"/>
        </w:rPr>
      </w:pPr>
      <w:r>
        <w:rPr>
          <w:rFonts w:ascii="Times New Roman" w:cs="Times New Roman" w:eastAsia="Times New Roman" w:hAnsi="Times New Roman"/>
          <w:sz w:val="22"/>
          <w:szCs w:val="22"/>
          <w:color w:val="auto"/>
        </w:rPr>
        <w:t>Attention:</w:t>
        <w:tab/>
        <w:t>Patrick Schultheis</w:t>
      </w:r>
    </w:p>
    <w:p>
      <w:pPr>
        <w:ind w:left="1800"/>
        <w:spacing w:after="0" w:line="230" w:lineRule="auto"/>
        <w:rPr>
          <w:sz w:val="20"/>
          <w:szCs w:val="20"/>
          <w:color w:val="auto"/>
        </w:rPr>
      </w:pPr>
      <w:r>
        <w:rPr>
          <w:rFonts w:ascii="Times New Roman" w:cs="Times New Roman" w:eastAsia="Times New Roman" w:hAnsi="Times New Roman"/>
          <w:sz w:val="22"/>
          <w:szCs w:val="22"/>
          <w:color w:val="auto"/>
        </w:rPr>
        <w:t>Rob Ishii</w:t>
      </w:r>
    </w:p>
    <w:p>
      <w:pPr>
        <w:ind w:left="1800"/>
        <w:spacing w:after="0" w:line="231" w:lineRule="auto"/>
        <w:rPr>
          <w:sz w:val="20"/>
          <w:szCs w:val="20"/>
          <w:color w:val="auto"/>
        </w:rPr>
      </w:pPr>
      <w:r>
        <w:rPr>
          <w:rFonts w:ascii="Times New Roman" w:cs="Times New Roman" w:eastAsia="Times New Roman" w:hAnsi="Times New Roman"/>
          <w:sz w:val="22"/>
          <w:szCs w:val="22"/>
          <w:color w:val="auto"/>
        </w:rPr>
        <w:t>Amy Simmerman</w:t>
      </w:r>
    </w:p>
    <w:p>
      <w:pPr>
        <w:ind w:left="1800"/>
        <w:spacing w:after="0"/>
        <w:rPr>
          <w:sz w:val="20"/>
          <w:szCs w:val="20"/>
          <w:color w:val="auto"/>
        </w:rPr>
      </w:pPr>
      <w:r>
        <w:rPr>
          <w:rFonts w:ascii="Times New Roman" w:cs="Times New Roman" w:eastAsia="Times New Roman" w:hAnsi="Times New Roman"/>
          <w:sz w:val="22"/>
          <w:szCs w:val="22"/>
          <w:color w:val="auto"/>
        </w:rPr>
        <w:t>Remi Korenblit</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or to such other address or electronic mail address for a party as shall be specified in a notice given in accordance with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provided that any notice received by electronic mail or otherwise at the addressee’s location on any Business Day after 5:00 p.m. (New York City time) or on any day that is not a Business Day shall be deemed to have been received at 9:00 a.m. (New York City time) on the next Business Day; provided, further, that notice of any change to the address or any of the other details specified in or pursuant to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shall not be deemed to have been received until, and shall be deemed to have been received upon, the later of the date specified in such notice or the date that is five (5) Business Days after such notice would otherwise be deemed to have been received pursuant to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010000"/>
        </w:rPr>
        <w:t xml:space="preserve">5.3 </w:t>
      </w:r>
      <w:r>
        <w:rPr>
          <w:rFonts w:ascii="Times New Roman" w:cs="Times New Roman" w:eastAsia="Times New Roman" w:hAnsi="Times New Roman"/>
          <w:sz w:val="21"/>
          <w:szCs w:val="21"/>
          <w:b w:val="1"/>
          <w:bCs w:val="1"/>
          <w:u w:val="single" w:color="auto"/>
          <w:color w:val="000000"/>
        </w:rPr>
        <w:t>Amendments; Extension; Waivers</w:t>
      </w:r>
      <w:r>
        <w:rPr>
          <w:rFonts w:ascii="Times New Roman" w:cs="Times New Roman" w:eastAsia="Times New Roman" w:hAnsi="Times New Roman"/>
          <w:sz w:val="21"/>
          <w:szCs w:val="21"/>
          <w:color w:val="000000"/>
        </w:rPr>
        <w:t>. Notwithstanding anything in this Agreement to the contrary, until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Expiration Date, the Stockholders may take the following actions only with the prior approval of the Company Special Committee (or, if the Company Special Committee ceases to exist, any with the prior written approval of a majority of the remaining independent and disinterested members of the SRC or the Company Board, as determined by the SRC): (i) amending, restating, modifying or otherwise changing any provision of this Agreement; (ii) granting any consent or waiving any right under this Agreement or extending the time for the performance of any obligation of the other party under this Agreement, or requesting from the other party any consent or waiver of any right under this Agreement or the extension of the time for the performance of the requesting party’s obligations under this Agreement; or (iii) terminating this Agreement. Notwithstanding the foregoing, no failure or delay by a party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 Neither this Agreement nor any term hereof may be amended, modified or supplemented in any manner, whether by course of conduct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or otherwise, except by an instrument in writing specifically designated as an amendment hereto, signed by Parent and each of the Stockholders.</w:t>
      </w:r>
    </w:p>
    <w:p>
      <w:pPr>
        <w:spacing w:after="0" w:line="15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b w:val="1"/>
          <w:bCs w:val="1"/>
          <w:u w:val="single" w:color="auto"/>
          <w:color w:val="000000"/>
        </w:rPr>
        <w:t>Assignment</w:t>
      </w:r>
      <w:r>
        <w:rPr>
          <w:rFonts w:ascii="Times New Roman" w:cs="Times New Roman" w:eastAsia="Times New Roman" w:hAnsi="Times New Roman"/>
          <w:sz w:val="22"/>
          <w:szCs w:val="22"/>
          <w:color w:val="000000"/>
        </w:rPr>
        <w:t>. Neither this Agreement nor any of the rights, interests or obligations hereunder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assigned by any of the parties hereto (whether by operation of Law or otherwise) without the prior written consent of the other parties. Subject to the preceding sentence, this Agreement will be binding upon, inure to the benefit of and be enforceable by the parties and their respective permitted successors and assigns. Any attempted assignment in violation of this </w:t>
      </w:r>
      <w:r>
        <w:rPr>
          <w:rFonts w:ascii="Times New Roman" w:cs="Times New Roman" w:eastAsia="Times New Roman" w:hAnsi="Times New Roman"/>
          <w:sz w:val="22"/>
          <w:szCs w:val="22"/>
          <w:u w:val="single" w:color="auto"/>
          <w:color w:val="000000"/>
        </w:rPr>
        <w:t>Section 5.4</w:t>
      </w:r>
      <w:r>
        <w:rPr>
          <w:rFonts w:ascii="Times New Roman" w:cs="Times New Roman" w:eastAsia="Times New Roman" w:hAnsi="Times New Roman"/>
          <w:sz w:val="22"/>
          <w:szCs w:val="22"/>
          <w:color w:val="000000"/>
        </w:rPr>
        <w:t xml:space="preserve"> shall be null and void</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b w:val="1"/>
          <w:bCs w:val="1"/>
          <w:u w:val="single" w:color="auto"/>
          <w:color w:val="000000"/>
        </w:rPr>
        <w:t>No Partnership, Agency, or Joint Venture; No Ownership Interest</w:t>
      </w:r>
      <w:r>
        <w:rPr>
          <w:rFonts w:ascii="Times New Roman" w:cs="Times New Roman" w:eastAsia="Times New Roman" w:hAnsi="Times New Roman"/>
          <w:sz w:val="22"/>
          <w:szCs w:val="22"/>
          <w:color w:val="000000"/>
        </w:rPr>
        <w:t>. This Agreement is intended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create, and creates, a contractual relationship and is not intended to create, and does not create, any agency, partnership, joint venture or any like relationship between the parties. Nothing contained in this Agreement shall be deemed to vest in Parent any direct or indirect ownership or incidence of ownership of or with respect to any securities addressed herein. All rights, ownership and economic benefits of and relating to the securities addressed herein shall remain vested in and belong to the appropriate Stockholder, as applicable, and Parent shall not have any authority to direct the Stockholders in the voting or disposition of any of the securities addressed herein, as the case may be, except as otherwise provided herein.</w:t>
      </w:r>
    </w:p>
    <w:p>
      <w:pPr>
        <w:spacing w:after="0" w:line="17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010000"/>
        </w:rPr>
        <w:t xml:space="preserve">5.6 </w:t>
      </w:r>
      <w:r>
        <w:rPr>
          <w:rFonts w:ascii="Times New Roman" w:cs="Times New Roman" w:eastAsia="Times New Roman" w:hAnsi="Times New Roman"/>
          <w:sz w:val="22"/>
          <w:szCs w:val="22"/>
          <w:b w:val="1"/>
          <w:bCs w:val="1"/>
          <w:u w:val="single" w:color="auto"/>
          <w:color w:val="000000"/>
        </w:rPr>
        <w:t>Entire Agreement</w:t>
      </w:r>
      <w:r>
        <w:rPr>
          <w:rFonts w:ascii="Times New Roman" w:cs="Times New Roman" w:eastAsia="Times New Roman" w:hAnsi="Times New Roman"/>
          <w:sz w:val="22"/>
          <w:szCs w:val="22"/>
          <w:color w:val="000000"/>
        </w:rPr>
        <w:t>. This Agreement (including the exhibits, annexes and appendices hereto) constitutes,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together with the Merger Agreement, the entire agreement, and supersedes all other prior agreements and understandings, both written and oral, among the parties, or any of them, with respect to the subject matter hereof and thereof.</w:t>
      </w:r>
    </w:p>
    <w:p>
      <w:pPr>
        <w:spacing w:after="0" w:line="167"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010000"/>
        </w:rPr>
        <w:t xml:space="preserve">5.7 </w:t>
      </w:r>
      <w:r>
        <w:rPr>
          <w:rFonts w:ascii="Times New Roman" w:cs="Times New Roman" w:eastAsia="Times New Roman" w:hAnsi="Times New Roman"/>
          <w:sz w:val="22"/>
          <w:szCs w:val="22"/>
          <w:b w:val="1"/>
          <w:bCs w:val="1"/>
          <w:u w:val="single" w:color="auto"/>
          <w:color w:val="000000"/>
        </w:rPr>
        <w:t>Third-Party Beneficiaries</w:t>
      </w:r>
      <w:r>
        <w:rPr>
          <w:rFonts w:ascii="Times New Roman" w:cs="Times New Roman" w:eastAsia="Times New Roman" w:hAnsi="Times New Roman"/>
          <w:sz w:val="22"/>
          <w:szCs w:val="22"/>
          <w:color w:val="000000"/>
        </w:rPr>
        <w:t>. Nothing in this Agreement, express or implied, is intended to or shall confer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upon any Person other than the parties any right, benefit or remedy of any nature whatsoever under or by reason of this Agreement, except that the Company shall be an express third party beneficiary of this Agreement, entitled to enforce the agreements and obligations of the parties to this Agreement directly against such parties (including, for the avoidance of doubt, the obligations of each Stockholder to obtain the prior approval of the Company Special Committee pursuant to </w:t>
      </w:r>
      <w:r>
        <w:rPr>
          <w:rFonts w:ascii="Times New Roman" w:cs="Times New Roman" w:eastAsia="Times New Roman" w:hAnsi="Times New Roman"/>
          <w:sz w:val="22"/>
          <w:szCs w:val="22"/>
          <w:u w:val="single" w:color="auto"/>
          <w:color w:val="000000"/>
        </w:rPr>
        <w:t>Section 5.3</w:t>
      </w:r>
      <w:r>
        <w:rPr>
          <w:rFonts w:ascii="Times New Roman" w:cs="Times New Roman" w:eastAsia="Times New Roman" w:hAnsi="Times New Roman"/>
          <w:sz w:val="22"/>
          <w:szCs w:val="22"/>
          <w:color w:val="000000"/>
        </w:rPr>
        <w:t xml:space="preserve"> on behalf of the Company Special Committee).</w:t>
      </w:r>
    </w:p>
    <w:p>
      <w:pPr>
        <w:spacing w:after="0" w:line="17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5.8 </w:t>
      </w:r>
      <w:r>
        <w:rPr>
          <w:rFonts w:ascii="Times New Roman" w:cs="Times New Roman" w:eastAsia="Times New Roman" w:hAnsi="Times New Roman"/>
          <w:sz w:val="22"/>
          <w:szCs w:val="22"/>
          <w:b w:val="1"/>
          <w:bCs w:val="1"/>
          <w:u w:val="single" w:color="auto"/>
          <w:color w:val="000000"/>
        </w:rPr>
        <w:t>Governing Law</w:t>
      </w:r>
      <w:r>
        <w:rPr>
          <w:rFonts w:ascii="Times New Roman" w:cs="Times New Roman" w:eastAsia="Times New Roman" w:hAnsi="Times New Roman"/>
          <w:sz w:val="22"/>
          <w:szCs w:val="22"/>
          <w:color w:val="000000"/>
        </w:rPr>
        <w:t>. This Agreement and all actions, proceedings or counterclaims (whether based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contract, tort or otherwise) arising out of or relating to this Agreement, or the actions of the parties in the negotiation, administration, performance or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w:t>
      </w:r>
    </w:p>
    <w:p>
      <w:pPr>
        <w:spacing w:after="0" w:line="17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010000"/>
        </w:rPr>
        <w:t xml:space="preserve">5.9 </w:t>
      </w:r>
      <w:r>
        <w:rPr>
          <w:rFonts w:ascii="Times New Roman" w:cs="Times New Roman" w:eastAsia="Times New Roman" w:hAnsi="Times New Roman"/>
          <w:sz w:val="22"/>
          <w:szCs w:val="22"/>
          <w:b w:val="1"/>
          <w:bCs w:val="1"/>
          <w:u w:val="single" w:color="auto"/>
          <w:color w:val="000000"/>
        </w:rPr>
        <w:t>Specific Performance</w:t>
      </w:r>
      <w:r>
        <w:rPr>
          <w:rFonts w:ascii="Times New Roman" w:cs="Times New Roman" w:eastAsia="Times New Roman" w:hAnsi="Times New Roman"/>
          <w:sz w:val="22"/>
          <w:szCs w:val="22"/>
          <w:color w:val="000000"/>
        </w:rPr>
        <w:t>. The parties hereto agree that irreparable damage for which monetary damages,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even if available, would not be an adequate remedy, would occur in the event that the parties hereto do not perform the provisions of this Agreement (including failing to take such actions as are required of it hereunder) in accordance with its specified terms or otherwise breach such provisions. Accordingly, the parties hereto acknowledge and agree that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jc w:val="both"/>
        <w:spacing w:after="0" w:line="234" w:lineRule="auto"/>
        <w:rPr>
          <w:sz w:val="20"/>
          <w:szCs w:val="20"/>
          <w:color w:val="auto"/>
        </w:rPr>
      </w:pPr>
      <w:r>
        <w:rPr>
          <w:rFonts w:ascii="Times New Roman" w:cs="Times New Roman" w:eastAsia="Times New Roman" w:hAnsi="Times New Roman"/>
          <w:sz w:val="22"/>
          <w:szCs w:val="22"/>
          <w:color w:val="auto"/>
        </w:rPr>
        <w:t>parties hereto, and the Company in its capacity as a third party beneficiary of this Agreement, shall be entitled to an injunction, specific performance and other equitable relief to prevent any breach of this Agreement and to enforce specifically the terms and provisions hereof, including without limitation the delivery of the Written Consent,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(or the Company, in its capacity as a third party beneficiary of this Agreement) seeking an injunction or injunctions or any other equitable relief to prevent breaches of this Agreement and to enforce specifically the terms and provisions of this Agreement shall not be required to show proof of actual damages or provide any bond or other security in connection with any such order or injunction.</w:t>
      </w:r>
    </w:p>
    <w:p>
      <w:pPr>
        <w:spacing w:after="0" w:line="179" w:lineRule="exact"/>
        <w:rPr>
          <w:sz w:val="20"/>
          <w:szCs w:val="20"/>
          <w:color w:val="auto"/>
        </w:rPr>
      </w:pPr>
    </w:p>
    <w:p>
      <w:pPr>
        <w:ind w:left="1300"/>
        <w:spacing w:after="0"/>
        <w:tabs>
          <w:tab w:leader="none" w:pos="2120" w:val="left"/>
        </w:tabs>
        <w:rPr>
          <w:sz w:val="20"/>
          <w:szCs w:val="20"/>
          <w:color w:val="auto"/>
        </w:rPr>
      </w:pPr>
      <w:r>
        <w:rPr>
          <w:rFonts w:ascii="Times New Roman" w:cs="Times New Roman" w:eastAsia="Times New Roman" w:hAnsi="Times New Roman"/>
          <w:sz w:val="22"/>
          <w:szCs w:val="22"/>
          <w:color w:val="010000"/>
        </w:rPr>
        <w:t>5.10</w:t>
      </w:r>
      <w:r>
        <w:rPr>
          <w:sz w:val="20"/>
          <w:szCs w:val="20"/>
          <w:color w:val="auto"/>
        </w:rPr>
        <w:tab/>
      </w:r>
      <w:r>
        <w:rPr>
          <w:rFonts w:ascii="Times New Roman" w:cs="Times New Roman" w:eastAsia="Times New Roman" w:hAnsi="Times New Roman"/>
          <w:sz w:val="21"/>
          <w:szCs w:val="21"/>
          <w:b w:val="1"/>
          <w:bCs w:val="1"/>
          <w:u w:val="single" w:color="auto"/>
          <w:color w:val="auto"/>
        </w:rPr>
        <w:t>Consent to Jurisdiction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right="60" w:firstLine="644"/>
        <w:spacing w:after="0" w:line="233" w:lineRule="auto"/>
        <w:tabs>
          <w:tab w:leader="none" w:pos="1997"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parties hereto hereby (a) expressly and irrevocably submits to the exclusive personal jurisdiction of the Delaware Court of Chancery, any other court of the State of Delaware or any federal court sitting in the State of Delaware in the event any dispute arises out of this Agreement or the transactions contemplated hereby, (b) agrees that it will not attempt to deny or defeat such personal jurisdiction by motion or other request for leave from any such court, (c) agrees that it will not bring any action relating to this Agreement or the transactions contemplated hereby in any court other than the Delaware Court of Chancery, any other court of the State of Delaware or any federal court sitting in the State of Delaware, (d) waives, to the fullest extent it may legally and effectively do so, any objection which it may now or hereafter have to the laying of venue of any suit, action or other legal proceeding arising out of or relating to this Agreement and (e) agrees that each of the other parties shall have the right to bring any suit, action or other legal proceeding for enforcement of a judgment entered by the state courts of the Delaware Court of Chancery, any other court of the State of Delaware or any federal court sitting in the State of Delaware. Each of the parties agrees that a final judgment in any Action shall be conclusive and may be enforced in other jurisdictions by suit on the judgment or in any other manner provided by Law.</w:t>
      </w:r>
    </w:p>
    <w:p>
      <w:pPr>
        <w:spacing w:after="0" w:line="182" w:lineRule="exact"/>
        <w:rPr>
          <w:rFonts w:ascii="Times New Roman" w:cs="Times New Roman" w:eastAsia="Times New Roman" w:hAnsi="Times New Roman"/>
          <w:sz w:val="22"/>
          <w:szCs w:val="22"/>
          <w:color w:val="010000"/>
        </w:rPr>
      </w:pPr>
    </w:p>
    <w:p>
      <w:pPr>
        <w:jc w:val="both"/>
        <w:ind w:firstLine="1304"/>
        <w:spacing w:after="0" w:line="238" w:lineRule="auto"/>
        <w:tabs>
          <w:tab w:leader="none" w:pos="2106"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party hereto irrevocably consents to the service of process outside the territorial jurisdiction of the courts referred to in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in any such suit, action or other legal proceeding by mailing copies thereof by registered or certified United States mail, postage prepaid, return receipt requested, to its address as specified in or pursuant to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However, the foregoing shall not limit the right of a party to effect service of process on the other party by any other legally available method.</w:t>
      </w:r>
    </w:p>
    <w:p>
      <w:pPr>
        <w:spacing w:after="0" w:line="173"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010000"/>
        </w:rPr>
        <w:t xml:space="preserve">5.11 </w:t>
      </w:r>
      <w:r>
        <w:rPr>
          <w:rFonts w:ascii="Times New Roman" w:cs="Times New Roman" w:eastAsia="Times New Roman" w:hAnsi="Times New Roman"/>
          <w:sz w:val="22"/>
          <w:szCs w:val="22"/>
          <w:b w:val="1"/>
          <w:bCs w:val="1"/>
          <w:u w:val="single" w:color="auto"/>
          <w:color w:val="000000"/>
        </w:rPr>
        <w:t>Counterparts</w:t>
      </w:r>
      <w:r>
        <w:rPr>
          <w:rFonts w:ascii="Times New Roman" w:cs="Times New Roman" w:eastAsia="Times New Roman" w:hAnsi="Times New Roman"/>
          <w:sz w:val="22"/>
          <w:szCs w:val="22"/>
          <w:color w:val="000000"/>
        </w:rPr>
        <w:t>. This Agreement may be executed in two or more counterparts, each of which shall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deemed an original and all of which shall together be considered one and the same agreement and shall become effective when two or more counterparts have been signed by each of the parties and delivered to the other parties (including via portable document format (.pdf)), it being understood that all parties need not sign the same counterpart. The exchange of a fully executed Agreement (in counterparts or otherwise) by electronic transmission in .pdf format or through an electronic signature service shall be sufficient to bind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to the terms of this Agreement. No party shall raise the use of email or other electronic transmission to deliver a signature or the fact that any signature or agreement or instrument was transmitted or communicated through the use of email or other electronic transmission as a defense to the formation of a contract, and each party forever waives any such defense.</w:t>
      </w:r>
    </w:p>
    <w:p>
      <w:pPr>
        <w:spacing w:after="0" w:line="16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010000"/>
        </w:rPr>
        <w:t xml:space="preserve">5.12 </w:t>
      </w:r>
      <w:r>
        <w:rPr>
          <w:rFonts w:ascii="Times New Roman" w:cs="Times New Roman" w:eastAsia="Times New Roman" w:hAnsi="Times New Roman"/>
          <w:sz w:val="22"/>
          <w:szCs w:val="22"/>
          <w:b w:val="1"/>
          <w:bCs w:val="1"/>
          <w:u w:val="single" w:color="auto"/>
          <w:color w:val="000000"/>
        </w:rPr>
        <w:t>WAIVER OF JURY TRIAL</w:t>
      </w:r>
      <w:r>
        <w:rPr>
          <w:rFonts w:ascii="Times New Roman" w:cs="Times New Roman" w:eastAsia="Times New Roman" w:hAnsi="Times New Roman"/>
          <w:sz w:val="22"/>
          <w:szCs w:val="22"/>
          <w:color w:val="000000"/>
        </w:rPr>
        <w:t>. EACH OF PARENT AND EACH STOCKHOLDER HEREBY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IRREVOCABLY WAIVES, TO THE FULLEST EXTENT PERMITTED BY LAW, ALL RIGHT TO TRIAL BY JURY IN ANY SUIT, ACTION, PROCEEDING OR COUNTERCLAIM (WHETHER BASED ON CONTRACT, TORT OR OTHERWISE) ARISING OUT OF OR RELATING TO THIS AGREEMENT OR THE ACTIONS OF PARENT OR ANY STOCKHOLDER IN THE NEGOTIATION, ADMINISTRATION, PERFORMANCE OR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22"/>
          <w:szCs w:val="22"/>
          <w:u w:val="single" w:color="auto"/>
          <w:color w:val="000000"/>
        </w:rPr>
        <w:t>SECTION 5.12</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5.13 </w:t>
      </w:r>
      <w:r>
        <w:rPr>
          <w:rFonts w:ascii="Times New Roman" w:cs="Times New Roman" w:eastAsia="Times New Roman" w:hAnsi="Times New Roman"/>
          <w:sz w:val="22"/>
          <w:szCs w:val="22"/>
          <w:b w:val="1"/>
          <w:bCs w:val="1"/>
          <w:u w:val="single" w:color="auto"/>
          <w:color w:val="000000"/>
        </w:rPr>
        <w:t>Interpretation</w:t>
      </w:r>
      <w:r>
        <w:rPr>
          <w:rFonts w:ascii="Times New Roman" w:cs="Times New Roman" w:eastAsia="Times New Roman" w:hAnsi="Times New Roman"/>
          <w:sz w:val="22"/>
          <w:szCs w:val="22"/>
          <w:color w:val="000000"/>
        </w:rPr>
        <w:t>. Unless expressly provided for elsewhere in this Agreement, this Agreement will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interpreted in accordance with the following provisions: The words “hereof,” “herein,” “hereby,” “hereunder” and “herewith” and words of similar import shall refer to this Agreement as a whole and not to any particular provision of this Agreement. The use of the words “either,” “or,” “neither,” “nor” and “any” shall not be exclusive, unless context requires otherwise. The word “extent” in the phrase “to the extent” shall mean the degree to which a subject or other thing extends, and such phrase shall not mean simply “if.” References to articles, sections, paragraphs, exhibits, annexes and schedules are to the articles, sections and paragraphs of, and exhibits, annexes and schedules to, this Agreement, unless otherwise specified, and the table of contents and headings in this Agreement are for reference purposes only and shall not affect in any way the meaning or interpretation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April 13, 2026, unless the context requires otherwise. References to any statute shall be deemed to refer to such statute as amended from time to time and to any rules or regulations promulgated thereunder (provided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Any Law defined or referred to herein or in any agreement or instrument that is referred to herein means such Law as from time to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jc w:val="both"/>
        <w:spacing w:after="0" w:line="238" w:lineRule="auto"/>
        <w:rPr>
          <w:sz w:val="20"/>
          <w:szCs w:val="20"/>
          <w:color w:val="auto"/>
        </w:rPr>
      </w:pPr>
      <w:r>
        <w:rPr>
          <w:rFonts w:ascii="Times New Roman" w:cs="Times New Roman" w:eastAsia="Times New Roman" w:hAnsi="Times New Roman"/>
          <w:sz w:val="22"/>
          <w:szCs w:val="22"/>
          <w:color w:val="auto"/>
        </w:rPr>
        <w:t>amended, modified or supplemented, including (in the case of statutes) by succession of comparable successor Laws (provided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All references to “dollars” or “$” refer to currency of the United States of America. All references to “U.S.” or the “United States” are to the United States of America, including its territories and possessions.</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5.14 </w:t>
      </w:r>
      <w:r>
        <w:rPr>
          <w:rFonts w:ascii="Times New Roman" w:cs="Times New Roman" w:eastAsia="Times New Roman" w:hAnsi="Times New Roman"/>
          <w:sz w:val="22"/>
          <w:szCs w:val="22"/>
          <w:b w:val="1"/>
          <w:bCs w:val="1"/>
          <w:u w:val="single" w:color="auto"/>
          <w:color w:val="000000"/>
        </w:rPr>
        <w:t>Severability</w:t>
      </w:r>
      <w:r>
        <w:rPr>
          <w:rFonts w:ascii="Times New Roman" w:cs="Times New Roman" w:eastAsia="Times New Roman" w:hAnsi="Times New Roman"/>
          <w:sz w:val="22"/>
          <w:szCs w:val="22"/>
          <w:color w:val="000000"/>
        </w:rPr>
        <w:t>. If any term, provision, covenant or restriction of this Agreement or the application thereof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any Person or circumstance is held by a court of competent jurisdiction or other authority to be invalid, void, illegal,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void, illegal, unenforceable or against its regulatory policy, the parties hereto shall negotiate in good faith to modify this Agreement so as to effect the original intent of the parties hereto as closely as possible in a mutually acceptable manner in order that the transactions contemplated hereby, be consummated as originally contemplated to the fullest extent possible.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duly executed and delivered this Agreement as of the date and year first written above.</w:t>
      </w:r>
    </w:p>
    <w:p>
      <w:pPr>
        <w:spacing w:after="0" w:line="1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Amazon.com, Inc.</w:t>
      </w: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By: /s/ Peter Krawiec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10795</wp:posOffset>
            </wp:positionV>
            <wp:extent cx="33343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22"/>
          <w:szCs w:val="22"/>
          <w:color w:val="auto"/>
        </w:rPr>
        <w:t>Name: Peter Krawiec</w:t>
      </w:r>
    </w:p>
    <w:p>
      <w:pPr>
        <w:ind w:left="5980"/>
        <w:spacing w:after="0" w:line="230" w:lineRule="auto"/>
        <w:tabs>
          <w:tab w:leader="none" w:pos="6660" w:val="left"/>
        </w:tabs>
        <w:rPr>
          <w:sz w:val="20"/>
          <w:szCs w:val="20"/>
          <w:color w:val="auto"/>
        </w:rPr>
      </w:pPr>
      <w:r>
        <w:rPr>
          <w:rFonts w:ascii="Times New Roman" w:cs="Times New Roman" w:eastAsia="Times New Roman" w:hAnsi="Times New Roman"/>
          <w:sz w:val="22"/>
          <w:szCs w:val="22"/>
          <w:color w:val="auto"/>
        </w:rPr>
        <w:t>Title:</w:t>
        <w:tab/>
        <w:t>Senior Vice President, Worldwide Corporate and</w:t>
      </w:r>
    </w:p>
    <w:p>
      <w:pPr>
        <w:spacing w:after="0" w:line="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2"/>
          <w:szCs w:val="22"/>
          <w:color w:val="auto"/>
        </w:rPr>
        <w:t>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left="4420"/>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200" w:lineRule="exact"/>
        <w:rPr>
          <w:sz w:val="20"/>
          <w:szCs w:val="20"/>
          <w:color w:val="auto"/>
        </w:rPr>
      </w:pPr>
    </w:p>
    <w:p>
      <w:pPr>
        <w:spacing w:after="0" w:line="222" w:lineRule="exact"/>
        <w:rPr>
          <w:sz w:val="20"/>
          <w:szCs w:val="20"/>
          <w:color w:val="auto"/>
        </w:rPr>
      </w:pPr>
    </w:p>
    <w:p>
      <w:pPr>
        <w:jc w:val="center"/>
        <w:ind w:left="1480"/>
        <w:spacing w:after="0"/>
        <w:rPr>
          <w:sz w:val="20"/>
          <w:szCs w:val="20"/>
          <w:color w:val="auto"/>
        </w:rPr>
      </w:pPr>
      <w:r>
        <w:rPr>
          <w:rFonts w:ascii="Times New Roman" w:cs="Times New Roman" w:eastAsia="Times New Roman" w:hAnsi="Times New Roman"/>
          <w:sz w:val="22"/>
          <w:szCs w:val="22"/>
          <w:b w:val="1"/>
          <w:bCs w:val="1"/>
          <w:color w:val="auto"/>
        </w:rPr>
        <w:t>James Monroe III</w:t>
      </w:r>
    </w:p>
    <w:p>
      <w:pPr>
        <w:spacing w:after="0" w:line="200" w:lineRule="exact"/>
        <w:rPr>
          <w:sz w:val="20"/>
          <w:szCs w:val="20"/>
          <w:color w:val="auto"/>
        </w:rPr>
      </w:pPr>
    </w:p>
    <w:p>
      <w:pPr>
        <w:spacing w:after="0" w:line="226"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680"/>
        </w:trPr>
        <w:tc>
          <w:tcPr>
            <w:tcW w:w="57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Thermo Funding II, LLC</w:t>
            </w:r>
          </w:p>
        </w:tc>
        <w:tc>
          <w:tcPr>
            <w:tcW w:w="0" w:type="dxa"/>
            <w:vAlign w:val="bottom"/>
          </w:tcPr>
          <w:p>
            <w:pPr>
              <w:spacing w:after="0"/>
              <w:rPr>
                <w:sz w:val="1"/>
                <w:szCs w:val="1"/>
                <w:color w:val="auto"/>
              </w:rPr>
            </w:pPr>
          </w:p>
        </w:tc>
      </w:tr>
      <w:tr>
        <w:trPr>
          <w:trHeight w:val="420"/>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Thermo Funding Company LLC</w:t>
      </w:r>
    </w:p>
    <w:p>
      <w:pPr>
        <w:spacing w:after="0" w:line="200" w:lineRule="exact"/>
        <w:rPr>
          <w:sz w:val="20"/>
          <w:szCs w:val="20"/>
          <w:color w:val="auto"/>
        </w:rPr>
      </w:pPr>
    </w:p>
    <w:p>
      <w:pPr>
        <w:spacing w:after="0" w:line="216"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Thermo Properties II, LLC</w:t>
      </w:r>
    </w:p>
    <w:p>
      <w:pPr>
        <w:spacing w:after="0" w:line="200" w:lineRule="exact"/>
        <w:rPr>
          <w:sz w:val="20"/>
          <w:szCs w:val="20"/>
          <w:color w:val="auto"/>
        </w:rPr>
      </w:pPr>
    </w:p>
    <w:p>
      <w:pPr>
        <w:spacing w:after="0" w:line="216"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Thermo XCOM LLC</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Thermo Development Inc., as Manager</w:t>
      </w:r>
    </w:p>
    <w:p>
      <w:pPr>
        <w:spacing w:after="0" w:line="388"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30" w:name="page31"/>
    <w:bookmarkEnd w:id="30"/>
    <w:p>
      <w:pPr>
        <w:ind w:left="4420"/>
        <w:spacing w:after="0"/>
        <w:rPr>
          <w:sz w:val="20"/>
          <w:szCs w:val="20"/>
          <w:color w:val="auto"/>
        </w:rPr>
      </w:pPr>
      <w:r>
        <w:rPr>
          <w:rFonts w:ascii="Times New Roman" w:cs="Times New Roman" w:eastAsia="Times New Roman" w:hAnsi="Times New Roman"/>
          <w:sz w:val="22"/>
          <w:szCs w:val="22"/>
          <w:b w:val="1"/>
          <w:bCs w:val="1"/>
          <w:color w:val="auto"/>
        </w:rPr>
        <w:t>Monroe Irr. Educational Trust</w:t>
      </w:r>
    </w:p>
    <w:p>
      <w:pPr>
        <w:spacing w:after="0" w:line="200" w:lineRule="exact"/>
        <w:rPr>
          <w:sz w:val="20"/>
          <w:szCs w:val="20"/>
          <w:color w:val="auto"/>
        </w:rPr>
      </w:pPr>
    </w:p>
    <w:p>
      <w:pPr>
        <w:spacing w:after="0" w:line="216"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Marie Shannon Monroe</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Marie Shannon Monroe</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Trustee</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James Monroe III Grantor Trust</w:t>
      </w:r>
    </w:p>
    <w:p>
      <w:pPr>
        <w:spacing w:after="0" w:line="200" w:lineRule="exact"/>
        <w:rPr>
          <w:sz w:val="20"/>
          <w:szCs w:val="20"/>
          <w:color w:val="auto"/>
        </w:rPr>
      </w:pPr>
    </w:p>
    <w:p>
      <w:pPr>
        <w:spacing w:after="0" w:line="216"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Trustee</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FL Investment Holdings LLC</w:t>
      </w:r>
    </w:p>
    <w:p>
      <w:pPr>
        <w:spacing w:after="0" w:line="200" w:lineRule="exact"/>
        <w:rPr>
          <w:sz w:val="20"/>
          <w:szCs w:val="20"/>
          <w:color w:val="auto"/>
        </w:rPr>
      </w:pPr>
    </w:p>
    <w:p>
      <w:pPr>
        <w:spacing w:after="0" w:line="216"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Globalstar Satellite L.P.</w:t>
      </w:r>
    </w:p>
    <w:p>
      <w:pPr>
        <w:spacing w:after="0" w:line="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Thermo Development Inc., as General Partner</w:t>
      </w:r>
    </w:p>
    <w:p>
      <w:pPr>
        <w:spacing w:after="0" w:line="388"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James Monroe III</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50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Monroe III</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President</w:t>
            </w:r>
          </w:p>
        </w:tc>
        <w:tc>
          <w:tcPr>
            <w:tcW w:w="0" w:type="dxa"/>
            <w:vAlign w:val="bottom"/>
          </w:tcPr>
          <w:p>
            <w:pPr>
              <w:spacing w:after="0"/>
              <w:rPr>
                <w:sz w:val="1"/>
                <w:szCs w:val="1"/>
                <w:color w:val="auto"/>
              </w:rPr>
            </w:pPr>
          </w:p>
        </w:tc>
      </w:tr>
    </w:tbl>
    <w:p>
      <w:pPr>
        <w:spacing w:after="0" w:line="3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Thermo Investments Limited Partnership</w:t>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By: Thermo Greeley I, Inc., as General Partner</w:t>
      </w:r>
    </w:p>
    <w:p>
      <w:pPr>
        <w:ind w:left="4420"/>
        <w:spacing w:after="0" w:line="230" w:lineRule="auto"/>
        <w:rPr>
          <w:sz w:val="20"/>
          <w:szCs w:val="20"/>
          <w:color w:val="auto"/>
        </w:rPr>
      </w:pPr>
      <w:r>
        <w:rPr>
          <w:rFonts w:ascii="Times New Roman" w:cs="Times New Roman" w:eastAsia="Times New Roman" w:hAnsi="Times New Roman"/>
          <w:sz w:val="22"/>
          <w:szCs w:val="22"/>
          <w:color w:val="auto"/>
        </w:rPr>
        <w:t>By:</w:t>
      </w:r>
    </w:p>
    <w:p>
      <w:pPr>
        <w:ind w:left="4420"/>
        <w:spacing w:after="0" w:line="231" w:lineRule="auto"/>
        <w:rPr>
          <w:sz w:val="20"/>
          <w:szCs w:val="20"/>
          <w:color w:val="auto"/>
        </w:rPr>
      </w:pPr>
      <w:r>
        <w:rPr>
          <w:rFonts w:ascii="Times New Roman" w:cs="Times New Roman" w:eastAsia="Times New Roman" w:hAnsi="Times New Roman"/>
          <w:sz w:val="22"/>
          <w:szCs w:val="22"/>
          <w:color w:val="auto"/>
        </w:rPr>
        <w:t>Name: /s/ James Monroe III</w:t>
      </w:r>
    </w:p>
    <w:p>
      <w:pPr>
        <w:ind w:left="4420"/>
        <w:spacing w:after="0"/>
        <w:tabs>
          <w:tab w:leader="none" w:pos="510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-158115</wp:posOffset>
            </wp:positionV>
            <wp:extent cx="3180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9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575945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6460" w:type="dxa"/>
            <w:vAlign w:val="bottom"/>
            <w:gridSpan w:val="3"/>
          </w:tcPr>
          <w:p>
            <w:pPr>
              <w:ind w:left="400"/>
              <w:spacing w:after="0"/>
              <w:rPr>
                <w:sz w:val="20"/>
                <w:szCs w:val="20"/>
                <w:color w:val="auto"/>
              </w:rPr>
            </w:pPr>
            <w:r>
              <w:rPr>
                <w:rFonts w:ascii="Times New Roman" w:cs="Times New Roman" w:eastAsia="Times New Roman" w:hAnsi="Times New Roman"/>
                <w:sz w:val="22"/>
                <w:szCs w:val="22"/>
                <w:b w:val="1"/>
                <w:bCs w:val="1"/>
                <w:color w:val="auto"/>
              </w:rPr>
              <w:t>Exhibit A</w:t>
            </w:r>
          </w:p>
        </w:tc>
        <w:tc>
          <w:tcPr>
            <w:tcW w:w="0" w:type="dxa"/>
            <w:vAlign w:val="bottom"/>
          </w:tcPr>
          <w:p>
            <w:pPr>
              <w:spacing w:after="0"/>
              <w:rPr>
                <w:sz w:val="1"/>
                <w:szCs w:val="1"/>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280" w:type="dxa"/>
            <w:vAlign w:val="bottom"/>
            <w:tcBorders>
              <w:left w:val="single" w:sz="8" w:color="auto"/>
            </w:tcBorders>
            <w:shd w:val="clear" w:color="auto" w:fill="D9D9D9"/>
          </w:tcPr>
          <w:p>
            <w:pPr>
              <w:spacing w:after="0"/>
              <w:rPr>
                <w:sz w:val="22"/>
                <w:szCs w:val="22"/>
                <w:color w:val="auto"/>
              </w:rPr>
            </w:pPr>
          </w:p>
        </w:tc>
        <w:tc>
          <w:tcPr>
            <w:tcW w:w="3500" w:type="dxa"/>
            <w:vAlign w:val="bottom"/>
            <w:vMerge w:val="restart"/>
            <w:shd w:val="clear" w:color="auto" w:fill="D9D9D9"/>
          </w:tcPr>
          <w:p>
            <w:pPr>
              <w:jc w:val="center"/>
              <w:ind w:right="732"/>
              <w:spacing w:after="0"/>
              <w:rPr>
                <w:sz w:val="20"/>
                <w:szCs w:val="20"/>
                <w:color w:val="auto"/>
              </w:rPr>
            </w:pPr>
            <w:r>
              <w:rPr>
                <w:rFonts w:ascii="Times New Roman" w:cs="Times New Roman" w:eastAsia="Times New Roman" w:hAnsi="Times New Roman"/>
                <w:sz w:val="22"/>
                <w:szCs w:val="22"/>
                <w:b w:val="1"/>
                <w:bCs w:val="1"/>
                <w:color w:val="auto"/>
                <w:w w:val="97"/>
              </w:rPr>
              <w:t>Name of Stockholder</w:t>
            </w:r>
          </w:p>
        </w:tc>
        <w:tc>
          <w:tcPr>
            <w:tcW w:w="420" w:type="dxa"/>
            <w:vAlign w:val="bottom"/>
            <w:tcBorders>
              <w:right w:val="single" w:sz="8" w:color="auto"/>
            </w:tcBorders>
            <w:shd w:val="clear" w:color="auto" w:fill="D9D9D9"/>
          </w:tcPr>
          <w:p>
            <w:pPr>
              <w:spacing w:after="0"/>
              <w:rPr>
                <w:sz w:val="22"/>
                <w:szCs w:val="22"/>
                <w:color w:val="auto"/>
              </w:rPr>
            </w:pPr>
          </w:p>
        </w:tc>
        <w:tc>
          <w:tcPr>
            <w:tcW w:w="6040" w:type="dxa"/>
            <w:vAlign w:val="bottom"/>
            <w:tcBorders>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Number of Shares of Company Common Stock Beneficially</w:t>
            </w:r>
          </w:p>
        </w:tc>
        <w:tc>
          <w:tcPr>
            <w:tcW w:w="0" w:type="dxa"/>
            <w:vAlign w:val="bottom"/>
          </w:tcPr>
          <w:p>
            <w:pPr>
              <w:spacing w:after="0"/>
              <w:rPr>
                <w:sz w:val="1"/>
                <w:szCs w:val="1"/>
                <w:color w:val="auto"/>
              </w:rPr>
            </w:pPr>
          </w:p>
        </w:tc>
      </w:tr>
      <w:tr>
        <w:trPr>
          <w:trHeight w:val="165"/>
        </w:trPr>
        <w:tc>
          <w:tcPr>
            <w:tcW w:w="1280" w:type="dxa"/>
            <w:vAlign w:val="bottom"/>
            <w:tcBorders>
              <w:left w:val="single" w:sz="8" w:color="auto"/>
            </w:tcBorders>
            <w:shd w:val="clear" w:color="auto" w:fill="D9D9D9"/>
          </w:tcPr>
          <w:p>
            <w:pPr>
              <w:spacing w:after="0"/>
              <w:rPr>
                <w:sz w:val="14"/>
                <w:szCs w:val="14"/>
                <w:color w:val="auto"/>
              </w:rPr>
            </w:pPr>
          </w:p>
        </w:tc>
        <w:tc>
          <w:tcPr>
            <w:tcW w:w="3500" w:type="dxa"/>
            <w:vAlign w:val="bottom"/>
            <w:vMerge w:val="continue"/>
            <w:shd w:val="clear" w:color="auto" w:fill="D9D9D9"/>
          </w:tcPr>
          <w:p>
            <w:pPr>
              <w:spacing w:after="0"/>
              <w:rPr>
                <w:sz w:val="14"/>
                <w:szCs w:val="14"/>
                <w:color w:val="auto"/>
              </w:rPr>
            </w:pPr>
          </w:p>
        </w:tc>
        <w:tc>
          <w:tcPr>
            <w:tcW w:w="420" w:type="dxa"/>
            <w:vAlign w:val="bottom"/>
            <w:tcBorders>
              <w:right w:val="single" w:sz="8" w:color="auto"/>
            </w:tcBorders>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5160" w:type="dxa"/>
            <w:vAlign w:val="bottom"/>
            <w:tcBorders>
              <w:right w:val="single" w:sz="8" w:color="auto"/>
            </w:tcBorders>
            <w:vMerge w:val="restart"/>
            <w:shd w:val="clear" w:color="auto" w:fill="D9D9D9"/>
          </w:tcPr>
          <w:p>
            <w:pPr>
              <w:jc w:val="center"/>
              <w:ind w:right="792"/>
              <w:spacing w:after="0"/>
              <w:rPr>
                <w:sz w:val="20"/>
                <w:szCs w:val="20"/>
                <w:color w:val="auto"/>
              </w:rPr>
            </w:pPr>
            <w:r>
              <w:rPr>
                <w:rFonts w:ascii="Times New Roman" w:cs="Times New Roman" w:eastAsia="Times New Roman" w:hAnsi="Times New Roman"/>
                <w:sz w:val="22"/>
                <w:szCs w:val="22"/>
                <w:b w:val="1"/>
                <w:bCs w:val="1"/>
                <w:color w:val="auto"/>
                <w:w w:val="98"/>
              </w:rPr>
              <w:t>Owned</w:t>
            </w: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bottom w:val="single" w:sz="8" w:color="D9D9D9"/>
            </w:tcBorders>
            <w:shd w:val="clear" w:color="auto" w:fill="D9D9D9"/>
          </w:tcPr>
          <w:p>
            <w:pPr>
              <w:spacing w:after="0"/>
              <w:rPr>
                <w:sz w:val="14"/>
                <w:szCs w:val="14"/>
                <w:color w:val="auto"/>
              </w:rPr>
            </w:pPr>
          </w:p>
        </w:tc>
        <w:tc>
          <w:tcPr>
            <w:tcW w:w="3500" w:type="dxa"/>
            <w:vAlign w:val="bottom"/>
            <w:tcBorders>
              <w:bottom w:val="single" w:sz="8" w:color="D9D9D9"/>
            </w:tcBorders>
            <w:shd w:val="clear" w:color="auto" w:fill="D9D9D9"/>
          </w:tcPr>
          <w:p>
            <w:pPr>
              <w:spacing w:after="0"/>
              <w:rPr>
                <w:sz w:val="14"/>
                <w:szCs w:val="14"/>
                <w:color w:val="auto"/>
              </w:rPr>
            </w:pPr>
          </w:p>
        </w:tc>
        <w:tc>
          <w:tcPr>
            <w:tcW w:w="420" w:type="dxa"/>
            <w:vAlign w:val="bottom"/>
            <w:tcBorders>
              <w:bottom w:val="single" w:sz="8" w:color="D9D9D9"/>
              <w:right w:val="single" w:sz="8" w:color="auto"/>
            </w:tcBorders>
            <w:shd w:val="clear" w:color="auto" w:fill="D9D9D9"/>
          </w:tcPr>
          <w:p>
            <w:pPr>
              <w:spacing w:after="0"/>
              <w:rPr>
                <w:sz w:val="14"/>
                <w:szCs w:val="14"/>
                <w:color w:val="auto"/>
              </w:rPr>
            </w:pPr>
          </w:p>
        </w:tc>
        <w:tc>
          <w:tcPr>
            <w:tcW w:w="880" w:type="dxa"/>
            <w:vAlign w:val="bottom"/>
            <w:tcBorders>
              <w:bottom w:val="single" w:sz="8" w:color="D9D9D9"/>
            </w:tcBorders>
            <w:shd w:val="clear" w:color="auto" w:fill="D9D9D9"/>
          </w:tcPr>
          <w:p>
            <w:pPr>
              <w:spacing w:after="0"/>
              <w:rPr>
                <w:sz w:val="14"/>
                <w:szCs w:val="14"/>
                <w:color w:val="auto"/>
              </w:rPr>
            </w:pPr>
          </w:p>
        </w:tc>
        <w:tc>
          <w:tcPr>
            <w:tcW w:w="5160" w:type="dxa"/>
            <w:vAlign w:val="bottom"/>
            <w:tcBorders>
              <w:bottom w:val="single" w:sz="8" w:color="D9D9D9"/>
              <w:right w:val="single" w:sz="8" w:color="auto"/>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280" w:type="dxa"/>
            <w:vAlign w:val="bottom"/>
            <w:tcBorders>
              <w:top w:val="single" w:sz="8" w:color="auto"/>
              <w:left w:val="single" w:sz="8" w:color="auto"/>
            </w:tcBorders>
          </w:tcPr>
          <w:p>
            <w:pPr>
              <w:spacing w:after="0"/>
              <w:rPr>
                <w:sz w:val="24"/>
                <w:szCs w:val="24"/>
                <w:color w:val="auto"/>
              </w:rPr>
            </w:pPr>
          </w:p>
        </w:tc>
        <w:tc>
          <w:tcPr>
            <w:tcW w:w="3500" w:type="dxa"/>
            <w:vAlign w:val="bottom"/>
            <w:tcBorders>
              <w:top w:val="single" w:sz="8" w:color="auto"/>
            </w:tcBorders>
          </w:tcPr>
          <w:p>
            <w:pPr>
              <w:jc w:val="center"/>
              <w:ind w:right="732"/>
              <w:spacing w:after="0"/>
              <w:rPr>
                <w:sz w:val="20"/>
                <w:szCs w:val="20"/>
                <w:color w:val="auto"/>
              </w:rPr>
            </w:pPr>
            <w:r>
              <w:rPr>
                <w:rFonts w:ascii="Times New Roman" w:cs="Times New Roman" w:eastAsia="Times New Roman" w:hAnsi="Times New Roman"/>
                <w:sz w:val="22"/>
                <w:szCs w:val="22"/>
                <w:color w:val="auto"/>
                <w:w w:val="98"/>
              </w:rPr>
              <w:t>Thermo Funding II, LLC</w:t>
            </w:r>
          </w:p>
        </w:tc>
        <w:tc>
          <w:tcPr>
            <w:tcW w:w="420" w:type="dxa"/>
            <w:vAlign w:val="bottom"/>
            <w:tcBorders>
              <w:top w:val="single" w:sz="8" w:color="auto"/>
              <w:right w:val="single" w:sz="8" w:color="auto"/>
            </w:tcBorders>
          </w:tcPr>
          <w:p>
            <w:pPr>
              <w:spacing w:after="0"/>
              <w:rPr>
                <w:sz w:val="24"/>
                <w:szCs w:val="24"/>
                <w:color w:val="auto"/>
              </w:rPr>
            </w:pPr>
          </w:p>
        </w:tc>
        <w:tc>
          <w:tcPr>
            <w:tcW w:w="60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58,833,076</w:t>
            </w:r>
          </w:p>
        </w:tc>
        <w:tc>
          <w:tcPr>
            <w:tcW w:w="0" w:type="dxa"/>
            <w:vAlign w:val="bottom"/>
          </w:tcPr>
          <w:p>
            <w:pPr>
              <w:spacing w:after="0"/>
              <w:rPr>
                <w:sz w:val="1"/>
                <w:szCs w:val="1"/>
                <w:color w:val="auto"/>
              </w:rPr>
            </w:pPr>
          </w:p>
        </w:tc>
      </w:tr>
      <w:tr>
        <w:trPr>
          <w:trHeight w:val="42"/>
        </w:trPr>
        <w:tc>
          <w:tcPr>
            <w:tcW w:w="4780" w:type="dxa"/>
            <w:vAlign w:val="bottom"/>
            <w:tcBorders>
              <w:left w:val="single" w:sz="8" w:color="auto"/>
              <w:bottom w:val="single" w:sz="8" w:color="auto"/>
            </w:tcBorders>
            <w:gridSpan w:val="2"/>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4780" w:type="dxa"/>
            <w:vAlign w:val="bottom"/>
            <w:tcBorders>
              <w:left w:val="single" w:sz="8" w:color="auto"/>
            </w:tcBorders>
            <w:gridSpan w:val="2"/>
          </w:tcPr>
          <w:p>
            <w:pPr>
              <w:jc w:val="center"/>
              <w:ind w:left="334"/>
              <w:spacing w:after="0"/>
              <w:rPr>
                <w:sz w:val="20"/>
                <w:szCs w:val="20"/>
                <w:color w:val="auto"/>
              </w:rPr>
            </w:pPr>
            <w:r>
              <w:rPr>
                <w:rFonts w:ascii="Times New Roman" w:cs="Times New Roman" w:eastAsia="Times New Roman" w:hAnsi="Times New Roman"/>
                <w:sz w:val="22"/>
                <w:szCs w:val="22"/>
                <w:color w:val="auto"/>
                <w:w w:val="98"/>
              </w:rPr>
              <w:t>Thermo Funding Company LLC</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13,142,665</w:t>
            </w: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1280" w:type="dxa"/>
            <w:vAlign w:val="bottom"/>
            <w:tcBorders>
              <w:left w:val="single" w:sz="8" w:color="auto"/>
            </w:tcBorders>
          </w:tcPr>
          <w:p>
            <w:pPr>
              <w:spacing w:after="0"/>
              <w:rPr>
                <w:sz w:val="24"/>
                <w:szCs w:val="24"/>
                <w:color w:val="auto"/>
              </w:rPr>
            </w:pPr>
          </w:p>
        </w:tc>
        <w:tc>
          <w:tcPr>
            <w:tcW w:w="35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auto"/>
                <w:w w:val="98"/>
              </w:rPr>
              <w:t>Thermo Properties II, LLC</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947,273</w:t>
            </w: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280" w:type="dxa"/>
            <w:vAlign w:val="bottom"/>
            <w:tcBorders>
              <w:left w:val="single" w:sz="8" w:color="auto"/>
            </w:tcBorders>
          </w:tcPr>
          <w:p>
            <w:pPr>
              <w:spacing w:after="0"/>
              <w:rPr>
                <w:sz w:val="24"/>
                <w:szCs w:val="24"/>
                <w:color w:val="auto"/>
              </w:rPr>
            </w:pPr>
          </w:p>
        </w:tc>
        <w:tc>
          <w:tcPr>
            <w:tcW w:w="35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auto"/>
                <w:w w:val="98"/>
              </w:rPr>
              <w:t>Thermo XCOM LLC</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790,097</w:t>
            </w: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280" w:type="dxa"/>
            <w:vAlign w:val="bottom"/>
            <w:tcBorders>
              <w:left w:val="single" w:sz="8" w:color="auto"/>
            </w:tcBorders>
          </w:tcPr>
          <w:p>
            <w:pPr>
              <w:spacing w:after="0"/>
              <w:rPr>
                <w:sz w:val="24"/>
                <w:szCs w:val="24"/>
                <w:color w:val="auto"/>
              </w:rPr>
            </w:pPr>
          </w:p>
        </w:tc>
        <w:tc>
          <w:tcPr>
            <w:tcW w:w="35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auto"/>
                <w:w w:val="97"/>
              </w:rPr>
              <w:t>Monroe Irr. Educational Trust</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200,000</w:t>
            </w: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280" w:type="dxa"/>
            <w:vAlign w:val="bottom"/>
            <w:tcBorders>
              <w:left w:val="single" w:sz="8" w:color="auto"/>
            </w:tcBorders>
          </w:tcPr>
          <w:p>
            <w:pPr>
              <w:spacing w:after="0"/>
              <w:rPr>
                <w:sz w:val="24"/>
                <w:szCs w:val="24"/>
                <w:color w:val="auto"/>
              </w:rPr>
            </w:pPr>
          </w:p>
        </w:tc>
        <w:tc>
          <w:tcPr>
            <w:tcW w:w="35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auto"/>
                <w:w w:val="98"/>
              </w:rPr>
              <w:t>James Monroe III</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45,880</w:t>
            </w: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1280" w:type="dxa"/>
            <w:vAlign w:val="bottom"/>
            <w:tcBorders>
              <w:left w:val="single" w:sz="8" w:color="auto"/>
            </w:tcBorders>
          </w:tcPr>
          <w:p>
            <w:pPr>
              <w:spacing w:after="0"/>
              <w:rPr>
                <w:sz w:val="24"/>
                <w:szCs w:val="24"/>
                <w:color w:val="auto"/>
              </w:rPr>
            </w:pPr>
          </w:p>
        </w:tc>
        <w:tc>
          <w:tcPr>
            <w:tcW w:w="35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auto"/>
                <w:w w:val="98"/>
              </w:rPr>
              <w:t>FL Investment Holdings LLC</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42,717</w:t>
            </w: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1280" w:type="dxa"/>
            <w:vAlign w:val="bottom"/>
            <w:tcBorders>
              <w:left w:val="single" w:sz="8" w:color="auto"/>
            </w:tcBorders>
          </w:tcPr>
          <w:p>
            <w:pPr>
              <w:spacing w:after="0"/>
              <w:rPr>
                <w:sz w:val="24"/>
                <w:szCs w:val="24"/>
                <w:color w:val="auto"/>
              </w:rPr>
            </w:pPr>
          </w:p>
        </w:tc>
        <w:tc>
          <w:tcPr>
            <w:tcW w:w="3500" w:type="dxa"/>
            <w:vAlign w:val="bottom"/>
          </w:tcPr>
          <w:p>
            <w:pPr>
              <w:jc w:val="center"/>
              <w:ind w:right="732"/>
              <w:spacing w:after="0"/>
              <w:rPr>
                <w:sz w:val="20"/>
                <w:szCs w:val="20"/>
                <w:color w:val="auto"/>
              </w:rPr>
            </w:pPr>
            <w:r>
              <w:rPr>
                <w:rFonts w:ascii="Times New Roman" w:cs="Times New Roman" w:eastAsia="Times New Roman" w:hAnsi="Times New Roman"/>
                <w:sz w:val="22"/>
                <w:szCs w:val="22"/>
                <w:color w:val="auto"/>
                <w:w w:val="97"/>
              </w:rPr>
              <w:t>Globalstar Satellite L.P.</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41,238</w:t>
            </w:r>
          </w:p>
        </w:tc>
        <w:tc>
          <w:tcPr>
            <w:tcW w:w="0" w:type="dxa"/>
            <w:vAlign w:val="bottom"/>
          </w:tcPr>
          <w:p>
            <w:pPr>
              <w:spacing w:after="0"/>
              <w:rPr>
                <w:sz w:val="1"/>
                <w:szCs w:val="1"/>
                <w:color w:val="auto"/>
              </w:rPr>
            </w:pPr>
          </w:p>
        </w:tc>
      </w:tr>
      <w:tr>
        <w:trPr>
          <w:trHeight w:val="42"/>
        </w:trPr>
        <w:tc>
          <w:tcPr>
            <w:tcW w:w="4780" w:type="dxa"/>
            <w:vAlign w:val="bottom"/>
            <w:tcBorders>
              <w:left w:val="single" w:sz="8" w:color="auto"/>
              <w:bottom w:val="single" w:sz="8" w:color="auto"/>
            </w:tcBorders>
            <w:gridSpan w:val="2"/>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4780" w:type="dxa"/>
            <w:vAlign w:val="bottom"/>
            <w:tcBorders>
              <w:left w:val="single" w:sz="8" w:color="auto"/>
            </w:tcBorders>
            <w:gridSpan w:val="2"/>
          </w:tcPr>
          <w:p>
            <w:pPr>
              <w:jc w:val="center"/>
              <w:ind w:left="314"/>
              <w:spacing w:after="0"/>
              <w:rPr>
                <w:sz w:val="20"/>
                <w:szCs w:val="20"/>
                <w:color w:val="auto"/>
              </w:rPr>
            </w:pPr>
            <w:r>
              <w:rPr>
                <w:rFonts w:ascii="Times New Roman" w:cs="Times New Roman" w:eastAsia="Times New Roman" w:hAnsi="Times New Roman"/>
                <w:sz w:val="22"/>
                <w:szCs w:val="22"/>
                <w:color w:val="auto"/>
                <w:w w:val="98"/>
              </w:rPr>
              <w:t>Thermo Investments Limited Partnership</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9"/>
              </w:rPr>
              <w:t>13,347</w:t>
            </w:r>
          </w:p>
        </w:tc>
        <w:tc>
          <w:tcPr>
            <w:tcW w:w="0" w:type="dxa"/>
            <w:vAlign w:val="bottom"/>
          </w:tcPr>
          <w:p>
            <w:pPr>
              <w:spacing w:after="0"/>
              <w:rPr>
                <w:sz w:val="1"/>
                <w:szCs w:val="1"/>
                <w:color w:val="auto"/>
              </w:rPr>
            </w:pPr>
          </w:p>
        </w:tc>
      </w:tr>
      <w:tr>
        <w:trPr>
          <w:trHeight w:val="42"/>
        </w:trPr>
        <w:tc>
          <w:tcPr>
            <w:tcW w:w="4780" w:type="dxa"/>
            <w:vAlign w:val="bottom"/>
            <w:tcBorders>
              <w:left w:val="single" w:sz="8" w:color="auto"/>
              <w:bottom w:val="single" w:sz="8" w:color="auto"/>
            </w:tcBorders>
            <w:gridSpan w:val="2"/>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4780" w:type="dxa"/>
            <w:vAlign w:val="bottom"/>
            <w:tcBorders>
              <w:left w:val="single" w:sz="8" w:color="auto"/>
            </w:tcBorders>
            <w:gridSpan w:val="2"/>
          </w:tcPr>
          <w:p>
            <w:pPr>
              <w:jc w:val="center"/>
              <w:ind w:left="314"/>
              <w:spacing w:after="0"/>
              <w:rPr>
                <w:sz w:val="20"/>
                <w:szCs w:val="20"/>
                <w:color w:val="auto"/>
              </w:rPr>
            </w:pPr>
            <w:r>
              <w:rPr>
                <w:rFonts w:ascii="Times New Roman" w:cs="Times New Roman" w:eastAsia="Times New Roman" w:hAnsi="Times New Roman"/>
                <w:sz w:val="22"/>
                <w:szCs w:val="22"/>
                <w:color w:val="auto"/>
                <w:w w:val="97"/>
              </w:rPr>
              <w:t>James Monroe III Grantor Trust</w:t>
            </w:r>
          </w:p>
        </w:tc>
        <w:tc>
          <w:tcPr>
            <w:tcW w:w="420" w:type="dxa"/>
            <w:vAlign w:val="bottom"/>
            <w:tcBorders>
              <w:right w:val="single" w:sz="8" w:color="auto"/>
            </w:tcBorders>
          </w:tcPr>
          <w:p>
            <w:pPr>
              <w:spacing w:after="0"/>
              <w:rPr>
                <w:sz w:val="24"/>
                <w:szCs w:val="24"/>
                <w:color w:val="auto"/>
              </w:rPr>
            </w:pPr>
          </w:p>
        </w:tc>
        <w:tc>
          <w:tcPr>
            <w:tcW w:w="6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1,956</w:t>
            </w:r>
          </w:p>
        </w:tc>
        <w:tc>
          <w:tcPr>
            <w:tcW w:w="0" w:type="dxa"/>
            <w:vAlign w:val="bottom"/>
          </w:tcPr>
          <w:p>
            <w:pPr>
              <w:spacing w:after="0"/>
              <w:rPr>
                <w:sz w:val="1"/>
                <w:szCs w:val="1"/>
                <w:color w:val="auto"/>
              </w:rPr>
            </w:pPr>
          </w:p>
        </w:tc>
      </w:tr>
      <w:tr>
        <w:trPr>
          <w:trHeight w:val="42"/>
        </w:trPr>
        <w:tc>
          <w:tcPr>
            <w:tcW w:w="4780" w:type="dxa"/>
            <w:vAlign w:val="bottom"/>
            <w:tcBorders>
              <w:left w:val="single" w:sz="8" w:color="auto"/>
              <w:bottom w:val="single" w:sz="8" w:color="auto"/>
            </w:tcBorders>
            <w:gridSpan w:val="2"/>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80"/>
        </w:trPr>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Address for Notices</w:t>
            </w: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47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Thermo Companies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780" w:type="dxa"/>
            <w:vAlign w:val="bottom"/>
            <w:gridSpan w:val="2"/>
          </w:tcPr>
          <w:p>
            <w:pPr>
              <w:ind w:left="660"/>
              <w:spacing w:after="0" w:line="247" w:lineRule="exact"/>
              <w:rPr>
                <w:sz w:val="20"/>
                <w:szCs w:val="20"/>
                <w:color w:val="auto"/>
              </w:rPr>
            </w:pPr>
            <w:r>
              <w:rPr>
                <w:rFonts w:ascii="Times New Roman" w:cs="Times New Roman" w:eastAsia="Times New Roman" w:hAnsi="Times New Roman"/>
                <w:sz w:val="18"/>
                <w:szCs w:val="18"/>
                <w:color w:val="auto"/>
              </w:rPr>
              <w:t>1735 19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 Suite 200</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Denver, Colorado 80202</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w w:val="98"/>
              </w:rPr>
              <w:t>Phone:</w:t>
            </w:r>
          </w:p>
        </w:tc>
        <w:tc>
          <w:tcPr>
            <w:tcW w:w="3500" w:type="dxa"/>
            <w:vAlign w:val="bottom"/>
          </w:tcPr>
          <w:p>
            <w:pPr>
              <w:jc w:val="right"/>
              <w:ind w:right="27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Email:</w:t>
            </w:r>
          </w:p>
        </w:tc>
        <w:tc>
          <w:tcPr>
            <w:tcW w:w="3500" w:type="dxa"/>
            <w:vAlign w:val="bottom"/>
          </w:tcPr>
          <w:p>
            <w:pPr>
              <w:jc w:val="right"/>
              <w:ind w:right="27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7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Attention: ***</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 w:right="339" w:bottom="1440" w:gutter="0" w:footer="0" w:header="0"/>
        </w:sectPr>
      </w:pPr>
    </w:p>
    <w:bookmarkStart w:id="32" w:name="page33"/>
    <w:bookmarkEnd w:id="32"/>
    <w:p>
      <w:pPr>
        <w:spacing w:after="0" w:line="218" w:lineRule="auto"/>
        <w:framePr w:w="4500" w:h="376" w:wrap="auto" w:vAnchor="page" w:hAnchor="page" w:x="6700" w:y="644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Monroe III, President of Thermo Development Inc., as General Partner of Globalstar Satellite L.P.</w:t>
      </w:r>
    </w:p>
    <w:p>
      <w:pPr>
        <w:spacing w:after="0" w:line="185" w:lineRule="auto"/>
        <w:framePr w:w="1140" w:h="160" w:wrap="auto" w:vAnchor="page" w:hAnchor="page" w:x="6700" w:y="687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15, 2026</w:t>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1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rFonts w:ascii="Times New Roman" w:cs="Times New Roman" w:eastAsia="Times New Roman" w:hAnsi="Times New Roman"/>
          <w:sz w:val="18"/>
          <w:szCs w:val="18"/>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Rule 13d-1(k), the undersigned acknowledge and agree that the foregoing statement on Schedule 13D with respect to the common stock, par value of $0.0001 per share, of Globalstar, Inc.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p>
    <w:p>
      <w:pPr>
        <w:spacing w:after="0" w:line="18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Dated this 15th day of April 2026.</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FL INVESTMENT HOLDINGS LLC</w:t>
      </w:r>
    </w:p>
    <w:p>
      <w:pPr>
        <w:spacing w:after="0" w:line="3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4076700</wp:posOffset>
            </wp:positionH>
            <wp:positionV relativeFrom="paragraph">
              <wp:posOffset>5715</wp:posOffset>
            </wp:positionV>
            <wp:extent cx="3060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James Monroe III, Manager</w:t>
      </w:r>
    </w:p>
    <w:p>
      <w:pPr>
        <w:spacing w:after="0" w:line="1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rFonts w:ascii="Times New Roman" w:cs="Times New Roman" w:eastAsia="Times New Roman" w:hAnsi="Times New Roman"/>
          <w:sz w:val="18"/>
          <w:szCs w:val="18"/>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p>
    <w:p>
      <w:pPr>
        <w:spacing w:after="0" w:line="203"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THERMO FUNDING II, LLC</w:t>
      </w:r>
    </w:p>
    <w:p>
      <w:pPr>
        <w:spacing w:after="0" w:line="3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4076700</wp:posOffset>
            </wp:positionH>
            <wp:positionV relativeFrom="paragraph">
              <wp:posOffset>5715</wp:posOffset>
            </wp:positionV>
            <wp:extent cx="3060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James Monroe III, Manager</w:t>
      </w:r>
    </w:p>
    <w:p>
      <w:pPr>
        <w:spacing w:after="0" w:line="1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rFonts w:ascii="Times New Roman" w:cs="Times New Roman" w:eastAsia="Times New Roman" w:hAnsi="Times New Roman"/>
          <w:sz w:val="18"/>
          <w:szCs w:val="18"/>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p>
    <w:p>
      <w:pPr>
        <w:spacing w:after="0" w:line="203"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GLOBALSTAR SATELLITE L.P.</w:t>
      </w:r>
    </w:p>
    <w:p>
      <w:pPr>
        <w:spacing w:after="0" w:line="3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4"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4076700</wp:posOffset>
            </wp:positionH>
            <wp:positionV relativeFrom="paragraph">
              <wp:posOffset>-127635</wp:posOffset>
            </wp:positionV>
            <wp:extent cx="3060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16"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MONROE IRR. EDUCATIONAL TRUST</w:t>
      </w:r>
    </w:p>
    <w:p>
      <w:pPr>
        <w:spacing w:after="0" w:line="3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Marie Shannon Monroe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4076700</wp:posOffset>
            </wp:positionH>
            <wp:positionV relativeFrom="paragraph">
              <wp:posOffset>5715</wp:posOffset>
            </wp:positionV>
            <wp:extent cx="3060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Marie Shannon Monroe, Trustee</w:t>
      </w:r>
    </w:p>
    <w:p>
      <w:pPr>
        <w:spacing w:after="0" w:line="1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rFonts w:ascii="Times New Roman" w:cs="Times New Roman" w:eastAsia="Times New Roman" w:hAnsi="Times New Roman"/>
          <w:sz w:val="18"/>
          <w:szCs w:val="18"/>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p>
    <w:p>
      <w:pPr>
        <w:spacing w:after="0" w:line="203"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JAMES MONROE III</w:t>
      </w:r>
    </w:p>
    <w:p>
      <w:pPr>
        <w:spacing w:after="0" w:line="3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James Moneroe, 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4076700</wp:posOffset>
            </wp:positionH>
            <wp:positionV relativeFrom="paragraph">
              <wp:posOffset>5715</wp:posOffset>
            </wp:positionV>
            <wp:extent cx="30600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Monroe III</w:t>
      </w:r>
    </w:p>
    <w:p>
      <w:pPr>
        <w:spacing w:after="0" w:line="1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rFonts w:ascii="Times New Roman" w:cs="Times New Roman" w:eastAsia="Times New Roman" w:hAnsi="Times New Roman"/>
          <w:sz w:val="18"/>
          <w:szCs w:val="18"/>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p>
    <w:p>
      <w:pPr>
        <w:spacing w:after="0" w:line="203"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THERMO FUNDING COMPANY LLC</w:t>
      </w:r>
    </w:p>
    <w:p>
      <w:pPr>
        <w:spacing w:after="0" w:line="3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4076700</wp:posOffset>
            </wp:positionH>
            <wp:positionV relativeFrom="paragraph">
              <wp:posOffset>5715</wp:posOffset>
            </wp:positionV>
            <wp:extent cx="30600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James Monroe III, Manager</w:t>
      </w:r>
    </w:p>
    <w:p>
      <w:pPr>
        <w:spacing w:after="0" w:line="11" w:lineRule="exact"/>
        <w:rPr>
          <w:rFonts w:ascii="Times New Roman" w:cs="Times New Roman" w:eastAsia="Times New Roman" w:hAnsi="Times New Roman"/>
          <w:sz w:val="18"/>
          <w:szCs w:val="18"/>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rFonts w:ascii="Times New Roman" w:cs="Times New Roman" w:eastAsia="Times New Roman" w:hAnsi="Times New Roman"/>
          <w:sz w:val="18"/>
          <w:szCs w:val="18"/>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spacing w:after="0" w:line="218" w:lineRule="auto"/>
        <w:framePr w:w="4500" w:h="376" w:wrap="auto" w:vAnchor="page" w:hAnchor="page" w:x="6700" w:y="209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Monroe III, President of Thermo Development Inc., as Manager of Thermo XCOM LLC</w:t>
      </w:r>
    </w:p>
    <w:p>
      <w:pPr>
        <w:spacing w:after="0" w:line="185" w:lineRule="auto"/>
        <w:framePr w:w="1140" w:h="160" w:wrap="auto" w:vAnchor="page" w:hAnchor="page" w:x="6700" w:y="253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15, 2026</w:t>
      </w:r>
    </w:p>
    <w:p>
      <w:pPr>
        <w:spacing w:after="0" w:line="185" w:lineRule="auto"/>
        <w:framePr w:w="1140" w:h="160" w:wrap="auto" w:vAnchor="page" w:hAnchor="page" w:x="6700" w:y="122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15, 2026</w:t>
      </w:r>
    </w:p>
    <w:p>
      <w:pPr>
        <w:spacing w:after="0" w:line="196" w:lineRule="auto"/>
        <w:framePr w:w="2080" w:h="160" w:wrap="auto" w:vAnchor="page" w:hAnchor="page" w:x="6700" w:y="80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Monroe III, Manager</w:t>
      </w:r>
    </w:p>
    <w:p>
      <w:pPr>
        <w:ind w:left="4520"/>
        <w:spacing w:after="0"/>
        <w:rPr>
          <w:sz w:val="20"/>
          <w:szCs w:val="20"/>
          <w:color w:val="auto"/>
        </w:rPr>
      </w:pPr>
      <w:r>
        <w:rPr>
          <w:rFonts w:ascii="Times New Roman" w:cs="Times New Roman" w:eastAsia="Times New Roman" w:hAnsi="Times New Roman"/>
          <w:sz w:val="18"/>
          <w:szCs w:val="18"/>
          <w:b w:val="1"/>
          <w:bCs w:val="1"/>
          <w:color w:val="auto"/>
        </w:rPr>
        <w:t>THERMO PROPERTIES II, LLC</w:t>
      </w:r>
    </w:p>
    <w:p>
      <w:pPr>
        <w:spacing w:after="0" w:line="31"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4"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3365500</wp:posOffset>
            </wp:positionH>
            <wp:positionV relativeFrom="paragraph">
              <wp:posOffset>-127635</wp:posOffset>
            </wp:positionV>
            <wp:extent cx="3060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THERMO XCOM LLC</w:t>
      </w:r>
    </w:p>
    <w:p>
      <w:pPr>
        <w:spacing w:after="0" w:line="31"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4"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3365500</wp:posOffset>
            </wp:positionH>
            <wp:positionV relativeFrom="paragraph">
              <wp:posOffset>-127635</wp:posOffset>
            </wp:positionV>
            <wp:extent cx="3060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w:t>
      </w:r>
    </w:p>
    <w:p>
      <w:pPr>
        <w:spacing w:after="0" w:line="216"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THERMO INVESTMENTS LIMITED PARTNERSHIP</w:t>
      </w:r>
    </w:p>
    <w:p>
      <w:pPr>
        <w:spacing w:after="0" w:line="31"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3365500</wp:posOffset>
            </wp:positionH>
            <wp:positionV relativeFrom="paragraph">
              <wp:posOffset>5715</wp:posOffset>
            </wp:positionV>
            <wp:extent cx="3060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4520"/>
        <w:spacing w:after="0"/>
        <w:tabs>
          <w:tab w:leader="none" w:pos="528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James Monroe III, President of Thermo Greeley I, Inc., as General</w:t>
      </w:r>
    </w:p>
    <w:p>
      <w:pPr>
        <w:sectPr>
          <w:pgSz w:w="11900" w:h="16838" w:orient="portrait"/>
          <w:cols w:equalWidth="0" w:num="1">
            <w:col w:w="10080"/>
          </w:cols>
          <w:pgMar w:left="1440" w:top="333" w:right="379" w:bottom="1440" w:gutter="0" w:footer="0" w:header="0"/>
        </w:sectPr>
      </w:pPr>
    </w:p>
    <w:p>
      <w:pPr>
        <w:spacing w:after="0" w:line="23"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7"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3" w:lineRule="exact"/>
        <w:rPr>
          <w:rFonts w:ascii="Times New Roman" w:cs="Times New Roman" w:eastAsia="Times New Roman" w:hAnsi="Times New Roman"/>
          <w:sz w:val="17"/>
          <w:szCs w:val="17"/>
          <w:color w:val="auto"/>
        </w:rPr>
      </w:pPr>
    </w:p>
    <w:p>
      <w:pPr>
        <w:ind w:right="1060"/>
        <w:spacing w:after="0" w:line="260" w:lineRule="auto"/>
        <w:rPr>
          <w:sz w:val="20"/>
          <w:szCs w:val="20"/>
          <w:color w:val="auto"/>
        </w:rPr>
      </w:pPr>
      <w:r>
        <w:rPr>
          <w:rFonts w:ascii="Times New Roman" w:cs="Times New Roman" w:eastAsia="Times New Roman" w:hAnsi="Times New Roman"/>
          <w:sz w:val="18"/>
          <w:szCs w:val="18"/>
          <w:color w:val="auto"/>
        </w:rPr>
        <w:t>Partner of Thermo Investments Limited Partnership April 15, 2026</w:t>
      </w:r>
    </w:p>
    <w:p>
      <w:pPr>
        <w:spacing w:after="0" w:line="177" w:lineRule="exact"/>
        <w:rPr>
          <w:rFonts w:ascii="Times New Roman" w:cs="Times New Roman" w:eastAsia="Times New Roman" w:hAnsi="Times New Roman"/>
          <w:sz w:val="17"/>
          <w:szCs w:val="17"/>
          <w:color w:val="auto"/>
        </w:rPr>
      </w:pPr>
    </w:p>
    <w:p>
      <w:pPr>
        <w:sectPr>
          <w:pgSz w:w="11900" w:h="16838" w:orient="portrait"/>
          <w:cols w:equalWidth="0" w:num="2">
            <w:col w:w="4900" w:space="400"/>
            <w:col w:w="4780"/>
          </w:cols>
          <w:pgMar w:left="1440" w:top="333" w:right="37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b w:val="1"/>
          <w:bCs w:val="1"/>
          <w:color w:val="auto"/>
        </w:rPr>
        <w:t>JAMES MONROE III GRANTOR TRUST</w:t>
      </w:r>
    </w:p>
    <w:p>
      <w:pPr>
        <w:spacing w:after="0" w:line="43"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 /s/ James Monroe III</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3365500</wp:posOffset>
            </wp:positionH>
            <wp:positionV relativeFrom="paragraph">
              <wp:posOffset>5715</wp:posOffset>
            </wp:positionV>
            <wp:extent cx="30600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4520"/>
        <w:spacing w:after="0"/>
        <w:tabs>
          <w:tab w:leader="none" w:pos="528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James Monroe III, Trustee</w:t>
      </w:r>
    </w:p>
    <w:p>
      <w:pPr>
        <w:spacing w:after="0" w:line="11" w:lineRule="exact"/>
        <w:rPr>
          <w:rFonts w:ascii="Times New Roman" w:cs="Times New Roman" w:eastAsia="Times New Roman" w:hAnsi="Times New Roman"/>
          <w:sz w:val="17"/>
          <w:szCs w:val="17"/>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7" w:lineRule="exact"/>
        <w:rPr>
          <w:rFonts w:ascii="Times New Roman" w:cs="Times New Roman" w:eastAsia="Times New Roman" w:hAnsi="Times New Roman"/>
          <w:sz w:val="17"/>
          <w:szCs w:val="17"/>
          <w:color w:val="auto"/>
        </w:rPr>
      </w:pPr>
    </w:p>
    <w:p>
      <w:pPr>
        <w:ind w:left="4520"/>
        <w:spacing w:after="0"/>
        <w:tabs>
          <w:tab w:leader="none" w:pos="5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p>
    <w:sectPr>
      <w:pgSz w:w="11900" w:h="16838" w:orient="portrait"/>
      <w:cols w:equalWidth="0" w:num="1">
        <w:col w:w="10080"/>
      </w:cols>
      <w:pgMar w:left="1440" w:top="33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bullet"/>
      <w:start w:val="1"/>
    </w:lvl>
  </w:abstractNum>
  <w:abstractNum w:abstractNumId="1">
    <w:nsid w:val="6B68079A"/>
    <w:multiLevelType w:val="hybridMultilevel"/>
    <w:lvl w:ilvl="0">
      <w:lvlJc w:val="left"/>
      <w:lvlText w:val="2"/>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2"/>
      <w:numFmt w:val="bullet"/>
      <w:start w:val="1"/>
    </w:lvl>
  </w:abstractNum>
  <w:abstractNum w:abstractNumId="6">
    <w:nsid w:val="3F2DBA31"/>
    <w:multiLevelType w:val="hybridMultilevel"/>
    <w:lvl w:ilvl="0">
      <w:lvlJc w:val="left"/>
      <w:lvlText w:val="3"/>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2"/>
      <w:numFmt w:val="bullet"/>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2"/>
      <w:numFmt w:val="bullet"/>
      <w:start w:val="1"/>
    </w:lvl>
  </w:abstractNum>
  <w:abstractNum w:abstractNumId="11">
    <w:nsid w:val="628C895D"/>
    <w:multiLevelType w:val="hybridMultilevel"/>
    <w:lvl w:ilvl="0">
      <w:lvlJc w:val="left"/>
      <w:lvlText w:val="1"/>
      <w:numFmt w:val="bullet"/>
      <w:start w:val="1"/>
    </w:lvl>
  </w:abstractNum>
  <w:abstractNum w:abstractNumId="12">
    <w:nsid w:val="333AB105"/>
    <w:multiLevelType w:val="hybridMultilevel"/>
    <w:lvl w:ilvl="0">
      <w:lvlJc w:val="left"/>
      <w:lvlText w:val="2"/>
      <w:numFmt w:val="bullet"/>
      <w:start w:val="1"/>
    </w:lvl>
  </w:abstractNum>
  <w:abstractNum w:abstractNumId="13">
    <w:nsid w:val="721DA317"/>
    <w:multiLevelType w:val="hybridMultilevel"/>
    <w:lvl w:ilvl="0">
      <w:lvlJc w:val="left"/>
      <w:lvlText w:val="2"/>
      <w:numFmt w:val="bullet"/>
      <w:start w:val="1"/>
    </w:lvl>
  </w:abstractNum>
  <w:abstractNum w:abstractNumId="14">
    <w:nsid w:val="2443A858"/>
    <w:multiLevelType w:val="hybridMultilevel"/>
    <w:lvl w:ilvl="0">
      <w:lvlJc w:val="left"/>
      <w:lvlText w:val="3"/>
      <w:numFmt w:val="bullet"/>
      <w:start w:val="1"/>
    </w:lvl>
  </w:abstractNum>
  <w:abstractNum w:abstractNumId="15">
    <w:nsid w:val="2D1D5AE9"/>
    <w:multiLevelType w:val="hybridMultilevel"/>
    <w:lvl w:ilvl="0">
      <w:lvlJc w:val="left"/>
      <w:lvlText w:val="5"/>
      <w:numFmt w:val="bullet"/>
      <w:start w:val="1"/>
    </w:lvl>
  </w:abstractNum>
  <w:abstractNum w:abstractNumId="16">
    <w:nsid w:val="6763845E"/>
    <w:multiLevelType w:val="hybridMultilevel"/>
    <w:lvl w:ilvl="0">
      <w:lvlJc w:val="left"/>
      <w:lvlText w:val="2"/>
      <w:numFmt w:val="bullet"/>
      <w:start w:val="1"/>
    </w:lvl>
  </w:abstractNum>
  <w:abstractNum w:abstractNumId="17">
    <w:nsid w:val="75A2A8D4"/>
    <w:multiLevelType w:val="hybridMultilevel"/>
    <w:lvl w:ilvl="0">
      <w:lvlJc w:val="left"/>
      <w:lvlText w:val="3"/>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6"/>
    </w:lvl>
  </w:abstractNum>
  <w:abstractNum w:abstractNumId="20">
    <w:nsid w:val="4353D0CD"/>
    <w:multiLevelType w:val="hybridMultilevel"/>
    <w:lvl w:ilvl="0">
      <w:lvlJc w:val="left"/>
      <w:lvlText w:val="(%1)"/>
      <w:numFmt w:val="lowerRoman"/>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2"/>
    </w:lvl>
  </w:abstractNum>
  <w:abstractNum w:abstractNumId="25">
    <w:nsid w:val="2CA88611"/>
    <w:multiLevelType w:val="hybridMultilevel"/>
    <w:lvl w:ilvl="0">
      <w:lvlJc w:val="left"/>
      <w:lvlText w:val="(%1)"/>
      <w:numFmt w:val="lowerLetter"/>
      <w:start w:val="6"/>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4"/>
    </w:lvl>
  </w:abstractNum>
  <w:abstractNum w:abstractNumId="28">
    <w:nsid w:val="3A95F874"/>
    <w:multiLevelType w:val="hybridMultilevel"/>
    <w:lvl w:ilvl="0">
      <w:lvlJc w:val="left"/>
      <w:lvlText w:val="(%1)"/>
      <w:numFmt w:val="lowerLetter"/>
      <w:start w:val="9"/>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2026-04-15T19:09:53Z</dcterms:created>
  <dcterms:modified xsi:type="dcterms:W3CDTF">2026-04-15T19:09:53Z</dcterms:modified>
</cp:coreProperties>
</file>