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17"/>
          <w:szCs w:val="17"/>
          <w:b w:val="1"/>
          <w:bCs w:val="1"/>
          <w:color w:val="auto"/>
        </w:rPr>
        <w:t>UNITED STATES</w:t>
      </w:r>
    </w:p>
    <w:p>
      <w:pPr>
        <w:spacing w:after="0" w:line="25"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SECURITIES AND EXCHANGE COMMISSION</w:t>
      </w:r>
    </w:p>
    <w:p>
      <w:pPr>
        <w:spacing w:after="0" w:line="7"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Washington, D.C. 20549</w:t>
      </w:r>
    </w:p>
    <w:p>
      <w:pPr>
        <w:spacing w:after="0" w:line="192"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FORM 10-Q</w:t>
      </w:r>
    </w:p>
    <w:p>
      <w:pPr>
        <w:spacing w:after="0" w:line="25" w:lineRule="exact"/>
        <w:rPr>
          <w:sz w:val="24"/>
          <w:szCs w:val="24"/>
          <w:color w:val="auto"/>
        </w:rPr>
      </w:pPr>
    </w:p>
    <w:p>
      <w:pPr>
        <w:spacing w:after="0"/>
        <w:rPr>
          <w:sz w:val="20"/>
          <w:szCs w:val="20"/>
          <w:color w:val="auto"/>
        </w:rPr>
      </w:pPr>
      <w:r>
        <w:rPr>
          <w:rFonts w:ascii="Arial" w:cs="Arial" w:eastAsia="Arial" w:hAnsi="Arial"/>
          <w:sz w:val="17"/>
          <w:szCs w:val="17"/>
          <w:color w:val="auto"/>
        </w:rPr>
        <w:t>(Mark One)</w:t>
      </w:r>
    </w:p>
    <w:p>
      <w:pPr>
        <w:spacing w:after="0" w:line="138" w:lineRule="exact"/>
        <w:rPr>
          <w:sz w:val="24"/>
          <w:szCs w:val="24"/>
          <w:color w:val="auto"/>
        </w:rPr>
      </w:pPr>
    </w:p>
    <w:p>
      <w:pPr>
        <w:ind w:left="1260" w:hanging="1167"/>
        <w:spacing w:after="0"/>
        <w:tabs>
          <w:tab w:leader="none" w:pos="1260" w:val="left"/>
        </w:tabs>
        <w:numPr>
          <w:ilvl w:val="0"/>
          <w:numId w:val="1"/>
        </w:numPr>
        <w:rPr>
          <w:rFonts w:ascii="MS PGothic" w:cs="MS PGothic" w:eastAsia="MS PGothic" w:hAnsi="MS PGothic"/>
          <w:sz w:val="16"/>
          <w:szCs w:val="16"/>
          <w:color w:val="auto"/>
        </w:rPr>
      </w:pPr>
      <w:r>
        <w:rPr>
          <w:rFonts w:ascii="Arial" w:cs="Arial" w:eastAsia="Arial" w:hAnsi="Arial"/>
          <w:sz w:val="16"/>
          <w:szCs w:val="16"/>
          <w:b w:val="1"/>
          <w:bCs w:val="1"/>
          <w:color w:val="auto"/>
        </w:rPr>
        <w:t>QUARTERLY REPORT PURSUANT TO SECTION 13 OR 15(d) OF THE SECURITIES EXCHANGE ACT OF 1934</w:t>
      </w:r>
    </w:p>
    <w:p>
      <w:pPr>
        <w:spacing w:after="0" w:line="329" w:lineRule="exact"/>
        <w:rPr>
          <w:sz w:val="24"/>
          <w:szCs w:val="24"/>
          <w:color w:val="auto"/>
        </w:rPr>
      </w:pPr>
    </w:p>
    <w:p>
      <w:pPr>
        <w:jc w:val="center"/>
        <w:ind w:right="40"/>
        <w:spacing w:after="0"/>
        <w:rPr>
          <w:sz w:val="20"/>
          <w:szCs w:val="20"/>
          <w:color w:val="auto"/>
        </w:rPr>
      </w:pPr>
      <w:r>
        <w:rPr>
          <w:rFonts w:ascii="Arial" w:cs="Arial" w:eastAsia="Arial" w:hAnsi="Arial"/>
          <w:sz w:val="17"/>
          <w:szCs w:val="17"/>
          <w:b w:val="1"/>
          <w:bCs w:val="1"/>
          <w:color w:val="auto"/>
        </w:rPr>
        <w:t>For the quarterly period ended June 30, 2020</w:t>
      </w:r>
    </w:p>
    <w:p>
      <w:pPr>
        <w:spacing w:after="0" w:line="25" w:lineRule="exact"/>
        <w:rPr>
          <w:sz w:val="24"/>
          <w:szCs w:val="24"/>
          <w:color w:val="auto"/>
        </w:rPr>
      </w:pPr>
    </w:p>
    <w:p>
      <w:pPr>
        <w:jc w:val="center"/>
        <w:spacing w:after="0"/>
        <w:rPr>
          <w:sz w:val="20"/>
          <w:szCs w:val="20"/>
          <w:color w:val="auto"/>
        </w:rPr>
      </w:pPr>
      <w:r>
        <w:rPr>
          <w:rFonts w:ascii="Arial" w:cs="Arial" w:eastAsia="Arial" w:hAnsi="Arial"/>
          <w:sz w:val="17"/>
          <w:szCs w:val="17"/>
          <w:color w:val="auto"/>
        </w:rPr>
        <w:t>or</w:t>
      </w:r>
    </w:p>
    <w:p>
      <w:pPr>
        <w:spacing w:after="0" w:line="151" w:lineRule="exact"/>
        <w:rPr>
          <w:sz w:val="24"/>
          <w:szCs w:val="24"/>
          <w:color w:val="auto"/>
        </w:rPr>
      </w:pPr>
    </w:p>
    <w:p>
      <w:pPr>
        <w:ind w:left="1260" w:hanging="1167"/>
        <w:spacing w:after="0"/>
        <w:tabs>
          <w:tab w:leader="none" w:pos="1260" w:val="left"/>
        </w:tabs>
        <w:numPr>
          <w:ilvl w:val="0"/>
          <w:numId w:val="2"/>
        </w:numPr>
        <w:rPr>
          <w:rFonts w:ascii="MS PGothic" w:cs="MS PGothic" w:eastAsia="MS PGothic" w:hAnsi="MS PGothic"/>
          <w:sz w:val="16"/>
          <w:szCs w:val="16"/>
          <w:color w:val="auto"/>
        </w:rPr>
      </w:pPr>
      <w:r>
        <w:rPr>
          <w:rFonts w:ascii="Arial" w:cs="Arial" w:eastAsia="Arial" w:hAnsi="Arial"/>
          <w:sz w:val="16"/>
          <w:szCs w:val="16"/>
          <w:b w:val="1"/>
          <w:bCs w:val="1"/>
          <w:color w:val="auto"/>
        </w:rPr>
        <w:t>TRANSITION REPORT PURSUANT TO SECTION 13 OR 15(d) OF THE SECURITIES EXCHANGE ACT OF 1934</w:t>
      </w:r>
    </w:p>
    <w:p>
      <w:pPr>
        <w:spacing w:after="0" w:line="200" w:lineRule="exact"/>
        <w:rPr>
          <w:sz w:val="24"/>
          <w:szCs w:val="24"/>
          <w:color w:val="auto"/>
        </w:rPr>
      </w:pPr>
    </w:p>
    <w:p>
      <w:pPr>
        <w:spacing w:after="0" w:line="309" w:lineRule="exact"/>
        <w:rPr>
          <w:sz w:val="24"/>
          <w:szCs w:val="24"/>
          <w:color w:val="auto"/>
        </w:rPr>
      </w:pPr>
    </w:p>
    <w:p>
      <w:pPr>
        <w:ind w:left="3820"/>
        <w:spacing w:after="0"/>
        <w:tabs>
          <w:tab w:leader="none" w:pos="6600" w:val="left"/>
        </w:tabs>
        <w:rPr>
          <w:sz w:val="20"/>
          <w:szCs w:val="20"/>
          <w:color w:val="auto"/>
        </w:rPr>
      </w:pPr>
      <w:r>
        <w:rPr>
          <w:rFonts w:ascii="Arial" w:cs="Arial" w:eastAsia="Arial" w:hAnsi="Arial"/>
          <w:sz w:val="17"/>
          <w:szCs w:val="17"/>
          <w:color w:val="auto"/>
        </w:rPr>
        <w:t>For the transition period from</w:t>
      </w:r>
      <w:r>
        <w:rPr>
          <w:sz w:val="20"/>
          <w:szCs w:val="20"/>
          <w:color w:val="auto"/>
        </w:rPr>
        <w:tab/>
      </w:r>
      <w:r>
        <w:rPr>
          <w:rFonts w:ascii="Arial" w:cs="Arial" w:eastAsia="Arial" w:hAnsi="Arial"/>
          <w:sz w:val="14"/>
          <w:szCs w:val="14"/>
          <w:color w:val="auto"/>
        </w:rPr>
        <w:t>to</w:t>
      </w:r>
    </w:p>
    <w:p>
      <w:pPr>
        <w:spacing w:after="0" w:line="250" w:lineRule="exact"/>
        <w:rPr>
          <w:sz w:val="24"/>
          <w:szCs w:val="24"/>
          <w:color w:val="auto"/>
        </w:rPr>
      </w:pPr>
    </w:p>
    <w:p>
      <w:pPr>
        <w:jc w:val="center"/>
        <w:ind w:right="40"/>
        <w:spacing w:after="0"/>
        <w:rPr>
          <w:sz w:val="20"/>
          <w:szCs w:val="20"/>
          <w:color w:val="auto"/>
        </w:rPr>
      </w:pPr>
      <w:r>
        <w:rPr>
          <w:rFonts w:ascii="Arial" w:cs="Arial" w:eastAsia="Arial" w:hAnsi="Arial"/>
          <w:sz w:val="17"/>
          <w:szCs w:val="17"/>
          <w:color w:val="auto"/>
        </w:rPr>
        <w:t>Commission file number 001-33117</w:t>
      </w:r>
    </w:p>
    <w:p>
      <w:pPr>
        <w:spacing w:after="0" w:line="165"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GLOBALSTAR, INC.</w:t>
      </w:r>
    </w:p>
    <w:p>
      <w:pPr>
        <w:spacing w:after="0" w:line="25" w:lineRule="exact"/>
        <w:rPr>
          <w:sz w:val="24"/>
          <w:szCs w:val="24"/>
          <w:color w:val="auto"/>
        </w:rPr>
      </w:pPr>
    </w:p>
    <w:p>
      <w:pPr>
        <w:jc w:val="center"/>
        <w:ind w:right="40"/>
        <w:spacing w:after="0"/>
        <w:rPr>
          <w:sz w:val="20"/>
          <w:szCs w:val="20"/>
          <w:color w:val="auto"/>
        </w:rPr>
      </w:pPr>
      <w:r>
        <w:rPr>
          <w:rFonts w:ascii="Arial" w:cs="Arial" w:eastAsia="Arial" w:hAnsi="Arial"/>
          <w:sz w:val="17"/>
          <w:szCs w:val="17"/>
          <w:color w:val="auto"/>
        </w:rPr>
        <w:t>(Exact Name of Registrant as Specified in Its Charter)</w:t>
      </w:r>
    </w:p>
    <w:p>
      <w:pPr>
        <w:sectPr>
          <w:pgSz w:w="11900" w:h="16838" w:orient="portrait"/>
          <w:cols w:equalWidth="0" w:num="1">
            <w:col w:w="11240"/>
          </w:cols>
          <w:pgMar w:left="320" w:top="995" w:right="339" w:bottom="1440" w:gutter="0" w:footer="0" w:header="0"/>
        </w:sectPr>
      </w:pPr>
    </w:p>
    <w:p>
      <w:pPr>
        <w:spacing w:after="0" w:line="124" w:lineRule="exact"/>
        <w:rPr>
          <w:sz w:val="24"/>
          <w:szCs w:val="24"/>
          <w:color w:val="auto"/>
        </w:rPr>
      </w:pPr>
    </w:p>
    <w:p>
      <w:pPr>
        <w:ind w:left="2380"/>
        <w:spacing w:after="0"/>
        <w:rPr>
          <w:sz w:val="20"/>
          <w:szCs w:val="20"/>
          <w:color w:val="auto"/>
        </w:rPr>
      </w:pPr>
      <w:r>
        <w:rPr>
          <w:rFonts w:ascii="Arial" w:cs="Arial" w:eastAsia="Arial" w:hAnsi="Arial"/>
          <w:sz w:val="15"/>
          <w:szCs w:val="15"/>
          <w:b w:val="1"/>
          <w:bCs w:val="1"/>
          <w:color w:val="auto"/>
        </w:rPr>
        <w:t>Delaware</w:t>
      </w:r>
    </w:p>
    <w:p>
      <w:pPr>
        <w:spacing w:after="0" w:line="20" w:lineRule="exact"/>
        <w:rPr>
          <w:sz w:val="24"/>
          <w:szCs w:val="24"/>
          <w:color w:val="auto"/>
        </w:rPr>
      </w:pPr>
      <w:r>
        <w:rPr>
          <w:sz w:val="24"/>
          <w:szCs w:val="24"/>
          <w:color w:val="auto"/>
        </w:rPr>
        <w:br w:type="column"/>
      </w:r>
    </w:p>
    <w:p>
      <w:pPr>
        <w:spacing w:after="0" w:line="104" w:lineRule="exact"/>
        <w:rPr>
          <w:sz w:val="24"/>
          <w:szCs w:val="24"/>
          <w:color w:val="auto"/>
        </w:rPr>
      </w:pPr>
    </w:p>
    <w:p>
      <w:pPr>
        <w:spacing w:after="0"/>
        <w:rPr>
          <w:sz w:val="20"/>
          <w:szCs w:val="20"/>
          <w:color w:val="auto"/>
        </w:rPr>
      </w:pPr>
      <w:r>
        <w:rPr>
          <w:rFonts w:ascii="Arial" w:cs="Arial" w:eastAsia="Arial" w:hAnsi="Arial"/>
          <w:sz w:val="15"/>
          <w:szCs w:val="15"/>
          <w:b w:val="1"/>
          <w:bCs w:val="1"/>
          <w:color w:val="auto"/>
        </w:rPr>
        <w:t>41-2116508</w:t>
      </w:r>
    </w:p>
    <w:p>
      <w:pPr>
        <w:spacing w:after="0" w:line="88" w:lineRule="exact"/>
        <w:rPr>
          <w:sz w:val="24"/>
          <w:szCs w:val="24"/>
          <w:color w:val="auto"/>
        </w:rPr>
      </w:pPr>
    </w:p>
    <w:p>
      <w:pPr>
        <w:sectPr>
          <w:pgSz w:w="11900" w:h="16838" w:orient="portrait"/>
          <w:cols w:equalWidth="0" w:num="2">
            <w:col w:w="7380" w:space="720"/>
            <w:col w:w="3140"/>
          </w:cols>
          <w:pgMar w:left="320" w:top="995" w:right="339" w:bottom="1440" w:gutter="0" w:footer="0" w:header="0"/>
          <w:type w:val="continuous"/>
        </w:sectPr>
      </w:pPr>
    </w:p>
    <w:p>
      <w:pPr>
        <w:ind w:left="1700"/>
        <w:spacing w:after="0"/>
        <w:rPr>
          <w:sz w:val="20"/>
          <w:szCs w:val="20"/>
          <w:color w:val="auto"/>
        </w:rPr>
      </w:pPr>
      <w:r>
        <w:rPr>
          <w:rFonts w:ascii="Arial" w:cs="Arial" w:eastAsia="Arial" w:hAnsi="Arial"/>
          <w:sz w:val="15"/>
          <w:szCs w:val="15"/>
          <w:color w:val="auto"/>
        </w:rPr>
        <w:t>(State or Other Jurisdiction of</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6"/>
          <w:szCs w:val="16"/>
          <w:color w:val="auto"/>
        </w:rPr>
        <w:t>(I.R.S. Employer Identification No.)</w:t>
      </w:r>
    </w:p>
    <w:p>
      <w:pPr>
        <w:spacing w:after="0" w:line="73" w:lineRule="exact"/>
        <w:rPr>
          <w:sz w:val="24"/>
          <w:szCs w:val="24"/>
          <w:color w:val="auto"/>
        </w:rPr>
      </w:pPr>
    </w:p>
    <w:p>
      <w:pPr>
        <w:sectPr>
          <w:pgSz w:w="11900" w:h="16838" w:orient="portrait"/>
          <w:cols w:equalWidth="0" w:num="2">
            <w:col w:w="6540" w:space="720"/>
            <w:col w:w="3980"/>
          </w:cols>
          <w:pgMar w:left="320" w:top="995" w:right="339" w:bottom="1440" w:gutter="0" w:footer="0" w:header="0"/>
          <w:type w:val="continuous"/>
        </w:sectPr>
      </w:pPr>
    </w:p>
    <w:p>
      <w:pPr>
        <w:ind w:left="1660"/>
        <w:spacing w:after="0"/>
        <w:rPr>
          <w:sz w:val="20"/>
          <w:szCs w:val="20"/>
          <w:color w:val="auto"/>
        </w:rPr>
      </w:pPr>
      <w:r>
        <w:rPr>
          <w:rFonts w:ascii="Arial" w:cs="Arial" w:eastAsia="Arial" w:hAnsi="Arial"/>
          <w:sz w:val="15"/>
          <w:szCs w:val="15"/>
          <w:color w:val="auto"/>
        </w:rPr>
        <w:t>Incorporation or Organization)</w:t>
      </w:r>
    </w:p>
    <w:p>
      <w:pPr>
        <w:sectPr>
          <w:pgSz w:w="11900" w:h="16838" w:orient="portrait"/>
          <w:cols w:equalWidth="0" w:num="1">
            <w:col w:w="11240"/>
          </w:cols>
          <w:pgMar w:left="320" w:top="995" w:right="339" w:bottom="1440" w:gutter="0" w:footer="0" w:header="0"/>
          <w:type w:val="continuous"/>
        </w:sectPr>
      </w:pPr>
    </w:p>
    <w:p>
      <w:pPr>
        <w:spacing w:after="0" w:line="350" w:lineRule="exact"/>
        <w:rPr>
          <w:sz w:val="24"/>
          <w:szCs w:val="24"/>
          <w:color w:val="auto"/>
        </w:rPr>
      </w:pPr>
    </w:p>
    <w:p>
      <w:pPr>
        <w:jc w:val="center"/>
        <w:ind w:right="-19"/>
        <w:spacing w:after="0"/>
        <w:rPr>
          <w:sz w:val="20"/>
          <w:szCs w:val="20"/>
          <w:color w:val="auto"/>
        </w:rPr>
      </w:pPr>
      <w:r>
        <w:rPr>
          <w:rFonts w:ascii="Arial" w:cs="Arial" w:eastAsia="Arial" w:hAnsi="Arial"/>
          <w:sz w:val="17"/>
          <w:szCs w:val="17"/>
          <w:b w:val="1"/>
          <w:bCs w:val="1"/>
          <w:color w:val="auto"/>
        </w:rPr>
        <w:t>1351 Holiday Square Blvd.</w:t>
      </w:r>
    </w:p>
    <w:p>
      <w:pPr>
        <w:spacing w:after="0" w:line="25" w:lineRule="exact"/>
        <w:rPr>
          <w:sz w:val="24"/>
          <w:szCs w:val="24"/>
          <w:color w:val="auto"/>
        </w:rPr>
      </w:pPr>
    </w:p>
    <w:p>
      <w:pPr>
        <w:jc w:val="center"/>
        <w:ind w:right="-19"/>
        <w:spacing w:after="0"/>
        <w:rPr>
          <w:sz w:val="20"/>
          <w:szCs w:val="20"/>
          <w:color w:val="auto"/>
        </w:rPr>
      </w:pPr>
      <w:r>
        <w:rPr>
          <w:rFonts w:ascii="Arial" w:cs="Arial" w:eastAsia="Arial" w:hAnsi="Arial"/>
          <w:sz w:val="17"/>
          <w:szCs w:val="17"/>
          <w:b w:val="1"/>
          <w:bCs w:val="1"/>
          <w:color w:val="auto"/>
        </w:rPr>
        <w:t>Covington, Louisiana 70433</w:t>
      </w:r>
    </w:p>
    <w:p>
      <w:pPr>
        <w:spacing w:after="0" w:line="7" w:lineRule="exact"/>
        <w:rPr>
          <w:sz w:val="24"/>
          <w:szCs w:val="24"/>
          <w:color w:val="auto"/>
        </w:rPr>
      </w:pPr>
    </w:p>
    <w:p>
      <w:pPr>
        <w:jc w:val="center"/>
        <w:ind w:right="-19"/>
        <w:spacing w:after="0"/>
        <w:rPr>
          <w:sz w:val="20"/>
          <w:szCs w:val="20"/>
          <w:color w:val="auto"/>
        </w:rPr>
      </w:pPr>
      <w:r>
        <w:rPr>
          <w:rFonts w:ascii="Arial" w:cs="Arial" w:eastAsia="Arial" w:hAnsi="Arial"/>
          <w:sz w:val="17"/>
          <w:szCs w:val="17"/>
          <w:color w:val="auto"/>
        </w:rPr>
        <w:t>(Address of Principal Executive Offices)</w:t>
      </w:r>
    </w:p>
    <w:p>
      <w:pPr>
        <w:spacing w:after="0" w:line="7" w:lineRule="exact"/>
        <w:rPr>
          <w:sz w:val="24"/>
          <w:szCs w:val="24"/>
          <w:color w:val="auto"/>
        </w:rPr>
      </w:pPr>
    </w:p>
    <w:p>
      <w:pPr>
        <w:jc w:val="center"/>
        <w:ind w:right="-19"/>
        <w:spacing w:after="0"/>
        <w:rPr>
          <w:sz w:val="20"/>
          <w:szCs w:val="20"/>
          <w:color w:val="auto"/>
        </w:rPr>
      </w:pPr>
      <w:r>
        <w:rPr>
          <w:rFonts w:ascii="Arial" w:cs="Arial" w:eastAsia="Arial" w:hAnsi="Arial"/>
          <w:sz w:val="15"/>
          <w:szCs w:val="15"/>
          <w:color w:val="auto"/>
        </w:rPr>
        <w:t xml:space="preserve">Registrant's Telephone Number, Including Area Code: </w:t>
      </w:r>
      <w:r>
        <w:rPr>
          <w:rFonts w:ascii="Arial" w:cs="Arial" w:eastAsia="Arial" w:hAnsi="Arial"/>
          <w:sz w:val="15"/>
          <w:szCs w:val="15"/>
          <w:b w:val="1"/>
          <w:bCs w:val="1"/>
          <w:color w:val="auto"/>
        </w:rPr>
        <w:t>(985) 335-1500</w:t>
      </w:r>
    </w:p>
    <w:p>
      <w:pPr>
        <w:spacing w:after="0" w:line="165" w:lineRule="exact"/>
        <w:rPr>
          <w:sz w:val="24"/>
          <w:szCs w:val="24"/>
          <w:color w:val="auto"/>
        </w:rPr>
      </w:pPr>
    </w:p>
    <w:p>
      <w:pPr>
        <w:jc w:val="center"/>
        <w:ind w:right="7520"/>
        <w:spacing w:after="0"/>
        <w:rPr>
          <w:sz w:val="20"/>
          <w:szCs w:val="20"/>
          <w:color w:val="auto"/>
        </w:rPr>
      </w:pPr>
      <w:r>
        <w:rPr>
          <w:rFonts w:ascii="Arial" w:cs="Arial" w:eastAsia="Arial" w:hAnsi="Arial"/>
          <w:sz w:val="15"/>
          <w:szCs w:val="15"/>
          <w:color w:val="auto"/>
        </w:rPr>
        <w:t>Securities registered pursuant to section 12(b) of the</w:t>
      </w:r>
    </w:p>
    <w:p>
      <w:pPr>
        <w:spacing w:after="0" w:line="44" w:lineRule="exact"/>
        <w:rPr>
          <w:sz w:val="24"/>
          <w:szCs w:val="24"/>
          <w:color w:val="auto"/>
        </w:rPr>
      </w:pPr>
    </w:p>
    <w:p>
      <w:pPr>
        <w:jc w:val="center"/>
        <w:ind w:right="7520"/>
        <w:spacing w:after="0"/>
        <w:rPr>
          <w:sz w:val="20"/>
          <w:szCs w:val="20"/>
          <w:color w:val="auto"/>
        </w:rPr>
      </w:pPr>
      <w:r>
        <w:rPr>
          <w:rFonts w:ascii="Arial" w:cs="Arial" w:eastAsia="Arial" w:hAnsi="Arial"/>
          <w:sz w:val="17"/>
          <w:szCs w:val="17"/>
          <w:color w:val="auto"/>
        </w:rPr>
        <w:t>Act:</w:t>
      </w:r>
    </w:p>
    <w:p>
      <w:pPr>
        <w:sectPr>
          <w:pgSz w:w="11900" w:h="16838" w:orient="portrait"/>
          <w:cols w:equalWidth="0" w:num="1">
            <w:col w:w="11240"/>
          </w:cols>
          <w:pgMar w:left="320" w:top="995" w:right="339" w:bottom="1440" w:gutter="0" w:footer="0" w:header="0"/>
          <w:type w:val="continuous"/>
        </w:sectPr>
      </w:pPr>
    </w:p>
    <w:p>
      <w:pPr>
        <w:spacing w:after="0" w:line="47" w:lineRule="exact"/>
        <w:rPr>
          <w:sz w:val="24"/>
          <w:szCs w:val="24"/>
          <w:color w:val="auto"/>
        </w:rPr>
      </w:pPr>
    </w:p>
    <w:p>
      <w:pPr>
        <w:ind w:left="1240"/>
        <w:spacing w:after="0"/>
        <w:rPr>
          <w:sz w:val="20"/>
          <w:szCs w:val="20"/>
          <w:color w:val="auto"/>
        </w:rPr>
      </w:pPr>
      <w:r>
        <w:rPr>
          <w:rFonts w:ascii="Arial" w:cs="Arial" w:eastAsia="Arial" w:hAnsi="Arial"/>
          <w:sz w:val="15"/>
          <w:szCs w:val="15"/>
          <w:color w:val="auto"/>
        </w:rPr>
        <w:t>Title of each class</w:t>
      </w:r>
    </w:p>
    <w:p>
      <w:pPr>
        <w:spacing w:after="0" w:line="20" w:lineRule="exact"/>
        <w:rPr>
          <w:sz w:val="24"/>
          <w:szCs w:val="24"/>
          <w:color w:val="auto"/>
        </w:rPr>
      </w:pPr>
      <w:r>
        <w:rPr>
          <w:sz w:val="24"/>
          <w:szCs w:val="24"/>
          <w:color w:val="auto"/>
        </w:rPr>
        <w:br w:type="column"/>
      </w:r>
    </w:p>
    <w:p>
      <w:pPr>
        <w:spacing w:after="0" w:line="27" w:lineRule="exact"/>
        <w:rPr>
          <w:sz w:val="24"/>
          <w:szCs w:val="24"/>
          <w:color w:val="auto"/>
        </w:rPr>
      </w:pPr>
    </w:p>
    <w:p>
      <w:pPr>
        <w:spacing w:after="0"/>
        <w:rPr>
          <w:sz w:val="20"/>
          <w:szCs w:val="20"/>
          <w:color w:val="auto"/>
        </w:rPr>
      </w:pPr>
      <w:r>
        <w:rPr>
          <w:rFonts w:ascii="Arial" w:cs="Arial" w:eastAsia="Arial" w:hAnsi="Arial"/>
          <w:sz w:val="15"/>
          <w:szCs w:val="15"/>
          <w:color w:val="auto"/>
        </w:rPr>
        <w:t>Trading Symbol</w:t>
      </w:r>
    </w:p>
    <w:p>
      <w:pPr>
        <w:spacing w:after="0" w:line="20" w:lineRule="exact"/>
        <w:rPr>
          <w:sz w:val="24"/>
          <w:szCs w:val="24"/>
          <w:color w:val="auto"/>
        </w:rPr>
      </w:pPr>
      <w:r>
        <w:rPr>
          <w:sz w:val="24"/>
          <w:szCs w:val="24"/>
          <w:color w:val="auto"/>
        </w:rPr>
        <w:br w:type="column"/>
      </w:r>
    </w:p>
    <w:p>
      <w:pPr>
        <w:spacing w:after="0" w:line="27" w:lineRule="exact"/>
        <w:rPr>
          <w:sz w:val="24"/>
          <w:szCs w:val="24"/>
          <w:color w:val="auto"/>
        </w:rPr>
      </w:pPr>
    </w:p>
    <w:p>
      <w:pPr>
        <w:spacing w:after="0"/>
        <w:rPr>
          <w:sz w:val="20"/>
          <w:szCs w:val="20"/>
          <w:color w:val="auto"/>
        </w:rPr>
      </w:pPr>
      <w:r>
        <w:rPr>
          <w:rFonts w:ascii="Arial" w:cs="Arial" w:eastAsia="Arial" w:hAnsi="Arial"/>
          <w:sz w:val="15"/>
          <w:szCs w:val="15"/>
          <w:color w:val="auto"/>
        </w:rPr>
        <w:t>Name of exchange on which registered</w:t>
      </w:r>
    </w:p>
    <w:p>
      <w:pPr>
        <w:spacing w:after="0" w:line="80" w:lineRule="exact"/>
        <w:rPr>
          <w:sz w:val="24"/>
          <w:szCs w:val="24"/>
          <w:color w:val="auto"/>
        </w:rPr>
      </w:pPr>
    </w:p>
    <w:p>
      <w:pPr>
        <w:sectPr>
          <w:pgSz w:w="11900" w:h="16838" w:orient="portrait"/>
          <w:cols w:equalWidth="0" w:num="3">
            <w:col w:w="4340" w:space="720"/>
            <w:col w:w="2280" w:space="720"/>
            <w:col w:w="3180"/>
          </w:cols>
          <w:pgMar w:left="320" w:top="995" w:right="339" w:bottom="1440" w:gutter="0" w:footer="0" w:header="0"/>
          <w:type w:val="continuous"/>
        </w:sectPr>
      </w:pPr>
    </w:p>
    <w:p>
      <w:pPr>
        <w:ind w:left="240"/>
        <w:spacing w:after="0"/>
        <w:rPr>
          <w:sz w:val="20"/>
          <w:szCs w:val="20"/>
          <w:color w:val="auto"/>
        </w:rPr>
      </w:pPr>
      <w:r>
        <w:rPr>
          <w:rFonts w:ascii="Arial" w:cs="Arial" w:eastAsia="Arial" w:hAnsi="Arial"/>
          <w:sz w:val="15"/>
          <w:szCs w:val="15"/>
          <w:b w:val="1"/>
          <w:bCs w:val="1"/>
          <w:color w:val="auto"/>
        </w:rPr>
        <w:t>Common Stock, par value $0.0001 per share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6"/>
          <w:szCs w:val="16"/>
          <w:b w:val="1"/>
          <w:bCs w:val="1"/>
          <w:color w:val="auto"/>
        </w:rPr>
        <w:t>GSAT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6"/>
          <w:szCs w:val="16"/>
          <w:b w:val="1"/>
          <w:bCs w:val="1"/>
          <w:color w:val="auto"/>
        </w:rPr>
        <w:t>NYSE American</w:t>
      </w:r>
    </w:p>
    <w:p>
      <w:pPr>
        <w:spacing w:after="0" w:line="131" w:lineRule="exact"/>
        <w:rPr>
          <w:sz w:val="24"/>
          <w:szCs w:val="24"/>
          <w:color w:val="auto"/>
        </w:rPr>
      </w:pPr>
    </w:p>
    <w:p>
      <w:pPr>
        <w:sectPr>
          <w:pgSz w:w="11900" w:h="16838" w:orient="portrait"/>
          <w:cols w:equalWidth="0" w:num="3">
            <w:col w:w="4680" w:space="720"/>
            <w:col w:w="2660" w:space="720"/>
            <w:col w:w="2460"/>
          </w:cols>
          <w:pgMar w:left="320" w:top="995" w:right="339" w:bottom="1440" w:gutter="0" w:footer="0" w:header="0"/>
          <w:type w:val="continuous"/>
        </w:sectPr>
      </w:pPr>
    </w:p>
    <w:p>
      <w:pPr>
        <w:jc w:val="both"/>
        <w:ind w:right="60" w:firstLine="243"/>
        <w:spacing w:after="0" w:line="214" w:lineRule="exact"/>
        <w:rPr>
          <w:sz w:val="20"/>
          <w:szCs w:val="20"/>
          <w:color w:val="auto"/>
        </w:rPr>
      </w:pPr>
      <w:r>
        <w:rPr>
          <w:rFonts w:ascii="Arial" w:cs="Arial" w:eastAsia="Arial" w:hAnsi="Arial"/>
          <w:sz w:val="17"/>
          <w:szCs w:val="17"/>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x No </w:t>
      </w:r>
      <w:r>
        <w:rPr>
          <w:rFonts w:ascii="MS PGothic" w:cs="MS PGothic" w:eastAsia="MS PGothic" w:hAnsi="MS PGothic"/>
          <w:sz w:val="17"/>
          <w:szCs w:val="17"/>
          <w:color w:val="auto"/>
        </w:rPr>
        <w:t>☐</w:t>
      </w:r>
    </w:p>
    <w:p>
      <w:pPr>
        <w:spacing w:after="0" w:line="170" w:lineRule="exact"/>
        <w:rPr>
          <w:sz w:val="24"/>
          <w:szCs w:val="24"/>
          <w:color w:val="auto"/>
        </w:rPr>
      </w:pPr>
    </w:p>
    <w:p>
      <w:pPr>
        <w:ind w:right="20" w:firstLine="243"/>
        <w:spacing w:after="0" w:line="214" w:lineRule="exact"/>
        <w:rPr>
          <w:sz w:val="20"/>
          <w:szCs w:val="20"/>
          <w:color w:val="auto"/>
        </w:rPr>
      </w:pPr>
      <w:r>
        <w:rPr>
          <w:rFonts w:ascii="Arial" w:cs="Arial" w:eastAsia="Arial" w:hAnsi="Arial"/>
          <w:sz w:val="17"/>
          <w:szCs w:val="17"/>
          <w:color w:val="auto"/>
        </w:rPr>
        <w:t xml:space="preserve">Indicate by check mark whether the registrant has submitted electronically and posted on its corporate Web site, if any, every Interactive Data File required to be submitted and posted pursuant to Rule 405 of Regulation S-T during the preceding 12 months (or for such shorter period that the registrant was required to submit and post such files). Yes x No </w:t>
      </w:r>
      <w:r>
        <w:rPr>
          <w:rFonts w:ascii="MS PGothic" w:cs="MS PGothic" w:eastAsia="MS PGothic" w:hAnsi="MS PGothic"/>
          <w:sz w:val="17"/>
          <w:szCs w:val="17"/>
          <w:color w:val="auto"/>
        </w:rPr>
        <w:t>☐</w:t>
      </w:r>
    </w:p>
    <w:p>
      <w:pPr>
        <w:spacing w:after="0" w:line="170" w:lineRule="exact"/>
        <w:rPr>
          <w:sz w:val="24"/>
          <w:szCs w:val="24"/>
          <w:color w:val="auto"/>
        </w:rPr>
      </w:pPr>
    </w:p>
    <w:p>
      <w:pPr>
        <w:ind w:right="280" w:firstLine="243"/>
        <w:spacing w:after="0" w:line="261" w:lineRule="auto"/>
        <w:rPr>
          <w:sz w:val="20"/>
          <w:szCs w:val="20"/>
          <w:color w:val="auto"/>
        </w:rPr>
      </w:pPr>
      <w:r>
        <w:rPr>
          <w:rFonts w:ascii="Arial" w:cs="Arial" w:eastAsia="Arial" w:hAnsi="Arial"/>
          <w:sz w:val="17"/>
          <w:szCs w:val="17"/>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pPr>
        <w:spacing w:after="0" w:line="113" w:lineRule="exact"/>
        <w:rPr>
          <w:sz w:val="24"/>
          <w:szCs w:val="24"/>
          <w:color w:val="auto"/>
        </w:rPr>
      </w:pPr>
    </w:p>
    <w:tbl>
      <w:tblPr>
        <w:tblLayout w:type="fixed"/>
        <w:tblInd w:w="1120" w:type="dxa"/>
        <w:tblCellMar>
          <w:top w:w="0" w:type="dxa"/>
          <w:left w:w="0" w:type="dxa"/>
          <w:bottom w:w="0" w:type="dxa"/>
          <w:right w:w="0" w:type="dxa"/>
        </w:tblCellMar>
      </w:tblPr>
      <w:tr>
        <w:trPr>
          <w:trHeight w:val="256"/>
        </w:trPr>
        <w:tc>
          <w:tcPr>
            <w:tcW w:w="4760" w:type="dxa"/>
            <w:vAlign w:val="bottom"/>
          </w:tcPr>
          <w:p>
            <w:pPr>
              <w:jc w:val="center"/>
              <w:ind w:right="1495"/>
              <w:spacing w:after="0" w:line="196" w:lineRule="exact"/>
              <w:rPr>
                <w:sz w:val="20"/>
                <w:szCs w:val="20"/>
                <w:color w:val="auto"/>
              </w:rPr>
            </w:pPr>
            <w:r>
              <w:rPr>
                <w:rFonts w:ascii="Arial" w:cs="Arial" w:eastAsia="Arial" w:hAnsi="Arial"/>
                <w:sz w:val="17"/>
                <w:szCs w:val="17"/>
                <w:color w:val="auto"/>
                <w:w w:val="91"/>
              </w:rPr>
              <w:t xml:space="preserve">Large accelerated filer </w:t>
            </w:r>
            <w:r>
              <w:rPr>
                <w:rFonts w:ascii="MS PGothic" w:cs="MS PGothic" w:eastAsia="MS PGothic" w:hAnsi="MS PGothic"/>
                <w:sz w:val="17"/>
                <w:szCs w:val="17"/>
                <w:color w:val="auto"/>
                <w:w w:val="91"/>
              </w:rPr>
              <w:t>☐</w:t>
            </w:r>
          </w:p>
        </w:tc>
        <w:tc>
          <w:tcPr>
            <w:tcW w:w="3680" w:type="dxa"/>
            <w:vAlign w:val="bottom"/>
          </w:tcPr>
          <w:p>
            <w:pPr>
              <w:jc w:val="center"/>
              <w:ind w:left="1495"/>
              <w:spacing w:after="0" w:line="196" w:lineRule="exact"/>
              <w:rPr>
                <w:sz w:val="20"/>
                <w:szCs w:val="20"/>
                <w:color w:val="auto"/>
              </w:rPr>
            </w:pPr>
            <w:r>
              <w:rPr>
                <w:rFonts w:ascii="Arial" w:cs="Arial" w:eastAsia="Arial" w:hAnsi="Arial"/>
                <w:sz w:val="17"/>
                <w:szCs w:val="17"/>
                <w:color w:val="auto"/>
                <w:w w:val="93"/>
              </w:rPr>
              <w:t xml:space="preserve">Accelerated filer </w:t>
            </w:r>
            <w:r>
              <w:rPr>
                <w:rFonts w:ascii="MS PGothic" w:cs="MS PGothic" w:eastAsia="MS PGothic" w:hAnsi="MS PGothic"/>
                <w:sz w:val="17"/>
                <w:szCs w:val="17"/>
                <w:color w:val="auto"/>
                <w:w w:val="93"/>
              </w:rPr>
              <w:t>☒</w:t>
            </w:r>
          </w:p>
        </w:tc>
      </w:tr>
      <w:tr>
        <w:trPr>
          <w:trHeight w:val="257"/>
        </w:trPr>
        <w:tc>
          <w:tcPr>
            <w:tcW w:w="4760" w:type="dxa"/>
            <w:vAlign w:val="bottom"/>
          </w:tcPr>
          <w:p>
            <w:pPr>
              <w:jc w:val="center"/>
              <w:ind w:right="1495"/>
              <w:spacing w:after="0" w:line="196" w:lineRule="exact"/>
              <w:rPr>
                <w:sz w:val="20"/>
                <w:szCs w:val="20"/>
                <w:color w:val="auto"/>
              </w:rPr>
            </w:pPr>
            <w:r>
              <w:rPr>
                <w:rFonts w:ascii="Arial" w:cs="Arial" w:eastAsia="Arial" w:hAnsi="Arial"/>
                <w:sz w:val="17"/>
                <w:szCs w:val="17"/>
                <w:color w:val="auto"/>
                <w:w w:val="92"/>
              </w:rPr>
              <w:t xml:space="preserve">Non-accelerated filer </w:t>
            </w:r>
            <w:r>
              <w:rPr>
                <w:rFonts w:ascii="MS PGothic" w:cs="MS PGothic" w:eastAsia="MS PGothic" w:hAnsi="MS PGothic"/>
                <w:sz w:val="17"/>
                <w:szCs w:val="17"/>
                <w:color w:val="auto"/>
                <w:w w:val="92"/>
              </w:rPr>
              <w:t>☐</w:t>
            </w:r>
          </w:p>
        </w:tc>
        <w:tc>
          <w:tcPr>
            <w:tcW w:w="3680" w:type="dxa"/>
            <w:vAlign w:val="bottom"/>
          </w:tcPr>
          <w:p>
            <w:pPr>
              <w:jc w:val="center"/>
              <w:ind w:left="1475"/>
              <w:spacing w:after="0" w:line="196" w:lineRule="exact"/>
              <w:rPr>
                <w:sz w:val="20"/>
                <w:szCs w:val="20"/>
                <w:color w:val="auto"/>
              </w:rPr>
            </w:pPr>
            <w:r>
              <w:rPr>
                <w:rFonts w:ascii="Arial" w:cs="Arial" w:eastAsia="Arial" w:hAnsi="Arial"/>
                <w:sz w:val="17"/>
                <w:szCs w:val="17"/>
                <w:color w:val="auto"/>
                <w:w w:val="94"/>
              </w:rPr>
              <w:t xml:space="preserve">Smaller reporting company </w:t>
            </w:r>
            <w:r>
              <w:rPr>
                <w:rFonts w:ascii="MS PGothic" w:cs="MS PGothic" w:eastAsia="MS PGothic" w:hAnsi="MS PGothic"/>
                <w:sz w:val="17"/>
                <w:szCs w:val="17"/>
                <w:color w:val="auto"/>
                <w:w w:val="94"/>
              </w:rPr>
              <w:t>☐</w:t>
            </w:r>
          </w:p>
        </w:tc>
      </w:tr>
      <w:tr>
        <w:trPr>
          <w:trHeight w:val="269"/>
        </w:trPr>
        <w:tc>
          <w:tcPr>
            <w:tcW w:w="4760" w:type="dxa"/>
            <w:vAlign w:val="bottom"/>
          </w:tcPr>
          <w:p>
            <w:pPr>
              <w:jc w:val="center"/>
              <w:ind w:right="1495"/>
              <w:spacing w:after="0"/>
              <w:rPr>
                <w:sz w:val="20"/>
                <w:szCs w:val="20"/>
                <w:color w:val="auto"/>
              </w:rPr>
            </w:pPr>
            <w:r>
              <w:rPr>
                <w:rFonts w:ascii="Arial" w:cs="Arial" w:eastAsia="Arial" w:hAnsi="Arial"/>
                <w:sz w:val="17"/>
                <w:szCs w:val="17"/>
                <w:color w:val="auto"/>
                <w:w w:val="92"/>
              </w:rPr>
              <w:t>(Do not check if a smaller reporting company)</w:t>
            </w:r>
          </w:p>
        </w:tc>
        <w:tc>
          <w:tcPr>
            <w:tcW w:w="3680" w:type="dxa"/>
            <w:vAlign w:val="bottom"/>
          </w:tcPr>
          <w:p>
            <w:pPr>
              <w:jc w:val="center"/>
              <w:ind w:left="1475"/>
              <w:spacing w:after="0" w:line="196" w:lineRule="exact"/>
              <w:rPr>
                <w:sz w:val="20"/>
                <w:szCs w:val="20"/>
                <w:color w:val="auto"/>
              </w:rPr>
            </w:pPr>
            <w:r>
              <w:rPr>
                <w:rFonts w:ascii="Arial" w:cs="Arial" w:eastAsia="Arial" w:hAnsi="Arial"/>
                <w:sz w:val="17"/>
                <w:szCs w:val="17"/>
                <w:color w:val="auto"/>
                <w:w w:val="94"/>
              </w:rPr>
              <w:t xml:space="preserve">Emerging growth company </w:t>
            </w:r>
            <w:r>
              <w:rPr>
                <w:rFonts w:ascii="MS PGothic" w:cs="MS PGothic" w:eastAsia="MS PGothic" w:hAnsi="MS PGothic"/>
                <w:sz w:val="17"/>
                <w:szCs w:val="17"/>
                <w:color w:val="auto"/>
                <w:w w:val="94"/>
              </w:rPr>
              <w:t>☐</w:t>
            </w:r>
          </w:p>
        </w:tc>
      </w:tr>
    </w:tbl>
    <w:p>
      <w:pPr>
        <w:spacing w:after="0" w:line="61" w:lineRule="exact"/>
        <w:rPr>
          <w:sz w:val="24"/>
          <w:szCs w:val="24"/>
          <w:color w:val="auto"/>
        </w:rPr>
      </w:pPr>
    </w:p>
    <w:p>
      <w:pPr>
        <w:ind w:firstLine="529"/>
        <w:spacing w:after="0" w:line="220" w:lineRule="exact"/>
        <w:rPr>
          <w:sz w:val="20"/>
          <w:szCs w:val="20"/>
          <w:color w:val="auto"/>
        </w:rPr>
      </w:pPr>
      <w:r>
        <w:rPr>
          <w:rFonts w:ascii="Arial" w:cs="Arial" w:eastAsia="Arial" w:hAnsi="Arial"/>
          <w:sz w:val="17"/>
          <w:szCs w:val="17"/>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7"/>
          <w:szCs w:val="17"/>
          <w:color w:val="auto"/>
        </w:rPr>
        <w:t>☐</w:t>
      </w:r>
    </w:p>
    <w:p>
      <w:pPr>
        <w:spacing w:after="0" w:line="177" w:lineRule="exact"/>
        <w:rPr>
          <w:sz w:val="24"/>
          <w:szCs w:val="24"/>
          <w:color w:val="auto"/>
        </w:rPr>
      </w:pPr>
    </w:p>
    <w:p>
      <w:pPr>
        <w:ind w:left="260"/>
        <w:spacing w:after="0" w:line="196" w:lineRule="exact"/>
        <w:rPr>
          <w:sz w:val="20"/>
          <w:szCs w:val="20"/>
          <w:color w:val="auto"/>
        </w:rPr>
      </w:pPr>
      <w:r>
        <w:rPr>
          <w:rFonts w:ascii="Arial" w:cs="Arial" w:eastAsia="Arial" w:hAnsi="Arial"/>
          <w:sz w:val="17"/>
          <w:szCs w:val="17"/>
          <w:color w:val="auto"/>
        </w:rPr>
        <w:t xml:space="preserve">Indicate by check mark whether the registrant is a shell company (as defined in Rule 12b-2 of the Exchange Act). Yes </w:t>
      </w:r>
      <w:r>
        <w:rPr>
          <w:rFonts w:ascii="MS PGothic" w:cs="MS PGothic" w:eastAsia="MS PGothic" w:hAnsi="MS PGothic"/>
          <w:sz w:val="17"/>
          <w:szCs w:val="17"/>
          <w:color w:val="auto"/>
        </w:rPr>
        <w:t>☐</w:t>
      </w:r>
      <w:r>
        <w:rPr>
          <w:rFonts w:ascii="Arial" w:cs="Arial" w:eastAsia="Arial" w:hAnsi="Arial"/>
          <w:sz w:val="17"/>
          <w:szCs w:val="17"/>
          <w:color w:val="auto"/>
        </w:rPr>
        <w:t xml:space="preserve"> No x</w:t>
      </w:r>
    </w:p>
    <w:p>
      <w:pPr>
        <w:spacing w:after="0" w:line="242" w:lineRule="exact"/>
        <w:rPr>
          <w:sz w:val="24"/>
          <w:szCs w:val="24"/>
          <w:color w:val="auto"/>
        </w:rPr>
      </w:pPr>
    </w:p>
    <w:p>
      <w:pPr>
        <w:ind w:firstLine="243"/>
        <w:spacing w:after="0" w:line="274" w:lineRule="auto"/>
        <w:rPr>
          <w:sz w:val="20"/>
          <w:szCs w:val="20"/>
          <w:color w:val="auto"/>
        </w:rPr>
      </w:pPr>
      <w:r>
        <w:rPr>
          <w:rFonts w:ascii="Arial" w:cs="Arial" w:eastAsia="Arial" w:hAnsi="Arial"/>
          <w:sz w:val="17"/>
          <w:szCs w:val="17"/>
          <w:color w:val="auto"/>
        </w:rPr>
        <w:t>As of July 31, 2020, 1,670,326,068 shares of voting common stock were outstanding, and no shares of nonvoting common stock were authorized or outstanding. Unless the context otherwise requires, references to common stock in this Report mean the Registrant’s voting common stock.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542290</wp:posOffset>
            </wp:positionV>
            <wp:extent cx="7132320" cy="1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95" w:right="339" w:bottom="1440" w:gutter="0" w:footer="0" w:header="0"/>
          <w:type w:val="continuous"/>
        </w:sectPr>
      </w:pPr>
    </w:p>
    <w:bookmarkStart w:id="1" w:name="page2"/>
    <w:bookmarkEnd w:id="1"/>
    <w:p>
      <w:pPr>
        <w:jc w:val="center"/>
        <w:ind w:left="1800"/>
        <w:spacing w:after="0"/>
        <w:rPr>
          <w:sz w:val="20"/>
          <w:szCs w:val="20"/>
          <w:color w:val="auto"/>
        </w:rPr>
      </w:pPr>
      <w:r>
        <w:rPr>
          <w:rFonts w:ascii="Arial" w:cs="Arial" w:eastAsia="Arial" w:hAnsi="Arial"/>
          <w:sz w:val="18"/>
          <w:szCs w:val="18"/>
          <w:b w:val="1"/>
          <w:bCs w:val="1"/>
          <w:color w:val="auto"/>
        </w:rPr>
        <w:t>FORM 10-Q</w:t>
      </w:r>
    </w:p>
    <w:p>
      <w:pPr>
        <w:spacing w:after="0" w:line="252" w:lineRule="exact"/>
        <w:rPr>
          <w:sz w:val="20"/>
          <w:szCs w:val="20"/>
          <w:color w:val="auto"/>
        </w:rPr>
      </w:pPr>
    </w:p>
    <w:p>
      <w:pPr>
        <w:jc w:val="center"/>
        <w:ind w:left="1800"/>
        <w:spacing w:after="0"/>
        <w:rPr>
          <w:sz w:val="20"/>
          <w:szCs w:val="20"/>
          <w:color w:val="auto"/>
        </w:rPr>
      </w:pPr>
      <w:r>
        <w:rPr>
          <w:rFonts w:ascii="Arial" w:cs="Arial" w:eastAsia="Arial" w:hAnsi="Arial"/>
          <w:sz w:val="18"/>
          <w:szCs w:val="18"/>
          <w:b w:val="1"/>
          <w:bCs w:val="1"/>
          <w:color w:val="auto"/>
        </w:rPr>
        <w:t>GLOBALSTAR, INC.</w:t>
      </w:r>
    </w:p>
    <w:p>
      <w:pPr>
        <w:spacing w:after="0" w:line="27" w:lineRule="exact"/>
        <w:rPr>
          <w:sz w:val="20"/>
          <w:szCs w:val="20"/>
          <w:color w:val="auto"/>
        </w:rPr>
      </w:pPr>
    </w:p>
    <w:p>
      <w:pPr>
        <w:jc w:val="center"/>
        <w:ind w:left="1800"/>
        <w:spacing w:after="0"/>
        <w:rPr>
          <w:sz w:val="20"/>
          <w:szCs w:val="20"/>
          <w:color w:val="auto"/>
        </w:rPr>
      </w:pPr>
      <w:r>
        <w:rPr>
          <w:rFonts w:ascii="Arial" w:cs="Arial" w:eastAsia="Arial" w:hAnsi="Arial"/>
          <w:sz w:val="18"/>
          <w:szCs w:val="18"/>
          <w:b w:val="1"/>
          <w:bCs w:val="1"/>
          <w:color w:val="auto"/>
        </w:rPr>
        <w:t>TABLE OF CONTENTS</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left="3400"/>
        <w:spacing w:after="0"/>
        <w:rPr>
          <w:rFonts w:ascii="Arial" w:cs="Arial" w:eastAsia="Arial" w:hAnsi="Arial"/>
          <w:sz w:val="18"/>
          <w:szCs w:val="18"/>
          <w:b w:val="1"/>
          <w:bCs w:val="1"/>
          <w:color w:val="auto"/>
        </w:rPr>
      </w:pPr>
      <w:hyperlink w:anchor="page2">
        <w:r>
          <w:rPr>
            <w:rFonts w:ascii="Arial" w:cs="Arial" w:eastAsia="Arial" w:hAnsi="Arial"/>
            <w:sz w:val="18"/>
            <w:szCs w:val="18"/>
            <w:b w:val="1"/>
            <w:bCs w:val="1"/>
            <w:color w:val="auto"/>
          </w:rPr>
          <w:t xml:space="preserve">PART I - </w:t>
        </w:r>
      </w:hyperlink>
      <w:r>
        <w:rPr>
          <w:rFonts w:ascii="Arial" w:cs="Arial" w:eastAsia="Arial" w:hAnsi="Arial"/>
          <w:sz w:val="18"/>
          <w:szCs w:val="18"/>
          <w:b w:val="1"/>
          <w:bCs w:val="1"/>
          <w:color w:val="auto"/>
        </w:rPr>
        <w:t>FINANCIAL INFORMATION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17145</wp:posOffset>
            </wp:positionV>
            <wp:extent cx="7115175" cy="1714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15175" cy="171450"/>
                    </a:xfrm>
                    <a:prstGeom prst="rect">
                      <a:avLst/>
                    </a:prstGeom>
                    <a:noFill/>
                  </pic:spPr>
                </pic:pic>
              </a:graphicData>
            </a:graphic>
          </wp:anchor>
        </w:drawing>
      </w:r>
    </w:p>
    <w:p>
      <w:pPr>
        <w:spacing w:after="0" w:line="277" w:lineRule="exact"/>
        <w:rPr>
          <w:sz w:val="20"/>
          <w:szCs w:val="20"/>
          <w:color w:val="auto"/>
        </w:rPr>
      </w:pPr>
    </w:p>
    <w:p>
      <w:pPr>
        <w:spacing w:after="0"/>
        <w:tabs>
          <w:tab w:leader="none" w:pos="1040" w:val="left"/>
        </w:tabs>
        <w:rPr>
          <w:rFonts w:ascii="Arial" w:cs="Arial" w:eastAsia="Arial" w:hAnsi="Arial"/>
          <w:sz w:val="16"/>
          <w:szCs w:val="16"/>
          <w:color w:val="auto"/>
        </w:rPr>
      </w:pPr>
      <w:r>
        <w:rPr>
          <w:rFonts w:ascii="Arial" w:cs="Arial" w:eastAsia="Arial" w:hAnsi="Arial"/>
          <w:sz w:val="18"/>
          <w:szCs w:val="18"/>
          <w:color w:val="auto"/>
        </w:rPr>
        <w:t>Item 1.</w:t>
      </w:r>
      <w:r>
        <w:rPr>
          <w:sz w:val="20"/>
          <w:szCs w:val="20"/>
          <w:color w:val="auto"/>
        </w:rPr>
        <w:tab/>
      </w:r>
      <w:hyperlink w:anchor="page3">
        <w:r>
          <w:rPr>
            <w:rFonts w:ascii="Arial" w:cs="Arial" w:eastAsia="Arial" w:hAnsi="Arial"/>
            <w:sz w:val="16"/>
            <w:szCs w:val="16"/>
            <w:color w:val="auto"/>
          </w:rPr>
          <w:t>Financial Statements.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40640</wp:posOffset>
            </wp:positionV>
            <wp:extent cx="7115175" cy="1714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15175" cy="171450"/>
                    </a:xfrm>
                    <a:prstGeom prst="rect">
                      <a:avLst/>
                    </a:prstGeom>
                    <a:noFill/>
                  </pic:spPr>
                </pic:pic>
              </a:graphicData>
            </a:graphic>
          </wp:anchor>
        </w:drawing>
      </w:r>
    </w:p>
    <w:p>
      <w:pPr>
        <w:spacing w:after="0" w:line="313" w:lineRule="exact"/>
        <w:rPr>
          <w:sz w:val="20"/>
          <w:szCs w:val="20"/>
          <w:color w:val="auto"/>
        </w:rPr>
      </w:pPr>
    </w:p>
    <w:p>
      <w:pPr>
        <w:spacing w:after="0"/>
        <w:tabs>
          <w:tab w:leader="none" w:pos="1040" w:val="left"/>
        </w:tabs>
        <w:rPr>
          <w:rFonts w:ascii="Arial" w:cs="Arial" w:eastAsia="Arial" w:hAnsi="Arial"/>
          <w:sz w:val="16"/>
          <w:szCs w:val="16"/>
          <w:color w:val="auto"/>
        </w:rPr>
      </w:pPr>
      <w:r>
        <w:rPr>
          <w:rFonts w:ascii="Arial" w:cs="Arial" w:eastAsia="Arial" w:hAnsi="Arial"/>
          <w:sz w:val="18"/>
          <w:szCs w:val="18"/>
          <w:color w:val="auto"/>
        </w:rPr>
        <w:t>Item 2.</w:t>
      </w:r>
      <w:r>
        <w:rPr>
          <w:sz w:val="20"/>
          <w:szCs w:val="20"/>
          <w:color w:val="auto"/>
        </w:rPr>
        <w:tab/>
      </w:r>
      <w:hyperlink w:anchor="page21">
        <w:r>
          <w:rPr>
            <w:rFonts w:ascii="Arial" w:cs="Arial" w:eastAsia="Arial" w:hAnsi="Arial"/>
            <w:sz w:val="16"/>
            <w:szCs w:val="16"/>
            <w:color w:val="auto"/>
          </w:rPr>
          <w:t>Management’s Discussion and Analysis of Financial Condition and Results of Operations.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40640</wp:posOffset>
            </wp:positionV>
            <wp:extent cx="7115175" cy="1714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15175" cy="171450"/>
                    </a:xfrm>
                    <a:prstGeom prst="rect">
                      <a:avLst/>
                    </a:prstGeom>
                    <a:noFill/>
                  </pic:spPr>
                </pic:pic>
              </a:graphicData>
            </a:graphic>
          </wp:anchor>
        </w:drawing>
      </w:r>
    </w:p>
    <w:p>
      <w:pPr>
        <w:spacing w:after="0" w:line="313" w:lineRule="exact"/>
        <w:rPr>
          <w:sz w:val="20"/>
          <w:szCs w:val="20"/>
          <w:color w:val="auto"/>
        </w:rPr>
      </w:pPr>
    </w:p>
    <w:p>
      <w:pPr>
        <w:spacing w:after="0"/>
        <w:tabs>
          <w:tab w:leader="none" w:pos="1040" w:val="left"/>
        </w:tabs>
        <w:rPr>
          <w:rFonts w:ascii="Arial" w:cs="Arial" w:eastAsia="Arial" w:hAnsi="Arial"/>
          <w:sz w:val="16"/>
          <w:szCs w:val="16"/>
          <w:color w:val="auto"/>
        </w:rPr>
      </w:pPr>
      <w:r>
        <w:rPr>
          <w:rFonts w:ascii="Arial" w:cs="Arial" w:eastAsia="Arial" w:hAnsi="Arial"/>
          <w:sz w:val="18"/>
          <w:szCs w:val="18"/>
          <w:color w:val="auto"/>
        </w:rPr>
        <w:t>Item 3.</w:t>
      </w:r>
      <w:r>
        <w:rPr>
          <w:sz w:val="20"/>
          <w:szCs w:val="20"/>
          <w:color w:val="auto"/>
        </w:rPr>
        <w:tab/>
      </w:r>
      <w:hyperlink w:anchor="page31">
        <w:r>
          <w:rPr>
            <w:rFonts w:ascii="Arial" w:cs="Arial" w:eastAsia="Arial" w:hAnsi="Arial"/>
            <w:sz w:val="16"/>
            <w:szCs w:val="16"/>
            <w:color w:val="auto"/>
          </w:rPr>
          <w:t>Quantitative and Qualitative Disclosures About Market Risk.</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40640</wp:posOffset>
            </wp:positionV>
            <wp:extent cx="7115175" cy="1714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15175" cy="171450"/>
                    </a:xfrm>
                    <a:prstGeom prst="rect">
                      <a:avLst/>
                    </a:prstGeom>
                    <a:noFill/>
                  </pic:spPr>
                </pic:pic>
              </a:graphicData>
            </a:graphic>
          </wp:anchor>
        </w:drawing>
      </w:r>
    </w:p>
    <w:p>
      <w:pPr>
        <w:spacing w:after="0" w:line="313" w:lineRule="exact"/>
        <w:rPr>
          <w:sz w:val="20"/>
          <w:szCs w:val="20"/>
          <w:color w:val="auto"/>
        </w:rPr>
      </w:pPr>
    </w:p>
    <w:p>
      <w:pPr>
        <w:spacing w:after="0"/>
        <w:tabs>
          <w:tab w:leader="none" w:pos="1040" w:val="left"/>
        </w:tabs>
        <w:rPr>
          <w:rFonts w:ascii="Arial" w:cs="Arial" w:eastAsia="Arial" w:hAnsi="Arial"/>
          <w:sz w:val="16"/>
          <w:szCs w:val="16"/>
          <w:color w:val="auto"/>
        </w:rPr>
      </w:pPr>
      <w:r>
        <w:rPr>
          <w:rFonts w:ascii="Arial" w:cs="Arial" w:eastAsia="Arial" w:hAnsi="Arial"/>
          <w:sz w:val="18"/>
          <w:szCs w:val="18"/>
          <w:color w:val="auto"/>
        </w:rPr>
        <w:t>Item 4.</w:t>
      </w:r>
      <w:r>
        <w:rPr>
          <w:sz w:val="20"/>
          <w:szCs w:val="20"/>
          <w:color w:val="auto"/>
        </w:rPr>
        <w:tab/>
      </w:r>
      <w:hyperlink w:anchor="page32">
        <w:r>
          <w:rPr>
            <w:rFonts w:ascii="Arial" w:cs="Arial" w:eastAsia="Arial" w:hAnsi="Arial"/>
            <w:sz w:val="16"/>
            <w:szCs w:val="16"/>
            <w:color w:val="auto"/>
          </w:rPr>
          <w:t>Controls and Procedures.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40640</wp:posOffset>
            </wp:positionV>
            <wp:extent cx="7115175" cy="1714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15175" cy="171450"/>
                    </a:xfrm>
                    <a:prstGeom prst="rect">
                      <a:avLst/>
                    </a:prstGeom>
                    <a:noFill/>
                  </pic:spPr>
                </pic:pic>
              </a:graphicData>
            </a:graphic>
          </wp:anchor>
        </w:drawing>
      </w:r>
    </w:p>
    <w:p>
      <w:pPr>
        <w:spacing w:after="0" w:line="309" w:lineRule="exact"/>
        <w:rPr>
          <w:sz w:val="20"/>
          <w:szCs w:val="20"/>
          <w:color w:val="auto"/>
        </w:rPr>
      </w:pPr>
    </w:p>
    <w:p>
      <w:pPr>
        <w:ind w:left="3560"/>
        <w:spacing w:after="0"/>
        <w:rPr>
          <w:rFonts w:ascii="Arial" w:cs="Arial" w:eastAsia="Arial" w:hAnsi="Arial"/>
          <w:sz w:val="18"/>
          <w:szCs w:val="18"/>
          <w:b w:val="1"/>
          <w:bCs w:val="1"/>
          <w:color w:val="auto"/>
        </w:rPr>
      </w:pPr>
      <w:hyperlink w:anchor="page32">
        <w:r>
          <w:rPr>
            <w:rFonts w:ascii="Arial" w:cs="Arial" w:eastAsia="Arial" w:hAnsi="Arial"/>
            <w:sz w:val="18"/>
            <w:szCs w:val="18"/>
            <w:b w:val="1"/>
            <w:bCs w:val="1"/>
            <w:color w:val="auto"/>
          </w:rPr>
          <w:t xml:space="preserve">PART II - </w:t>
        </w:r>
      </w:hyperlink>
      <w:r>
        <w:rPr>
          <w:rFonts w:ascii="Arial" w:cs="Arial" w:eastAsia="Arial" w:hAnsi="Arial"/>
          <w:sz w:val="18"/>
          <w:szCs w:val="18"/>
          <w:b w:val="1"/>
          <w:bCs w:val="1"/>
          <w:color w:val="auto"/>
        </w:rPr>
        <w:t>OTHER INFORMATION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17145</wp:posOffset>
            </wp:positionV>
            <wp:extent cx="7115175" cy="1714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15175" cy="171450"/>
                    </a:xfrm>
                    <a:prstGeom prst="rect">
                      <a:avLst/>
                    </a:prstGeom>
                    <a:noFill/>
                  </pic:spPr>
                </pic:pic>
              </a:graphicData>
            </a:graphic>
          </wp:anchor>
        </w:drawing>
      </w:r>
    </w:p>
    <w:p>
      <w:pPr>
        <w:spacing w:after="0" w:line="277" w:lineRule="exact"/>
        <w:rPr>
          <w:sz w:val="20"/>
          <w:szCs w:val="20"/>
          <w:color w:val="auto"/>
        </w:rPr>
      </w:pPr>
    </w:p>
    <w:p>
      <w:pPr>
        <w:spacing w:after="0"/>
        <w:tabs>
          <w:tab w:leader="none" w:pos="1040" w:val="left"/>
        </w:tabs>
        <w:rPr>
          <w:rFonts w:ascii="Arial" w:cs="Arial" w:eastAsia="Arial" w:hAnsi="Arial"/>
          <w:sz w:val="16"/>
          <w:szCs w:val="16"/>
          <w:color w:val="auto"/>
        </w:rPr>
      </w:pPr>
      <w:r>
        <w:rPr>
          <w:rFonts w:ascii="Arial" w:cs="Arial" w:eastAsia="Arial" w:hAnsi="Arial"/>
          <w:sz w:val="18"/>
          <w:szCs w:val="18"/>
          <w:color w:val="auto"/>
        </w:rPr>
        <w:t>Item 1.</w:t>
      </w:r>
      <w:r>
        <w:rPr>
          <w:sz w:val="20"/>
          <w:szCs w:val="20"/>
          <w:color w:val="auto"/>
        </w:rPr>
        <w:tab/>
      </w:r>
      <w:hyperlink w:anchor="page33">
        <w:r>
          <w:rPr>
            <w:rFonts w:ascii="Arial" w:cs="Arial" w:eastAsia="Arial" w:hAnsi="Arial"/>
            <w:sz w:val="16"/>
            <w:szCs w:val="16"/>
            <w:color w:val="auto"/>
          </w:rPr>
          <w:t>Legal Proceedings.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40640</wp:posOffset>
            </wp:positionV>
            <wp:extent cx="7115175" cy="16319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15175" cy="163195"/>
                    </a:xfrm>
                    <a:prstGeom prst="rect">
                      <a:avLst/>
                    </a:prstGeom>
                    <a:noFill/>
                  </pic:spPr>
                </pic:pic>
              </a:graphicData>
            </a:graphic>
          </wp:anchor>
        </w:drawing>
      </w:r>
    </w:p>
    <w:p>
      <w:pPr>
        <w:spacing w:after="0" w:line="300" w:lineRule="exact"/>
        <w:rPr>
          <w:sz w:val="20"/>
          <w:szCs w:val="20"/>
          <w:color w:val="auto"/>
        </w:rPr>
      </w:pPr>
    </w:p>
    <w:p>
      <w:pPr>
        <w:spacing w:after="0"/>
        <w:tabs>
          <w:tab w:leader="none" w:pos="1040" w:val="left"/>
        </w:tabs>
        <w:rPr>
          <w:rFonts w:ascii="Arial" w:cs="Arial" w:eastAsia="Arial" w:hAnsi="Arial"/>
          <w:sz w:val="16"/>
          <w:szCs w:val="16"/>
          <w:color w:val="auto"/>
        </w:rPr>
      </w:pPr>
      <w:r>
        <w:rPr>
          <w:rFonts w:ascii="Arial" w:cs="Arial" w:eastAsia="Arial" w:hAnsi="Arial"/>
          <w:sz w:val="18"/>
          <w:szCs w:val="18"/>
          <w:color w:val="auto"/>
        </w:rPr>
        <w:t>Item 1A.</w:t>
      </w:r>
      <w:r>
        <w:rPr>
          <w:sz w:val="20"/>
          <w:szCs w:val="20"/>
          <w:color w:val="auto"/>
        </w:rPr>
        <w:tab/>
      </w:r>
      <w:hyperlink w:anchor="page33">
        <w:r>
          <w:rPr>
            <w:rFonts w:ascii="Arial" w:cs="Arial" w:eastAsia="Arial" w:hAnsi="Arial"/>
            <w:sz w:val="16"/>
            <w:szCs w:val="16"/>
            <w:color w:val="auto"/>
          </w:rPr>
          <w:t>Risk Factors.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40640</wp:posOffset>
            </wp:positionV>
            <wp:extent cx="7115175" cy="1714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15175" cy="171450"/>
                    </a:xfrm>
                    <a:prstGeom prst="rect">
                      <a:avLst/>
                    </a:prstGeom>
                    <a:noFill/>
                  </pic:spPr>
                </pic:pic>
              </a:graphicData>
            </a:graphic>
          </wp:anchor>
        </w:drawing>
      </w:r>
    </w:p>
    <w:p>
      <w:pPr>
        <w:spacing w:after="0" w:line="327" w:lineRule="exact"/>
        <w:rPr>
          <w:sz w:val="20"/>
          <w:szCs w:val="20"/>
          <w:color w:val="auto"/>
        </w:rPr>
      </w:pPr>
    </w:p>
    <w:p>
      <w:pPr>
        <w:spacing w:after="0"/>
        <w:tabs>
          <w:tab w:leader="none" w:pos="1040" w:val="left"/>
        </w:tabs>
        <w:rPr>
          <w:rFonts w:ascii="Arial" w:cs="Arial" w:eastAsia="Arial" w:hAnsi="Arial"/>
          <w:sz w:val="16"/>
          <w:szCs w:val="16"/>
          <w:color w:val="auto"/>
        </w:rPr>
      </w:pPr>
      <w:r>
        <w:rPr>
          <w:rFonts w:ascii="Arial" w:cs="Arial" w:eastAsia="Arial" w:hAnsi="Arial"/>
          <w:sz w:val="18"/>
          <w:szCs w:val="18"/>
          <w:color w:val="auto"/>
        </w:rPr>
        <w:t>Item 2.</w:t>
      </w:r>
      <w:r>
        <w:rPr>
          <w:sz w:val="20"/>
          <w:szCs w:val="20"/>
          <w:color w:val="auto"/>
        </w:rPr>
        <w:tab/>
      </w:r>
      <w:hyperlink w:anchor="page33">
        <w:r>
          <w:rPr>
            <w:rFonts w:ascii="Arial" w:cs="Arial" w:eastAsia="Arial" w:hAnsi="Arial"/>
            <w:sz w:val="16"/>
            <w:szCs w:val="16"/>
            <w:color w:val="auto"/>
          </w:rPr>
          <w:t>Unregistered Sales of Equity Securities and Use of Proceeds.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31750</wp:posOffset>
            </wp:positionV>
            <wp:extent cx="7115175" cy="16256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15175" cy="162560"/>
                    </a:xfrm>
                    <a:prstGeom prst="rect">
                      <a:avLst/>
                    </a:prstGeom>
                    <a:noFill/>
                  </pic:spPr>
                </pic:pic>
              </a:graphicData>
            </a:graphic>
          </wp:anchor>
        </w:drawing>
      </w:r>
    </w:p>
    <w:p>
      <w:pPr>
        <w:spacing w:after="0" w:line="300" w:lineRule="exact"/>
        <w:rPr>
          <w:sz w:val="20"/>
          <w:szCs w:val="20"/>
          <w:color w:val="auto"/>
        </w:rPr>
      </w:pPr>
    </w:p>
    <w:p>
      <w:pPr>
        <w:spacing w:after="0"/>
        <w:tabs>
          <w:tab w:leader="none" w:pos="1040" w:val="left"/>
        </w:tabs>
        <w:rPr>
          <w:rFonts w:ascii="Arial" w:cs="Arial" w:eastAsia="Arial" w:hAnsi="Arial"/>
          <w:sz w:val="16"/>
          <w:szCs w:val="16"/>
          <w:color w:val="auto"/>
        </w:rPr>
      </w:pPr>
      <w:r>
        <w:rPr>
          <w:rFonts w:ascii="Arial" w:cs="Arial" w:eastAsia="Arial" w:hAnsi="Arial"/>
          <w:sz w:val="18"/>
          <w:szCs w:val="18"/>
          <w:color w:val="auto"/>
        </w:rPr>
        <w:t>Item 3.</w:t>
      </w:r>
      <w:r>
        <w:rPr>
          <w:sz w:val="20"/>
          <w:szCs w:val="20"/>
          <w:color w:val="auto"/>
        </w:rPr>
        <w:tab/>
      </w:r>
      <w:hyperlink w:anchor="page33">
        <w:r>
          <w:rPr>
            <w:rFonts w:ascii="Arial" w:cs="Arial" w:eastAsia="Arial" w:hAnsi="Arial"/>
            <w:sz w:val="16"/>
            <w:szCs w:val="16"/>
            <w:color w:val="auto"/>
          </w:rPr>
          <w:t>Defaults Upon Senior Securities.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31750</wp:posOffset>
            </wp:positionV>
            <wp:extent cx="7115175" cy="16319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15175" cy="163195"/>
                    </a:xfrm>
                    <a:prstGeom prst="rect">
                      <a:avLst/>
                    </a:prstGeom>
                    <a:noFill/>
                  </pic:spPr>
                </pic:pic>
              </a:graphicData>
            </a:graphic>
          </wp:anchor>
        </w:drawing>
      </w:r>
    </w:p>
    <w:p>
      <w:pPr>
        <w:spacing w:after="0" w:line="286" w:lineRule="exact"/>
        <w:rPr>
          <w:sz w:val="20"/>
          <w:szCs w:val="20"/>
          <w:color w:val="auto"/>
        </w:rPr>
      </w:pPr>
    </w:p>
    <w:p>
      <w:pPr>
        <w:spacing w:after="0"/>
        <w:tabs>
          <w:tab w:leader="none" w:pos="1040" w:val="left"/>
        </w:tabs>
        <w:rPr>
          <w:rFonts w:ascii="Arial" w:cs="Arial" w:eastAsia="Arial" w:hAnsi="Arial"/>
          <w:sz w:val="16"/>
          <w:szCs w:val="16"/>
          <w:color w:val="auto"/>
        </w:rPr>
      </w:pPr>
      <w:r>
        <w:rPr>
          <w:rFonts w:ascii="Arial" w:cs="Arial" w:eastAsia="Arial" w:hAnsi="Arial"/>
          <w:sz w:val="18"/>
          <w:szCs w:val="18"/>
          <w:color w:val="auto"/>
        </w:rPr>
        <w:t>Item 4.</w:t>
      </w:r>
      <w:r>
        <w:rPr>
          <w:sz w:val="20"/>
          <w:szCs w:val="20"/>
          <w:color w:val="auto"/>
        </w:rPr>
        <w:tab/>
      </w:r>
      <w:hyperlink w:anchor="page33">
        <w:r>
          <w:rPr>
            <w:rFonts w:ascii="Arial" w:cs="Arial" w:eastAsia="Arial" w:hAnsi="Arial"/>
            <w:sz w:val="16"/>
            <w:szCs w:val="16"/>
            <w:color w:val="auto"/>
          </w:rPr>
          <w:t>Mine Safety Disclosures.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40640</wp:posOffset>
            </wp:positionV>
            <wp:extent cx="7115175" cy="16256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15175" cy="162560"/>
                    </a:xfrm>
                    <a:prstGeom prst="rect">
                      <a:avLst/>
                    </a:prstGeom>
                    <a:noFill/>
                  </pic:spPr>
                </pic:pic>
              </a:graphicData>
            </a:graphic>
          </wp:anchor>
        </w:drawing>
      </w:r>
    </w:p>
    <w:p>
      <w:pPr>
        <w:spacing w:after="0" w:line="300" w:lineRule="exact"/>
        <w:rPr>
          <w:sz w:val="20"/>
          <w:szCs w:val="20"/>
          <w:color w:val="auto"/>
        </w:rPr>
      </w:pPr>
    </w:p>
    <w:p>
      <w:pPr>
        <w:spacing w:after="0"/>
        <w:tabs>
          <w:tab w:leader="none" w:pos="1040" w:val="left"/>
        </w:tabs>
        <w:rPr>
          <w:rFonts w:ascii="Arial" w:cs="Arial" w:eastAsia="Arial" w:hAnsi="Arial"/>
          <w:sz w:val="16"/>
          <w:szCs w:val="16"/>
          <w:color w:val="auto"/>
        </w:rPr>
      </w:pPr>
      <w:r>
        <w:rPr>
          <w:rFonts w:ascii="Arial" w:cs="Arial" w:eastAsia="Arial" w:hAnsi="Arial"/>
          <w:sz w:val="18"/>
          <w:szCs w:val="18"/>
          <w:color w:val="auto"/>
        </w:rPr>
        <w:t>Item 5.</w:t>
      </w:r>
      <w:r>
        <w:rPr>
          <w:sz w:val="20"/>
          <w:szCs w:val="20"/>
          <w:color w:val="auto"/>
        </w:rPr>
        <w:tab/>
      </w:r>
      <w:hyperlink w:anchor="page34">
        <w:r>
          <w:rPr>
            <w:rFonts w:ascii="Arial" w:cs="Arial" w:eastAsia="Arial" w:hAnsi="Arial"/>
            <w:sz w:val="16"/>
            <w:szCs w:val="16"/>
            <w:color w:val="auto"/>
          </w:rPr>
          <w:t>Other Information.</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40640</wp:posOffset>
            </wp:positionV>
            <wp:extent cx="7115175" cy="16319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15175" cy="163195"/>
                    </a:xfrm>
                    <a:prstGeom prst="rect">
                      <a:avLst/>
                    </a:prstGeom>
                    <a:noFill/>
                  </pic:spPr>
                </pic:pic>
              </a:graphicData>
            </a:graphic>
          </wp:anchor>
        </w:drawing>
      </w:r>
    </w:p>
    <w:p>
      <w:pPr>
        <w:spacing w:after="0" w:line="300" w:lineRule="exact"/>
        <w:rPr>
          <w:sz w:val="20"/>
          <w:szCs w:val="20"/>
          <w:color w:val="auto"/>
        </w:rPr>
      </w:pPr>
    </w:p>
    <w:p>
      <w:pPr>
        <w:spacing w:after="0"/>
        <w:tabs>
          <w:tab w:leader="none" w:pos="1040" w:val="left"/>
        </w:tabs>
        <w:rPr>
          <w:rFonts w:ascii="Arial" w:cs="Arial" w:eastAsia="Arial" w:hAnsi="Arial"/>
          <w:sz w:val="16"/>
          <w:szCs w:val="16"/>
          <w:color w:val="auto"/>
        </w:rPr>
      </w:pPr>
      <w:r>
        <w:rPr>
          <w:rFonts w:ascii="Arial" w:cs="Arial" w:eastAsia="Arial" w:hAnsi="Arial"/>
          <w:sz w:val="18"/>
          <w:szCs w:val="18"/>
          <w:color w:val="auto"/>
        </w:rPr>
        <w:t>Item 6.</w:t>
      </w:r>
      <w:r>
        <w:rPr>
          <w:sz w:val="20"/>
          <w:szCs w:val="20"/>
          <w:color w:val="auto"/>
        </w:rPr>
        <w:tab/>
      </w:r>
      <w:hyperlink w:anchor="page34">
        <w:r>
          <w:rPr>
            <w:rFonts w:ascii="Arial" w:cs="Arial" w:eastAsia="Arial" w:hAnsi="Arial"/>
            <w:sz w:val="16"/>
            <w:szCs w:val="16"/>
            <w:color w:val="auto"/>
          </w:rPr>
          <w:t>Exhibits.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40640</wp:posOffset>
            </wp:positionV>
            <wp:extent cx="7115175" cy="1714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15175" cy="171450"/>
                    </a:xfrm>
                    <a:prstGeom prst="rect">
                      <a:avLst/>
                    </a:prstGeom>
                    <a:noFill/>
                  </pic:spPr>
                </pic:pic>
              </a:graphicData>
            </a:graphic>
          </wp:anchor>
        </w:drawing>
      </w:r>
    </w:p>
    <w:p>
      <w:pPr>
        <w:spacing w:after="0" w:line="313" w:lineRule="exact"/>
        <w:rPr>
          <w:sz w:val="20"/>
          <w:szCs w:val="20"/>
          <w:color w:val="auto"/>
        </w:rPr>
      </w:pPr>
    </w:p>
    <w:p>
      <w:pPr>
        <w:spacing w:after="0"/>
        <w:rPr>
          <w:rFonts w:ascii="Arial" w:cs="Arial" w:eastAsia="Arial" w:hAnsi="Arial"/>
          <w:sz w:val="18"/>
          <w:szCs w:val="18"/>
          <w:color w:val="auto"/>
        </w:rPr>
      </w:pPr>
      <w:hyperlink w:anchor="page34">
        <w:r>
          <w:rPr>
            <w:rFonts w:ascii="Arial" w:cs="Arial" w:eastAsia="Arial" w:hAnsi="Arial"/>
            <w:sz w:val="18"/>
            <w:szCs w:val="18"/>
            <w:color w:val="auto"/>
          </w:rPr>
          <w:t>Signatures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915035</wp:posOffset>
            </wp:positionV>
            <wp:extent cx="7132320" cy="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Page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-271780</wp:posOffset>
            </wp:positionH>
            <wp:positionV relativeFrom="paragraph">
              <wp:posOffset>34290</wp:posOffset>
            </wp:positionV>
            <wp:extent cx="788670" cy="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88670" cy="8255"/>
                    </a:xfrm>
                    <a:prstGeom prst="rect">
                      <a:avLst/>
                    </a:prstGeom>
                    <a:noFill/>
                  </pic:spPr>
                </pic:pic>
              </a:graphicData>
            </a:graphic>
          </wp:anchor>
        </w:drawing>
      </w:r>
    </w:p>
    <w:p>
      <w:pPr>
        <w:spacing w:after="0" w:line="200" w:lineRule="exact"/>
        <w:rPr>
          <w:sz w:val="20"/>
          <w:szCs w:val="20"/>
          <w:color w:val="auto"/>
        </w:rPr>
      </w:pPr>
    </w:p>
    <w:p>
      <w:pPr>
        <w:spacing w:after="0" w:line="374" w:lineRule="exact"/>
        <w:rPr>
          <w:sz w:val="20"/>
          <w:szCs w:val="20"/>
          <w:color w:val="auto"/>
        </w:rPr>
      </w:pPr>
    </w:p>
    <w:p>
      <w:pPr>
        <w:jc w:val="right"/>
        <w:spacing w:after="0"/>
        <w:rPr>
          <w:rFonts w:ascii="Arial" w:cs="Arial" w:eastAsia="Arial" w:hAnsi="Arial"/>
          <w:sz w:val="18"/>
          <w:szCs w:val="18"/>
          <w:color w:val="auto"/>
        </w:rPr>
      </w:pPr>
      <w:hyperlink w:anchor="page3">
        <w:r>
          <w:rPr>
            <w:rFonts w:ascii="Arial" w:cs="Arial" w:eastAsia="Arial" w:hAnsi="Arial"/>
            <w:sz w:val="18"/>
            <w:szCs w:val="18"/>
            <w:color w:val="auto"/>
          </w:rPr>
          <w:t>1</w:t>
        </w:r>
      </w:hyperlink>
    </w:p>
    <w:p>
      <w:pPr>
        <w:spacing w:after="0" w:line="333" w:lineRule="exact"/>
        <w:rPr>
          <w:sz w:val="20"/>
          <w:szCs w:val="20"/>
          <w:color w:val="auto"/>
        </w:rPr>
      </w:pPr>
    </w:p>
    <w:p>
      <w:pPr>
        <w:jc w:val="right"/>
        <w:spacing w:after="0"/>
        <w:rPr>
          <w:rFonts w:ascii="Arial" w:cs="Arial" w:eastAsia="Arial" w:hAnsi="Arial"/>
          <w:sz w:val="18"/>
          <w:szCs w:val="18"/>
          <w:color w:val="auto"/>
        </w:rPr>
      </w:pPr>
      <w:hyperlink w:anchor="page21">
        <w:r>
          <w:rPr>
            <w:rFonts w:ascii="Arial" w:cs="Arial" w:eastAsia="Arial" w:hAnsi="Arial"/>
            <w:sz w:val="18"/>
            <w:szCs w:val="18"/>
            <w:color w:val="auto"/>
          </w:rPr>
          <w:t>19</w:t>
        </w:r>
      </w:hyperlink>
    </w:p>
    <w:p>
      <w:pPr>
        <w:spacing w:after="0" w:line="333" w:lineRule="exact"/>
        <w:rPr>
          <w:sz w:val="20"/>
          <w:szCs w:val="20"/>
          <w:color w:val="auto"/>
        </w:rPr>
      </w:pPr>
    </w:p>
    <w:p>
      <w:pPr>
        <w:ind w:left="620"/>
        <w:spacing w:after="0"/>
        <w:rPr>
          <w:rFonts w:ascii="Arial" w:cs="Arial" w:eastAsia="Arial" w:hAnsi="Arial"/>
          <w:sz w:val="16"/>
          <w:szCs w:val="16"/>
          <w:color w:val="auto"/>
        </w:rPr>
      </w:pPr>
      <w:hyperlink w:anchor="page31">
        <w:r>
          <w:rPr>
            <w:rFonts w:ascii="Arial" w:cs="Arial" w:eastAsia="Arial" w:hAnsi="Arial"/>
            <w:sz w:val="16"/>
            <w:szCs w:val="16"/>
            <w:color w:val="auto"/>
          </w:rPr>
          <w:t>29</w:t>
        </w:r>
      </w:hyperlink>
    </w:p>
    <w:p>
      <w:pPr>
        <w:spacing w:after="0" w:line="356" w:lineRule="exact"/>
        <w:rPr>
          <w:sz w:val="20"/>
          <w:szCs w:val="20"/>
          <w:color w:val="auto"/>
        </w:rPr>
      </w:pPr>
    </w:p>
    <w:p>
      <w:pPr>
        <w:ind w:left="620"/>
        <w:spacing w:after="0"/>
        <w:rPr>
          <w:rFonts w:ascii="Arial" w:cs="Arial" w:eastAsia="Arial" w:hAnsi="Arial"/>
          <w:sz w:val="16"/>
          <w:szCs w:val="16"/>
          <w:color w:val="auto"/>
        </w:rPr>
      </w:pPr>
      <w:hyperlink w:anchor="page32">
        <w:r>
          <w:rPr>
            <w:rFonts w:ascii="Arial" w:cs="Arial" w:eastAsia="Arial" w:hAnsi="Arial"/>
            <w:sz w:val="16"/>
            <w:szCs w:val="16"/>
            <w:color w:val="auto"/>
          </w:rPr>
          <w:t>30</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ind w:left="620"/>
        <w:spacing w:after="0"/>
        <w:rPr>
          <w:rFonts w:ascii="Arial" w:cs="Arial" w:eastAsia="Arial" w:hAnsi="Arial"/>
          <w:sz w:val="16"/>
          <w:szCs w:val="16"/>
          <w:color w:val="auto"/>
        </w:rPr>
      </w:pPr>
      <w:hyperlink w:anchor="page33">
        <w:r>
          <w:rPr>
            <w:rFonts w:ascii="Arial" w:cs="Arial" w:eastAsia="Arial" w:hAnsi="Arial"/>
            <w:sz w:val="16"/>
            <w:szCs w:val="16"/>
            <w:color w:val="auto"/>
          </w:rPr>
          <w:t>31</w:t>
        </w:r>
      </w:hyperlink>
    </w:p>
    <w:p>
      <w:pPr>
        <w:spacing w:after="0" w:line="343" w:lineRule="exact"/>
        <w:rPr>
          <w:sz w:val="20"/>
          <w:szCs w:val="20"/>
          <w:color w:val="auto"/>
        </w:rPr>
      </w:pPr>
    </w:p>
    <w:p>
      <w:pPr>
        <w:ind w:left="620"/>
        <w:spacing w:after="0"/>
        <w:rPr>
          <w:rFonts w:ascii="Arial" w:cs="Arial" w:eastAsia="Arial" w:hAnsi="Arial"/>
          <w:sz w:val="16"/>
          <w:szCs w:val="16"/>
          <w:color w:val="auto"/>
        </w:rPr>
      </w:pPr>
      <w:hyperlink w:anchor="page33">
        <w:r>
          <w:rPr>
            <w:rFonts w:ascii="Arial" w:cs="Arial" w:eastAsia="Arial" w:hAnsi="Arial"/>
            <w:sz w:val="16"/>
            <w:szCs w:val="16"/>
            <w:color w:val="auto"/>
          </w:rPr>
          <w:t>31</w:t>
        </w:r>
      </w:hyperlink>
    </w:p>
    <w:p>
      <w:pPr>
        <w:spacing w:after="0" w:line="356" w:lineRule="exact"/>
        <w:rPr>
          <w:sz w:val="20"/>
          <w:szCs w:val="20"/>
          <w:color w:val="auto"/>
        </w:rPr>
      </w:pPr>
    </w:p>
    <w:p>
      <w:pPr>
        <w:ind w:left="620"/>
        <w:spacing w:after="0"/>
        <w:rPr>
          <w:rFonts w:ascii="Arial" w:cs="Arial" w:eastAsia="Arial" w:hAnsi="Arial"/>
          <w:sz w:val="16"/>
          <w:szCs w:val="16"/>
          <w:color w:val="auto"/>
        </w:rPr>
      </w:pPr>
      <w:hyperlink w:anchor="page33">
        <w:r>
          <w:rPr>
            <w:rFonts w:ascii="Arial" w:cs="Arial" w:eastAsia="Arial" w:hAnsi="Arial"/>
            <w:sz w:val="16"/>
            <w:szCs w:val="16"/>
            <w:color w:val="auto"/>
          </w:rPr>
          <w:t>31</w:t>
        </w:r>
      </w:hyperlink>
    </w:p>
    <w:p>
      <w:pPr>
        <w:spacing w:after="0" w:line="343" w:lineRule="exact"/>
        <w:rPr>
          <w:sz w:val="20"/>
          <w:szCs w:val="20"/>
          <w:color w:val="auto"/>
        </w:rPr>
      </w:pPr>
    </w:p>
    <w:p>
      <w:pPr>
        <w:ind w:left="620"/>
        <w:spacing w:after="0"/>
        <w:rPr>
          <w:rFonts w:ascii="Arial" w:cs="Arial" w:eastAsia="Arial" w:hAnsi="Arial"/>
          <w:sz w:val="16"/>
          <w:szCs w:val="16"/>
          <w:color w:val="auto"/>
        </w:rPr>
      </w:pPr>
      <w:hyperlink w:anchor="page33">
        <w:r>
          <w:rPr>
            <w:rFonts w:ascii="Arial" w:cs="Arial" w:eastAsia="Arial" w:hAnsi="Arial"/>
            <w:sz w:val="16"/>
            <w:szCs w:val="16"/>
            <w:color w:val="auto"/>
          </w:rPr>
          <w:t>31</w:t>
        </w:r>
      </w:hyperlink>
    </w:p>
    <w:p>
      <w:pPr>
        <w:spacing w:after="0" w:line="343" w:lineRule="exact"/>
        <w:rPr>
          <w:sz w:val="20"/>
          <w:szCs w:val="20"/>
          <w:color w:val="auto"/>
        </w:rPr>
      </w:pPr>
    </w:p>
    <w:p>
      <w:pPr>
        <w:ind w:left="620"/>
        <w:spacing w:after="0"/>
        <w:rPr>
          <w:rFonts w:ascii="Arial" w:cs="Arial" w:eastAsia="Arial" w:hAnsi="Arial"/>
          <w:sz w:val="16"/>
          <w:szCs w:val="16"/>
          <w:color w:val="auto"/>
        </w:rPr>
      </w:pPr>
      <w:hyperlink w:anchor="page33">
        <w:r>
          <w:rPr>
            <w:rFonts w:ascii="Arial" w:cs="Arial" w:eastAsia="Arial" w:hAnsi="Arial"/>
            <w:sz w:val="16"/>
            <w:szCs w:val="16"/>
            <w:color w:val="auto"/>
          </w:rPr>
          <w:t>32</w:t>
        </w:r>
      </w:hyperlink>
    </w:p>
    <w:p>
      <w:pPr>
        <w:spacing w:after="0" w:line="343" w:lineRule="exact"/>
        <w:rPr>
          <w:sz w:val="20"/>
          <w:szCs w:val="20"/>
          <w:color w:val="auto"/>
        </w:rPr>
      </w:pPr>
    </w:p>
    <w:p>
      <w:pPr>
        <w:ind w:left="620"/>
        <w:spacing w:after="0"/>
        <w:rPr>
          <w:rFonts w:ascii="Arial" w:cs="Arial" w:eastAsia="Arial" w:hAnsi="Arial"/>
          <w:sz w:val="16"/>
          <w:szCs w:val="16"/>
          <w:color w:val="auto"/>
        </w:rPr>
      </w:pPr>
      <w:hyperlink w:anchor="page34">
        <w:r>
          <w:rPr>
            <w:rFonts w:ascii="Arial" w:cs="Arial" w:eastAsia="Arial" w:hAnsi="Arial"/>
            <w:sz w:val="16"/>
            <w:szCs w:val="16"/>
            <w:color w:val="auto"/>
          </w:rPr>
          <w:t>32</w:t>
        </w:r>
      </w:hyperlink>
    </w:p>
    <w:p>
      <w:pPr>
        <w:spacing w:after="0" w:line="343" w:lineRule="exact"/>
        <w:rPr>
          <w:sz w:val="20"/>
          <w:szCs w:val="20"/>
          <w:color w:val="auto"/>
        </w:rPr>
      </w:pPr>
    </w:p>
    <w:p>
      <w:pPr>
        <w:ind w:left="620"/>
        <w:spacing w:after="0"/>
        <w:rPr>
          <w:rFonts w:ascii="Arial" w:cs="Arial" w:eastAsia="Arial" w:hAnsi="Arial"/>
          <w:sz w:val="16"/>
          <w:szCs w:val="16"/>
          <w:color w:val="auto"/>
        </w:rPr>
      </w:pPr>
      <w:hyperlink w:anchor="page34">
        <w:r>
          <w:rPr>
            <w:rFonts w:ascii="Arial" w:cs="Arial" w:eastAsia="Arial" w:hAnsi="Arial"/>
            <w:sz w:val="16"/>
            <w:szCs w:val="16"/>
            <w:color w:val="auto"/>
          </w:rPr>
          <w:t>32</w:t>
        </w:r>
      </w:hyperlink>
    </w:p>
    <w:p>
      <w:pPr>
        <w:spacing w:after="0" w:line="316" w:lineRule="exact"/>
        <w:rPr>
          <w:sz w:val="20"/>
          <w:szCs w:val="20"/>
          <w:color w:val="auto"/>
        </w:rPr>
      </w:pPr>
    </w:p>
    <w:p>
      <w:pPr>
        <w:ind w:left="620"/>
        <w:spacing w:after="0"/>
        <w:rPr>
          <w:rFonts w:ascii="Arial" w:cs="Arial" w:eastAsia="Arial" w:hAnsi="Arial"/>
          <w:sz w:val="16"/>
          <w:szCs w:val="16"/>
          <w:color w:val="auto"/>
        </w:rPr>
      </w:pPr>
      <w:hyperlink w:anchor="page34">
        <w:r>
          <w:rPr>
            <w:rFonts w:ascii="Arial" w:cs="Arial" w:eastAsia="Arial" w:hAnsi="Arial"/>
            <w:sz w:val="16"/>
            <w:szCs w:val="16"/>
            <w:color w:val="auto"/>
          </w:rPr>
          <w:t>33</w:t>
        </w:r>
      </w:hyperlink>
    </w:p>
    <w:p>
      <w:pPr>
        <w:sectPr>
          <w:pgSz w:w="11900" w:h="16838" w:orient="portrait"/>
          <w:cols w:equalWidth="0" w:num="2">
            <w:col w:w="9660" w:space="720"/>
            <w:col w:w="800"/>
          </w:cols>
          <w:pgMar w:left="340" w:top="891" w:right="379" w:bottom="1440" w:gutter="0" w:footer="0" w:header="0"/>
        </w:sectPr>
      </w:pPr>
    </w:p>
    <w:bookmarkStart w:id="2" w:name="page3"/>
    <w:bookmarkEnd w:id="2"/>
    <w:p>
      <w:pPr>
        <w:spacing w:after="0"/>
        <w:rPr>
          <w:sz w:val="20"/>
          <w:szCs w:val="20"/>
          <w:color w:val="auto"/>
        </w:rPr>
      </w:pPr>
      <w:r>
        <w:rPr>
          <w:rFonts w:ascii="Arial" w:cs="Arial" w:eastAsia="Arial" w:hAnsi="Arial"/>
          <w:sz w:val="18"/>
          <w:szCs w:val="18"/>
          <w:b w:val="1"/>
          <w:bCs w:val="1"/>
          <w:color w:val="auto"/>
        </w:rPr>
        <w:t>PART I - FINANCIAL INFORMATION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Financial Statements.</w:t>
      </w:r>
    </w:p>
    <w:p>
      <w:pPr>
        <w:spacing w:after="0" w:line="279" w:lineRule="exact"/>
        <w:rPr>
          <w:sz w:val="20"/>
          <w:szCs w:val="20"/>
          <w:color w:val="auto"/>
        </w:rPr>
      </w:pPr>
    </w:p>
    <w:p>
      <w:pPr>
        <w:jc w:val="center"/>
        <w:ind w:right="80"/>
        <w:spacing w:after="0"/>
        <w:rPr>
          <w:sz w:val="20"/>
          <w:szCs w:val="20"/>
          <w:color w:val="auto"/>
        </w:rPr>
      </w:pPr>
      <w:r>
        <w:rPr>
          <w:rFonts w:ascii="Arial" w:cs="Arial" w:eastAsia="Arial" w:hAnsi="Arial"/>
          <w:sz w:val="18"/>
          <w:szCs w:val="18"/>
          <w:b w:val="1"/>
          <w:bCs w:val="1"/>
          <w:color w:val="auto"/>
        </w:rPr>
        <w:t>GLOBALSTAR, INC.</w:t>
      </w:r>
    </w:p>
    <w:p>
      <w:pPr>
        <w:spacing w:after="0" w:line="6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OPERATIONS AND COMPREHENSIVE INCOME (LOSS)</w:t>
      </w:r>
    </w:p>
    <w:p>
      <w:pPr>
        <w:spacing w:after="0" w:line="6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per share data)</w:t>
      </w:r>
    </w:p>
    <w:p>
      <w:pPr>
        <w:spacing w:after="0" w:line="63"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(Unaudited)</w:t>
      </w:r>
    </w:p>
    <w:p>
      <w:pPr>
        <w:spacing w:after="0" w:line="161" w:lineRule="exact"/>
        <w:rPr>
          <w:sz w:val="20"/>
          <w:szCs w:val="20"/>
          <w:color w:val="auto"/>
        </w:rPr>
      </w:pPr>
    </w:p>
    <w:tbl>
      <w:tblPr>
        <w:tblLayout w:type="fixed"/>
        <w:tblInd w:w="0" w:type="dxa"/>
        <w:tblCellMar>
          <w:top w:w="0" w:type="dxa"/>
          <w:left w:w="0" w:type="dxa"/>
          <w:bottom w:w="0" w:type="dxa"/>
          <w:right w:w="0" w:type="dxa"/>
        </w:tblCellMar>
      </w:tblPr>
      <w:tr>
        <w:trPr>
          <w:trHeight w:val="229"/>
        </w:trPr>
        <w:tc>
          <w:tcPr>
            <w:tcW w:w="54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720" w:type="dxa"/>
            <w:vAlign w:val="bottom"/>
            <w:gridSpan w:val="5"/>
          </w:tcPr>
          <w:p>
            <w:pPr>
              <w:ind w:left="400"/>
              <w:spacing w:after="0"/>
              <w:rPr>
                <w:sz w:val="20"/>
                <w:szCs w:val="20"/>
                <w:color w:val="auto"/>
              </w:rPr>
            </w:pPr>
            <w:r>
              <w:rPr>
                <w:rFonts w:ascii="Arial" w:cs="Arial" w:eastAsia="Arial" w:hAnsi="Arial"/>
                <w:sz w:val="18"/>
                <w:szCs w:val="18"/>
                <w:b w:val="1"/>
                <w:bCs w:val="1"/>
                <w:color w:val="auto"/>
              </w:rPr>
              <w:t>Three Months Ended</w:t>
            </w:r>
          </w:p>
        </w:tc>
        <w:tc>
          <w:tcPr>
            <w:tcW w:w="240" w:type="dxa"/>
            <w:vAlign w:val="bottom"/>
          </w:tcPr>
          <w:p>
            <w:pPr>
              <w:spacing w:after="0"/>
              <w:rPr>
                <w:sz w:val="19"/>
                <w:szCs w:val="19"/>
                <w:color w:val="auto"/>
              </w:rPr>
            </w:pPr>
          </w:p>
        </w:tc>
        <w:tc>
          <w:tcPr>
            <w:tcW w:w="2600" w:type="dxa"/>
            <w:vAlign w:val="bottom"/>
            <w:gridSpan w:val="4"/>
          </w:tcPr>
          <w:p>
            <w:pPr>
              <w:jc w:val="right"/>
              <w:ind w:right="632"/>
              <w:spacing w:after="0"/>
              <w:rPr>
                <w:sz w:val="20"/>
                <w:szCs w:val="20"/>
                <w:color w:val="auto"/>
              </w:rPr>
            </w:pPr>
            <w:r>
              <w:rPr>
                <w:rFonts w:ascii="Arial" w:cs="Arial" w:eastAsia="Arial" w:hAnsi="Arial"/>
                <w:sz w:val="18"/>
                <w:szCs w:val="18"/>
                <w:b w:val="1"/>
                <w:bCs w:val="1"/>
                <w:color w:val="auto"/>
              </w:rPr>
              <w:t>Six Months Ended</w:t>
            </w:r>
          </w:p>
        </w:tc>
        <w:tc>
          <w:tcPr>
            <w:tcW w:w="0" w:type="dxa"/>
            <w:vAlign w:val="bottom"/>
          </w:tcPr>
          <w:p>
            <w:pPr>
              <w:spacing w:after="0"/>
              <w:rPr>
                <w:sz w:val="1"/>
                <w:szCs w:val="1"/>
                <w:color w:val="auto"/>
              </w:rPr>
            </w:pPr>
          </w:p>
        </w:tc>
      </w:tr>
      <w:tr>
        <w:trPr>
          <w:trHeight w:val="29"/>
        </w:trPr>
        <w:tc>
          <w:tcPr>
            <w:tcW w:w="544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gridSpan w:val="2"/>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gridSpan w:val="2"/>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1"/>
        </w:trPr>
        <w:tc>
          <w:tcPr>
            <w:tcW w:w="54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240" w:type="dxa"/>
            <w:vAlign w:val="bottom"/>
            <w:gridSpan w:val="2"/>
          </w:tcPr>
          <w:p>
            <w:pPr>
              <w:ind w:left="140"/>
              <w:spacing w:after="0"/>
              <w:rPr>
                <w:sz w:val="20"/>
                <w:szCs w:val="20"/>
                <w:color w:val="auto"/>
              </w:rPr>
            </w:pPr>
            <w:r>
              <w:rPr>
                <w:rFonts w:ascii="Arial" w:cs="Arial" w:eastAsia="Arial" w:hAnsi="Arial"/>
                <w:sz w:val="18"/>
                <w:szCs w:val="18"/>
                <w:b w:val="1"/>
                <w:bCs w:val="1"/>
                <w:color w:val="auto"/>
              </w:rPr>
              <w:t>June 30,</w:t>
            </w:r>
          </w:p>
        </w:tc>
        <w:tc>
          <w:tcPr>
            <w:tcW w:w="240" w:type="dxa"/>
            <w:vAlign w:val="bottom"/>
          </w:tcPr>
          <w:p>
            <w:pPr>
              <w:spacing w:after="0"/>
              <w:rPr>
                <w:sz w:val="19"/>
                <w:szCs w:val="19"/>
                <w:color w:val="auto"/>
              </w:rPr>
            </w:pPr>
          </w:p>
        </w:tc>
        <w:tc>
          <w:tcPr>
            <w:tcW w:w="1240" w:type="dxa"/>
            <w:vAlign w:val="bottom"/>
            <w:gridSpan w:val="2"/>
          </w:tcPr>
          <w:p>
            <w:pPr>
              <w:ind w:left="140"/>
              <w:spacing w:after="0"/>
              <w:rPr>
                <w:sz w:val="20"/>
                <w:szCs w:val="20"/>
                <w:color w:val="auto"/>
              </w:rPr>
            </w:pPr>
            <w:r>
              <w:rPr>
                <w:rFonts w:ascii="Arial" w:cs="Arial" w:eastAsia="Arial" w:hAnsi="Arial"/>
                <w:sz w:val="18"/>
                <w:szCs w:val="18"/>
                <w:b w:val="1"/>
                <w:bCs w:val="1"/>
                <w:color w:val="auto"/>
              </w:rPr>
              <w:t>June 30,</w:t>
            </w:r>
          </w:p>
        </w:tc>
        <w:tc>
          <w:tcPr>
            <w:tcW w:w="240" w:type="dxa"/>
            <w:vAlign w:val="bottom"/>
          </w:tcPr>
          <w:p>
            <w:pPr>
              <w:spacing w:after="0"/>
              <w:rPr>
                <w:sz w:val="19"/>
                <w:szCs w:val="19"/>
                <w:color w:val="auto"/>
              </w:rPr>
            </w:pPr>
          </w:p>
        </w:tc>
        <w:tc>
          <w:tcPr>
            <w:tcW w:w="1220" w:type="dxa"/>
            <w:vAlign w:val="bottom"/>
            <w:gridSpan w:val="2"/>
          </w:tcPr>
          <w:p>
            <w:pPr>
              <w:ind w:left="120"/>
              <w:spacing w:after="0"/>
              <w:rPr>
                <w:sz w:val="20"/>
                <w:szCs w:val="20"/>
                <w:color w:val="auto"/>
              </w:rPr>
            </w:pPr>
            <w:r>
              <w:rPr>
                <w:rFonts w:ascii="Arial" w:cs="Arial" w:eastAsia="Arial" w:hAnsi="Arial"/>
                <w:sz w:val="18"/>
                <w:szCs w:val="18"/>
                <w:b w:val="1"/>
                <w:bCs w:val="1"/>
                <w:color w:val="auto"/>
              </w:rPr>
              <w:t>June 30,</w:t>
            </w:r>
          </w:p>
        </w:tc>
        <w:tc>
          <w:tcPr>
            <w:tcW w:w="240" w:type="dxa"/>
            <w:vAlign w:val="bottom"/>
          </w:tcPr>
          <w:p>
            <w:pPr>
              <w:spacing w:after="0"/>
              <w:rPr>
                <w:sz w:val="19"/>
                <w:szCs w:val="19"/>
                <w:color w:val="auto"/>
              </w:rPr>
            </w:pPr>
          </w:p>
        </w:tc>
        <w:tc>
          <w:tcPr>
            <w:tcW w:w="1140" w:type="dxa"/>
            <w:vAlign w:val="bottom"/>
          </w:tcPr>
          <w:p>
            <w:pPr>
              <w:jc w:val="right"/>
              <w:ind w:right="292"/>
              <w:spacing w:after="0"/>
              <w:rPr>
                <w:sz w:val="20"/>
                <w:szCs w:val="20"/>
                <w:color w:val="auto"/>
              </w:rPr>
            </w:pPr>
            <w:r>
              <w:rPr>
                <w:rFonts w:ascii="Arial" w:cs="Arial" w:eastAsia="Arial" w:hAnsi="Arial"/>
                <w:sz w:val="18"/>
                <w:szCs w:val="18"/>
                <w:b w:val="1"/>
                <w:bCs w:val="1"/>
                <w:color w:val="auto"/>
              </w:rPr>
              <w:t>June 30,</w:t>
            </w:r>
          </w:p>
        </w:tc>
        <w:tc>
          <w:tcPr>
            <w:tcW w:w="0" w:type="dxa"/>
            <w:vAlign w:val="bottom"/>
          </w:tcPr>
          <w:p>
            <w:pPr>
              <w:spacing w:after="0"/>
              <w:rPr>
                <w:sz w:val="1"/>
                <w:szCs w:val="1"/>
                <w:color w:val="auto"/>
              </w:rPr>
            </w:pPr>
          </w:p>
        </w:tc>
      </w:tr>
      <w:tr>
        <w:trPr>
          <w:trHeight w:val="229"/>
        </w:trPr>
        <w:tc>
          <w:tcPr>
            <w:tcW w:w="54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40" w:type="dxa"/>
            <w:vAlign w:val="bottom"/>
          </w:tcPr>
          <w:p>
            <w:pPr>
              <w:jc w:val="right"/>
              <w:ind w:right="412"/>
              <w:spacing w:after="0"/>
              <w:rPr>
                <w:sz w:val="20"/>
                <w:szCs w:val="20"/>
                <w:color w:val="auto"/>
              </w:rPr>
            </w:pPr>
            <w:r>
              <w:rPr>
                <w:rFonts w:ascii="Arial" w:cs="Arial" w:eastAsia="Arial" w:hAnsi="Arial"/>
                <w:sz w:val="18"/>
                <w:szCs w:val="18"/>
                <w:b w:val="1"/>
                <w:bCs w:val="1"/>
                <w:color w:val="auto"/>
              </w:rPr>
              <w:t>2020</w:t>
            </w: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40" w:type="dxa"/>
            <w:vAlign w:val="bottom"/>
          </w:tcPr>
          <w:p>
            <w:pPr>
              <w:jc w:val="right"/>
              <w:ind w:right="432"/>
              <w:spacing w:after="0"/>
              <w:rPr>
                <w:sz w:val="20"/>
                <w:szCs w:val="20"/>
                <w:color w:val="auto"/>
              </w:rPr>
            </w:pPr>
            <w:r>
              <w:rPr>
                <w:rFonts w:ascii="Arial" w:cs="Arial" w:eastAsia="Arial" w:hAnsi="Arial"/>
                <w:sz w:val="18"/>
                <w:szCs w:val="18"/>
                <w:b w:val="1"/>
                <w:bCs w:val="1"/>
                <w:color w:val="auto"/>
              </w:rPr>
              <w:t>2019</w:t>
            </w: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20" w:type="dxa"/>
            <w:vAlign w:val="bottom"/>
          </w:tcPr>
          <w:p>
            <w:pPr>
              <w:jc w:val="right"/>
              <w:ind w:right="412"/>
              <w:spacing w:after="0"/>
              <w:rPr>
                <w:sz w:val="20"/>
                <w:szCs w:val="20"/>
                <w:color w:val="auto"/>
              </w:rPr>
            </w:pPr>
            <w:r>
              <w:rPr>
                <w:rFonts w:ascii="Arial" w:cs="Arial" w:eastAsia="Arial" w:hAnsi="Arial"/>
                <w:sz w:val="18"/>
                <w:szCs w:val="18"/>
                <w:b w:val="1"/>
                <w:bCs w:val="1"/>
                <w:color w:val="auto"/>
              </w:rPr>
              <w:t>2020</w:t>
            </w: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40" w:type="dxa"/>
            <w:vAlign w:val="bottom"/>
          </w:tcPr>
          <w:p>
            <w:pPr>
              <w:jc w:val="right"/>
              <w:ind w:right="432"/>
              <w:spacing w:after="0"/>
              <w:rPr>
                <w:sz w:val="20"/>
                <w:szCs w:val="20"/>
                <w:color w:val="auto"/>
              </w:rPr>
            </w:pPr>
            <w:r>
              <w:rPr>
                <w:rFonts w:ascii="Arial" w:cs="Arial" w:eastAsia="Arial" w:hAnsi="Arial"/>
                <w:sz w:val="18"/>
                <w:szCs w:val="18"/>
                <w:b w:val="1"/>
                <w:bCs w:val="1"/>
                <w:color w:val="auto"/>
              </w:rPr>
              <w:t>2019</w:t>
            </w:r>
          </w:p>
        </w:tc>
        <w:tc>
          <w:tcPr>
            <w:tcW w:w="0" w:type="dxa"/>
            <w:vAlign w:val="bottom"/>
          </w:tcPr>
          <w:p>
            <w:pPr>
              <w:spacing w:after="0"/>
              <w:rPr>
                <w:sz w:val="1"/>
                <w:szCs w:val="1"/>
                <w:color w:val="auto"/>
              </w:rPr>
            </w:pPr>
          </w:p>
        </w:tc>
      </w:tr>
      <w:tr>
        <w:trPr>
          <w:trHeight w:val="29"/>
        </w:trPr>
        <w:tc>
          <w:tcPr>
            <w:tcW w:w="5440" w:type="dxa"/>
            <w:vAlign w:val="bottom"/>
            <w:vMerge w:val="restart"/>
          </w:tcPr>
          <w:p>
            <w:pPr>
              <w:ind w:left="20"/>
              <w:spacing w:after="0"/>
              <w:rPr>
                <w:sz w:val="20"/>
                <w:szCs w:val="20"/>
                <w:color w:val="auto"/>
              </w:rPr>
            </w:pPr>
            <w:r>
              <w:rPr>
                <w:rFonts w:ascii="Arial" w:cs="Arial" w:eastAsia="Arial" w:hAnsi="Arial"/>
                <w:sz w:val="18"/>
                <w:szCs w:val="18"/>
                <w:color w:val="auto"/>
              </w:rPr>
              <w:t>Revenue:</w:t>
            </w:r>
          </w:p>
        </w:tc>
        <w:tc>
          <w:tcPr>
            <w:tcW w:w="2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4"/>
        </w:trPr>
        <w:tc>
          <w:tcPr>
            <w:tcW w:w="5440" w:type="dxa"/>
            <w:vAlign w:val="bottom"/>
            <w:vMerge w:val="continue"/>
          </w:tcPr>
          <w:p>
            <w:pPr>
              <w:spacing w:after="0"/>
              <w:rPr>
                <w:sz w:val="20"/>
                <w:szCs w:val="20"/>
                <w:color w:val="auto"/>
              </w:rPr>
            </w:pPr>
          </w:p>
        </w:tc>
        <w:tc>
          <w:tcPr>
            <w:tcW w:w="24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9"/>
        </w:trPr>
        <w:tc>
          <w:tcPr>
            <w:tcW w:w="54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44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Service revenue</w:t>
            </w:r>
          </w:p>
        </w:tc>
        <w:tc>
          <w:tcPr>
            <w:tcW w:w="2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52"/>
              <w:spacing w:after="0"/>
              <w:rPr>
                <w:sz w:val="20"/>
                <w:szCs w:val="20"/>
                <w:color w:val="auto"/>
              </w:rPr>
            </w:pPr>
            <w:r>
              <w:rPr>
                <w:rFonts w:ascii="Arial" w:cs="Arial" w:eastAsia="Arial" w:hAnsi="Arial"/>
                <w:sz w:val="18"/>
                <w:szCs w:val="18"/>
                <w:color w:val="auto"/>
              </w:rPr>
              <w:t>27,090</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52"/>
              <w:spacing w:after="0"/>
              <w:rPr>
                <w:sz w:val="20"/>
                <w:szCs w:val="20"/>
                <w:color w:val="auto"/>
              </w:rPr>
            </w:pPr>
            <w:r>
              <w:rPr>
                <w:rFonts w:ascii="Arial" w:cs="Arial" w:eastAsia="Arial" w:hAnsi="Arial"/>
                <w:sz w:val="18"/>
                <w:szCs w:val="18"/>
                <w:color w:val="auto"/>
                <w:w w:val="79"/>
              </w:rPr>
              <w:t>$</w:t>
            </w:r>
          </w:p>
        </w:tc>
        <w:tc>
          <w:tcPr>
            <w:tcW w:w="1140" w:type="dxa"/>
            <w:vAlign w:val="bottom"/>
            <w:tcBorders>
              <w:bottom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rPr>
              <w:t>26,700</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52"/>
              <w:spacing w:after="0"/>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CCEEFF"/>
            </w:tcBorders>
            <w:shd w:val="clear" w:color="auto" w:fill="CCEEFF"/>
          </w:tcPr>
          <w:p>
            <w:pPr>
              <w:jc w:val="right"/>
              <w:ind w:right="52"/>
              <w:spacing w:after="0"/>
              <w:rPr>
                <w:sz w:val="20"/>
                <w:szCs w:val="20"/>
                <w:color w:val="auto"/>
              </w:rPr>
            </w:pPr>
            <w:r>
              <w:rPr>
                <w:rFonts w:ascii="Arial" w:cs="Arial" w:eastAsia="Arial" w:hAnsi="Arial"/>
                <w:sz w:val="18"/>
                <w:szCs w:val="18"/>
                <w:color w:val="auto"/>
              </w:rPr>
              <w:t>56,025</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52"/>
              <w:spacing w:after="0"/>
              <w:rPr>
                <w:sz w:val="20"/>
                <w:szCs w:val="20"/>
                <w:color w:val="auto"/>
              </w:rPr>
            </w:pPr>
            <w:r>
              <w:rPr>
                <w:rFonts w:ascii="Arial" w:cs="Arial" w:eastAsia="Arial" w:hAnsi="Arial"/>
                <w:sz w:val="18"/>
                <w:szCs w:val="18"/>
                <w:color w:val="auto"/>
                <w:w w:val="79"/>
              </w:rPr>
              <w:t>$</w:t>
            </w:r>
          </w:p>
        </w:tc>
        <w:tc>
          <w:tcPr>
            <w:tcW w:w="1140" w:type="dxa"/>
            <w:vAlign w:val="bottom"/>
            <w:tcBorders>
              <w:bottom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rPr>
              <w:t>52,819</w:t>
            </w:r>
          </w:p>
        </w:tc>
        <w:tc>
          <w:tcPr>
            <w:tcW w:w="0" w:type="dxa"/>
            <w:vAlign w:val="bottom"/>
          </w:tcPr>
          <w:p>
            <w:pPr>
              <w:spacing w:after="0"/>
              <w:rPr>
                <w:sz w:val="1"/>
                <w:szCs w:val="1"/>
                <w:color w:val="auto"/>
              </w:rPr>
            </w:pPr>
          </w:p>
        </w:tc>
      </w:tr>
      <w:tr>
        <w:trPr>
          <w:trHeight w:val="241"/>
        </w:trPr>
        <w:tc>
          <w:tcPr>
            <w:tcW w:w="5440" w:type="dxa"/>
            <w:vAlign w:val="bottom"/>
          </w:tcPr>
          <w:p>
            <w:pPr>
              <w:ind w:left="220"/>
              <w:spacing w:after="0"/>
              <w:rPr>
                <w:sz w:val="20"/>
                <w:szCs w:val="20"/>
                <w:color w:val="auto"/>
              </w:rPr>
            </w:pPr>
            <w:r>
              <w:rPr>
                <w:rFonts w:ascii="Arial" w:cs="Arial" w:eastAsia="Arial" w:hAnsi="Arial"/>
                <w:sz w:val="18"/>
                <w:szCs w:val="18"/>
                <w:color w:val="auto"/>
              </w:rPr>
              <w:t>Subscriber equipment sales</w:t>
            </w:r>
          </w:p>
        </w:tc>
        <w:tc>
          <w:tcPr>
            <w:tcW w:w="240" w:type="dxa"/>
            <w:vAlign w:val="bottom"/>
          </w:tcPr>
          <w:p>
            <w:pPr>
              <w:spacing w:after="0"/>
              <w:rPr>
                <w:sz w:val="20"/>
                <w:szCs w:val="20"/>
                <w:color w:val="auto"/>
              </w:rPr>
            </w:pPr>
          </w:p>
        </w:tc>
        <w:tc>
          <w:tcPr>
            <w:tcW w:w="1140" w:type="dxa"/>
            <w:vAlign w:val="bottom"/>
          </w:tcPr>
          <w:p>
            <w:pPr>
              <w:jc w:val="right"/>
              <w:ind w:right="52"/>
              <w:spacing w:after="0"/>
              <w:rPr>
                <w:sz w:val="20"/>
                <w:szCs w:val="20"/>
                <w:color w:val="auto"/>
              </w:rPr>
            </w:pPr>
            <w:r>
              <w:rPr>
                <w:rFonts w:ascii="Arial" w:cs="Arial" w:eastAsia="Arial" w:hAnsi="Arial"/>
                <w:sz w:val="18"/>
                <w:szCs w:val="18"/>
                <w:color w:val="auto"/>
              </w:rPr>
              <w:t>3,274</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40" w:type="dxa"/>
            <w:vAlign w:val="bottom"/>
          </w:tcPr>
          <w:p>
            <w:pPr>
              <w:jc w:val="right"/>
              <w:ind w:right="72"/>
              <w:spacing w:after="0"/>
              <w:rPr>
                <w:sz w:val="20"/>
                <w:szCs w:val="20"/>
                <w:color w:val="auto"/>
              </w:rPr>
            </w:pPr>
            <w:r>
              <w:rPr>
                <w:rFonts w:ascii="Arial" w:cs="Arial" w:eastAsia="Arial" w:hAnsi="Arial"/>
                <w:sz w:val="18"/>
                <w:szCs w:val="18"/>
                <w:color w:val="auto"/>
              </w:rPr>
              <w:t>4,491</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20" w:type="dxa"/>
            <w:vAlign w:val="bottom"/>
          </w:tcPr>
          <w:p>
            <w:pPr>
              <w:jc w:val="right"/>
              <w:ind w:right="52"/>
              <w:spacing w:after="0"/>
              <w:rPr>
                <w:sz w:val="20"/>
                <w:szCs w:val="20"/>
                <w:color w:val="auto"/>
              </w:rPr>
            </w:pPr>
            <w:r>
              <w:rPr>
                <w:rFonts w:ascii="Arial" w:cs="Arial" w:eastAsia="Arial" w:hAnsi="Arial"/>
                <w:sz w:val="18"/>
                <w:szCs w:val="18"/>
                <w:color w:val="auto"/>
              </w:rPr>
              <w:t>6,533</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40" w:type="dxa"/>
            <w:vAlign w:val="bottom"/>
          </w:tcPr>
          <w:p>
            <w:pPr>
              <w:jc w:val="right"/>
              <w:ind w:right="72"/>
              <w:spacing w:after="0"/>
              <w:rPr>
                <w:sz w:val="20"/>
                <w:szCs w:val="20"/>
                <w:color w:val="auto"/>
              </w:rPr>
            </w:pPr>
            <w:r>
              <w:rPr>
                <w:rFonts w:ascii="Arial" w:cs="Arial" w:eastAsia="Arial" w:hAnsi="Arial"/>
                <w:sz w:val="18"/>
                <w:szCs w:val="18"/>
                <w:color w:val="auto"/>
              </w:rPr>
              <w:t>8,450</w:t>
            </w:r>
          </w:p>
        </w:tc>
        <w:tc>
          <w:tcPr>
            <w:tcW w:w="0" w:type="dxa"/>
            <w:vAlign w:val="bottom"/>
          </w:tcPr>
          <w:p>
            <w:pPr>
              <w:spacing w:after="0"/>
              <w:rPr>
                <w:sz w:val="1"/>
                <w:szCs w:val="1"/>
                <w:color w:val="auto"/>
              </w:rPr>
            </w:pPr>
          </w:p>
        </w:tc>
      </w:tr>
      <w:tr>
        <w:trPr>
          <w:trHeight w:val="29"/>
        </w:trPr>
        <w:tc>
          <w:tcPr>
            <w:tcW w:w="544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3"/>
        </w:trPr>
        <w:tc>
          <w:tcPr>
            <w:tcW w:w="5440" w:type="dxa"/>
            <w:vAlign w:val="bottom"/>
            <w:tcBorders>
              <w:bottom w:val="single" w:sz="8" w:color="CCEEFF"/>
            </w:tcBorders>
            <w:shd w:val="clear" w:color="auto" w:fill="CCEEFF"/>
          </w:tcPr>
          <w:p>
            <w:pPr>
              <w:ind w:left="460"/>
              <w:spacing w:after="0"/>
              <w:rPr>
                <w:sz w:val="20"/>
                <w:szCs w:val="20"/>
                <w:color w:val="auto"/>
              </w:rPr>
            </w:pPr>
            <w:r>
              <w:rPr>
                <w:rFonts w:ascii="Arial" w:cs="Arial" w:eastAsia="Arial" w:hAnsi="Arial"/>
                <w:sz w:val="18"/>
                <w:szCs w:val="18"/>
                <w:color w:val="auto"/>
              </w:rPr>
              <w:t>Total revenue</w:t>
            </w:r>
          </w:p>
        </w:tc>
        <w:tc>
          <w:tcPr>
            <w:tcW w:w="24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shd w:val="clear" w:color="auto" w:fill="CCEEFF"/>
          </w:tcPr>
          <w:p>
            <w:pPr>
              <w:jc w:val="right"/>
              <w:ind w:right="52"/>
              <w:spacing w:after="0"/>
              <w:rPr>
                <w:sz w:val="20"/>
                <w:szCs w:val="20"/>
                <w:color w:val="auto"/>
              </w:rPr>
            </w:pPr>
            <w:r>
              <w:rPr>
                <w:rFonts w:ascii="Arial" w:cs="Arial" w:eastAsia="Arial" w:hAnsi="Arial"/>
                <w:sz w:val="18"/>
                <w:szCs w:val="18"/>
                <w:color w:val="auto"/>
              </w:rPr>
              <w:t>30,364</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rPr>
              <w:t>31,191</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ind w:right="52"/>
              <w:spacing w:after="0"/>
              <w:rPr>
                <w:sz w:val="20"/>
                <w:szCs w:val="20"/>
                <w:color w:val="auto"/>
              </w:rPr>
            </w:pPr>
            <w:r>
              <w:rPr>
                <w:rFonts w:ascii="Arial" w:cs="Arial" w:eastAsia="Arial" w:hAnsi="Arial"/>
                <w:sz w:val="18"/>
                <w:szCs w:val="18"/>
                <w:color w:val="auto"/>
              </w:rPr>
              <w:t>62,558</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rPr>
              <w:t>61,269</w:t>
            </w:r>
          </w:p>
        </w:tc>
        <w:tc>
          <w:tcPr>
            <w:tcW w:w="0" w:type="dxa"/>
            <w:vAlign w:val="bottom"/>
          </w:tcPr>
          <w:p>
            <w:pPr>
              <w:spacing w:after="0"/>
              <w:rPr>
                <w:sz w:val="1"/>
                <w:szCs w:val="1"/>
                <w:color w:val="auto"/>
              </w:rPr>
            </w:pPr>
          </w:p>
        </w:tc>
      </w:tr>
      <w:tr>
        <w:trPr>
          <w:trHeight w:val="234"/>
        </w:trPr>
        <w:tc>
          <w:tcPr>
            <w:tcW w:w="5440" w:type="dxa"/>
            <w:vAlign w:val="bottom"/>
          </w:tcPr>
          <w:p>
            <w:pPr>
              <w:ind w:left="20"/>
              <w:spacing w:after="0"/>
              <w:rPr>
                <w:sz w:val="20"/>
                <w:szCs w:val="20"/>
                <w:color w:val="auto"/>
              </w:rPr>
            </w:pPr>
            <w:r>
              <w:rPr>
                <w:rFonts w:ascii="Arial" w:cs="Arial" w:eastAsia="Arial" w:hAnsi="Arial"/>
                <w:sz w:val="18"/>
                <w:szCs w:val="18"/>
                <w:color w:val="auto"/>
              </w:rPr>
              <w:t>Operating expenses:</w:t>
            </w:r>
          </w:p>
        </w:tc>
        <w:tc>
          <w:tcPr>
            <w:tcW w:w="24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9"/>
        </w:trPr>
        <w:tc>
          <w:tcPr>
            <w:tcW w:w="54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4"/>
        </w:trPr>
        <w:tc>
          <w:tcPr>
            <w:tcW w:w="5440" w:type="dxa"/>
            <w:vAlign w:val="bottom"/>
            <w:shd w:val="clear" w:color="auto" w:fill="CCEEFF"/>
          </w:tcPr>
          <w:p>
            <w:pPr>
              <w:ind w:left="220"/>
              <w:spacing w:after="0"/>
              <w:rPr>
                <w:sz w:val="20"/>
                <w:szCs w:val="20"/>
                <w:color w:val="auto"/>
              </w:rPr>
            </w:pPr>
            <w:r>
              <w:rPr>
                <w:rFonts w:ascii="Arial" w:cs="Arial" w:eastAsia="Arial" w:hAnsi="Arial"/>
                <w:sz w:val="18"/>
                <w:szCs w:val="18"/>
                <w:color w:val="auto"/>
                <w:w w:val="92"/>
              </w:rPr>
              <w:t>Cost of services (exclusive of depreciation, amortization, and accretion</w:t>
            </w:r>
          </w:p>
        </w:tc>
        <w:tc>
          <w:tcPr>
            <w:tcW w:w="240" w:type="dxa"/>
            <w:vAlign w:val="bottom"/>
            <w:shd w:val="clear" w:color="auto" w:fill="CCEEFF"/>
          </w:tcPr>
          <w:p>
            <w:pPr>
              <w:spacing w:after="0"/>
              <w:rPr>
                <w:sz w:val="20"/>
                <w:szCs w:val="20"/>
                <w:color w:val="auto"/>
              </w:rPr>
            </w:pPr>
          </w:p>
        </w:tc>
        <w:tc>
          <w:tcPr>
            <w:tcW w:w="11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11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11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114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32"/>
        </w:trPr>
        <w:tc>
          <w:tcPr>
            <w:tcW w:w="544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shown separately below)</w:t>
            </w:r>
          </w:p>
        </w:tc>
        <w:tc>
          <w:tcPr>
            <w:tcW w:w="24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jc w:val="right"/>
              <w:ind w:right="52"/>
              <w:spacing w:after="0"/>
              <w:rPr>
                <w:sz w:val="20"/>
                <w:szCs w:val="20"/>
                <w:color w:val="auto"/>
              </w:rPr>
            </w:pPr>
            <w:r>
              <w:rPr>
                <w:rFonts w:ascii="Arial" w:cs="Arial" w:eastAsia="Arial" w:hAnsi="Arial"/>
                <w:sz w:val="18"/>
                <w:szCs w:val="18"/>
                <w:color w:val="auto"/>
              </w:rPr>
              <w:t>8,647</w:t>
            </w:r>
          </w:p>
        </w:tc>
        <w:tc>
          <w:tcPr>
            <w:tcW w:w="10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rPr>
              <w:t>9,395</w:t>
            </w:r>
          </w:p>
        </w:tc>
        <w:tc>
          <w:tcPr>
            <w:tcW w:w="10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jc w:val="right"/>
              <w:ind w:right="52"/>
              <w:spacing w:after="0"/>
              <w:rPr>
                <w:sz w:val="20"/>
                <w:szCs w:val="20"/>
                <w:color w:val="auto"/>
              </w:rPr>
            </w:pPr>
            <w:r>
              <w:rPr>
                <w:rFonts w:ascii="Arial" w:cs="Arial" w:eastAsia="Arial" w:hAnsi="Arial"/>
                <w:sz w:val="18"/>
                <w:szCs w:val="18"/>
                <w:color w:val="auto"/>
              </w:rPr>
              <w:t>17,375</w:t>
            </w:r>
          </w:p>
        </w:tc>
        <w:tc>
          <w:tcPr>
            <w:tcW w:w="10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rPr>
              <w:t>19,248</w:t>
            </w:r>
          </w:p>
        </w:tc>
        <w:tc>
          <w:tcPr>
            <w:tcW w:w="0" w:type="dxa"/>
            <w:vAlign w:val="bottom"/>
          </w:tcPr>
          <w:p>
            <w:pPr>
              <w:spacing w:after="0"/>
              <w:rPr>
                <w:sz w:val="1"/>
                <w:szCs w:val="1"/>
                <w:color w:val="auto"/>
              </w:rPr>
            </w:pPr>
          </w:p>
        </w:tc>
      </w:tr>
      <w:tr>
        <w:trPr>
          <w:trHeight w:val="241"/>
        </w:trPr>
        <w:tc>
          <w:tcPr>
            <w:tcW w:w="5440" w:type="dxa"/>
            <w:vAlign w:val="bottom"/>
          </w:tcPr>
          <w:p>
            <w:pPr>
              <w:ind w:left="220"/>
              <w:spacing w:after="0"/>
              <w:rPr>
                <w:sz w:val="20"/>
                <w:szCs w:val="20"/>
                <w:color w:val="auto"/>
              </w:rPr>
            </w:pPr>
            <w:r>
              <w:rPr>
                <w:rFonts w:ascii="Arial" w:cs="Arial" w:eastAsia="Arial" w:hAnsi="Arial"/>
                <w:sz w:val="18"/>
                <w:szCs w:val="18"/>
                <w:color w:val="auto"/>
              </w:rPr>
              <w:t>Cost of subscriber equipment sales</w:t>
            </w:r>
          </w:p>
        </w:tc>
        <w:tc>
          <w:tcPr>
            <w:tcW w:w="240" w:type="dxa"/>
            <w:vAlign w:val="bottom"/>
          </w:tcPr>
          <w:p>
            <w:pPr>
              <w:spacing w:after="0"/>
              <w:rPr>
                <w:sz w:val="20"/>
                <w:szCs w:val="20"/>
                <w:color w:val="auto"/>
              </w:rPr>
            </w:pPr>
          </w:p>
        </w:tc>
        <w:tc>
          <w:tcPr>
            <w:tcW w:w="1140" w:type="dxa"/>
            <w:vAlign w:val="bottom"/>
          </w:tcPr>
          <w:p>
            <w:pPr>
              <w:jc w:val="right"/>
              <w:ind w:right="52"/>
              <w:spacing w:after="0"/>
              <w:rPr>
                <w:sz w:val="20"/>
                <w:szCs w:val="20"/>
                <w:color w:val="auto"/>
              </w:rPr>
            </w:pPr>
            <w:r>
              <w:rPr>
                <w:rFonts w:ascii="Arial" w:cs="Arial" w:eastAsia="Arial" w:hAnsi="Arial"/>
                <w:sz w:val="18"/>
                <w:szCs w:val="18"/>
                <w:color w:val="auto"/>
              </w:rPr>
              <w:t>2,940</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40" w:type="dxa"/>
            <w:vAlign w:val="bottom"/>
          </w:tcPr>
          <w:p>
            <w:pPr>
              <w:jc w:val="right"/>
              <w:ind w:right="72"/>
              <w:spacing w:after="0"/>
              <w:rPr>
                <w:sz w:val="20"/>
                <w:szCs w:val="20"/>
                <w:color w:val="auto"/>
              </w:rPr>
            </w:pPr>
            <w:r>
              <w:rPr>
                <w:rFonts w:ascii="Arial" w:cs="Arial" w:eastAsia="Arial" w:hAnsi="Arial"/>
                <w:sz w:val="18"/>
                <w:szCs w:val="18"/>
                <w:color w:val="auto"/>
              </w:rPr>
              <w:t>3,578</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20" w:type="dxa"/>
            <w:vAlign w:val="bottom"/>
          </w:tcPr>
          <w:p>
            <w:pPr>
              <w:jc w:val="right"/>
              <w:ind w:right="52"/>
              <w:spacing w:after="0"/>
              <w:rPr>
                <w:sz w:val="20"/>
                <w:szCs w:val="20"/>
                <w:color w:val="auto"/>
              </w:rPr>
            </w:pPr>
            <w:r>
              <w:rPr>
                <w:rFonts w:ascii="Arial" w:cs="Arial" w:eastAsia="Arial" w:hAnsi="Arial"/>
                <w:sz w:val="18"/>
                <w:szCs w:val="18"/>
                <w:color w:val="auto"/>
              </w:rPr>
              <w:t>5,583</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40" w:type="dxa"/>
            <w:vAlign w:val="bottom"/>
          </w:tcPr>
          <w:p>
            <w:pPr>
              <w:jc w:val="right"/>
              <w:ind w:right="72"/>
              <w:spacing w:after="0"/>
              <w:rPr>
                <w:sz w:val="20"/>
                <w:szCs w:val="20"/>
                <w:color w:val="auto"/>
              </w:rPr>
            </w:pPr>
            <w:r>
              <w:rPr>
                <w:rFonts w:ascii="Arial" w:cs="Arial" w:eastAsia="Arial" w:hAnsi="Arial"/>
                <w:sz w:val="18"/>
                <w:szCs w:val="18"/>
                <w:color w:val="auto"/>
              </w:rPr>
              <w:t>6,727</w:t>
            </w:r>
          </w:p>
        </w:tc>
        <w:tc>
          <w:tcPr>
            <w:tcW w:w="0" w:type="dxa"/>
            <w:vAlign w:val="bottom"/>
          </w:tcPr>
          <w:p>
            <w:pPr>
              <w:spacing w:after="0"/>
              <w:rPr>
                <w:sz w:val="1"/>
                <w:szCs w:val="1"/>
                <w:color w:val="auto"/>
              </w:rPr>
            </w:pPr>
          </w:p>
        </w:tc>
      </w:tr>
      <w:tr>
        <w:trPr>
          <w:trHeight w:val="29"/>
        </w:trPr>
        <w:tc>
          <w:tcPr>
            <w:tcW w:w="54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44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Marketing, general and administrative</w:t>
            </w:r>
          </w:p>
        </w:tc>
        <w:tc>
          <w:tcPr>
            <w:tcW w:w="2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52"/>
              <w:spacing w:after="0"/>
              <w:rPr>
                <w:sz w:val="20"/>
                <w:szCs w:val="20"/>
                <w:color w:val="auto"/>
              </w:rPr>
            </w:pPr>
            <w:r>
              <w:rPr>
                <w:rFonts w:ascii="Arial" w:cs="Arial" w:eastAsia="Arial" w:hAnsi="Arial"/>
                <w:sz w:val="18"/>
                <w:szCs w:val="18"/>
                <w:color w:val="auto"/>
              </w:rPr>
              <w:t>10,253</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rPr>
              <w:t>11,022</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52"/>
              <w:spacing w:after="0"/>
              <w:rPr>
                <w:sz w:val="20"/>
                <w:szCs w:val="20"/>
                <w:color w:val="auto"/>
              </w:rPr>
            </w:pPr>
            <w:r>
              <w:rPr>
                <w:rFonts w:ascii="Arial" w:cs="Arial" w:eastAsia="Arial" w:hAnsi="Arial"/>
                <w:sz w:val="18"/>
                <w:szCs w:val="18"/>
                <w:color w:val="auto"/>
              </w:rPr>
              <w:t>21,344</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rPr>
              <w:t>22,628</w:t>
            </w:r>
          </w:p>
        </w:tc>
        <w:tc>
          <w:tcPr>
            <w:tcW w:w="0" w:type="dxa"/>
            <w:vAlign w:val="bottom"/>
          </w:tcPr>
          <w:p>
            <w:pPr>
              <w:spacing w:after="0"/>
              <w:rPr>
                <w:sz w:val="1"/>
                <w:szCs w:val="1"/>
                <w:color w:val="auto"/>
              </w:rPr>
            </w:pPr>
          </w:p>
        </w:tc>
      </w:tr>
      <w:tr>
        <w:trPr>
          <w:trHeight w:val="241"/>
        </w:trPr>
        <w:tc>
          <w:tcPr>
            <w:tcW w:w="5440" w:type="dxa"/>
            <w:vAlign w:val="bottom"/>
          </w:tcPr>
          <w:p>
            <w:pPr>
              <w:ind w:left="220"/>
              <w:spacing w:after="0"/>
              <w:rPr>
                <w:sz w:val="20"/>
                <w:szCs w:val="20"/>
                <w:color w:val="auto"/>
              </w:rPr>
            </w:pPr>
            <w:r>
              <w:rPr>
                <w:rFonts w:ascii="Arial" w:cs="Arial" w:eastAsia="Arial" w:hAnsi="Arial"/>
                <w:sz w:val="18"/>
                <w:szCs w:val="18"/>
                <w:color w:val="auto"/>
              </w:rPr>
              <w:t>Depreciation, amortization and accretion</w:t>
            </w:r>
          </w:p>
        </w:tc>
        <w:tc>
          <w:tcPr>
            <w:tcW w:w="240" w:type="dxa"/>
            <w:vAlign w:val="bottom"/>
          </w:tcPr>
          <w:p>
            <w:pPr>
              <w:spacing w:after="0"/>
              <w:rPr>
                <w:sz w:val="20"/>
                <w:szCs w:val="20"/>
                <w:color w:val="auto"/>
              </w:rPr>
            </w:pPr>
          </w:p>
        </w:tc>
        <w:tc>
          <w:tcPr>
            <w:tcW w:w="1140" w:type="dxa"/>
            <w:vAlign w:val="bottom"/>
          </w:tcPr>
          <w:p>
            <w:pPr>
              <w:jc w:val="right"/>
              <w:ind w:right="52"/>
              <w:spacing w:after="0"/>
              <w:rPr>
                <w:sz w:val="20"/>
                <w:szCs w:val="20"/>
                <w:color w:val="auto"/>
              </w:rPr>
            </w:pPr>
            <w:r>
              <w:rPr>
                <w:rFonts w:ascii="Arial" w:cs="Arial" w:eastAsia="Arial" w:hAnsi="Arial"/>
                <w:sz w:val="18"/>
                <w:szCs w:val="18"/>
                <w:color w:val="auto"/>
              </w:rPr>
              <w:t>23,903</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40" w:type="dxa"/>
            <w:vAlign w:val="bottom"/>
          </w:tcPr>
          <w:p>
            <w:pPr>
              <w:jc w:val="right"/>
              <w:ind w:right="72"/>
              <w:spacing w:after="0"/>
              <w:rPr>
                <w:sz w:val="20"/>
                <w:szCs w:val="20"/>
                <w:color w:val="auto"/>
              </w:rPr>
            </w:pPr>
            <w:r>
              <w:rPr>
                <w:rFonts w:ascii="Arial" w:cs="Arial" w:eastAsia="Arial" w:hAnsi="Arial"/>
                <w:sz w:val="18"/>
                <w:szCs w:val="18"/>
                <w:color w:val="auto"/>
              </w:rPr>
              <w:t>23,852</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20" w:type="dxa"/>
            <w:vAlign w:val="bottom"/>
          </w:tcPr>
          <w:p>
            <w:pPr>
              <w:jc w:val="right"/>
              <w:ind w:right="52"/>
              <w:spacing w:after="0"/>
              <w:rPr>
                <w:sz w:val="20"/>
                <w:szCs w:val="20"/>
                <w:color w:val="auto"/>
              </w:rPr>
            </w:pPr>
            <w:r>
              <w:rPr>
                <w:rFonts w:ascii="Arial" w:cs="Arial" w:eastAsia="Arial" w:hAnsi="Arial"/>
                <w:sz w:val="18"/>
                <w:szCs w:val="18"/>
                <w:color w:val="auto"/>
              </w:rPr>
              <w:t>47,720</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40" w:type="dxa"/>
            <w:vAlign w:val="bottom"/>
          </w:tcPr>
          <w:p>
            <w:pPr>
              <w:jc w:val="right"/>
              <w:ind w:right="72"/>
              <w:spacing w:after="0"/>
              <w:rPr>
                <w:sz w:val="20"/>
                <w:szCs w:val="20"/>
                <w:color w:val="auto"/>
              </w:rPr>
            </w:pPr>
            <w:r>
              <w:rPr>
                <w:rFonts w:ascii="Arial" w:cs="Arial" w:eastAsia="Arial" w:hAnsi="Arial"/>
                <w:sz w:val="18"/>
                <w:szCs w:val="18"/>
                <w:color w:val="auto"/>
              </w:rPr>
              <w:t>47,653</w:t>
            </w:r>
          </w:p>
        </w:tc>
        <w:tc>
          <w:tcPr>
            <w:tcW w:w="0" w:type="dxa"/>
            <w:vAlign w:val="bottom"/>
          </w:tcPr>
          <w:p>
            <w:pPr>
              <w:spacing w:after="0"/>
              <w:rPr>
                <w:sz w:val="1"/>
                <w:szCs w:val="1"/>
                <w:color w:val="auto"/>
              </w:rPr>
            </w:pPr>
          </w:p>
        </w:tc>
      </w:tr>
      <w:tr>
        <w:trPr>
          <w:trHeight w:val="29"/>
        </w:trPr>
        <w:tc>
          <w:tcPr>
            <w:tcW w:w="544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3"/>
        </w:trPr>
        <w:tc>
          <w:tcPr>
            <w:tcW w:w="5440" w:type="dxa"/>
            <w:vAlign w:val="bottom"/>
            <w:tcBorders>
              <w:bottom w:val="single" w:sz="8" w:color="CCEEFF"/>
            </w:tcBorders>
            <w:shd w:val="clear" w:color="auto" w:fill="CCEEFF"/>
          </w:tcPr>
          <w:p>
            <w:pPr>
              <w:ind w:left="460"/>
              <w:spacing w:after="0"/>
              <w:rPr>
                <w:sz w:val="20"/>
                <w:szCs w:val="20"/>
                <w:color w:val="auto"/>
              </w:rPr>
            </w:pPr>
            <w:r>
              <w:rPr>
                <w:rFonts w:ascii="Arial" w:cs="Arial" w:eastAsia="Arial" w:hAnsi="Arial"/>
                <w:sz w:val="18"/>
                <w:szCs w:val="18"/>
                <w:color w:val="auto"/>
              </w:rPr>
              <w:t>Total operating expenses</w:t>
            </w:r>
          </w:p>
        </w:tc>
        <w:tc>
          <w:tcPr>
            <w:tcW w:w="24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shd w:val="clear" w:color="auto" w:fill="CCEEFF"/>
          </w:tcPr>
          <w:p>
            <w:pPr>
              <w:jc w:val="right"/>
              <w:ind w:right="52"/>
              <w:spacing w:after="0"/>
              <w:rPr>
                <w:sz w:val="20"/>
                <w:szCs w:val="20"/>
                <w:color w:val="auto"/>
              </w:rPr>
            </w:pPr>
            <w:r>
              <w:rPr>
                <w:rFonts w:ascii="Arial" w:cs="Arial" w:eastAsia="Arial" w:hAnsi="Arial"/>
                <w:sz w:val="18"/>
                <w:szCs w:val="18"/>
                <w:color w:val="auto"/>
              </w:rPr>
              <w:t>45,743</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rPr>
              <w:t>47,847</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ind w:right="52"/>
              <w:spacing w:after="0"/>
              <w:rPr>
                <w:sz w:val="20"/>
                <w:szCs w:val="20"/>
                <w:color w:val="auto"/>
              </w:rPr>
            </w:pPr>
            <w:r>
              <w:rPr>
                <w:rFonts w:ascii="Arial" w:cs="Arial" w:eastAsia="Arial" w:hAnsi="Arial"/>
                <w:sz w:val="18"/>
                <w:szCs w:val="18"/>
                <w:color w:val="auto"/>
              </w:rPr>
              <w:t>92,022</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rPr>
              <w:t>96,256</w:t>
            </w:r>
          </w:p>
        </w:tc>
        <w:tc>
          <w:tcPr>
            <w:tcW w:w="0" w:type="dxa"/>
            <w:vAlign w:val="bottom"/>
          </w:tcPr>
          <w:p>
            <w:pPr>
              <w:spacing w:after="0"/>
              <w:rPr>
                <w:sz w:val="1"/>
                <w:szCs w:val="1"/>
                <w:color w:val="auto"/>
              </w:rPr>
            </w:pPr>
          </w:p>
        </w:tc>
      </w:tr>
      <w:tr>
        <w:trPr>
          <w:trHeight w:val="235"/>
        </w:trPr>
        <w:tc>
          <w:tcPr>
            <w:tcW w:w="5440" w:type="dxa"/>
            <w:vAlign w:val="bottom"/>
          </w:tcPr>
          <w:p>
            <w:pPr>
              <w:ind w:left="20"/>
              <w:spacing w:after="0"/>
              <w:rPr>
                <w:sz w:val="20"/>
                <w:szCs w:val="20"/>
                <w:color w:val="auto"/>
              </w:rPr>
            </w:pPr>
            <w:r>
              <w:rPr>
                <w:rFonts w:ascii="Arial" w:cs="Arial" w:eastAsia="Arial" w:hAnsi="Arial"/>
                <w:sz w:val="18"/>
                <w:szCs w:val="18"/>
                <w:color w:val="auto"/>
              </w:rPr>
              <w:t>Loss from operations</w:t>
            </w:r>
          </w:p>
        </w:tc>
        <w:tc>
          <w:tcPr>
            <w:tcW w:w="24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(15,379)</w:t>
            </w:r>
          </w:p>
        </w:tc>
        <w:tc>
          <w:tcPr>
            <w:tcW w:w="10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(16,656)</w:t>
            </w:r>
          </w:p>
        </w:tc>
        <w:tc>
          <w:tcPr>
            <w:tcW w:w="10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(29,464)</w:t>
            </w:r>
          </w:p>
        </w:tc>
        <w:tc>
          <w:tcPr>
            <w:tcW w:w="10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(34,987)</w:t>
            </w:r>
          </w:p>
        </w:tc>
        <w:tc>
          <w:tcPr>
            <w:tcW w:w="0" w:type="dxa"/>
            <w:vAlign w:val="bottom"/>
          </w:tcPr>
          <w:p>
            <w:pPr>
              <w:spacing w:after="0"/>
              <w:rPr>
                <w:sz w:val="1"/>
                <w:szCs w:val="1"/>
                <w:color w:val="auto"/>
              </w:rPr>
            </w:pPr>
          </w:p>
        </w:tc>
      </w:tr>
      <w:tr>
        <w:trPr>
          <w:trHeight w:val="29"/>
        </w:trPr>
        <w:tc>
          <w:tcPr>
            <w:tcW w:w="544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3"/>
        </w:trPr>
        <w:tc>
          <w:tcPr>
            <w:tcW w:w="54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Other income (expense):</w:t>
            </w:r>
          </w:p>
        </w:tc>
        <w:tc>
          <w:tcPr>
            <w:tcW w:w="2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1"/>
        </w:trPr>
        <w:tc>
          <w:tcPr>
            <w:tcW w:w="5440" w:type="dxa"/>
            <w:vAlign w:val="bottom"/>
          </w:tcPr>
          <w:p>
            <w:pPr>
              <w:ind w:left="220"/>
              <w:spacing w:after="0"/>
              <w:rPr>
                <w:sz w:val="20"/>
                <w:szCs w:val="20"/>
                <w:color w:val="auto"/>
              </w:rPr>
            </w:pPr>
            <w:r>
              <w:rPr>
                <w:rFonts w:ascii="Arial" w:cs="Arial" w:eastAsia="Arial" w:hAnsi="Arial"/>
                <w:sz w:val="18"/>
                <w:szCs w:val="18"/>
                <w:color w:val="auto"/>
              </w:rPr>
              <w:t>Interest income and expense, net of amounts capitalized</w:t>
            </w:r>
          </w:p>
        </w:tc>
        <w:tc>
          <w:tcPr>
            <w:tcW w:w="240" w:type="dxa"/>
            <w:vAlign w:val="bottom"/>
          </w:tcPr>
          <w:p>
            <w:pPr>
              <w:spacing w:after="0"/>
              <w:rPr>
                <w:sz w:val="20"/>
                <w:szCs w:val="20"/>
                <w:color w:val="auto"/>
              </w:rPr>
            </w:pPr>
          </w:p>
        </w:tc>
        <w:tc>
          <w:tcPr>
            <w:tcW w:w="1140" w:type="dxa"/>
            <w:vAlign w:val="bottom"/>
          </w:tcPr>
          <w:p>
            <w:pPr>
              <w:jc w:val="right"/>
              <w:ind w:right="12"/>
              <w:spacing w:after="0"/>
              <w:rPr>
                <w:sz w:val="20"/>
                <w:szCs w:val="20"/>
                <w:color w:val="auto"/>
              </w:rPr>
            </w:pPr>
            <w:r>
              <w:rPr>
                <w:rFonts w:ascii="Arial" w:cs="Arial" w:eastAsia="Arial" w:hAnsi="Arial"/>
                <w:sz w:val="18"/>
                <w:szCs w:val="18"/>
                <w:color w:val="auto"/>
              </w:rPr>
              <w:t>(11,508)</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40" w:type="dxa"/>
            <w:vAlign w:val="bottom"/>
          </w:tcPr>
          <w:p>
            <w:pPr>
              <w:jc w:val="right"/>
              <w:ind w:right="32"/>
              <w:spacing w:after="0"/>
              <w:rPr>
                <w:sz w:val="20"/>
                <w:szCs w:val="20"/>
                <w:color w:val="auto"/>
              </w:rPr>
            </w:pPr>
            <w:r>
              <w:rPr>
                <w:rFonts w:ascii="Arial" w:cs="Arial" w:eastAsia="Arial" w:hAnsi="Arial"/>
                <w:sz w:val="18"/>
                <w:szCs w:val="18"/>
                <w:color w:val="auto"/>
              </w:rPr>
              <w:t>(12,808)</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(25,518)</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40" w:type="dxa"/>
            <w:vAlign w:val="bottom"/>
          </w:tcPr>
          <w:p>
            <w:pPr>
              <w:jc w:val="right"/>
              <w:ind w:right="12"/>
              <w:spacing w:after="0"/>
              <w:rPr>
                <w:sz w:val="20"/>
                <w:szCs w:val="20"/>
                <w:color w:val="auto"/>
              </w:rPr>
            </w:pPr>
            <w:r>
              <w:rPr>
                <w:rFonts w:ascii="Arial" w:cs="Arial" w:eastAsia="Arial" w:hAnsi="Arial"/>
                <w:sz w:val="18"/>
                <w:szCs w:val="18"/>
                <w:color w:val="auto"/>
              </w:rPr>
              <w:t>(25,678)</w:t>
            </w:r>
          </w:p>
        </w:tc>
        <w:tc>
          <w:tcPr>
            <w:tcW w:w="0" w:type="dxa"/>
            <w:vAlign w:val="bottom"/>
          </w:tcPr>
          <w:p>
            <w:pPr>
              <w:spacing w:after="0"/>
              <w:rPr>
                <w:sz w:val="1"/>
                <w:szCs w:val="1"/>
                <w:color w:val="auto"/>
              </w:rPr>
            </w:pPr>
          </w:p>
        </w:tc>
      </w:tr>
      <w:tr>
        <w:trPr>
          <w:trHeight w:val="29"/>
        </w:trPr>
        <w:tc>
          <w:tcPr>
            <w:tcW w:w="54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44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Derivative gain</w:t>
            </w:r>
          </w:p>
        </w:tc>
        <w:tc>
          <w:tcPr>
            <w:tcW w:w="2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52"/>
              <w:spacing w:after="0"/>
              <w:rPr>
                <w:sz w:val="20"/>
                <w:szCs w:val="20"/>
                <w:color w:val="auto"/>
              </w:rPr>
            </w:pPr>
            <w:r>
              <w:rPr>
                <w:rFonts w:ascii="Arial" w:cs="Arial" w:eastAsia="Arial" w:hAnsi="Arial"/>
                <w:sz w:val="18"/>
                <w:szCs w:val="18"/>
                <w:color w:val="auto"/>
              </w:rPr>
              <w:t>1,160</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rPr>
              <w:t>35,116</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52"/>
              <w:spacing w:after="0"/>
              <w:rPr>
                <w:sz w:val="20"/>
                <w:szCs w:val="20"/>
                <w:color w:val="auto"/>
              </w:rPr>
            </w:pPr>
            <w:r>
              <w:rPr>
                <w:rFonts w:ascii="Arial" w:cs="Arial" w:eastAsia="Arial" w:hAnsi="Arial"/>
                <w:sz w:val="18"/>
                <w:szCs w:val="18"/>
                <w:color w:val="auto"/>
              </w:rPr>
              <w:t>339</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rPr>
              <w:t>92,124</w:t>
            </w:r>
          </w:p>
        </w:tc>
        <w:tc>
          <w:tcPr>
            <w:tcW w:w="0" w:type="dxa"/>
            <w:vAlign w:val="bottom"/>
          </w:tcPr>
          <w:p>
            <w:pPr>
              <w:spacing w:after="0"/>
              <w:rPr>
                <w:sz w:val="1"/>
                <w:szCs w:val="1"/>
                <w:color w:val="auto"/>
              </w:rPr>
            </w:pPr>
          </w:p>
        </w:tc>
      </w:tr>
      <w:tr>
        <w:trPr>
          <w:trHeight w:val="241"/>
        </w:trPr>
        <w:tc>
          <w:tcPr>
            <w:tcW w:w="5440" w:type="dxa"/>
            <w:vAlign w:val="bottom"/>
          </w:tcPr>
          <w:p>
            <w:pPr>
              <w:ind w:left="220"/>
              <w:spacing w:after="0"/>
              <w:rPr>
                <w:sz w:val="20"/>
                <w:szCs w:val="20"/>
                <w:color w:val="auto"/>
              </w:rPr>
            </w:pPr>
            <w:r>
              <w:rPr>
                <w:rFonts w:ascii="Arial" w:cs="Arial" w:eastAsia="Arial" w:hAnsi="Arial"/>
                <w:sz w:val="18"/>
                <w:szCs w:val="18"/>
                <w:color w:val="auto"/>
              </w:rPr>
              <w:t>Foreign currency gain (loss)</w:t>
            </w:r>
          </w:p>
        </w:tc>
        <w:tc>
          <w:tcPr>
            <w:tcW w:w="240" w:type="dxa"/>
            <w:vAlign w:val="bottom"/>
          </w:tcPr>
          <w:p>
            <w:pPr>
              <w:spacing w:after="0"/>
              <w:rPr>
                <w:sz w:val="20"/>
                <w:szCs w:val="20"/>
                <w:color w:val="auto"/>
              </w:rPr>
            </w:pPr>
          </w:p>
        </w:tc>
        <w:tc>
          <w:tcPr>
            <w:tcW w:w="1140" w:type="dxa"/>
            <w:vAlign w:val="bottom"/>
          </w:tcPr>
          <w:p>
            <w:pPr>
              <w:jc w:val="right"/>
              <w:ind w:right="52"/>
              <w:spacing w:after="0"/>
              <w:rPr>
                <w:sz w:val="20"/>
                <w:szCs w:val="20"/>
                <w:color w:val="auto"/>
              </w:rPr>
            </w:pPr>
            <w:r>
              <w:rPr>
                <w:rFonts w:ascii="Arial" w:cs="Arial" w:eastAsia="Arial" w:hAnsi="Arial"/>
                <w:sz w:val="18"/>
                <w:szCs w:val="18"/>
                <w:color w:val="auto"/>
              </w:rPr>
              <w:t>1,314</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40" w:type="dxa"/>
            <w:vAlign w:val="bottom"/>
          </w:tcPr>
          <w:p>
            <w:pPr>
              <w:jc w:val="right"/>
              <w:ind w:right="72"/>
              <w:spacing w:after="0"/>
              <w:rPr>
                <w:sz w:val="20"/>
                <w:szCs w:val="20"/>
                <w:color w:val="auto"/>
              </w:rPr>
            </w:pPr>
            <w:r>
              <w:rPr>
                <w:rFonts w:ascii="Arial" w:cs="Arial" w:eastAsia="Arial" w:hAnsi="Arial"/>
                <w:sz w:val="18"/>
                <w:szCs w:val="18"/>
                <w:color w:val="auto"/>
              </w:rPr>
              <w:t>880</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(7,639)</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40" w:type="dxa"/>
            <w:vAlign w:val="bottom"/>
          </w:tcPr>
          <w:p>
            <w:pPr>
              <w:jc w:val="right"/>
              <w:ind w:right="72"/>
              <w:spacing w:after="0"/>
              <w:rPr>
                <w:sz w:val="20"/>
                <w:szCs w:val="20"/>
                <w:color w:val="auto"/>
              </w:rPr>
            </w:pPr>
            <w:r>
              <w:rPr>
                <w:rFonts w:ascii="Arial" w:cs="Arial" w:eastAsia="Arial" w:hAnsi="Arial"/>
                <w:sz w:val="18"/>
                <w:szCs w:val="18"/>
                <w:color w:val="auto"/>
              </w:rPr>
              <w:t>966</w:t>
            </w:r>
          </w:p>
        </w:tc>
        <w:tc>
          <w:tcPr>
            <w:tcW w:w="0" w:type="dxa"/>
            <w:vAlign w:val="bottom"/>
          </w:tcPr>
          <w:p>
            <w:pPr>
              <w:spacing w:after="0"/>
              <w:rPr>
                <w:sz w:val="1"/>
                <w:szCs w:val="1"/>
                <w:color w:val="auto"/>
              </w:rPr>
            </w:pPr>
          </w:p>
        </w:tc>
      </w:tr>
      <w:tr>
        <w:trPr>
          <w:trHeight w:val="29"/>
        </w:trPr>
        <w:tc>
          <w:tcPr>
            <w:tcW w:w="54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44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Other</w:t>
            </w:r>
          </w:p>
        </w:tc>
        <w:tc>
          <w:tcPr>
            <w:tcW w:w="24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(233)</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(286)</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(566)</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(381)</w:t>
            </w:r>
          </w:p>
        </w:tc>
        <w:tc>
          <w:tcPr>
            <w:tcW w:w="0" w:type="dxa"/>
            <w:vAlign w:val="bottom"/>
          </w:tcPr>
          <w:p>
            <w:pPr>
              <w:spacing w:after="0"/>
              <w:rPr>
                <w:sz w:val="1"/>
                <w:szCs w:val="1"/>
                <w:color w:val="auto"/>
              </w:rPr>
            </w:pPr>
          </w:p>
        </w:tc>
      </w:tr>
      <w:tr>
        <w:trPr>
          <w:trHeight w:val="235"/>
        </w:trPr>
        <w:tc>
          <w:tcPr>
            <w:tcW w:w="5440" w:type="dxa"/>
            <w:vAlign w:val="bottom"/>
          </w:tcPr>
          <w:p>
            <w:pPr>
              <w:ind w:left="460"/>
              <w:spacing w:after="0"/>
              <w:rPr>
                <w:sz w:val="20"/>
                <w:szCs w:val="20"/>
                <w:color w:val="auto"/>
              </w:rPr>
            </w:pPr>
            <w:r>
              <w:rPr>
                <w:rFonts w:ascii="Arial" w:cs="Arial" w:eastAsia="Arial" w:hAnsi="Arial"/>
                <w:sz w:val="18"/>
                <w:szCs w:val="18"/>
                <w:color w:val="auto"/>
              </w:rPr>
              <w:t>Total other (expense) income</w:t>
            </w:r>
          </w:p>
        </w:tc>
        <w:tc>
          <w:tcPr>
            <w:tcW w:w="24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(9,267)</w:t>
            </w:r>
          </w:p>
        </w:tc>
        <w:tc>
          <w:tcPr>
            <w:tcW w:w="10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ind w:right="72"/>
              <w:spacing w:after="0"/>
              <w:rPr>
                <w:sz w:val="20"/>
                <w:szCs w:val="20"/>
                <w:color w:val="auto"/>
              </w:rPr>
            </w:pPr>
            <w:r>
              <w:rPr>
                <w:rFonts w:ascii="Arial" w:cs="Arial" w:eastAsia="Arial" w:hAnsi="Arial"/>
                <w:sz w:val="18"/>
                <w:szCs w:val="18"/>
                <w:color w:val="auto"/>
              </w:rPr>
              <w:t>22,902</w:t>
            </w:r>
          </w:p>
        </w:tc>
        <w:tc>
          <w:tcPr>
            <w:tcW w:w="10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(33,384)</w:t>
            </w:r>
          </w:p>
        </w:tc>
        <w:tc>
          <w:tcPr>
            <w:tcW w:w="10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ind w:right="72"/>
              <w:spacing w:after="0"/>
              <w:rPr>
                <w:sz w:val="20"/>
                <w:szCs w:val="20"/>
                <w:color w:val="auto"/>
              </w:rPr>
            </w:pPr>
            <w:r>
              <w:rPr>
                <w:rFonts w:ascii="Arial" w:cs="Arial" w:eastAsia="Arial" w:hAnsi="Arial"/>
                <w:sz w:val="18"/>
                <w:szCs w:val="18"/>
                <w:color w:val="auto"/>
              </w:rPr>
              <w:t>67,031</w:t>
            </w:r>
          </w:p>
        </w:tc>
        <w:tc>
          <w:tcPr>
            <w:tcW w:w="0" w:type="dxa"/>
            <w:vAlign w:val="bottom"/>
          </w:tcPr>
          <w:p>
            <w:pPr>
              <w:spacing w:after="0"/>
              <w:rPr>
                <w:sz w:val="1"/>
                <w:szCs w:val="1"/>
                <w:color w:val="auto"/>
              </w:rPr>
            </w:pPr>
          </w:p>
        </w:tc>
      </w:tr>
      <w:tr>
        <w:trPr>
          <w:trHeight w:val="29"/>
        </w:trPr>
        <w:tc>
          <w:tcPr>
            <w:tcW w:w="544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54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(Loss) income before income taxes</w:t>
            </w:r>
          </w:p>
        </w:tc>
        <w:tc>
          <w:tcPr>
            <w:tcW w:w="2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(24,646)</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rPr>
              <w:t>6,246</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(62,848)</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rPr>
              <w:t>32,044</w:t>
            </w:r>
          </w:p>
        </w:tc>
        <w:tc>
          <w:tcPr>
            <w:tcW w:w="0" w:type="dxa"/>
            <w:vAlign w:val="bottom"/>
          </w:tcPr>
          <w:p>
            <w:pPr>
              <w:spacing w:after="0"/>
              <w:rPr>
                <w:sz w:val="1"/>
                <w:szCs w:val="1"/>
                <w:color w:val="auto"/>
              </w:rPr>
            </w:pPr>
          </w:p>
        </w:tc>
      </w:tr>
      <w:tr>
        <w:trPr>
          <w:trHeight w:val="241"/>
        </w:trPr>
        <w:tc>
          <w:tcPr>
            <w:tcW w:w="5440" w:type="dxa"/>
            <w:vAlign w:val="bottom"/>
          </w:tcPr>
          <w:p>
            <w:pPr>
              <w:ind w:left="20"/>
              <w:spacing w:after="0"/>
              <w:rPr>
                <w:sz w:val="20"/>
                <w:szCs w:val="20"/>
                <w:color w:val="auto"/>
              </w:rPr>
            </w:pPr>
            <w:r>
              <w:rPr>
                <w:rFonts w:ascii="Arial" w:cs="Arial" w:eastAsia="Arial" w:hAnsi="Arial"/>
                <w:sz w:val="18"/>
                <w:szCs w:val="18"/>
                <w:color w:val="auto"/>
              </w:rPr>
              <w:t>Income tax expense</w:t>
            </w:r>
          </w:p>
        </w:tc>
        <w:tc>
          <w:tcPr>
            <w:tcW w:w="240" w:type="dxa"/>
            <w:vAlign w:val="bottom"/>
          </w:tcPr>
          <w:p>
            <w:pPr>
              <w:spacing w:after="0"/>
              <w:rPr>
                <w:sz w:val="20"/>
                <w:szCs w:val="20"/>
                <w:color w:val="auto"/>
              </w:rPr>
            </w:pPr>
          </w:p>
        </w:tc>
        <w:tc>
          <w:tcPr>
            <w:tcW w:w="1140" w:type="dxa"/>
            <w:vAlign w:val="bottom"/>
          </w:tcPr>
          <w:p>
            <w:pPr>
              <w:jc w:val="right"/>
              <w:ind w:right="52"/>
              <w:spacing w:after="0"/>
              <w:rPr>
                <w:sz w:val="20"/>
                <w:szCs w:val="20"/>
                <w:color w:val="auto"/>
              </w:rPr>
            </w:pPr>
            <w:r>
              <w:rPr>
                <w:rFonts w:ascii="Arial" w:cs="Arial" w:eastAsia="Arial" w:hAnsi="Arial"/>
                <w:sz w:val="18"/>
                <w:szCs w:val="18"/>
                <w:color w:val="auto"/>
              </w:rPr>
              <w:t>90</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40" w:type="dxa"/>
            <w:vAlign w:val="bottom"/>
          </w:tcPr>
          <w:p>
            <w:pPr>
              <w:jc w:val="right"/>
              <w:ind w:right="72"/>
              <w:spacing w:after="0"/>
              <w:rPr>
                <w:sz w:val="20"/>
                <w:szCs w:val="20"/>
                <w:color w:val="auto"/>
              </w:rPr>
            </w:pPr>
            <w:r>
              <w:rPr>
                <w:rFonts w:ascii="Arial" w:cs="Arial" w:eastAsia="Arial" w:hAnsi="Arial"/>
                <w:sz w:val="18"/>
                <w:szCs w:val="18"/>
                <w:color w:val="auto"/>
              </w:rPr>
              <w:t>57</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20" w:type="dxa"/>
            <w:vAlign w:val="bottom"/>
          </w:tcPr>
          <w:p>
            <w:pPr>
              <w:jc w:val="right"/>
              <w:ind w:right="52"/>
              <w:spacing w:after="0"/>
              <w:rPr>
                <w:sz w:val="20"/>
                <w:szCs w:val="20"/>
                <w:color w:val="auto"/>
              </w:rPr>
            </w:pPr>
            <w:r>
              <w:rPr>
                <w:rFonts w:ascii="Arial" w:cs="Arial" w:eastAsia="Arial" w:hAnsi="Arial"/>
                <w:sz w:val="18"/>
                <w:szCs w:val="18"/>
                <w:color w:val="auto"/>
              </w:rPr>
              <w:t>111</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40" w:type="dxa"/>
            <w:vAlign w:val="bottom"/>
          </w:tcPr>
          <w:p>
            <w:pPr>
              <w:jc w:val="right"/>
              <w:ind w:right="72"/>
              <w:spacing w:after="0"/>
              <w:rPr>
                <w:sz w:val="20"/>
                <w:szCs w:val="20"/>
                <w:color w:val="auto"/>
              </w:rPr>
            </w:pPr>
            <w:r>
              <w:rPr>
                <w:rFonts w:ascii="Arial" w:cs="Arial" w:eastAsia="Arial" w:hAnsi="Arial"/>
                <w:sz w:val="18"/>
                <w:szCs w:val="18"/>
                <w:color w:val="auto"/>
              </w:rPr>
              <w:t>84</w:t>
            </w:r>
          </w:p>
        </w:tc>
        <w:tc>
          <w:tcPr>
            <w:tcW w:w="0" w:type="dxa"/>
            <w:vAlign w:val="bottom"/>
          </w:tcPr>
          <w:p>
            <w:pPr>
              <w:spacing w:after="0"/>
              <w:rPr>
                <w:sz w:val="1"/>
                <w:szCs w:val="1"/>
                <w:color w:val="auto"/>
              </w:rPr>
            </w:pPr>
          </w:p>
        </w:tc>
      </w:tr>
      <w:tr>
        <w:trPr>
          <w:trHeight w:val="29"/>
        </w:trPr>
        <w:tc>
          <w:tcPr>
            <w:tcW w:w="544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88"/>
        </w:trPr>
        <w:tc>
          <w:tcPr>
            <w:tcW w:w="54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(loss) income</w:t>
            </w:r>
          </w:p>
        </w:tc>
        <w:tc>
          <w:tcPr>
            <w:tcW w:w="240" w:type="dxa"/>
            <w:vAlign w:val="bottom"/>
            <w:tcBorders>
              <w:bottom w:val="single" w:sz="8" w:color="auto"/>
            </w:tcBorders>
            <w:shd w:val="clear" w:color="auto" w:fill="CCEEFF"/>
          </w:tcPr>
          <w:p>
            <w:pPr>
              <w:jc w:val="right"/>
              <w:ind w:right="32"/>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(24,736)</w:t>
            </w:r>
          </w:p>
        </w:tc>
        <w:tc>
          <w:tcPr>
            <w:tcW w:w="100" w:type="dxa"/>
            <w:vAlign w:val="bottom"/>
            <w:tcBorders>
              <w:bottom w:val="single" w:sz="8" w:color="CCEEFF"/>
            </w:tcBorders>
            <w:shd w:val="clear" w:color="auto" w:fill="CCEEFF"/>
          </w:tcPr>
          <w:p>
            <w:pPr>
              <w:spacing w:after="0"/>
              <w:rPr>
                <w:sz w:val="24"/>
                <w:szCs w:val="24"/>
                <w:color w:val="auto"/>
              </w:rPr>
            </w:pPr>
          </w:p>
        </w:tc>
        <w:tc>
          <w:tcPr>
            <w:tcW w:w="240" w:type="dxa"/>
            <w:vAlign w:val="bottom"/>
            <w:tcBorders>
              <w:bottom w:val="single" w:sz="8" w:color="auto"/>
            </w:tcBorders>
            <w:shd w:val="clear" w:color="auto" w:fill="CCEEFF"/>
          </w:tcPr>
          <w:p>
            <w:pPr>
              <w:jc w:val="right"/>
              <w:ind w:right="52"/>
              <w:spacing w:after="0"/>
              <w:rPr>
                <w:sz w:val="20"/>
                <w:szCs w:val="20"/>
                <w:color w:val="auto"/>
              </w:rPr>
            </w:pPr>
            <w:r>
              <w:rPr>
                <w:rFonts w:ascii="Arial" w:cs="Arial" w:eastAsia="Arial" w:hAnsi="Arial"/>
                <w:sz w:val="18"/>
                <w:szCs w:val="18"/>
                <w:color w:val="auto"/>
                <w:w w:val="79"/>
              </w:rPr>
              <w:t>$</w:t>
            </w:r>
          </w:p>
        </w:tc>
        <w:tc>
          <w:tcPr>
            <w:tcW w:w="1140" w:type="dxa"/>
            <w:vAlign w:val="bottom"/>
            <w:tcBorders>
              <w:bottom w:val="single" w:sz="8" w:color="auto"/>
            </w:tcBorders>
            <w:shd w:val="clear" w:color="auto" w:fill="CCEEFF"/>
          </w:tcPr>
          <w:p>
            <w:pPr>
              <w:jc w:val="right"/>
              <w:ind w:right="72"/>
              <w:spacing w:after="0"/>
              <w:rPr>
                <w:sz w:val="20"/>
                <w:szCs w:val="20"/>
                <w:color w:val="auto"/>
              </w:rPr>
            </w:pPr>
            <w:r>
              <w:rPr>
                <w:rFonts w:ascii="Arial" w:cs="Arial" w:eastAsia="Arial" w:hAnsi="Arial"/>
                <w:sz w:val="18"/>
                <w:szCs w:val="18"/>
                <w:color w:val="auto"/>
              </w:rPr>
              <w:t>6,189</w:t>
            </w:r>
          </w:p>
        </w:tc>
        <w:tc>
          <w:tcPr>
            <w:tcW w:w="100" w:type="dxa"/>
            <w:vAlign w:val="bottom"/>
            <w:tcBorders>
              <w:bottom w:val="single" w:sz="8" w:color="CCEEFF"/>
            </w:tcBorders>
            <w:shd w:val="clear" w:color="auto" w:fill="CCEEFF"/>
          </w:tcPr>
          <w:p>
            <w:pPr>
              <w:spacing w:after="0"/>
              <w:rPr>
                <w:sz w:val="24"/>
                <w:szCs w:val="24"/>
                <w:color w:val="auto"/>
              </w:rPr>
            </w:pPr>
          </w:p>
        </w:tc>
        <w:tc>
          <w:tcPr>
            <w:tcW w:w="240" w:type="dxa"/>
            <w:vAlign w:val="bottom"/>
            <w:tcBorders>
              <w:bottom w:val="single" w:sz="8" w:color="auto"/>
            </w:tcBorders>
            <w:shd w:val="clear" w:color="auto" w:fill="CCEEFF"/>
          </w:tcPr>
          <w:p>
            <w:pPr>
              <w:jc w:val="right"/>
              <w:ind w:right="52"/>
              <w:spacing w:after="0"/>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(62,959)</w:t>
            </w:r>
          </w:p>
        </w:tc>
        <w:tc>
          <w:tcPr>
            <w:tcW w:w="100" w:type="dxa"/>
            <w:vAlign w:val="bottom"/>
            <w:tcBorders>
              <w:bottom w:val="single" w:sz="8" w:color="CCEEFF"/>
            </w:tcBorders>
            <w:shd w:val="clear" w:color="auto" w:fill="CCEEFF"/>
          </w:tcPr>
          <w:p>
            <w:pPr>
              <w:spacing w:after="0"/>
              <w:rPr>
                <w:sz w:val="24"/>
                <w:szCs w:val="24"/>
                <w:color w:val="auto"/>
              </w:rPr>
            </w:pPr>
          </w:p>
        </w:tc>
        <w:tc>
          <w:tcPr>
            <w:tcW w:w="240" w:type="dxa"/>
            <w:vAlign w:val="bottom"/>
            <w:tcBorders>
              <w:bottom w:val="single" w:sz="8" w:color="auto"/>
            </w:tcBorders>
            <w:shd w:val="clear" w:color="auto" w:fill="CCEEFF"/>
          </w:tcPr>
          <w:p>
            <w:pPr>
              <w:jc w:val="right"/>
              <w:ind w:right="52"/>
              <w:spacing w:after="0"/>
              <w:rPr>
                <w:sz w:val="20"/>
                <w:szCs w:val="20"/>
                <w:color w:val="auto"/>
              </w:rPr>
            </w:pPr>
            <w:r>
              <w:rPr>
                <w:rFonts w:ascii="Arial" w:cs="Arial" w:eastAsia="Arial" w:hAnsi="Arial"/>
                <w:sz w:val="18"/>
                <w:szCs w:val="18"/>
                <w:color w:val="auto"/>
                <w:w w:val="79"/>
              </w:rPr>
              <w:t>$</w:t>
            </w:r>
          </w:p>
        </w:tc>
        <w:tc>
          <w:tcPr>
            <w:tcW w:w="1140" w:type="dxa"/>
            <w:vAlign w:val="bottom"/>
            <w:tcBorders>
              <w:bottom w:val="single" w:sz="8" w:color="auto"/>
            </w:tcBorders>
            <w:shd w:val="clear" w:color="auto" w:fill="CCEEFF"/>
          </w:tcPr>
          <w:p>
            <w:pPr>
              <w:jc w:val="right"/>
              <w:ind w:right="72"/>
              <w:spacing w:after="0"/>
              <w:rPr>
                <w:sz w:val="20"/>
                <w:szCs w:val="20"/>
                <w:color w:val="auto"/>
              </w:rPr>
            </w:pPr>
            <w:r>
              <w:rPr>
                <w:rFonts w:ascii="Arial" w:cs="Arial" w:eastAsia="Arial" w:hAnsi="Arial"/>
                <w:sz w:val="18"/>
                <w:szCs w:val="18"/>
                <w:color w:val="auto"/>
              </w:rPr>
              <w:t>31,960</w:t>
            </w:r>
          </w:p>
        </w:tc>
        <w:tc>
          <w:tcPr>
            <w:tcW w:w="0" w:type="dxa"/>
            <w:vAlign w:val="bottom"/>
          </w:tcPr>
          <w:p>
            <w:pPr>
              <w:spacing w:after="0"/>
              <w:rPr>
                <w:sz w:val="1"/>
                <w:szCs w:val="1"/>
                <w:color w:val="auto"/>
              </w:rPr>
            </w:pPr>
          </w:p>
        </w:tc>
      </w:tr>
      <w:tr>
        <w:trPr>
          <w:trHeight w:val="20"/>
        </w:trPr>
        <w:tc>
          <w:tcPr>
            <w:tcW w:w="544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10"/>
        </w:trPr>
        <w:tc>
          <w:tcPr>
            <w:tcW w:w="5440" w:type="dxa"/>
            <w:vAlign w:val="bottom"/>
          </w:tcPr>
          <w:p>
            <w:pPr>
              <w:spacing w:after="0"/>
              <w:rPr>
                <w:sz w:val="9"/>
                <w:szCs w:val="9"/>
                <w:color w:val="auto"/>
              </w:rPr>
            </w:pPr>
          </w:p>
        </w:tc>
        <w:tc>
          <w:tcPr>
            <w:tcW w:w="240" w:type="dxa"/>
            <w:vAlign w:val="bottom"/>
          </w:tcPr>
          <w:p>
            <w:pPr>
              <w:spacing w:after="0"/>
              <w:rPr>
                <w:sz w:val="9"/>
                <w:szCs w:val="9"/>
                <w:color w:val="auto"/>
              </w:rPr>
            </w:pPr>
          </w:p>
        </w:tc>
        <w:tc>
          <w:tcPr>
            <w:tcW w:w="1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tcPr>
          <w:p>
            <w:pPr>
              <w:spacing w:after="0"/>
              <w:rPr>
                <w:sz w:val="9"/>
                <w:szCs w:val="9"/>
                <w:color w:val="auto"/>
              </w:rPr>
            </w:pPr>
          </w:p>
        </w:tc>
        <w:tc>
          <w:tcPr>
            <w:tcW w:w="1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tcPr>
          <w:p>
            <w:pPr>
              <w:spacing w:after="0"/>
              <w:rPr>
                <w:sz w:val="9"/>
                <w:szCs w:val="9"/>
                <w:color w:val="auto"/>
              </w:rPr>
            </w:pPr>
          </w:p>
        </w:tc>
        <w:tc>
          <w:tcPr>
            <w:tcW w:w="1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tcPr>
          <w:p>
            <w:pPr>
              <w:spacing w:after="0"/>
              <w:rPr>
                <w:sz w:val="9"/>
                <w:szCs w:val="9"/>
                <w:color w:val="auto"/>
              </w:rPr>
            </w:pPr>
          </w:p>
        </w:tc>
        <w:tc>
          <w:tcPr>
            <w:tcW w:w="11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50"/>
        </w:trPr>
        <w:tc>
          <w:tcPr>
            <w:tcW w:w="54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Other comprehensive (loss) income:</w:t>
            </w:r>
          </w:p>
        </w:tc>
        <w:tc>
          <w:tcPr>
            <w:tcW w:w="2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1"/>
        </w:trPr>
        <w:tc>
          <w:tcPr>
            <w:tcW w:w="5440" w:type="dxa"/>
            <w:vAlign w:val="bottom"/>
          </w:tcPr>
          <w:p>
            <w:pPr>
              <w:ind w:left="220"/>
              <w:spacing w:after="0"/>
              <w:rPr>
                <w:sz w:val="20"/>
                <w:szCs w:val="20"/>
                <w:color w:val="auto"/>
              </w:rPr>
            </w:pPr>
            <w:r>
              <w:rPr>
                <w:rFonts w:ascii="Arial" w:cs="Arial" w:eastAsia="Arial" w:hAnsi="Arial"/>
                <w:sz w:val="18"/>
                <w:szCs w:val="18"/>
                <w:color w:val="auto"/>
              </w:rPr>
              <w:t>Foreign currency translation adjustments</w:t>
            </w:r>
          </w:p>
        </w:tc>
        <w:tc>
          <w:tcPr>
            <w:tcW w:w="240" w:type="dxa"/>
            <w:vAlign w:val="bottom"/>
          </w:tcPr>
          <w:p>
            <w:pPr>
              <w:spacing w:after="0"/>
              <w:rPr>
                <w:sz w:val="20"/>
                <w:szCs w:val="20"/>
                <w:color w:val="auto"/>
              </w:rPr>
            </w:pPr>
          </w:p>
        </w:tc>
        <w:tc>
          <w:tcPr>
            <w:tcW w:w="1140" w:type="dxa"/>
            <w:vAlign w:val="bottom"/>
          </w:tcPr>
          <w:p>
            <w:pPr>
              <w:jc w:val="right"/>
              <w:ind w:right="12"/>
              <w:spacing w:after="0"/>
              <w:rPr>
                <w:sz w:val="20"/>
                <w:szCs w:val="20"/>
                <w:color w:val="auto"/>
              </w:rPr>
            </w:pPr>
            <w:r>
              <w:rPr>
                <w:rFonts w:ascii="Arial" w:cs="Arial" w:eastAsia="Arial" w:hAnsi="Arial"/>
                <w:sz w:val="18"/>
                <w:szCs w:val="18"/>
                <w:color w:val="auto"/>
              </w:rPr>
              <w:t>(1,368)</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40" w:type="dxa"/>
            <w:vAlign w:val="bottom"/>
          </w:tcPr>
          <w:p>
            <w:pPr>
              <w:jc w:val="right"/>
              <w:ind w:right="32"/>
              <w:spacing w:after="0"/>
              <w:rPr>
                <w:sz w:val="20"/>
                <w:szCs w:val="20"/>
                <w:color w:val="auto"/>
              </w:rPr>
            </w:pPr>
            <w:r>
              <w:rPr>
                <w:rFonts w:ascii="Arial" w:cs="Arial" w:eastAsia="Arial" w:hAnsi="Arial"/>
                <w:sz w:val="18"/>
                <w:szCs w:val="18"/>
                <w:color w:val="auto"/>
              </w:rPr>
              <w:t>(498)</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20" w:type="dxa"/>
            <w:vAlign w:val="bottom"/>
          </w:tcPr>
          <w:p>
            <w:pPr>
              <w:jc w:val="right"/>
              <w:ind w:right="52"/>
              <w:spacing w:after="0"/>
              <w:rPr>
                <w:sz w:val="20"/>
                <w:szCs w:val="20"/>
                <w:color w:val="auto"/>
              </w:rPr>
            </w:pPr>
            <w:r>
              <w:rPr>
                <w:rFonts w:ascii="Arial" w:cs="Arial" w:eastAsia="Arial" w:hAnsi="Arial"/>
                <w:sz w:val="18"/>
                <w:szCs w:val="18"/>
                <w:color w:val="auto"/>
              </w:rPr>
              <w:t>3,935</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40" w:type="dxa"/>
            <w:vAlign w:val="bottom"/>
          </w:tcPr>
          <w:p>
            <w:pPr>
              <w:jc w:val="right"/>
              <w:ind w:right="12"/>
              <w:spacing w:after="0"/>
              <w:rPr>
                <w:sz w:val="20"/>
                <w:szCs w:val="20"/>
                <w:color w:val="auto"/>
              </w:rPr>
            </w:pPr>
            <w:r>
              <w:rPr>
                <w:rFonts w:ascii="Arial" w:cs="Arial" w:eastAsia="Arial" w:hAnsi="Arial"/>
                <w:sz w:val="18"/>
                <w:szCs w:val="18"/>
                <w:color w:val="auto"/>
              </w:rPr>
              <w:t>(768)</w:t>
            </w:r>
          </w:p>
        </w:tc>
        <w:tc>
          <w:tcPr>
            <w:tcW w:w="0" w:type="dxa"/>
            <w:vAlign w:val="bottom"/>
          </w:tcPr>
          <w:p>
            <w:pPr>
              <w:spacing w:after="0"/>
              <w:rPr>
                <w:sz w:val="1"/>
                <w:szCs w:val="1"/>
                <w:color w:val="auto"/>
              </w:rPr>
            </w:pPr>
          </w:p>
        </w:tc>
      </w:tr>
      <w:tr>
        <w:trPr>
          <w:trHeight w:val="29"/>
        </w:trPr>
        <w:tc>
          <w:tcPr>
            <w:tcW w:w="544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88"/>
        </w:trPr>
        <w:tc>
          <w:tcPr>
            <w:tcW w:w="54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Comprehensive (loss) income</w:t>
            </w:r>
          </w:p>
        </w:tc>
        <w:tc>
          <w:tcPr>
            <w:tcW w:w="240" w:type="dxa"/>
            <w:vAlign w:val="bottom"/>
            <w:tcBorders>
              <w:bottom w:val="single" w:sz="8" w:color="auto"/>
            </w:tcBorders>
            <w:shd w:val="clear" w:color="auto" w:fill="CCEEFF"/>
          </w:tcPr>
          <w:p>
            <w:pPr>
              <w:jc w:val="right"/>
              <w:ind w:right="32"/>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(26,104)</w:t>
            </w:r>
          </w:p>
        </w:tc>
        <w:tc>
          <w:tcPr>
            <w:tcW w:w="100" w:type="dxa"/>
            <w:vAlign w:val="bottom"/>
            <w:tcBorders>
              <w:bottom w:val="single" w:sz="8" w:color="CCEEFF"/>
            </w:tcBorders>
            <w:shd w:val="clear" w:color="auto" w:fill="CCEEFF"/>
          </w:tcPr>
          <w:p>
            <w:pPr>
              <w:spacing w:after="0"/>
              <w:rPr>
                <w:sz w:val="24"/>
                <w:szCs w:val="24"/>
                <w:color w:val="auto"/>
              </w:rPr>
            </w:pPr>
          </w:p>
        </w:tc>
        <w:tc>
          <w:tcPr>
            <w:tcW w:w="240" w:type="dxa"/>
            <w:vAlign w:val="bottom"/>
            <w:tcBorders>
              <w:bottom w:val="single" w:sz="8" w:color="auto"/>
            </w:tcBorders>
            <w:shd w:val="clear" w:color="auto" w:fill="CCEEFF"/>
          </w:tcPr>
          <w:p>
            <w:pPr>
              <w:jc w:val="right"/>
              <w:ind w:right="52"/>
              <w:spacing w:after="0"/>
              <w:rPr>
                <w:sz w:val="20"/>
                <w:szCs w:val="20"/>
                <w:color w:val="auto"/>
              </w:rPr>
            </w:pPr>
            <w:r>
              <w:rPr>
                <w:rFonts w:ascii="Arial" w:cs="Arial" w:eastAsia="Arial" w:hAnsi="Arial"/>
                <w:sz w:val="18"/>
                <w:szCs w:val="18"/>
                <w:color w:val="auto"/>
                <w:w w:val="79"/>
              </w:rPr>
              <w:t>$</w:t>
            </w:r>
          </w:p>
        </w:tc>
        <w:tc>
          <w:tcPr>
            <w:tcW w:w="1140" w:type="dxa"/>
            <w:vAlign w:val="bottom"/>
            <w:tcBorders>
              <w:bottom w:val="single" w:sz="8" w:color="auto"/>
            </w:tcBorders>
            <w:shd w:val="clear" w:color="auto" w:fill="CCEEFF"/>
          </w:tcPr>
          <w:p>
            <w:pPr>
              <w:jc w:val="right"/>
              <w:ind w:right="72"/>
              <w:spacing w:after="0"/>
              <w:rPr>
                <w:sz w:val="20"/>
                <w:szCs w:val="20"/>
                <w:color w:val="auto"/>
              </w:rPr>
            </w:pPr>
            <w:r>
              <w:rPr>
                <w:rFonts w:ascii="Arial" w:cs="Arial" w:eastAsia="Arial" w:hAnsi="Arial"/>
                <w:sz w:val="18"/>
                <w:szCs w:val="18"/>
                <w:color w:val="auto"/>
              </w:rPr>
              <w:t>5,691</w:t>
            </w:r>
          </w:p>
        </w:tc>
        <w:tc>
          <w:tcPr>
            <w:tcW w:w="100" w:type="dxa"/>
            <w:vAlign w:val="bottom"/>
            <w:tcBorders>
              <w:bottom w:val="single" w:sz="8" w:color="CCEEFF"/>
            </w:tcBorders>
            <w:shd w:val="clear" w:color="auto" w:fill="CCEEFF"/>
          </w:tcPr>
          <w:p>
            <w:pPr>
              <w:spacing w:after="0"/>
              <w:rPr>
                <w:sz w:val="24"/>
                <w:szCs w:val="24"/>
                <w:color w:val="auto"/>
              </w:rPr>
            </w:pPr>
          </w:p>
        </w:tc>
        <w:tc>
          <w:tcPr>
            <w:tcW w:w="240" w:type="dxa"/>
            <w:vAlign w:val="bottom"/>
            <w:tcBorders>
              <w:bottom w:val="single" w:sz="8" w:color="auto"/>
            </w:tcBorders>
            <w:shd w:val="clear" w:color="auto" w:fill="CCEEFF"/>
          </w:tcPr>
          <w:p>
            <w:pPr>
              <w:jc w:val="right"/>
              <w:ind w:right="52"/>
              <w:spacing w:after="0"/>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(59,024)</w:t>
            </w:r>
          </w:p>
        </w:tc>
        <w:tc>
          <w:tcPr>
            <w:tcW w:w="100" w:type="dxa"/>
            <w:vAlign w:val="bottom"/>
            <w:tcBorders>
              <w:bottom w:val="single" w:sz="8" w:color="CCEEFF"/>
            </w:tcBorders>
            <w:shd w:val="clear" w:color="auto" w:fill="CCEEFF"/>
          </w:tcPr>
          <w:p>
            <w:pPr>
              <w:spacing w:after="0"/>
              <w:rPr>
                <w:sz w:val="24"/>
                <w:szCs w:val="24"/>
                <w:color w:val="auto"/>
              </w:rPr>
            </w:pPr>
          </w:p>
        </w:tc>
        <w:tc>
          <w:tcPr>
            <w:tcW w:w="240" w:type="dxa"/>
            <w:vAlign w:val="bottom"/>
            <w:tcBorders>
              <w:bottom w:val="single" w:sz="8" w:color="auto"/>
            </w:tcBorders>
            <w:shd w:val="clear" w:color="auto" w:fill="CCEEFF"/>
          </w:tcPr>
          <w:p>
            <w:pPr>
              <w:jc w:val="right"/>
              <w:ind w:right="52"/>
              <w:spacing w:after="0"/>
              <w:rPr>
                <w:sz w:val="20"/>
                <w:szCs w:val="20"/>
                <w:color w:val="auto"/>
              </w:rPr>
            </w:pPr>
            <w:r>
              <w:rPr>
                <w:rFonts w:ascii="Arial" w:cs="Arial" w:eastAsia="Arial" w:hAnsi="Arial"/>
                <w:sz w:val="18"/>
                <w:szCs w:val="18"/>
                <w:color w:val="auto"/>
                <w:w w:val="79"/>
              </w:rPr>
              <w:t>$</w:t>
            </w:r>
          </w:p>
        </w:tc>
        <w:tc>
          <w:tcPr>
            <w:tcW w:w="1140" w:type="dxa"/>
            <w:vAlign w:val="bottom"/>
            <w:tcBorders>
              <w:bottom w:val="single" w:sz="8" w:color="auto"/>
            </w:tcBorders>
            <w:shd w:val="clear" w:color="auto" w:fill="CCEEFF"/>
          </w:tcPr>
          <w:p>
            <w:pPr>
              <w:jc w:val="right"/>
              <w:ind w:right="72"/>
              <w:spacing w:after="0"/>
              <w:rPr>
                <w:sz w:val="20"/>
                <w:szCs w:val="20"/>
                <w:color w:val="auto"/>
              </w:rPr>
            </w:pPr>
            <w:r>
              <w:rPr>
                <w:rFonts w:ascii="Arial" w:cs="Arial" w:eastAsia="Arial" w:hAnsi="Arial"/>
                <w:sz w:val="18"/>
                <w:szCs w:val="18"/>
                <w:color w:val="auto"/>
              </w:rPr>
              <w:t>31,192</w:t>
            </w:r>
          </w:p>
        </w:tc>
        <w:tc>
          <w:tcPr>
            <w:tcW w:w="0" w:type="dxa"/>
            <w:vAlign w:val="bottom"/>
          </w:tcPr>
          <w:p>
            <w:pPr>
              <w:spacing w:after="0"/>
              <w:rPr>
                <w:sz w:val="1"/>
                <w:szCs w:val="1"/>
                <w:color w:val="auto"/>
              </w:rPr>
            </w:pPr>
          </w:p>
        </w:tc>
      </w:tr>
      <w:tr>
        <w:trPr>
          <w:trHeight w:val="20"/>
        </w:trPr>
        <w:tc>
          <w:tcPr>
            <w:tcW w:w="544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10"/>
        </w:trPr>
        <w:tc>
          <w:tcPr>
            <w:tcW w:w="5440" w:type="dxa"/>
            <w:vAlign w:val="bottom"/>
          </w:tcPr>
          <w:p>
            <w:pPr>
              <w:spacing w:after="0"/>
              <w:rPr>
                <w:sz w:val="9"/>
                <w:szCs w:val="9"/>
                <w:color w:val="auto"/>
              </w:rPr>
            </w:pPr>
          </w:p>
        </w:tc>
        <w:tc>
          <w:tcPr>
            <w:tcW w:w="240" w:type="dxa"/>
            <w:vAlign w:val="bottom"/>
          </w:tcPr>
          <w:p>
            <w:pPr>
              <w:spacing w:after="0"/>
              <w:rPr>
                <w:sz w:val="9"/>
                <w:szCs w:val="9"/>
                <w:color w:val="auto"/>
              </w:rPr>
            </w:pPr>
          </w:p>
        </w:tc>
        <w:tc>
          <w:tcPr>
            <w:tcW w:w="1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tcPr>
          <w:p>
            <w:pPr>
              <w:spacing w:after="0"/>
              <w:rPr>
                <w:sz w:val="9"/>
                <w:szCs w:val="9"/>
                <w:color w:val="auto"/>
              </w:rPr>
            </w:pPr>
          </w:p>
        </w:tc>
        <w:tc>
          <w:tcPr>
            <w:tcW w:w="1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tcPr>
          <w:p>
            <w:pPr>
              <w:spacing w:after="0"/>
              <w:rPr>
                <w:sz w:val="9"/>
                <w:szCs w:val="9"/>
                <w:color w:val="auto"/>
              </w:rPr>
            </w:pPr>
          </w:p>
        </w:tc>
        <w:tc>
          <w:tcPr>
            <w:tcW w:w="1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tcPr>
          <w:p>
            <w:pPr>
              <w:spacing w:after="0"/>
              <w:rPr>
                <w:sz w:val="9"/>
                <w:szCs w:val="9"/>
                <w:color w:val="auto"/>
              </w:rPr>
            </w:pPr>
          </w:p>
        </w:tc>
        <w:tc>
          <w:tcPr>
            <w:tcW w:w="11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50"/>
        </w:trPr>
        <w:tc>
          <w:tcPr>
            <w:tcW w:w="54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(loss) income per common share:</w:t>
            </w:r>
          </w:p>
        </w:tc>
        <w:tc>
          <w:tcPr>
            <w:tcW w:w="2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1"/>
        </w:trPr>
        <w:tc>
          <w:tcPr>
            <w:tcW w:w="5440" w:type="dxa"/>
            <w:vAlign w:val="bottom"/>
          </w:tcPr>
          <w:p>
            <w:pPr>
              <w:ind w:left="220"/>
              <w:spacing w:after="0"/>
              <w:rPr>
                <w:sz w:val="20"/>
                <w:szCs w:val="20"/>
                <w:color w:val="auto"/>
              </w:rPr>
            </w:pPr>
            <w:r>
              <w:rPr>
                <w:rFonts w:ascii="Arial" w:cs="Arial" w:eastAsia="Arial" w:hAnsi="Arial"/>
                <w:sz w:val="18"/>
                <w:szCs w:val="18"/>
                <w:color w:val="auto"/>
              </w:rPr>
              <w:t>Basic</w:t>
            </w:r>
          </w:p>
        </w:tc>
        <w:tc>
          <w:tcPr>
            <w:tcW w:w="240" w:type="dxa"/>
            <w:vAlign w:val="bottom"/>
          </w:tcPr>
          <w:p>
            <w:pPr>
              <w:jc w:val="right"/>
              <w:ind w:right="32"/>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ind w:right="12"/>
              <w:spacing w:after="0"/>
              <w:rPr>
                <w:sz w:val="20"/>
                <w:szCs w:val="20"/>
                <w:color w:val="auto"/>
              </w:rPr>
            </w:pPr>
            <w:r>
              <w:rPr>
                <w:rFonts w:ascii="Arial" w:cs="Arial" w:eastAsia="Arial" w:hAnsi="Arial"/>
                <w:sz w:val="18"/>
                <w:szCs w:val="18"/>
                <w:color w:val="auto"/>
              </w:rPr>
              <w:t>(0.01)</w:t>
            </w:r>
          </w:p>
        </w:tc>
        <w:tc>
          <w:tcPr>
            <w:tcW w:w="100" w:type="dxa"/>
            <w:vAlign w:val="bottom"/>
          </w:tcPr>
          <w:p>
            <w:pPr>
              <w:spacing w:after="0"/>
              <w:rPr>
                <w:sz w:val="20"/>
                <w:szCs w:val="20"/>
                <w:color w:val="auto"/>
              </w:rPr>
            </w:pPr>
          </w:p>
        </w:tc>
        <w:tc>
          <w:tcPr>
            <w:tcW w:w="240" w:type="dxa"/>
            <w:vAlign w:val="bottom"/>
          </w:tcPr>
          <w:p>
            <w:pPr>
              <w:jc w:val="right"/>
              <w:ind w:right="52"/>
              <w:spacing w:after="0"/>
              <w:rPr>
                <w:sz w:val="20"/>
                <w:szCs w:val="20"/>
                <w:color w:val="auto"/>
              </w:rPr>
            </w:pPr>
            <w:r>
              <w:rPr>
                <w:rFonts w:ascii="Arial" w:cs="Arial" w:eastAsia="Arial" w:hAnsi="Arial"/>
                <w:sz w:val="18"/>
                <w:szCs w:val="18"/>
                <w:color w:val="auto"/>
                <w:w w:val="79"/>
              </w:rPr>
              <w:t>$</w:t>
            </w:r>
          </w:p>
        </w:tc>
        <w:tc>
          <w:tcPr>
            <w:tcW w:w="1140" w:type="dxa"/>
            <w:vAlign w:val="bottom"/>
          </w:tcPr>
          <w:p>
            <w:pPr>
              <w:jc w:val="right"/>
              <w:ind w:right="72"/>
              <w:spacing w:after="0"/>
              <w:rPr>
                <w:sz w:val="20"/>
                <w:szCs w:val="20"/>
                <w:color w:val="auto"/>
              </w:rPr>
            </w:pPr>
            <w:r>
              <w:rPr>
                <w:rFonts w:ascii="Arial" w:cs="Arial" w:eastAsia="Arial" w:hAnsi="Arial"/>
                <w:sz w:val="18"/>
                <w:szCs w:val="18"/>
                <w:color w:val="auto"/>
              </w:rPr>
              <w:t>0.00</w:t>
            </w:r>
          </w:p>
        </w:tc>
        <w:tc>
          <w:tcPr>
            <w:tcW w:w="100" w:type="dxa"/>
            <w:vAlign w:val="bottom"/>
          </w:tcPr>
          <w:p>
            <w:pPr>
              <w:spacing w:after="0"/>
              <w:rPr>
                <w:sz w:val="20"/>
                <w:szCs w:val="20"/>
                <w:color w:val="auto"/>
              </w:rPr>
            </w:pPr>
          </w:p>
        </w:tc>
        <w:tc>
          <w:tcPr>
            <w:tcW w:w="240" w:type="dxa"/>
            <w:vAlign w:val="bottom"/>
          </w:tcPr>
          <w:p>
            <w:pPr>
              <w:jc w:val="right"/>
              <w:ind w:right="52"/>
              <w:spacing w:after="0"/>
              <w:rPr>
                <w:sz w:val="20"/>
                <w:szCs w:val="20"/>
                <w:color w:val="auto"/>
              </w:rPr>
            </w:pPr>
            <w:r>
              <w:rPr>
                <w:rFonts w:ascii="Arial" w:cs="Arial" w:eastAsia="Arial" w:hAnsi="Arial"/>
                <w:sz w:val="18"/>
                <w:szCs w:val="18"/>
                <w:color w:val="auto"/>
                <w:w w:val="79"/>
              </w:rPr>
              <w:t>$</w:t>
            </w: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(0.04)</w:t>
            </w:r>
          </w:p>
        </w:tc>
        <w:tc>
          <w:tcPr>
            <w:tcW w:w="100" w:type="dxa"/>
            <w:vAlign w:val="bottom"/>
          </w:tcPr>
          <w:p>
            <w:pPr>
              <w:spacing w:after="0"/>
              <w:rPr>
                <w:sz w:val="20"/>
                <w:szCs w:val="20"/>
                <w:color w:val="auto"/>
              </w:rPr>
            </w:pPr>
          </w:p>
        </w:tc>
        <w:tc>
          <w:tcPr>
            <w:tcW w:w="240" w:type="dxa"/>
            <w:vAlign w:val="bottom"/>
          </w:tcPr>
          <w:p>
            <w:pPr>
              <w:jc w:val="right"/>
              <w:ind w:right="52"/>
              <w:spacing w:after="0"/>
              <w:rPr>
                <w:sz w:val="20"/>
                <w:szCs w:val="20"/>
                <w:color w:val="auto"/>
              </w:rPr>
            </w:pPr>
            <w:r>
              <w:rPr>
                <w:rFonts w:ascii="Arial" w:cs="Arial" w:eastAsia="Arial" w:hAnsi="Arial"/>
                <w:sz w:val="18"/>
                <w:szCs w:val="18"/>
                <w:color w:val="auto"/>
                <w:w w:val="79"/>
              </w:rPr>
              <w:t>$</w:t>
            </w:r>
          </w:p>
        </w:tc>
        <w:tc>
          <w:tcPr>
            <w:tcW w:w="1140" w:type="dxa"/>
            <w:vAlign w:val="bottom"/>
          </w:tcPr>
          <w:p>
            <w:pPr>
              <w:jc w:val="right"/>
              <w:ind w:right="72"/>
              <w:spacing w:after="0"/>
              <w:rPr>
                <w:sz w:val="20"/>
                <w:szCs w:val="20"/>
                <w:color w:val="auto"/>
              </w:rPr>
            </w:pPr>
            <w:r>
              <w:rPr>
                <w:rFonts w:ascii="Arial" w:cs="Arial" w:eastAsia="Arial" w:hAnsi="Arial"/>
                <w:sz w:val="18"/>
                <w:szCs w:val="18"/>
                <w:color w:val="auto"/>
              </w:rPr>
              <w:t>0.02</w:t>
            </w:r>
          </w:p>
        </w:tc>
        <w:tc>
          <w:tcPr>
            <w:tcW w:w="0" w:type="dxa"/>
            <w:vAlign w:val="bottom"/>
          </w:tcPr>
          <w:p>
            <w:pPr>
              <w:spacing w:after="0"/>
              <w:rPr>
                <w:sz w:val="1"/>
                <w:szCs w:val="1"/>
                <w:color w:val="auto"/>
              </w:rPr>
            </w:pPr>
          </w:p>
        </w:tc>
      </w:tr>
      <w:tr>
        <w:trPr>
          <w:trHeight w:val="29"/>
        </w:trPr>
        <w:tc>
          <w:tcPr>
            <w:tcW w:w="54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44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Diluted</w:t>
            </w:r>
          </w:p>
        </w:tc>
        <w:tc>
          <w:tcPr>
            <w:tcW w:w="2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(0.01)</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(0.01)</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(0.04)</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(0.03)</w:t>
            </w:r>
          </w:p>
        </w:tc>
        <w:tc>
          <w:tcPr>
            <w:tcW w:w="0" w:type="dxa"/>
            <w:vAlign w:val="bottom"/>
          </w:tcPr>
          <w:p>
            <w:pPr>
              <w:spacing w:after="0"/>
              <w:rPr>
                <w:sz w:val="1"/>
                <w:szCs w:val="1"/>
                <w:color w:val="auto"/>
              </w:rPr>
            </w:pPr>
          </w:p>
        </w:tc>
      </w:tr>
      <w:tr>
        <w:trPr>
          <w:trHeight w:val="241"/>
        </w:trPr>
        <w:tc>
          <w:tcPr>
            <w:tcW w:w="5440" w:type="dxa"/>
            <w:vAlign w:val="bottom"/>
          </w:tcPr>
          <w:p>
            <w:pPr>
              <w:ind w:left="20"/>
              <w:spacing w:after="0"/>
              <w:rPr>
                <w:sz w:val="20"/>
                <w:szCs w:val="20"/>
                <w:color w:val="auto"/>
              </w:rPr>
            </w:pPr>
            <w:r>
              <w:rPr>
                <w:rFonts w:ascii="Arial" w:cs="Arial" w:eastAsia="Arial" w:hAnsi="Arial"/>
                <w:sz w:val="18"/>
                <w:szCs w:val="18"/>
                <w:color w:val="auto"/>
              </w:rPr>
              <w:t>Weighted-average shares outstanding:</w:t>
            </w:r>
          </w:p>
        </w:tc>
        <w:tc>
          <w:tcPr>
            <w:tcW w:w="24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9"/>
        </w:trPr>
        <w:tc>
          <w:tcPr>
            <w:tcW w:w="54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44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Basic</w:t>
            </w:r>
          </w:p>
        </w:tc>
        <w:tc>
          <w:tcPr>
            <w:tcW w:w="2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52"/>
              <w:spacing w:after="0"/>
              <w:rPr>
                <w:sz w:val="20"/>
                <w:szCs w:val="20"/>
                <w:color w:val="auto"/>
              </w:rPr>
            </w:pPr>
            <w:r>
              <w:rPr>
                <w:rFonts w:ascii="Arial" w:cs="Arial" w:eastAsia="Arial" w:hAnsi="Arial"/>
                <w:sz w:val="18"/>
                <w:szCs w:val="18"/>
                <w:color w:val="auto"/>
              </w:rPr>
              <w:t>1,668,974</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rPr>
              <w:t>1,450,380</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52"/>
              <w:spacing w:after="0"/>
              <w:rPr>
                <w:sz w:val="20"/>
                <w:szCs w:val="20"/>
                <w:color w:val="auto"/>
              </w:rPr>
            </w:pPr>
            <w:r>
              <w:rPr>
                <w:rFonts w:ascii="Arial" w:cs="Arial" w:eastAsia="Arial" w:hAnsi="Arial"/>
                <w:sz w:val="18"/>
                <w:szCs w:val="18"/>
                <w:color w:val="auto"/>
              </w:rPr>
              <w:t>1,613,467</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rPr>
              <w:t>1,449,355</w:t>
            </w:r>
          </w:p>
        </w:tc>
        <w:tc>
          <w:tcPr>
            <w:tcW w:w="0" w:type="dxa"/>
            <w:vAlign w:val="bottom"/>
          </w:tcPr>
          <w:p>
            <w:pPr>
              <w:spacing w:after="0"/>
              <w:rPr>
                <w:sz w:val="1"/>
                <w:szCs w:val="1"/>
                <w:color w:val="auto"/>
              </w:rPr>
            </w:pPr>
          </w:p>
        </w:tc>
      </w:tr>
      <w:tr>
        <w:trPr>
          <w:trHeight w:val="241"/>
        </w:trPr>
        <w:tc>
          <w:tcPr>
            <w:tcW w:w="5440" w:type="dxa"/>
            <w:vAlign w:val="bottom"/>
          </w:tcPr>
          <w:p>
            <w:pPr>
              <w:ind w:left="220"/>
              <w:spacing w:after="0"/>
              <w:rPr>
                <w:sz w:val="20"/>
                <w:szCs w:val="20"/>
                <w:color w:val="auto"/>
              </w:rPr>
            </w:pPr>
            <w:r>
              <w:rPr>
                <w:rFonts w:ascii="Arial" w:cs="Arial" w:eastAsia="Arial" w:hAnsi="Arial"/>
                <w:sz w:val="18"/>
                <w:szCs w:val="18"/>
                <w:color w:val="auto"/>
              </w:rPr>
              <w:t>Diluted</w:t>
            </w:r>
          </w:p>
        </w:tc>
        <w:tc>
          <w:tcPr>
            <w:tcW w:w="240" w:type="dxa"/>
            <w:vAlign w:val="bottom"/>
          </w:tcPr>
          <w:p>
            <w:pPr>
              <w:spacing w:after="0"/>
              <w:rPr>
                <w:sz w:val="20"/>
                <w:szCs w:val="20"/>
                <w:color w:val="auto"/>
              </w:rPr>
            </w:pPr>
          </w:p>
        </w:tc>
        <w:tc>
          <w:tcPr>
            <w:tcW w:w="1140" w:type="dxa"/>
            <w:vAlign w:val="bottom"/>
          </w:tcPr>
          <w:p>
            <w:pPr>
              <w:jc w:val="right"/>
              <w:ind w:right="52"/>
              <w:spacing w:after="0"/>
              <w:rPr>
                <w:sz w:val="20"/>
                <w:szCs w:val="20"/>
                <w:color w:val="auto"/>
              </w:rPr>
            </w:pPr>
            <w:r>
              <w:rPr>
                <w:rFonts w:ascii="Arial" w:cs="Arial" w:eastAsia="Arial" w:hAnsi="Arial"/>
                <w:sz w:val="18"/>
                <w:szCs w:val="18"/>
                <w:color w:val="auto"/>
              </w:rPr>
              <w:t>1,668,974</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40" w:type="dxa"/>
            <w:vAlign w:val="bottom"/>
          </w:tcPr>
          <w:p>
            <w:pPr>
              <w:jc w:val="right"/>
              <w:ind w:right="72"/>
              <w:spacing w:after="0"/>
              <w:rPr>
                <w:sz w:val="20"/>
                <w:szCs w:val="20"/>
                <w:color w:val="auto"/>
              </w:rPr>
            </w:pPr>
            <w:r>
              <w:rPr>
                <w:rFonts w:ascii="Arial" w:cs="Arial" w:eastAsia="Arial" w:hAnsi="Arial"/>
                <w:sz w:val="18"/>
                <w:szCs w:val="18"/>
                <w:color w:val="auto"/>
              </w:rPr>
              <w:t>1,640,442</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20" w:type="dxa"/>
            <w:vAlign w:val="bottom"/>
          </w:tcPr>
          <w:p>
            <w:pPr>
              <w:jc w:val="right"/>
              <w:ind w:right="52"/>
              <w:spacing w:after="0"/>
              <w:rPr>
                <w:sz w:val="20"/>
                <w:szCs w:val="20"/>
                <w:color w:val="auto"/>
              </w:rPr>
            </w:pPr>
            <w:r>
              <w:rPr>
                <w:rFonts w:ascii="Arial" w:cs="Arial" w:eastAsia="Arial" w:hAnsi="Arial"/>
                <w:sz w:val="18"/>
                <w:szCs w:val="18"/>
                <w:color w:val="auto"/>
              </w:rPr>
              <w:t>1,613,467</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40" w:type="dxa"/>
            <w:vAlign w:val="bottom"/>
          </w:tcPr>
          <w:p>
            <w:pPr>
              <w:jc w:val="right"/>
              <w:ind w:right="72"/>
              <w:spacing w:after="0"/>
              <w:rPr>
                <w:sz w:val="20"/>
                <w:szCs w:val="20"/>
                <w:color w:val="auto"/>
              </w:rPr>
            </w:pPr>
            <w:r>
              <w:rPr>
                <w:rFonts w:ascii="Arial" w:cs="Arial" w:eastAsia="Arial" w:hAnsi="Arial"/>
                <w:sz w:val="18"/>
                <w:szCs w:val="18"/>
                <w:color w:val="auto"/>
              </w:rPr>
              <w:t>1,640,537</w:t>
            </w:r>
          </w:p>
        </w:tc>
        <w:tc>
          <w:tcPr>
            <w:tcW w:w="0" w:type="dxa"/>
            <w:vAlign w:val="bottom"/>
          </w:tcPr>
          <w:p>
            <w:pPr>
              <w:spacing w:after="0"/>
              <w:rPr>
                <w:sz w:val="1"/>
                <w:szCs w:val="1"/>
                <w:color w:val="auto"/>
              </w:rPr>
            </w:pPr>
          </w:p>
        </w:tc>
      </w:tr>
    </w:tbl>
    <w:p>
      <w:pPr>
        <w:spacing w:after="0" w:line="312"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See accompanying notes to unaudited interim condensed consolidated financial statements.</w:t>
      </w:r>
    </w:p>
    <w:p>
      <w:pPr>
        <w:sectPr>
          <w:pgSz w:w="11900" w:h="16838" w:orient="portrait"/>
          <w:cols w:equalWidth="0" w:num="1">
            <w:col w:w="11240"/>
          </w:cols>
          <w:pgMar w:left="320" w:top="891" w:right="339" w:bottom="1440" w:gutter="0" w:footer="0" w:header="0"/>
        </w:sectPr>
      </w:pPr>
    </w:p>
    <w:p>
      <w:pPr>
        <w:spacing w:after="0" w:line="200" w:lineRule="exact"/>
        <w:rPr>
          <w:sz w:val="20"/>
          <w:szCs w:val="20"/>
          <w:color w:val="auto"/>
        </w:rPr>
      </w:pPr>
    </w:p>
    <w:p>
      <w:pPr>
        <w:spacing w:after="0" w:line="363"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120015</wp:posOffset>
            </wp:positionV>
            <wp:extent cx="7132320" cy="171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type w:val="continuous"/>
        </w:sectPr>
      </w:pPr>
    </w:p>
    <w:bookmarkStart w:id="3" w:name="page4"/>
    <w:bookmarkEnd w:id="3"/>
    <w:p>
      <w:pPr>
        <w:jc w:val="center"/>
        <w:ind w:right="80"/>
        <w:spacing w:after="0"/>
        <w:rPr>
          <w:sz w:val="20"/>
          <w:szCs w:val="20"/>
          <w:color w:val="auto"/>
        </w:rPr>
      </w:pPr>
      <w:r>
        <w:rPr>
          <w:rFonts w:ascii="Arial" w:cs="Arial" w:eastAsia="Arial" w:hAnsi="Arial"/>
          <w:sz w:val="17"/>
          <w:szCs w:val="17"/>
          <w:b w:val="1"/>
          <w:bCs w:val="1"/>
          <w:color w:val="auto"/>
        </w:rPr>
        <w:t>GLOBALSTAR, INC.</w:t>
      </w:r>
    </w:p>
    <w:p>
      <w:pPr>
        <w:spacing w:after="0" w:line="61" w:lineRule="exact"/>
        <w:rPr>
          <w:sz w:val="20"/>
          <w:szCs w:val="20"/>
          <w:color w:val="auto"/>
        </w:rPr>
      </w:pPr>
    </w:p>
    <w:p>
      <w:pPr>
        <w:ind w:left="3560"/>
        <w:spacing w:after="0"/>
        <w:rPr>
          <w:sz w:val="20"/>
          <w:szCs w:val="20"/>
          <w:color w:val="auto"/>
        </w:rPr>
      </w:pPr>
      <w:r>
        <w:rPr>
          <w:rFonts w:ascii="Arial" w:cs="Arial" w:eastAsia="Arial" w:hAnsi="Arial"/>
          <w:sz w:val="17"/>
          <w:szCs w:val="17"/>
          <w:b w:val="1"/>
          <w:bCs w:val="1"/>
          <w:color w:val="auto"/>
        </w:rPr>
        <w:t>CONDENSED CONSOLIDATED BALANCE SHEETS</w:t>
      </w:r>
    </w:p>
    <w:p>
      <w:pPr>
        <w:spacing w:after="0" w:line="61" w:lineRule="exact"/>
        <w:rPr>
          <w:sz w:val="20"/>
          <w:szCs w:val="20"/>
          <w:color w:val="auto"/>
        </w:rPr>
      </w:pPr>
    </w:p>
    <w:p>
      <w:pPr>
        <w:ind w:left="3820"/>
        <w:spacing w:after="0"/>
        <w:rPr>
          <w:sz w:val="20"/>
          <w:szCs w:val="20"/>
          <w:color w:val="auto"/>
        </w:rPr>
      </w:pPr>
      <w:r>
        <w:rPr>
          <w:rFonts w:ascii="Arial" w:cs="Arial" w:eastAsia="Arial" w:hAnsi="Arial"/>
          <w:sz w:val="17"/>
          <w:szCs w:val="17"/>
          <w:b w:val="1"/>
          <w:bCs w:val="1"/>
          <w:color w:val="auto"/>
        </w:rPr>
        <w:t>(In thousands, except par value and share data)</w:t>
      </w:r>
    </w:p>
    <w:p>
      <w:pPr>
        <w:spacing w:after="0" w:line="61"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(Unaudited)</w:t>
      </w:r>
    </w:p>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220"/>
        </w:trPr>
        <w:tc>
          <w:tcPr>
            <w:tcW w:w="73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720" w:type="dxa"/>
            <w:vAlign w:val="bottom"/>
            <w:gridSpan w:val="2"/>
          </w:tcPr>
          <w:p>
            <w:pPr>
              <w:ind w:left="160"/>
              <w:spacing w:after="0"/>
              <w:rPr>
                <w:sz w:val="20"/>
                <w:szCs w:val="20"/>
                <w:color w:val="auto"/>
              </w:rPr>
            </w:pPr>
            <w:r>
              <w:rPr>
                <w:rFonts w:ascii="Arial" w:cs="Arial" w:eastAsia="Arial" w:hAnsi="Arial"/>
                <w:sz w:val="17"/>
                <w:szCs w:val="17"/>
                <w:b w:val="1"/>
                <w:bCs w:val="1"/>
                <w:color w:val="auto"/>
              </w:rPr>
              <w:t>June 30, 2020</w:t>
            </w:r>
          </w:p>
        </w:tc>
        <w:tc>
          <w:tcPr>
            <w:tcW w:w="180" w:type="dxa"/>
            <w:vAlign w:val="bottom"/>
          </w:tcPr>
          <w:p>
            <w:pPr>
              <w:spacing w:after="0"/>
              <w:rPr>
                <w:sz w:val="19"/>
                <w:szCs w:val="19"/>
                <w:color w:val="auto"/>
              </w:rPr>
            </w:pPr>
          </w:p>
        </w:tc>
        <w:tc>
          <w:tcPr>
            <w:tcW w:w="1700" w:type="dxa"/>
            <w:vAlign w:val="bottom"/>
          </w:tcPr>
          <w:p>
            <w:pPr>
              <w:jc w:val="right"/>
              <w:ind w:right="155"/>
              <w:spacing w:after="0"/>
              <w:rPr>
                <w:sz w:val="20"/>
                <w:szCs w:val="20"/>
                <w:color w:val="auto"/>
              </w:rPr>
            </w:pPr>
            <w:r>
              <w:rPr>
                <w:rFonts w:ascii="Arial" w:cs="Arial" w:eastAsia="Arial" w:hAnsi="Arial"/>
                <w:sz w:val="17"/>
                <w:szCs w:val="17"/>
                <w:b w:val="1"/>
                <w:bCs w:val="1"/>
                <w:color w:val="auto"/>
                <w:w w:val="94"/>
              </w:rPr>
              <w:t>December 31, 2019</w:t>
            </w:r>
          </w:p>
        </w:tc>
        <w:tc>
          <w:tcPr>
            <w:tcW w:w="0" w:type="dxa"/>
            <w:vAlign w:val="bottom"/>
          </w:tcPr>
          <w:p>
            <w:pPr>
              <w:spacing w:after="0"/>
              <w:rPr>
                <w:sz w:val="1"/>
                <w:szCs w:val="1"/>
                <w:color w:val="auto"/>
              </w:rPr>
            </w:pPr>
          </w:p>
        </w:tc>
      </w:tr>
      <w:tr>
        <w:trPr>
          <w:trHeight w:val="31"/>
        </w:trPr>
        <w:tc>
          <w:tcPr>
            <w:tcW w:w="7320" w:type="dxa"/>
            <w:vAlign w:val="bottom"/>
            <w:vMerge w:val="restart"/>
          </w:tcPr>
          <w:p>
            <w:pPr>
              <w:ind w:left="3340"/>
              <w:spacing w:after="0"/>
              <w:rPr>
                <w:sz w:val="20"/>
                <w:szCs w:val="20"/>
                <w:color w:val="auto"/>
              </w:rPr>
            </w:pPr>
            <w:r>
              <w:rPr>
                <w:rFonts w:ascii="Arial" w:cs="Arial" w:eastAsia="Arial" w:hAnsi="Arial"/>
                <w:sz w:val="17"/>
                <w:szCs w:val="17"/>
                <w:b w:val="1"/>
                <w:bCs w:val="1"/>
                <w:color w:val="auto"/>
              </w:rPr>
              <w:t>ASSETS</w:t>
            </w:r>
          </w:p>
        </w:tc>
        <w:tc>
          <w:tcPr>
            <w:tcW w:w="28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3"/>
        </w:trPr>
        <w:tc>
          <w:tcPr>
            <w:tcW w:w="7320" w:type="dxa"/>
            <w:vAlign w:val="bottom"/>
            <w:vMerge w:val="continue"/>
          </w:tcPr>
          <w:p>
            <w:pPr>
              <w:spacing w:after="0"/>
              <w:rPr>
                <w:sz w:val="20"/>
                <w:szCs w:val="20"/>
                <w:color w:val="auto"/>
              </w:rPr>
            </w:pPr>
          </w:p>
        </w:tc>
        <w:tc>
          <w:tcPr>
            <w:tcW w:w="280" w:type="dxa"/>
            <w:vAlign w:val="bottom"/>
          </w:tcPr>
          <w:p>
            <w:pPr>
              <w:spacing w:after="0"/>
              <w:rPr>
                <w:sz w:val="20"/>
                <w:szCs w:val="20"/>
                <w:color w:val="auto"/>
              </w:rPr>
            </w:pPr>
          </w:p>
        </w:tc>
        <w:tc>
          <w:tcPr>
            <w:tcW w:w="16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7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1"/>
        </w:trPr>
        <w:tc>
          <w:tcPr>
            <w:tcW w:w="73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73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Current assets:</w:t>
            </w:r>
          </w:p>
        </w:tc>
        <w:tc>
          <w:tcPr>
            <w:tcW w:w="280" w:type="dxa"/>
            <w:vAlign w:val="bottom"/>
            <w:tcBorders>
              <w:bottom w:val="single" w:sz="8" w:color="CCEEFF"/>
            </w:tcBorders>
            <w:shd w:val="clear" w:color="auto" w:fill="CCEEFF"/>
          </w:tcPr>
          <w:p>
            <w:pPr>
              <w:spacing w:after="0"/>
              <w:rPr>
                <w:sz w:val="20"/>
                <w:szCs w:val="20"/>
                <w:color w:val="auto"/>
              </w:rPr>
            </w:pPr>
          </w:p>
        </w:tc>
        <w:tc>
          <w:tcPr>
            <w:tcW w:w="16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70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25"/>
        </w:trPr>
        <w:tc>
          <w:tcPr>
            <w:tcW w:w="7320" w:type="dxa"/>
            <w:vAlign w:val="bottom"/>
          </w:tcPr>
          <w:p>
            <w:pPr>
              <w:ind w:left="200"/>
              <w:spacing w:after="0"/>
              <w:rPr>
                <w:sz w:val="20"/>
                <w:szCs w:val="20"/>
                <w:color w:val="auto"/>
              </w:rPr>
            </w:pPr>
            <w:r>
              <w:rPr>
                <w:rFonts w:ascii="Arial" w:cs="Arial" w:eastAsia="Arial" w:hAnsi="Arial"/>
                <w:sz w:val="17"/>
                <w:szCs w:val="17"/>
                <w:color w:val="auto"/>
              </w:rPr>
              <w:t>Cash and cash equivalents</w:t>
            </w:r>
          </w:p>
        </w:tc>
        <w:tc>
          <w:tcPr>
            <w:tcW w:w="280" w:type="dxa"/>
            <w:vAlign w:val="bottom"/>
          </w:tcPr>
          <w:p>
            <w:pPr>
              <w:jc w:val="right"/>
              <w:ind w:right="95"/>
              <w:spacing w:after="0"/>
              <w:rPr>
                <w:sz w:val="20"/>
                <w:szCs w:val="20"/>
                <w:color w:val="auto"/>
              </w:rPr>
            </w:pPr>
            <w:r>
              <w:rPr>
                <w:rFonts w:ascii="Arial" w:cs="Arial" w:eastAsia="Arial" w:hAnsi="Arial"/>
                <w:sz w:val="17"/>
                <w:szCs w:val="17"/>
                <w:color w:val="auto"/>
                <w:w w:val="84"/>
              </w:rPr>
              <w:t>$</w:t>
            </w:r>
          </w:p>
        </w:tc>
        <w:tc>
          <w:tcPr>
            <w:tcW w:w="1600" w:type="dxa"/>
            <w:vAlign w:val="bottom"/>
          </w:tcPr>
          <w:p>
            <w:pPr>
              <w:jc w:val="right"/>
              <w:ind w:right="55"/>
              <w:spacing w:after="0"/>
              <w:rPr>
                <w:sz w:val="20"/>
                <w:szCs w:val="20"/>
                <w:color w:val="auto"/>
              </w:rPr>
            </w:pPr>
            <w:r>
              <w:rPr>
                <w:rFonts w:ascii="Arial" w:cs="Arial" w:eastAsia="Arial" w:hAnsi="Arial"/>
                <w:sz w:val="17"/>
                <w:szCs w:val="17"/>
                <w:color w:val="auto"/>
              </w:rPr>
              <w:t>12,070</w:t>
            </w:r>
          </w:p>
        </w:tc>
        <w:tc>
          <w:tcPr>
            <w:tcW w:w="120" w:type="dxa"/>
            <w:vAlign w:val="bottom"/>
          </w:tcPr>
          <w:p>
            <w:pPr>
              <w:spacing w:after="0"/>
              <w:rPr>
                <w:sz w:val="19"/>
                <w:szCs w:val="19"/>
                <w:color w:val="auto"/>
              </w:rPr>
            </w:pPr>
          </w:p>
        </w:tc>
        <w:tc>
          <w:tcPr>
            <w:tcW w:w="18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700" w:type="dxa"/>
            <w:vAlign w:val="bottom"/>
          </w:tcPr>
          <w:p>
            <w:pPr>
              <w:jc w:val="right"/>
              <w:ind w:right="55"/>
              <w:spacing w:after="0"/>
              <w:rPr>
                <w:sz w:val="20"/>
                <w:szCs w:val="20"/>
                <w:color w:val="auto"/>
              </w:rPr>
            </w:pPr>
            <w:r>
              <w:rPr>
                <w:rFonts w:ascii="Arial" w:cs="Arial" w:eastAsia="Arial" w:hAnsi="Arial"/>
                <w:sz w:val="17"/>
                <w:szCs w:val="17"/>
                <w:color w:val="auto"/>
              </w:rPr>
              <w:t>7,606</w:t>
            </w:r>
          </w:p>
        </w:tc>
        <w:tc>
          <w:tcPr>
            <w:tcW w:w="0" w:type="dxa"/>
            <w:vAlign w:val="bottom"/>
          </w:tcPr>
          <w:p>
            <w:pPr>
              <w:spacing w:after="0"/>
              <w:rPr>
                <w:sz w:val="1"/>
                <w:szCs w:val="1"/>
                <w:color w:val="auto"/>
              </w:rPr>
            </w:pPr>
          </w:p>
        </w:tc>
      </w:tr>
      <w:tr>
        <w:trPr>
          <w:trHeight w:val="31"/>
        </w:trPr>
        <w:tc>
          <w:tcPr>
            <w:tcW w:w="73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732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7"/>
                <w:szCs w:val="17"/>
                <w:color w:val="auto"/>
              </w:rPr>
              <w:t>Restricted cash</w:t>
            </w:r>
          </w:p>
        </w:tc>
        <w:tc>
          <w:tcPr>
            <w:tcW w:w="280" w:type="dxa"/>
            <w:vAlign w:val="bottom"/>
            <w:tcBorders>
              <w:bottom w:val="single" w:sz="8" w:color="CCEEFF"/>
            </w:tcBorders>
            <w:shd w:val="clear" w:color="auto" w:fill="CCEEFF"/>
          </w:tcPr>
          <w:p>
            <w:pPr>
              <w:spacing w:after="0"/>
              <w:rPr>
                <w:sz w:val="20"/>
                <w:szCs w:val="20"/>
                <w:color w:val="auto"/>
              </w:rPr>
            </w:pPr>
          </w:p>
        </w:tc>
        <w:tc>
          <w:tcPr>
            <w:tcW w:w="1600" w:type="dxa"/>
            <w:vAlign w:val="bottom"/>
            <w:tcBorders>
              <w:bottom w:val="single" w:sz="8" w:color="CCEEFF"/>
            </w:tcBorders>
            <w:shd w:val="clear" w:color="auto" w:fill="CCEEFF"/>
          </w:tcPr>
          <w:p>
            <w:pPr>
              <w:jc w:val="right"/>
              <w:ind w:right="55"/>
              <w:spacing w:after="0"/>
              <w:rPr>
                <w:sz w:val="20"/>
                <w:szCs w:val="20"/>
                <w:color w:val="auto"/>
              </w:rPr>
            </w:pPr>
            <w:r>
              <w:rPr>
                <w:rFonts w:ascii="Arial" w:cs="Arial" w:eastAsia="Arial" w:hAnsi="Arial"/>
                <w:sz w:val="17"/>
                <w:szCs w:val="17"/>
                <w:color w:val="auto"/>
              </w:rPr>
              <w:t>3,625</w:t>
            </w:r>
          </w:p>
        </w:tc>
        <w:tc>
          <w:tcPr>
            <w:tcW w:w="12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700" w:type="dxa"/>
            <w:vAlign w:val="bottom"/>
            <w:tcBorders>
              <w:bottom w:val="single" w:sz="8" w:color="CCEEFF"/>
            </w:tcBorders>
            <w:shd w:val="clear" w:color="auto" w:fill="CCEEFF"/>
          </w:tcPr>
          <w:p>
            <w:pPr>
              <w:jc w:val="right"/>
              <w:ind w:right="55"/>
              <w:spacing w:after="0"/>
              <w:rPr>
                <w:sz w:val="20"/>
                <w:szCs w:val="20"/>
                <w:color w:val="auto"/>
              </w:rPr>
            </w:pPr>
            <w:r>
              <w:rPr>
                <w:rFonts w:ascii="Arial" w:cs="Arial" w:eastAsia="Arial" w:hAnsi="Arial"/>
                <w:sz w:val="17"/>
                <w:szCs w:val="17"/>
                <w:color w:val="auto"/>
              </w:rPr>
              <w:t>622</w:t>
            </w:r>
          </w:p>
        </w:tc>
        <w:tc>
          <w:tcPr>
            <w:tcW w:w="0" w:type="dxa"/>
            <w:vAlign w:val="bottom"/>
          </w:tcPr>
          <w:p>
            <w:pPr>
              <w:spacing w:after="0"/>
              <w:rPr>
                <w:sz w:val="1"/>
                <w:szCs w:val="1"/>
                <w:color w:val="auto"/>
              </w:rPr>
            </w:pPr>
          </w:p>
        </w:tc>
      </w:tr>
      <w:tr>
        <w:trPr>
          <w:trHeight w:val="255"/>
        </w:trPr>
        <w:tc>
          <w:tcPr>
            <w:tcW w:w="7320" w:type="dxa"/>
            <w:vAlign w:val="bottom"/>
          </w:tcPr>
          <w:p>
            <w:pPr>
              <w:ind w:left="220"/>
              <w:spacing w:after="0"/>
              <w:rPr>
                <w:sz w:val="20"/>
                <w:szCs w:val="20"/>
                <w:color w:val="auto"/>
              </w:rPr>
            </w:pPr>
            <w:r>
              <w:rPr>
                <w:rFonts w:ascii="Arial" w:cs="Arial" w:eastAsia="Arial" w:hAnsi="Arial"/>
                <w:sz w:val="17"/>
                <w:szCs w:val="17"/>
                <w:color w:val="auto"/>
              </w:rPr>
              <w:t>Accounts receivable, net of allowance of $5,136 and $2,952, respectively</w:t>
            </w:r>
          </w:p>
        </w:tc>
        <w:tc>
          <w:tcPr>
            <w:tcW w:w="280" w:type="dxa"/>
            <w:vAlign w:val="bottom"/>
          </w:tcPr>
          <w:p>
            <w:pPr>
              <w:spacing w:after="0"/>
              <w:rPr>
                <w:sz w:val="22"/>
                <w:szCs w:val="22"/>
                <w:color w:val="auto"/>
              </w:rPr>
            </w:pPr>
          </w:p>
        </w:tc>
        <w:tc>
          <w:tcPr>
            <w:tcW w:w="1600" w:type="dxa"/>
            <w:vAlign w:val="bottom"/>
          </w:tcPr>
          <w:p>
            <w:pPr>
              <w:jc w:val="right"/>
              <w:ind w:right="55"/>
              <w:spacing w:after="0"/>
              <w:rPr>
                <w:sz w:val="20"/>
                <w:szCs w:val="20"/>
                <w:color w:val="auto"/>
              </w:rPr>
            </w:pPr>
            <w:r>
              <w:rPr>
                <w:rFonts w:ascii="Arial" w:cs="Arial" w:eastAsia="Arial" w:hAnsi="Arial"/>
                <w:sz w:val="17"/>
                <w:szCs w:val="17"/>
                <w:color w:val="auto"/>
              </w:rPr>
              <w:t>19,756</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700" w:type="dxa"/>
            <w:vAlign w:val="bottom"/>
          </w:tcPr>
          <w:p>
            <w:pPr>
              <w:jc w:val="right"/>
              <w:ind w:right="55"/>
              <w:spacing w:after="0"/>
              <w:rPr>
                <w:sz w:val="20"/>
                <w:szCs w:val="20"/>
                <w:color w:val="auto"/>
              </w:rPr>
            </w:pPr>
            <w:r>
              <w:rPr>
                <w:rFonts w:ascii="Arial" w:cs="Arial" w:eastAsia="Arial" w:hAnsi="Arial"/>
                <w:sz w:val="17"/>
                <w:szCs w:val="17"/>
                <w:color w:val="auto"/>
              </w:rPr>
              <w:t>21,760</w:t>
            </w:r>
          </w:p>
        </w:tc>
        <w:tc>
          <w:tcPr>
            <w:tcW w:w="0" w:type="dxa"/>
            <w:vAlign w:val="bottom"/>
          </w:tcPr>
          <w:p>
            <w:pPr>
              <w:spacing w:after="0"/>
              <w:rPr>
                <w:sz w:val="1"/>
                <w:szCs w:val="1"/>
                <w:color w:val="auto"/>
              </w:rPr>
            </w:pPr>
          </w:p>
        </w:tc>
      </w:tr>
      <w:tr>
        <w:trPr>
          <w:trHeight w:val="238"/>
        </w:trPr>
        <w:tc>
          <w:tcPr>
            <w:tcW w:w="732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7"/>
                <w:szCs w:val="17"/>
                <w:color w:val="auto"/>
              </w:rPr>
              <w:t>Inventory</w:t>
            </w:r>
          </w:p>
        </w:tc>
        <w:tc>
          <w:tcPr>
            <w:tcW w:w="280" w:type="dxa"/>
            <w:vAlign w:val="bottom"/>
            <w:tcBorders>
              <w:bottom w:val="single" w:sz="8" w:color="CCEEFF"/>
            </w:tcBorders>
            <w:shd w:val="clear" w:color="auto" w:fill="CCEEFF"/>
          </w:tcPr>
          <w:p>
            <w:pPr>
              <w:spacing w:after="0"/>
              <w:rPr>
                <w:sz w:val="20"/>
                <w:szCs w:val="20"/>
                <w:color w:val="auto"/>
              </w:rPr>
            </w:pPr>
          </w:p>
        </w:tc>
        <w:tc>
          <w:tcPr>
            <w:tcW w:w="1600" w:type="dxa"/>
            <w:vAlign w:val="bottom"/>
            <w:tcBorders>
              <w:bottom w:val="single" w:sz="8" w:color="CCEEFF"/>
            </w:tcBorders>
            <w:shd w:val="clear" w:color="auto" w:fill="CCEEFF"/>
          </w:tcPr>
          <w:p>
            <w:pPr>
              <w:jc w:val="right"/>
              <w:ind w:right="55"/>
              <w:spacing w:after="0"/>
              <w:rPr>
                <w:sz w:val="20"/>
                <w:szCs w:val="20"/>
                <w:color w:val="auto"/>
              </w:rPr>
            </w:pPr>
            <w:r>
              <w:rPr>
                <w:rFonts w:ascii="Arial" w:cs="Arial" w:eastAsia="Arial" w:hAnsi="Arial"/>
                <w:sz w:val="17"/>
                <w:szCs w:val="17"/>
                <w:color w:val="auto"/>
              </w:rPr>
              <w:t>15,688</w:t>
            </w:r>
          </w:p>
        </w:tc>
        <w:tc>
          <w:tcPr>
            <w:tcW w:w="12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700" w:type="dxa"/>
            <w:vAlign w:val="bottom"/>
            <w:tcBorders>
              <w:bottom w:val="single" w:sz="8" w:color="CCEEFF"/>
            </w:tcBorders>
            <w:shd w:val="clear" w:color="auto" w:fill="CCEEFF"/>
          </w:tcPr>
          <w:p>
            <w:pPr>
              <w:jc w:val="right"/>
              <w:ind w:right="55"/>
              <w:spacing w:after="0"/>
              <w:rPr>
                <w:sz w:val="20"/>
                <w:szCs w:val="20"/>
                <w:color w:val="auto"/>
              </w:rPr>
            </w:pPr>
            <w:r>
              <w:rPr>
                <w:rFonts w:ascii="Arial" w:cs="Arial" w:eastAsia="Arial" w:hAnsi="Arial"/>
                <w:sz w:val="17"/>
                <w:szCs w:val="17"/>
                <w:color w:val="auto"/>
              </w:rPr>
              <w:t>16,341</w:t>
            </w:r>
          </w:p>
        </w:tc>
        <w:tc>
          <w:tcPr>
            <w:tcW w:w="0" w:type="dxa"/>
            <w:vAlign w:val="bottom"/>
          </w:tcPr>
          <w:p>
            <w:pPr>
              <w:spacing w:after="0"/>
              <w:rPr>
                <w:sz w:val="1"/>
                <w:szCs w:val="1"/>
                <w:color w:val="auto"/>
              </w:rPr>
            </w:pPr>
          </w:p>
        </w:tc>
      </w:tr>
      <w:tr>
        <w:trPr>
          <w:trHeight w:val="225"/>
        </w:trPr>
        <w:tc>
          <w:tcPr>
            <w:tcW w:w="7320" w:type="dxa"/>
            <w:vAlign w:val="bottom"/>
          </w:tcPr>
          <w:p>
            <w:pPr>
              <w:ind w:left="200"/>
              <w:spacing w:after="0"/>
              <w:rPr>
                <w:sz w:val="20"/>
                <w:szCs w:val="20"/>
                <w:color w:val="auto"/>
              </w:rPr>
            </w:pPr>
            <w:r>
              <w:rPr>
                <w:rFonts w:ascii="Arial" w:cs="Arial" w:eastAsia="Arial" w:hAnsi="Arial"/>
                <w:sz w:val="17"/>
                <w:szCs w:val="17"/>
                <w:color w:val="auto"/>
              </w:rPr>
              <w:t>Prepaid expenses and other current assets</w:t>
            </w:r>
          </w:p>
        </w:tc>
        <w:tc>
          <w:tcPr>
            <w:tcW w:w="280" w:type="dxa"/>
            <w:vAlign w:val="bottom"/>
          </w:tcPr>
          <w:p>
            <w:pPr>
              <w:spacing w:after="0"/>
              <w:rPr>
                <w:sz w:val="19"/>
                <w:szCs w:val="19"/>
                <w:color w:val="auto"/>
              </w:rPr>
            </w:pPr>
          </w:p>
        </w:tc>
        <w:tc>
          <w:tcPr>
            <w:tcW w:w="1600" w:type="dxa"/>
            <w:vAlign w:val="bottom"/>
          </w:tcPr>
          <w:p>
            <w:pPr>
              <w:jc w:val="right"/>
              <w:ind w:right="55"/>
              <w:spacing w:after="0"/>
              <w:rPr>
                <w:sz w:val="20"/>
                <w:szCs w:val="20"/>
                <w:color w:val="auto"/>
              </w:rPr>
            </w:pPr>
            <w:r>
              <w:rPr>
                <w:rFonts w:ascii="Arial" w:cs="Arial" w:eastAsia="Arial" w:hAnsi="Arial"/>
                <w:sz w:val="17"/>
                <w:szCs w:val="17"/>
                <w:color w:val="auto"/>
              </w:rPr>
              <w:t>14,045</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700" w:type="dxa"/>
            <w:vAlign w:val="bottom"/>
          </w:tcPr>
          <w:p>
            <w:pPr>
              <w:jc w:val="right"/>
              <w:ind w:right="55"/>
              <w:spacing w:after="0"/>
              <w:rPr>
                <w:sz w:val="20"/>
                <w:szCs w:val="20"/>
                <w:color w:val="auto"/>
              </w:rPr>
            </w:pPr>
            <w:r>
              <w:rPr>
                <w:rFonts w:ascii="Arial" w:cs="Arial" w:eastAsia="Arial" w:hAnsi="Arial"/>
                <w:sz w:val="17"/>
                <w:szCs w:val="17"/>
                <w:color w:val="auto"/>
              </w:rPr>
              <w:t>16,931</w:t>
            </w:r>
          </w:p>
        </w:tc>
        <w:tc>
          <w:tcPr>
            <w:tcW w:w="0" w:type="dxa"/>
            <w:vAlign w:val="bottom"/>
          </w:tcPr>
          <w:p>
            <w:pPr>
              <w:spacing w:after="0"/>
              <w:rPr>
                <w:sz w:val="1"/>
                <w:szCs w:val="1"/>
                <w:color w:val="auto"/>
              </w:rPr>
            </w:pPr>
          </w:p>
        </w:tc>
      </w:tr>
      <w:tr>
        <w:trPr>
          <w:trHeight w:val="31"/>
        </w:trPr>
        <w:tc>
          <w:tcPr>
            <w:tcW w:w="73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7320" w:type="dxa"/>
            <w:vAlign w:val="bottom"/>
            <w:tcBorders>
              <w:bottom w:val="single" w:sz="8" w:color="CCEEFF"/>
            </w:tcBorders>
            <w:shd w:val="clear" w:color="auto" w:fill="CCEEFF"/>
          </w:tcPr>
          <w:p>
            <w:pPr>
              <w:ind w:left="440"/>
              <w:spacing w:after="0"/>
              <w:rPr>
                <w:sz w:val="20"/>
                <w:szCs w:val="20"/>
                <w:color w:val="auto"/>
              </w:rPr>
            </w:pPr>
            <w:r>
              <w:rPr>
                <w:rFonts w:ascii="Arial" w:cs="Arial" w:eastAsia="Arial" w:hAnsi="Arial"/>
                <w:sz w:val="17"/>
                <w:szCs w:val="17"/>
                <w:color w:val="auto"/>
              </w:rPr>
              <w:t>Total current assets</w:t>
            </w:r>
          </w:p>
        </w:tc>
        <w:tc>
          <w:tcPr>
            <w:tcW w:w="280" w:type="dxa"/>
            <w:vAlign w:val="bottom"/>
            <w:tcBorders>
              <w:bottom w:val="single" w:sz="8" w:color="CCEEFF"/>
            </w:tcBorders>
            <w:shd w:val="clear" w:color="auto" w:fill="CCEEFF"/>
          </w:tcPr>
          <w:p>
            <w:pPr>
              <w:spacing w:after="0"/>
              <w:rPr>
                <w:sz w:val="21"/>
                <w:szCs w:val="21"/>
                <w:color w:val="auto"/>
              </w:rPr>
            </w:pPr>
          </w:p>
        </w:tc>
        <w:tc>
          <w:tcPr>
            <w:tcW w:w="1600" w:type="dxa"/>
            <w:vAlign w:val="bottom"/>
            <w:tcBorders>
              <w:bottom w:val="single" w:sz="8" w:color="CCEEFF"/>
            </w:tcBorders>
            <w:shd w:val="clear" w:color="auto" w:fill="CCEEFF"/>
          </w:tcPr>
          <w:p>
            <w:pPr>
              <w:jc w:val="right"/>
              <w:ind w:right="55"/>
              <w:spacing w:after="0"/>
              <w:rPr>
                <w:sz w:val="20"/>
                <w:szCs w:val="20"/>
                <w:color w:val="auto"/>
              </w:rPr>
            </w:pPr>
            <w:r>
              <w:rPr>
                <w:rFonts w:ascii="Arial" w:cs="Arial" w:eastAsia="Arial" w:hAnsi="Arial"/>
                <w:sz w:val="17"/>
                <w:szCs w:val="17"/>
                <w:color w:val="auto"/>
              </w:rPr>
              <w:t>65,184</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700" w:type="dxa"/>
            <w:vAlign w:val="bottom"/>
            <w:tcBorders>
              <w:bottom w:val="single" w:sz="8" w:color="CCEEFF"/>
            </w:tcBorders>
            <w:shd w:val="clear" w:color="auto" w:fill="CCEEFF"/>
          </w:tcPr>
          <w:p>
            <w:pPr>
              <w:jc w:val="right"/>
              <w:ind w:right="55"/>
              <w:spacing w:after="0"/>
              <w:rPr>
                <w:sz w:val="20"/>
                <w:szCs w:val="20"/>
                <w:color w:val="auto"/>
              </w:rPr>
            </w:pPr>
            <w:r>
              <w:rPr>
                <w:rFonts w:ascii="Arial" w:cs="Arial" w:eastAsia="Arial" w:hAnsi="Arial"/>
                <w:sz w:val="17"/>
                <w:szCs w:val="17"/>
                <w:color w:val="auto"/>
              </w:rPr>
              <w:t>63,260</w:t>
            </w:r>
          </w:p>
        </w:tc>
        <w:tc>
          <w:tcPr>
            <w:tcW w:w="0" w:type="dxa"/>
            <w:vAlign w:val="bottom"/>
          </w:tcPr>
          <w:p>
            <w:pPr>
              <w:spacing w:after="0"/>
              <w:rPr>
                <w:sz w:val="1"/>
                <w:szCs w:val="1"/>
                <w:color w:val="auto"/>
              </w:rPr>
            </w:pPr>
          </w:p>
        </w:tc>
      </w:tr>
      <w:tr>
        <w:trPr>
          <w:trHeight w:val="219"/>
        </w:trPr>
        <w:tc>
          <w:tcPr>
            <w:tcW w:w="7320" w:type="dxa"/>
            <w:vAlign w:val="bottom"/>
          </w:tcPr>
          <w:p>
            <w:pPr>
              <w:ind w:left="20"/>
              <w:spacing w:after="0"/>
              <w:rPr>
                <w:sz w:val="20"/>
                <w:szCs w:val="20"/>
                <w:color w:val="auto"/>
              </w:rPr>
            </w:pPr>
            <w:r>
              <w:rPr>
                <w:rFonts w:ascii="Arial" w:cs="Arial" w:eastAsia="Arial" w:hAnsi="Arial"/>
                <w:sz w:val="17"/>
                <w:szCs w:val="17"/>
                <w:color w:val="auto"/>
              </w:rPr>
              <w:t>Property and equipment, net</w:t>
            </w:r>
          </w:p>
        </w:tc>
        <w:tc>
          <w:tcPr>
            <w:tcW w:w="280" w:type="dxa"/>
            <w:vAlign w:val="bottom"/>
            <w:tcBorders>
              <w:top w:val="single" w:sz="8" w:color="auto"/>
            </w:tcBorders>
          </w:tcPr>
          <w:p>
            <w:pPr>
              <w:spacing w:after="0"/>
              <w:rPr>
                <w:sz w:val="19"/>
                <w:szCs w:val="19"/>
                <w:color w:val="auto"/>
              </w:rPr>
            </w:pPr>
          </w:p>
        </w:tc>
        <w:tc>
          <w:tcPr>
            <w:tcW w:w="1600" w:type="dxa"/>
            <w:vAlign w:val="bottom"/>
            <w:tcBorders>
              <w:top w:val="single" w:sz="8" w:color="auto"/>
            </w:tcBorders>
          </w:tcPr>
          <w:p>
            <w:pPr>
              <w:jc w:val="right"/>
              <w:ind w:right="55"/>
              <w:spacing w:after="0"/>
              <w:rPr>
                <w:sz w:val="20"/>
                <w:szCs w:val="20"/>
                <w:color w:val="auto"/>
              </w:rPr>
            </w:pPr>
            <w:r>
              <w:rPr>
                <w:rFonts w:ascii="Arial" w:cs="Arial" w:eastAsia="Arial" w:hAnsi="Arial"/>
                <w:sz w:val="17"/>
                <w:szCs w:val="17"/>
                <w:color w:val="auto"/>
              </w:rPr>
              <w:t>754,263</w:t>
            </w:r>
          </w:p>
        </w:tc>
        <w:tc>
          <w:tcPr>
            <w:tcW w:w="120" w:type="dxa"/>
            <w:vAlign w:val="bottom"/>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1700" w:type="dxa"/>
            <w:vAlign w:val="bottom"/>
            <w:tcBorders>
              <w:top w:val="single" w:sz="8" w:color="auto"/>
            </w:tcBorders>
          </w:tcPr>
          <w:p>
            <w:pPr>
              <w:jc w:val="right"/>
              <w:ind w:right="55"/>
              <w:spacing w:after="0"/>
              <w:rPr>
                <w:sz w:val="20"/>
                <w:szCs w:val="20"/>
                <w:color w:val="auto"/>
              </w:rPr>
            </w:pPr>
            <w:r>
              <w:rPr>
                <w:rFonts w:ascii="Arial" w:cs="Arial" w:eastAsia="Arial" w:hAnsi="Arial"/>
                <w:sz w:val="17"/>
                <w:szCs w:val="17"/>
                <w:color w:val="auto"/>
              </w:rPr>
              <w:t>799,914</w:t>
            </w:r>
          </w:p>
        </w:tc>
        <w:tc>
          <w:tcPr>
            <w:tcW w:w="0" w:type="dxa"/>
            <w:vAlign w:val="bottom"/>
          </w:tcPr>
          <w:p>
            <w:pPr>
              <w:spacing w:after="0"/>
              <w:rPr>
                <w:sz w:val="1"/>
                <w:szCs w:val="1"/>
                <w:color w:val="auto"/>
              </w:rPr>
            </w:pPr>
          </w:p>
        </w:tc>
      </w:tr>
      <w:tr>
        <w:trPr>
          <w:trHeight w:val="31"/>
        </w:trPr>
        <w:tc>
          <w:tcPr>
            <w:tcW w:w="73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73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Restricted cash</w:t>
            </w:r>
          </w:p>
        </w:tc>
        <w:tc>
          <w:tcPr>
            <w:tcW w:w="280" w:type="dxa"/>
            <w:vAlign w:val="bottom"/>
            <w:tcBorders>
              <w:bottom w:val="single" w:sz="8" w:color="CCEEFF"/>
            </w:tcBorders>
            <w:shd w:val="clear" w:color="auto" w:fill="CCEEFF"/>
          </w:tcPr>
          <w:p>
            <w:pPr>
              <w:spacing w:after="0"/>
              <w:rPr>
                <w:sz w:val="20"/>
                <w:szCs w:val="20"/>
                <w:color w:val="auto"/>
              </w:rPr>
            </w:pPr>
          </w:p>
        </w:tc>
        <w:tc>
          <w:tcPr>
            <w:tcW w:w="1600" w:type="dxa"/>
            <w:vAlign w:val="bottom"/>
            <w:tcBorders>
              <w:bottom w:val="single" w:sz="8" w:color="CCEEFF"/>
            </w:tcBorders>
            <w:shd w:val="clear" w:color="auto" w:fill="CCEEFF"/>
          </w:tcPr>
          <w:p>
            <w:pPr>
              <w:jc w:val="right"/>
              <w:ind w:right="55"/>
              <w:spacing w:after="0"/>
              <w:rPr>
                <w:sz w:val="20"/>
                <w:szCs w:val="20"/>
                <w:color w:val="auto"/>
              </w:rPr>
            </w:pPr>
            <w:r>
              <w:rPr>
                <w:rFonts w:ascii="Arial" w:cs="Arial" w:eastAsia="Arial" w:hAnsi="Arial"/>
                <w:sz w:val="17"/>
                <w:szCs w:val="17"/>
                <w:color w:val="auto"/>
              </w:rPr>
              <w:t>51,234</w:t>
            </w:r>
          </w:p>
        </w:tc>
        <w:tc>
          <w:tcPr>
            <w:tcW w:w="12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700" w:type="dxa"/>
            <w:vAlign w:val="bottom"/>
            <w:tcBorders>
              <w:bottom w:val="single" w:sz="8" w:color="CCEEFF"/>
            </w:tcBorders>
            <w:shd w:val="clear" w:color="auto" w:fill="CCEEFF"/>
          </w:tcPr>
          <w:p>
            <w:pPr>
              <w:jc w:val="right"/>
              <w:ind w:right="55"/>
              <w:spacing w:after="0"/>
              <w:rPr>
                <w:sz w:val="20"/>
                <w:szCs w:val="20"/>
                <w:color w:val="auto"/>
              </w:rPr>
            </w:pPr>
            <w:r>
              <w:rPr>
                <w:rFonts w:ascii="Arial" w:cs="Arial" w:eastAsia="Arial" w:hAnsi="Arial"/>
                <w:sz w:val="17"/>
                <w:szCs w:val="17"/>
                <w:color w:val="auto"/>
              </w:rPr>
              <w:t>50,900</w:t>
            </w:r>
          </w:p>
        </w:tc>
        <w:tc>
          <w:tcPr>
            <w:tcW w:w="0" w:type="dxa"/>
            <w:vAlign w:val="bottom"/>
          </w:tcPr>
          <w:p>
            <w:pPr>
              <w:spacing w:after="0"/>
              <w:rPr>
                <w:sz w:val="1"/>
                <w:szCs w:val="1"/>
                <w:color w:val="auto"/>
              </w:rPr>
            </w:pPr>
          </w:p>
        </w:tc>
      </w:tr>
      <w:tr>
        <w:trPr>
          <w:trHeight w:val="226"/>
        </w:trPr>
        <w:tc>
          <w:tcPr>
            <w:tcW w:w="7320" w:type="dxa"/>
            <w:vAlign w:val="bottom"/>
          </w:tcPr>
          <w:p>
            <w:pPr>
              <w:ind w:left="20"/>
              <w:spacing w:after="0"/>
              <w:rPr>
                <w:sz w:val="20"/>
                <w:szCs w:val="20"/>
                <w:color w:val="auto"/>
              </w:rPr>
            </w:pPr>
            <w:r>
              <w:rPr>
                <w:rFonts w:ascii="Arial" w:cs="Arial" w:eastAsia="Arial" w:hAnsi="Arial"/>
                <w:sz w:val="17"/>
                <w:szCs w:val="17"/>
                <w:color w:val="auto"/>
              </w:rPr>
              <w:t>Operating lease right of use assets, net</w:t>
            </w:r>
          </w:p>
        </w:tc>
        <w:tc>
          <w:tcPr>
            <w:tcW w:w="280" w:type="dxa"/>
            <w:vAlign w:val="bottom"/>
          </w:tcPr>
          <w:p>
            <w:pPr>
              <w:spacing w:after="0"/>
              <w:rPr>
                <w:sz w:val="19"/>
                <w:szCs w:val="19"/>
                <w:color w:val="auto"/>
              </w:rPr>
            </w:pPr>
          </w:p>
        </w:tc>
        <w:tc>
          <w:tcPr>
            <w:tcW w:w="1600" w:type="dxa"/>
            <w:vAlign w:val="bottom"/>
          </w:tcPr>
          <w:p>
            <w:pPr>
              <w:jc w:val="right"/>
              <w:ind w:right="55"/>
              <w:spacing w:after="0"/>
              <w:rPr>
                <w:sz w:val="20"/>
                <w:szCs w:val="20"/>
                <w:color w:val="auto"/>
              </w:rPr>
            </w:pPr>
            <w:r>
              <w:rPr>
                <w:rFonts w:ascii="Arial" w:cs="Arial" w:eastAsia="Arial" w:hAnsi="Arial"/>
                <w:sz w:val="17"/>
                <w:szCs w:val="17"/>
                <w:color w:val="auto"/>
              </w:rPr>
              <w:t>14,926</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700" w:type="dxa"/>
            <w:vAlign w:val="bottom"/>
          </w:tcPr>
          <w:p>
            <w:pPr>
              <w:jc w:val="right"/>
              <w:ind w:right="55"/>
              <w:spacing w:after="0"/>
              <w:rPr>
                <w:sz w:val="20"/>
                <w:szCs w:val="20"/>
                <w:color w:val="auto"/>
              </w:rPr>
            </w:pPr>
            <w:r>
              <w:rPr>
                <w:rFonts w:ascii="Arial" w:cs="Arial" w:eastAsia="Arial" w:hAnsi="Arial"/>
                <w:sz w:val="17"/>
                <w:szCs w:val="17"/>
                <w:color w:val="auto"/>
              </w:rPr>
              <w:t>15,871</w:t>
            </w:r>
          </w:p>
        </w:tc>
        <w:tc>
          <w:tcPr>
            <w:tcW w:w="0" w:type="dxa"/>
            <w:vAlign w:val="bottom"/>
          </w:tcPr>
          <w:p>
            <w:pPr>
              <w:spacing w:after="0"/>
              <w:rPr>
                <w:sz w:val="1"/>
                <w:szCs w:val="1"/>
                <w:color w:val="auto"/>
              </w:rPr>
            </w:pPr>
          </w:p>
        </w:tc>
      </w:tr>
      <w:tr>
        <w:trPr>
          <w:trHeight w:val="31"/>
        </w:trPr>
        <w:tc>
          <w:tcPr>
            <w:tcW w:w="73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5"/>
        </w:trPr>
        <w:tc>
          <w:tcPr>
            <w:tcW w:w="7320" w:type="dxa"/>
            <w:vAlign w:val="bottom"/>
            <w:shd w:val="clear" w:color="auto" w:fill="CCEEFF"/>
          </w:tcPr>
          <w:p>
            <w:pPr>
              <w:ind w:left="20"/>
              <w:spacing w:after="0"/>
              <w:rPr>
                <w:sz w:val="20"/>
                <w:szCs w:val="20"/>
                <w:color w:val="auto"/>
              </w:rPr>
            </w:pPr>
            <w:r>
              <w:rPr>
                <w:rFonts w:ascii="Arial" w:cs="Arial" w:eastAsia="Arial" w:hAnsi="Arial"/>
                <w:sz w:val="17"/>
                <w:szCs w:val="17"/>
                <w:color w:val="auto"/>
              </w:rPr>
              <w:t>Intangible and other assets, net of accumulated amortization of $9,427 and $9,009, respectively</w:t>
            </w:r>
          </w:p>
        </w:tc>
        <w:tc>
          <w:tcPr>
            <w:tcW w:w="280" w:type="dxa"/>
            <w:vAlign w:val="bottom"/>
            <w:tcBorders>
              <w:bottom w:val="single" w:sz="8" w:color="auto"/>
            </w:tcBorders>
            <w:shd w:val="clear" w:color="auto" w:fill="CCEEFF"/>
          </w:tcPr>
          <w:p>
            <w:pPr>
              <w:spacing w:after="0"/>
              <w:rPr>
                <w:sz w:val="22"/>
                <w:szCs w:val="22"/>
                <w:color w:val="auto"/>
              </w:rPr>
            </w:pPr>
          </w:p>
        </w:tc>
        <w:tc>
          <w:tcPr>
            <w:tcW w:w="1600" w:type="dxa"/>
            <w:vAlign w:val="bottom"/>
            <w:tcBorders>
              <w:bottom w:val="single" w:sz="8" w:color="auto"/>
            </w:tcBorders>
            <w:shd w:val="clear" w:color="auto" w:fill="CCEEFF"/>
          </w:tcPr>
          <w:p>
            <w:pPr>
              <w:jc w:val="right"/>
              <w:ind w:right="55"/>
              <w:spacing w:after="0"/>
              <w:rPr>
                <w:sz w:val="20"/>
                <w:szCs w:val="20"/>
                <w:color w:val="auto"/>
              </w:rPr>
            </w:pPr>
            <w:r>
              <w:rPr>
                <w:rFonts w:ascii="Arial" w:cs="Arial" w:eastAsia="Arial" w:hAnsi="Arial"/>
                <w:sz w:val="17"/>
                <w:szCs w:val="17"/>
                <w:color w:val="auto"/>
              </w:rPr>
              <w:t>37,943</w:t>
            </w:r>
          </w:p>
        </w:tc>
        <w:tc>
          <w:tcPr>
            <w:tcW w:w="120" w:type="dxa"/>
            <w:vAlign w:val="bottom"/>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spacing w:after="0"/>
              <w:rPr>
                <w:sz w:val="22"/>
                <w:szCs w:val="22"/>
                <w:color w:val="auto"/>
              </w:rPr>
            </w:pPr>
          </w:p>
        </w:tc>
        <w:tc>
          <w:tcPr>
            <w:tcW w:w="1700" w:type="dxa"/>
            <w:vAlign w:val="bottom"/>
            <w:tcBorders>
              <w:bottom w:val="single" w:sz="8" w:color="auto"/>
            </w:tcBorders>
            <w:shd w:val="clear" w:color="auto" w:fill="CCEEFF"/>
          </w:tcPr>
          <w:p>
            <w:pPr>
              <w:jc w:val="right"/>
              <w:ind w:right="55"/>
              <w:spacing w:after="0"/>
              <w:rPr>
                <w:sz w:val="20"/>
                <w:szCs w:val="20"/>
                <w:color w:val="auto"/>
              </w:rPr>
            </w:pPr>
            <w:r>
              <w:rPr>
                <w:rFonts w:ascii="Arial" w:cs="Arial" w:eastAsia="Arial" w:hAnsi="Arial"/>
                <w:sz w:val="17"/>
                <w:szCs w:val="17"/>
                <w:color w:val="auto"/>
              </w:rPr>
              <w:t>35,645</w:t>
            </w:r>
          </w:p>
        </w:tc>
        <w:tc>
          <w:tcPr>
            <w:tcW w:w="0" w:type="dxa"/>
            <w:vAlign w:val="bottom"/>
          </w:tcPr>
          <w:p>
            <w:pPr>
              <w:spacing w:after="0"/>
              <w:rPr>
                <w:sz w:val="1"/>
                <w:szCs w:val="1"/>
                <w:color w:val="auto"/>
              </w:rPr>
            </w:pPr>
          </w:p>
        </w:tc>
      </w:tr>
      <w:tr>
        <w:trPr>
          <w:trHeight w:val="250"/>
        </w:trPr>
        <w:tc>
          <w:tcPr>
            <w:tcW w:w="7320" w:type="dxa"/>
            <w:vAlign w:val="bottom"/>
          </w:tcPr>
          <w:p>
            <w:pPr>
              <w:ind w:left="440"/>
              <w:spacing w:after="0"/>
              <w:rPr>
                <w:sz w:val="20"/>
                <w:szCs w:val="20"/>
                <w:color w:val="auto"/>
              </w:rPr>
            </w:pPr>
            <w:r>
              <w:rPr>
                <w:rFonts w:ascii="Arial" w:cs="Arial" w:eastAsia="Arial" w:hAnsi="Arial"/>
                <w:sz w:val="17"/>
                <w:szCs w:val="17"/>
                <w:color w:val="auto"/>
              </w:rPr>
              <w:t>Total assets</w:t>
            </w:r>
          </w:p>
        </w:tc>
        <w:tc>
          <w:tcPr>
            <w:tcW w:w="280" w:type="dxa"/>
            <w:vAlign w:val="bottom"/>
            <w:tcBorders>
              <w:bottom w:val="single" w:sz="8" w:color="auto"/>
            </w:tcBorders>
          </w:tcPr>
          <w:p>
            <w:pPr>
              <w:jc w:val="right"/>
              <w:ind w:right="95"/>
              <w:spacing w:after="0"/>
              <w:rPr>
                <w:sz w:val="20"/>
                <w:szCs w:val="20"/>
                <w:color w:val="auto"/>
              </w:rPr>
            </w:pPr>
            <w:r>
              <w:rPr>
                <w:rFonts w:ascii="Arial" w:cs="Arial" w:eastAsia="Arial" w:hAnsi="Arial"/>
                <w:sz w:val="17"/>
                <w:szCs w:val="17"/>
                <w:color w:val="auto"/>
                <w:w w:val="84"/>
              </w:rPr>
              <w:t>$</w:t>
            </w:r>
          </w:p>
        </w:tc>
        <w:tc>
          <w:tcPr>
            <w:tcW w:w="1600" w:type="dxa"/>
            <w:vAlign w:val="bottom"/>
            <w:tcBorders>
              <w:bottom w:val="single" w:sz="8" w:color="auto"/>
            </w:tcBorders>
          </w:tcPr>
          <w:p>
            <w:pPr>
              <w:jc w:val="right"/>
              <w:ind w:right="55"/>
              <w:spacing w:after="0"/>
              <w:rPr>
                <w:sz w:val="20"/>
                <w:szCs w:val="20"/>
                <w:color w:val="auto"/>
              </w:rPr>
            </w:pPr>
            <w:r>
              <w:rPr>
                <w:rFonts w:ascii="Arial" w:cs="Arial" w:eastAsia="Arial" w:hAnsi="Arial"/>
                <w:sz w:val="17"/>
                <w:szCs w:val="17"/>
                <w:color w:val="auto"/>
              </w:rPr>
              <w:t>923,550</w:t>
            </w:r>
          </w:p>
        </w:tc>
        <w:tc>
          <w:tcPr>
            <w:tcW w:w="120" w:type="dxa"/>
            <w:vAlign w:val="bottom"/>
          </w:tcPr>
          <w:p>
            <w:pPr>
              <w:spacing w:after="0"/>
              <w:rPr>
                <w:sz w:val="21"/>
                <w:szCs w:val="21"/>
                <w:color w:val="auto"/>
              </w:rPr>
            </w:pP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700" w:type="dxa"/>
            <w:vAlign w:val="bottom"/>
            <w:tcBorders>
              <w:bottom w:val="single" w:sz="8" w:color="auto"/>
            </w:tcBorders>
          </w:tcPr>
          <w:p>
            <w:pPr>
              <w:jc w:val="right"/>
              <w:ind w:right="55"/>
              <w:spacing w:after="0"/>
              <w:rPr>
                <w:sz w:val="20"/>
                <w:szCs w:val="20"/>
                <w:color w:val="auto"/>
              </w:rPr>
            </w:pPr>
            <w:r>
              <w:rPr>
                <w:rFonts w:ascii="Arial" w:cs="Arial" w:eastAsia="Arial" w:hAnsi="Arial"/>
                <w:sz w:val="17"/>
                <w:szCs w:val="17"/>
                <w:color w:val="auto"/>
              </w:rPr>
              <w:t>965,590</w:t>
            </w:r>
          </w:p>
        </w:tc>
        <w:tc>
          <w:tcPr>
            <w:tcW w:w="0" w:type="dxa"/>
            <w:vAlign w:val="bottom"/>
          </w:tcPr>
          <w:p>
            <w:pPr>
              <w:spacing w:after="0"/>
              <w:rPr>
                <w:sz w:val="1"/>
                <w:szCs w:val="1"/>
                <w:color w:val="auto"/>
              </w:rPr>
            </w:pPr>
          </w:p>
        </w:tc>
      </w:tr>
      <w:tr>
        <w:trPr>
          <w:trHeight w:val="20"/>
        </w:trPr>
        <w:tc>
          <w:tcPr>
            <w:tcW w:w="732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2"/>
        </w:trPr>
        <w:tc>
          <w:tcPr>
            <w:tcW w:w="7320" w:type="dxa"/>
            <w:vAlign w:val="bottom"/>
            <w:tcBorders>
              <w:bottom w:val="single" w:sz="8" w:color="CCEEFF"/>
            </w:tcBorders>
            <w:shd w:val="clear" w:color="auto" w:fill="CCEEFF"/>
          </w:tcPr>
          <w:p>
            <w:pPr>
              <w:ind w:left="1800"/>
              <w:spacing w:after="0"/>
              <w:rPr>
                <w:sz w:val="20"/>
                <w:szCs w:val="20"/>
                <w:color w:val="auto"/>
              </w:rPr>
            </w:pPr>
            <w:r>
              <w:rPr>
                <w:rFonts w:ascii="Arial" w:cs="Arial" w:eastAsia="Arial" w:hAnsi="Arial"/>
                <w:sz w:val="17"/>
                <w:szCs w:val="17"/>
                <w:b w:val="1"/>
                <w:bCs w:val="1"/>
                <w:color w:val="auto"/>
              </w:rPr>
              <w:t>LIABILITIES AND STOCKHOLDERS’ EQUITY</w:t>
            </w:r>
          </w:p>
        </w:tc>
        <w:tc>
          <w:tcPr>
            <w:tcW w:w="280" w:type="dxa"/>
            <w:vAlign w:val="bottom"/>
            <w:tcBorders>
              <w:bottom w:val="single" w:sz="8" w:color="CCEEFF"/>
            </w:tcBorders>
            <w:shd w:val="clear" w:color="auto" w:fill="CCEEFF"/>
          </w:tcPr>
          <w:p>
            <w:pPr>
              <w:spacing w:after="0"/>
              <w:rPr>
                <w:sz w:val="20"/>
                <w:szCs w:val="20"/>
                <w:color w:val="auto"/>
              </w:rPr>
            </w:pPr>
          </w:p>
        </w:tc>
        <w:tc>
          <w:tcPr>
            <w:tcW w:w="16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70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26"/>
        </w:trPr>
        <w:tc>
          <w:tcPr>
            <w:tcW w:w="7320" w:type="dxa"/>
            <w:vAlign w:val="bottom"/>
          </w:tcPr>
          <w:p>
            <w:pPr>
              <w:ind w:left="20"/>
              <w:spacing w:after="0"/>
              <w:rPr>
                <w:sz w:val="20"/>
                <w:szCs w:val="20"/>
                <w:color w:val="auto"/>
              </w:rPr>
            </w:pPr>
            <w:r>
              <w:rPr>
                <w:rFonts w:ascii="Arial" w:cs="Arial" w:eastAsia="Arial" w:hAnsi="Arial"/>
                <w:sz w:val="17"/>
                <w:szCs w:val="17"/>
                <w:color w:val="auto"/>
              </w:rPr>
              <w:t>Current liabilities:</w:t>
            </w:r>
          </w:p>
        </w:tc>
        <w:tc>
          <w:tcPr>
            <w:tcW w:w="28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7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1"/>
        </w:trPr>
        <w:tc>
          <w:tcPr>
            <w:tcW w:w="73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732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7"/>
                <w:szCs w:val="17"/>
                <w:color w:val="auto"/>
              </w:rPr>
              <w:t>Current portion of long-term debt</w:t>
            </w:r>
          </w:p>
        </w:tc>
        <w:tc>
          <w:tcPr>
            <w:tcW w:w="280" w:type="dxa"/>
            <w:vAlign w:val="bottom"/>
            <w:tcBorders>
              <w:bottom w:val="single" w:sz="8" w:color="CCEEFF"/>
            </w:tcBorders>
            <w:shd w:val="clear" w:color="auto" w:fill="CCEEFF"/>
          </w:tcPr>
          <w:p>
            <w:pPr>
              <w:jc w:val="right"/>
              <w:ind w:right="95"/>
              <w:spacing w:after="0"/>
              <w:rPr>
                <w:sz w:val="20"/>
                <w:szCs w:val="20"/>
                <w:color w:val="auto"/>
              </w:rPr>
            </w:pPr>
            <w:r>
              <w:rPr>
                <w:rFonts w:ascii="Arial" w:cs="Arial" w:eastAsia="Arial" w:hAnsi="Arial"/>
                <w:sz w:val="17"/>
                <w:szCs w:val="17"/>
                <w:color w:val="auto"/>
                <w:w w:val="84"/>
              </w:rPr>
              <w:t>$</w:t>
            </w:r>
          </w:p>
        </w:tc>
        <w:tc>
          <w:tcPr>
            <w:tcW w:w="1600" w:type="dxa"/>
            <w:vAlign w:val="bottom"/>
            <w:tcBorders>
              <w:bottom w:val="single" w:sz="8" w:color="CCEEFF"/>
            </w:tcBorders>
            <w:shd w:val="clear" w:color="auto" w:fill="CCEEFF"/>
          </w:tcPr>
          <w:p>
            <w:pPr>
              <w:jc w:val="right"/>
              <w:ind w:right="55"/>
              <w:spacing w:after="0"/>
              <w:rPr>
                <w:sz w:val="20"/>
                <w:szCs w:val="20"/>
                <w:color w:val="auto"/>
              </w:rPr>
            </w:pPr>
            <w:r>
              <w:rPr>
                <w:rFonts w:ascii="Arial" w:cs="Arial" w:eastAsia="Arial" w:hAnsi="Arial"/>
                <w:sz w:val="17"/>
                <w:szCs w:val="17"/>
                <w:color w:val="auto"/>
              </w:rPr>
              <w:t>45,000</w:t>
            </w:r>
          </w:p>
        </w:tc>
        <w:tc>
          <w:tcPr>
            <w:tcW w:w="12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700" w:type="dxa"/>
            <w:vAlign w:val="bottom"/>
            <w:tcBorders>
              <w:bottom w:val="single" w:sz="8" w:color="CCEEFF"/>
            </w:tcBorders>
            <w:shd w:val="clear" w:color="auto" w:fill="CCEEFF"/>
          </w:tcPr>
          <w:p>
            <w:pPr>
              <w:jc w:val="right"/>
              <w:ind w:right="55"/>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25"/>
        </w:trPr>
        <w:tc>
          <w:tcPr>
            <w:tcW w:w="7320" w:type="dxa"/>
            <w:vAlign w:val="bottom"/>
          </w:tcPr>
          <w:p>
            <w:pPr>
              <w:ind w:left="200"/>
              <w:spacing w:after="0"/>
              <w:rPr>
                <w:sz w:val="20"/>
                <w:szCs w:val="20"/>
                <w:color w:val="auto"/>
              </w:rPr>
            </w:pPr>
            <w:r>
              <w:rPr>
                <w:rFonts w:ascii="Arial" w:cs="Arial" w:eastAsia="Arial" w:hAnsi="Arial"/>
                <w:sz w:val="17"/>
                <w:szCs w:val="17"/>
                <w:color w:val="auto"/>
              </w:rPr>
              <w:t>Accounts payable</w:t>
            </w:r>
          </w:p>
        </w:tc>
        <w:tc>
          <w:tcPr>
            <w:tcW w:w="280" w:type="dxa"/>
            <w:vAlign w:val="bottom"/>
          </w:tcPr>
          <w:p>
            <w:pPr>
              <w:spacing w:after="0"/>
              <w:rPr>
                <w:sz w:val="19"/>
                <w:szCs w:val="19"/>
                <w:color w:val="auto"/>
              </w:rPr>
            </w:pPr>
          </w:p>
        </w:tc>
        <w:tc>
          <w:tcPr>
            <w:tcW w:w="1600" w:type="dxa"/>
            <w:vAlign w:val="bottom"/>
          </w:tcPr>
          <w:p>
            <w:pPr>
              <w:jc w:val="right"/>
              <w:ind w:right="55"/>
              <w:spacing w:after="0"/>
              <w:rPr>
                <w:sz w:val="20"/>
                <w:szCs w:val="20"/>
                <w:color w:val="auto"/>
              </w:rPr>
            </w:pPr>
            <w:r>
              <w:rPr>
                <w:rFonts w:ascii="Arial" w:cs="Arial" w:eastAsia="Arial" w:hAnsi="Arial"/>
                <w:sz w:val="17"/>
                <w:szCs w:val="17"/>
                <w:color w:val="auto"/>
              </w:rPr>
              <w:t>4,714</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700" w:type="dxa"/>
            <w:vAlign w:val="bottom"/>
          </w:tcPr>
          <w:p>
            <w:pPr>
              <w:jc w:val="right"/>
              <w:ind w:right="55"/>
              <w:spacing w:after="0"/>
              <w:rPr>
                <w:sz w:val="20"/>
                <w:szCs w:val="20"/>
                <w:color w:val="auto"/>
              </w:rPr>
            </w:pPr>
            <w:r>
              <w:rPr>
                <w:rFonts w:ascii="Arial" w:cs="Arial" w:eastAsia="Arial" w:hAnsi="Arial"/>
                <w:sz w:val="17"/>
                <w:szCs w:val="17"/>
                <w:color w:val="auto"/>
              </w:rPr>
              <w:t>8,015</w:t>
            </w:r>
          </w:p>
        </w:tc>
        <w:tc>
          <w:tcPr>
            <w:tcW w:w="0" w:type="dxa"/>
            <w:vAlign w:val="bottom"/>
          </w:tcPr>
          <w:p>
            <w:pPr>
              <w:spacing w:after="0"/>
              <w:rPr>
                <w:sz w:val="1"/>
                <w:szCs w:val="1"/>
                <w:color w:val="auto"/>
              </w:rPr>
            </w:pPr>
          </w:p>
        </w:tc>
      </w:tr>
      <w:tr>
        <w:trPr>
          <w:trHeight w:val="31"/>
        </w:trPr>
        <w:tc>
          <w:tcPr>
            <w:tcW w:w="73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732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7"/>
                <w:szCs w:val="17"/>
                <w:color w:val="auto"/>
              </w:rPr>
              <w:t>Accrued expenses</w:t>
            </w:r>
          </w:p>
        </w:tc>
        <w:tc>
          <w:tcPr>
            <w:tcW w:w="280" w:type="dxa"/>
            <w:vAlign w:val="bottom"/>
            <w:tcBorders>
              <w:bottom w:val="single" w:sz="8" w:color="CCEEFF"/>
            </w:tcBorders>
            <w:shd w:val="clear" w:color="auto" w:fill="CCEEFF"/>
          </w:tcPr>
          <w:p>
            <w:pPr>
              <w:spacing w:after="0"/>
              <w:rPr>
                <w:sz w:val="20"/>
                <w:szCs w:val="20"/>
                <w:color w:val="auto"/>
              </w:rPr>
            </w:pPr>
          </w:p>
        </w:tc>
        <w:tc>
          <w:tcPr>
            <w:tcW w:w="1600" w:type="dxa"/>
            <w:vAlign w:val="bottom"/>
            <w:tcBorders>
              <w:bottom w:val="single" w:sz="8" w:color="CCEEFF"/>
            </w:tcBorders>
            <w:shd w:val="clear" w:color="auto" w:fill="CCEEFF"/>
          </w:tcPr>
          <w:p>
            <w:pPr>
              <w:jc w:val="right"/>
              <w:ind w:right="55"/>
              <w:spacing w:after="0"/>
              <w:rPr>
                <w:sz w:val="20"/>
                <w:szCs w:val="20"/>
                <w:color w:val="auto"/>
              </w:rPr>
            </w:pPr>
            <w:r>
              <w:rPr>
                <w:rFonts w:ascii="Arial" w:cs="Arial" w:eastAsia="Arial" w:hAnsi="Arial"/>
                <w:sz w:val="17"/>
                <w:szCs w:val="17"/>
                <w:color w:val="auto"/>
              </w:rPr>
              <w:t>23,624</w:t>
            </w:r>
          </w:p>
        </w:tc>
        <w:tc>
          <w:tcPr>
            <w:tcW w:w="12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700" w:type="dxa"/>
            <w:vAlign w:val="bottom"/>
            <w:tcBorders>
              <w:bottom w:val="single" w:sz="8" w:color="CCEEFF"/>
            </w:tcBorders>
            <w:shd w:val="clear" w:color="auto" w:fill="CCEEFF"/>
          </w:tcPr>
          <w:p>
            <w:pPr>
              <w:jc w:val="right"/>
              <w:ind w:right="55"/>
              <w:spacing w:after="0"/>
              <w:rPr>
                <w:sz w:val="20"/>
                <w:szCs w:val="20"/>
                <w:color w:val="auto"/>
              </w:rPr>
            </w:pPr>
            <w:r>
              <w:rPr>
                <w:rFonts w:ascii="Arial" w:cs="Arial" w:eastAsia="Arial" w:hAnsi="Arial"/>
                <w:sz w:val="17"/>
                <w:szCs w:val="17"/>
                <w:color w:val="auto"/>
              </w:rPr>
              <w:t>24,874</w:t>
            </w:r>
          </w:p>
        </w:tc>
        <w:tc>
          <w:tcPr>
            <w:tcW w:w="0" w:type="dxa"/>
            <w:vAlign w:val="bottom"/>
          </w:tcPr>
          <w:p>
            <w:pPr>
              <w:spacing w:after="0"/>
              <w:rPr>
                <w:sz w:val="1"/>
                <w:szCs w:val="1"/>
                <w:color w:val="auto"/>
              </w:rPr>
            </w:pPr>
          </w:p>
        </w:tc>
      </w:tr>
      <w:tr>
        <w:trPr>
          <w:trHeight w:val="225"/>
        </w:trPr>
        <w:tc>
          <w:tcPr>
            <w:tcW w:w="7320" w:type="dxa"/>
            <w:vAlign w:val="bottom"/>
          </w:tcPr>
          <w:p>
            <w:pPr>
              <w:ind w:left="200"/>
              <w:spacing w:after="0"/>
              <w:rPr>
                <w:sz w:val="20"/>
                <w:szCs w:val="20"/>
                <w:color w:val="auto"/>
              </w:rPr>
            </w:pPr>
            <w:r>
              <w:rPr>
                <w:rFonts w:ascii="Arial" w:cs="Arial" w:eastAsia="Arial" w:hAnsi="Arial"/>
                <w:sz w:val="17"/>
                <w:szCs w:val="17"/>
                <w:color w:val="auto"/>
              </w:rPr>
              <w:t>Payables to affiliates</w:t>
            </w:r>
          </w:p>
        </w:tc>
        <w:tc>
          <w:tcPr>
            <w:tcW w:w="280" w:type="dxa"/>
            <w:vAlign w:val="bottom"/>
          </w:tcPr>
          <w:p>
            <w:pPr>
              <w:spacing w:after="0"/>
              <w:rPr>
                <w:sz w:val="19"/>
                <w:szCs w:val="19"/>
                <w:color w:val="auto"/>
              </w:rPr>
            </w:pPr>
          </w:p>
        </w:tc>
        <w:tc>
          <w:tcPr>
            <w:tcW w:w="1600" w:type="dxa"/>
            <w:vAlign w:val="bottom"/>
          </w:tcPr>
          <w:p>
            <w:pPr>
              <w:jc w:val="right"/>
              <w:ind w:right="55"/>
              <w:spacing w:after="0"/>
              <w:rPr>
                <w:sz w:val="20"/>
                <w:szCs w:val="20"/>
                <w:color w:val="auto"/>
              </w:rPr>
            </w:pPr>
            <w:r>
              <w:rPr>
                <w:rFonts w:ascii="Arial" w:cs="Arial" w:eastAsia="Arial" w:hAnsi="Arial"/>
                <w:sz w:val="17"/>
                <w:szCs w:val="17"/>
                <w:color w:val="auto"/>
              </w:rPr>
              <w:t>361</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700" w:type="dxa"/>
            <w:vAlign w:val="bottom"/>
          </w:tcPr>
          <w:p>
            <w:pPr>
              <w:jc w:val="right"/>
              <w:ind w:right="55"/>
              <w:spacing w:after="0"/>
              <w:rPr>
                <w:sz w:val="20"/>
                <w:szCs w:val="20"/>
                <w:color w:val="auto"/>
              </w:rPr>
            </w:pPr>
            <w:r>
              <w:rPr>
                <w:rFonts w:ascii="Arial" w:cs="Arial" w:eastAsia="Arial" w:hAnsi="Arial"/>
                <w:sz w:val="17"/>
                <w:szCs w:val="17"/>
                <w:color w:val="auto"/>
              </w:rPr>
              <w:t>261</w:t>
            </w:r>
          </w:p>
        </w:tc>
        <w:tc>
          <w:tcPr>
            <w:tcW w:w="0" w:type="dxa"/>
            <w:vAlign w:val="bottom"/>
          </w:tcPr>
          <w:p>
            <w:pPr>
              <w:spacing w:after="0"/>
              <w:rPr>
                <w:sz w:val="1"/>
                <w:szCs w:val="1"/>
                <w:color w:val="auto"/>
              </w:rPr>
            </w:pPr>
          </w:p>
        </w:tc>
      </w:tr>
      <w:tr>
        <w:trPr>
          <w:trHeight w:val="31"/>
        </w:trPr>
        <w:tc>
          <w:tcPr>
            <w:tcW w:w="73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7"/>
        </w:trPr>
        <w:tc>
          <w:tcPr>
            <w:tcW w:w="732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7"/>
                <w:szCs w:val="17"/>
                <w:color w:val="auto"/>
              </w:rPr>
              <w:t>Deferred revenue</w:t>
            </w:r>
          </w:p>
        </w:tc>
        <w:tc>
          <w:tcPr>
            <w:tcW w:w="280" w:type="dxa"/>
            <w:vAlign w:val="bottom"/>
            <w:tcBorders>
              <w:bottom w:val="single" w:sz="8" w:color="CCEEFF"/>
            </w:tcBorders>
            <w:shd w:val="clear" w:color="auto" w:fill="CCEEFF"/>
          </w:tcPr>
          <w:p>
            <w:pPr>
              <w:spacing w:after="0"/>
              <w:rPr>
                <w:sz w:val="22"/>
                <w:szCs w:val="22"/>
                <w:color w:val="auto"/>
              </w:rPr>
            </w:pPr>
          </w:p>
        </w:tc>
        <w:tc>
          <w:tcPr>
            <w:tcW w:w="1600" w:type="dxa"/>
            <w:vAlign w:val="bottom"/>
            <w:tcBorders>
              <w:bottom w:val="single" w:sz="8" w:color="CCEEFF"/>
            </w:tcBorders>
            <w:shd w:val="clear" w:color="auto" w:fill="CCEEFF"/>
          </w:tcPr>
          <w:p>
            <w:pPr>
              <w:jc w:val="right"/>
              <w:ind w:right="55"/>
              <w:spacing w:after="0"/>
              <w:rPr>
                <w:sz w:val="20"/>
                <w:szCs w:val="20"/>
                <w:color w:val="auto"/>
              </w:rPr>
            </w:pPr>
            <w:r>
              <w:rPr>
                <w:rFonts w:ascii="Arial" w:cs="Arial" w:eastAsia="Arial" w:hAnsi="Arial"/>
                <w:sz w:val="17"/>
                <w:szCs w:val="17"/>
                <w:color w:val="auto"/>
              </w:rPr>
              <w:t>26,987</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700" w:type="dxa"/>
            <w:vAlign w:val="bottom"/>
            <w:tcBorders>
              <w:bottom w:val="single" w:sz="8" w:color="CCEEFF"/>
            </w:tcBorders>
            <w:shd w:val="clear" w:color="auto" w:fill="CCEEFF"/>
          </w:tcPr>
          <w:p>
            <w:pPr>
              <w:jc w:val="right"/>
              <w:ind w:right="55"/>
              <w:spacing w:after="0"/>
              <w:rPr>
                <w:sz w:val="20"/>
                <w:szCs w:val="20"/>
                <w:color w:val="auto"/>
              </w:rPr>
            </w:pPr>
            <w:r>
              <w:rPr>
                <w:rFonts w:ascii="Arial" w:cs="Arial" w:eastAsia="Arial" w:hAnsi="Arial"/>
                <w:sz w:val="17"/>
                <w:szCs w:val="17"/>
                <w:color w:val="auto"/>
              </w:rPr>
              <w:t>29,910</w:t>
            </w:r>
          </w:p>
        </w:tc>
        <w:tc>
          <w:tcPr>
            <w:tcW w:w="0" w:type="dxa"/>
            <w:vAlign w:val="bottom"/>
          </w:tcPr>
          <w:p>
            <w:pPr>
              <w:spacing w:after="0"/>
              <w:rPr>
                <w:sz w:val="1"/>
                <w:szCs w:val="1"/>
                <w:color w:val="auto"/>
              </w:rPr>
            </w:pPr>
          </w:p>
        </w:tc>
      </w:tr>
      <w:tr>
        <w:trPr>
          <w:trHeight w:val="219"/>
        </w:trPr>
        <w:tc>
          <w:tcPr>
            <w:tcW w:w="7320" w:type="dxa"/>
            <w:vAlign w:val="bottom"/>
          </w:tcPr>
          <w:p>
            <w:pPr>
              <w:ind w:left="440"/>
              <w:spacing w:after="0"/>
              <w:rPr>
                <w:sz w:val="20"/>
                <w:szCs w:val="20"/>
                <w:color w:val="auto"/>
              </w:rPr>
            </w:pPr>
            <w:r>
              <w:rPr>
                <w:rFonts w:ascii="Arial" w:cs="Arial" w:eastAsia="Arial" w:hAnsi="Arial"/>
                <w:sz w:val="17"/>
                <w:szCs w:val="17"/>
                <w:color w:val="auto"/>
              </w:rPr>
              <w:t>Total current liabilities</w:t>
            </w:r>
          </w:p>
        </w:tc>
        <w:tc>
          <w:tcPr>
            <w:tcW w:w="280" w:type="dxa"/>
            <w:vAlign w:val="bottom"/>
            <w:tcBorders>
              <w:top w:val="single" w:sz="8" w:color="auto"/>
            </w:tcBorders>
          </w:tcPr>
          <w:p>
            <w:pPr>
              <w:spacing w:after="0"/>
              <w:rPr>
                <w:sz w:val="19"/>
                <w:szCs w:val="19"/>
                <w:color w:val="auto"/>
              </w:rPr>
            </w:pPr>
          </w:p>
        </w:tc>
        <w:tc>
          <w:tcPr>
            <w:tcW w:w="1600" w:type="dxa"/>
            <w:vAlign w:val="bottom"/>
            <w:tcBorders>
              <w:top w:val="single" w:sz="8" w:color="auto"/>
            </w:tcBorders>
          </w:tcPr>
          <w:p>
            <w:pPr>
              <w:jc w:val="right"/>
              <w:ind w:right="55"/>
              <w:spacing w:after="0"/>
              <w:rPr>
                <w:sz w:val="20"/>
                <w:szCs w:val="20"/>
                <w:color w:val="auto"/>
              </w:rPr>
            </w:pPr>
            <w:r>
              <w:rPr>
                <w:rFonts w:ascii="Arial" w:cs="Arial" w:eastAsia="Arial" w:hAnsi="Arial"/>
                <w:sz w:val="17"/>
                <w:szCs w:val="17"/>
                <w:color w:val="auto"/>
              </w:rPr>
              <w:t>100,686</w:t>
            </w:r>
          </w:p>
        </w:tc>
        <w:tc>
          <w:tcPr>
            <w:tcW w:w="120" w:type="dxa"/>
            <w:vAlign w:val="bottom"/>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1700" w:type="dxa"/>
            <w:vAlign w:val="bottom"/>
            <w:tcBorders>
              <w:top w:val="single" w:sz="8" w:color="auto"/>
            </w:tcBorders>
          </w:tcPr>
          <w:p>
            <w:pPr>
              <w:jc w:val="right"/>
              <w:ind w:right="55"/>
              <w:spacing w:after="0"/>
              <w:rPr>
                <w:sz w:val="20"/>
                <w:szCs w:val="20"/>
                <w:color w:val="auto"/>
              </w:rPr>
            </w:pPr>
            <w:r>
              <w:rPr>
                <w:rFonts w:ascii="Arial" w:cs="Arial" w:eastAsia="Arial" w:hAnsi="Arial"/>
                <w:sz w:val="17"/>
                <w:szCs w:val="17"/>
                <w:color w:val="auto"/>
              </w:rPr>
              <w:t>63,060</w:t>
            </w:r>
          </w:p>
        </w:tc>
        <w:tc>
          <w:tcPr>
            <w:tcW w:w="0" w:type="dxa"/>
            <w:vAlign w:val="bottom"/>
          </w:tcPr>
          <w:p>
            <w:pPr>
              <w:spacing w:after="0"/>
              <w:rPr>
                <w:sz w:val="1"/>
                <w:szCs w:val="1"/>
                <w:color w:val="auto"/>
              </w:rPr>
            </w:pPr>
          </w:p>
        </w:tc>
      </w:tr>
      <w:tr>
        <w:trPr>
          <w:trHeight w:val="31"/>
        </w:trPr>
        <w:tc>
          <w:tcPr>
            <w:tcW w:w="73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73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Long-term debt, less current portion</w:t>
            </w:r>
          </w:p>
        </w:tc>
        <w:tc>
          <w:tcPr>
            <w:tcW w:w="280" w:type="dxa"/>
            <w:vAlign w:val="bottom"/>
            <w:tcBorders>
              <w:bottom w:val="single" w:sz="8" w:color="CCEEFF"/>
            </w:tcBorders>
            <w:shd w:val="clear" w:color="auto" w:fill="CCEEFF"/>
          </w:tcPr>
          <w:p>
            <w:pPr>
              <w:spacing w:after="0"/>
              <w:rPr>
                <w:sz w:val="20"/>
                <w:szCs w:val="20"/>
                <w:color w:val="auto"/>
              </w:rPr>
            </w:pPr>
          </w:p>
        </w:tc>
        <w:tc>
          <w:tcPr>
            <w:tcW w:w="1600" w:type="dxa"/>
            <w:vAlign w:val="bottom"/>
            <w:tcBorders>
              <w:bottom w:val="single" w:sz="8" w:color="CCEEFF"/>
            </w:tcBorders>
            <w:shd w:val="clear" w:color="auto" w:fill="CCEEFF"/>
          </w:tcPr>
          <w:p>
            <w:pPr>
              <w:jc w:val="right"/>
              <w:ind w:right="55"/>
              <w:spacing w:after="0"/>
              <w:rPr>
                <w:sz w:val="20"/>
                <w:szCs w:val="20"/>
                <w:color w:val="auto"/>
              </w:rPr>
            </w:pPr>
            <w:r>
              <w:rPr>
                <w:rFonts w:ascii="Arial" w:cs="Arial" w:eastAsia="Arial" w:hAnsi="Arial"/>
                <w:sz w:val="17"/>
                <w:szCs w:val="17"/>
                <w:color w:val="auto"/>
              </w:rPr>
              <w:t>324,233</w:t>
            </w:r>
          </w:p>
        </w:tc>
        <w:tc>
          <w:tcPr>
            <w:tcW w:w="12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700" w:type="dxa"/>
            <w:vAlign w:val="bottom"/>
            <w:tcBorders>
              <w:bottom w:val="single" w:sz="8" w:color="CCEEFF"/>
            </w:tcBorders>
            <w:shd w:val="clear" w:color="auto" w:fill="CCEEFF"/>
          </w:tcPr>
          <w:p>
            <w:pPr>
              <w:jc w:val="right"/>
              <w:ind w:right="55"/>
              <w:spacing w:after="0"/>
              <w:rPr>
                <w:sz w:val="20"/>
                <w:szCs w:val="20"/>
                <w:color w:val="auto"/>
              </w:rPr>
            </w:pPr>
            <w:r>
              <w:rPr>
                <w:rFonts w:ascii="Arial" w:cs="Arial" w:eastAsia="Arial" w:hAnsi="Arial"/>
                <w:sz w:val="17"/>
                <w:szCs w:val="17"/>
                <w:color w:val="auto"/>
              </w:rPr>
              <w:t>464,176</w:t>
            </w:r>
          </w:p>
        </w:tc>
        <w:tc>
          <w:tcPr>
            <w:tcW w:w="0" w:type="dxa"/>
            <w:vAlign w:val="bottom"/>
          </w:tcPr>
          <w:p>
            <w:pPr>
              <w:spacing w:after="0"/>
              <w:rPr>
                <w:sz w:val="1"/>
                <w:szCs w:val="1"/>
                <w:color w:val="auto"/>
              </w:rPr>
            </w:pPr>
          </w:p>
        </w:tc>
      </w:tr>
      <w:tr>
        <w:trPr>
          <w:trHeight w:val="225"/>
        </w:trPr>
        <w:tc>
          <w:tcPr>
            <w:tcW w:w="7320" w:type="dxa"/>
            <w:vAlign w:val="bottom"/>
          </w:tcPr>
          <w:p>
            <w:pPr>
              <w:ind w:left="20"/>
              <w:spacing w:after="0"/>
              <w:rPr>
                <w:sz w:val="20"/>
                <w:szCs w:val="20"/>
                <w:color w:val="auto"/>
              </w:rPr>
            </w:pPr>
            <w:r>
              <w:rPr>
                <w:rFonts w:ascii="Arial" w:cs="Arial" w:eastAsia="Arial" w:hAnsi="Arial"/>
                <w:sz w:val="17"/>
                <w:szCs w:val="17"/>
                <w:color w:val="auto"/>
              </w:rPr>
              <w:t>Operating lease liabilities</w:t>
            </w:r>
          </w:p>
        </w:tc>
        <w:tc>
          <w:tcPr>
            <w:tcW w:w="280" w:type="dxa"/>
            <w:vAlign w:val="bottom"/>
          </w:tcPr>
          <w:p>
            <w:pPr>
              <w:spacing w:after="0"/>
              <w:rPr>
                <w:sz w:val="19"/>
                <w:szCs w:val="19"/>
                <w:color w:val="auto"/>
              </w:rPr>
            </w:pPr>
          </w:p>
        </w:tc>
        <w:tc>
          <w:tcPr>
            <w:tcW w:w="1600" w:type="dxa"/>
            <w:vAlign w:val="bottom"/>
          </w:tcPr>
          <w:p>
            <w:pPr>
              <w:jc w:val="right"/>
              <w:ind w:right="55"/>
              <w:spacing w:after="0"/>
              <w:rPr>
                <w:sz w:val="20"/>
                <w:szCs w:val="20"/>
                <w:color w:val="auto"/>
              </w:rPr>
            </w:pPr>
            <w:r>
              <w:rPr>
                <w:rFonts w:ascii="Arial" w:cs="Arial" w:eastAsia="Arial" w:hAnsi="Arial"/>
                <w:sz w:val="17"/>
                <w:szCs w:val="17"/>
                <w:color w:val="auto"/>
              </w:rPr>
              <w:t>14,037</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700" w:type="dxa"/>
            <w:vAlign w:val="bottom"/>
          </w:tcPr>
          <w:p>
            <w:pPr>
              <w:jc w:val="right"/>
              <w:ind w:right="55"/>
              <w:spacing w:after="0"/>
              <w:rPr>
                <w:sz w:val="20"/>
                <w:szCs w:val="20"/>
                <w:color w:val="auto"/>
              </w:rPr>
            </w:pPr>
            <w:r>
              <w:rPr>
                <w:rFonts w:ascii="Arial" w:cs="Arial" w:eastAsia="Arial" w:hAnsi="Arial"/>
                <w:sz w:val="17"/>
                <w:szCs w:val="17"/>
                <w:color w:val="auto"/>
              </w:rPr>
              <w:t>14,747</w:t>
            </w:r>
          </w:p>
        </w:tc>
        <w:tc>
          <w:tcPr>
            <w:tcW w:w="0" w:type="dxa"/>
            <w:vAlign w:val="bottom"/>
          </w:tcPr>
          <w:p>
            <w:pPr>
              <w:spacing w:after="0"/>
              <w:rPr>
                <w:sz w:val="1"/>
                <w:szCs w:val="1"/>
                <w:color w:val="auto"/>
              </w:rPr>
            </w:pPr>
          </w:p>
        </w:tc>
      </w:tr>
      <w:tr>
        <w:trPr>
          <w:trHeight w:val="31"/>
        </w:trPr>
        <w:tc>
          <w:tcPr>
            <w:tcW w:w="73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73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Employee benefit obligations</w:t>
            </w:r>
          </w:p>
        </w:tc>
        <w:tc>
          <w:tcPr>
            <w:tcW w:w="280" w:type="dxa"/>
            <w:vAlign w:val="bottom"/>
            <w:tcBorders>
              <w:bottom w:val="single" w:sz="8" w:color="CCEEFF"/>
            </w:tcBorders>
            <w:shd w:val="clear" w:color="auto" w:fill="CCEEFF"/>
          </w:tcPr>
          <w:p>
            <w:pPr>
              <w:spacing w:after="0"/>
              <w:rPr>
                <w:sz w:val="20"/>
                <w:szCs w:val="20"/>
                <w:color w:val="auto"/>
              </w:rPr>
            </w:pPr>
          </w:p>
        </w:tc>
        <w:tc>
          <w:tcPr>
            <w:tcW w:w="1600" w:type="dxa"/>
            <w:vAlign w:val="bottom"/>
            <w:tcBorders>
              <w:bottom w:val="single" w:sz="8" w:color="CCEEFF"/>
            </w:tcBorders>
            <w:shd w:val="clear" w:color="auto" w:fill="CCEEFF"/>
          </w:tcPr>
          <w:p>
            <w:pPr>
              <w:jc w:val="right"/>
              <w:ind w:right="55"/>
              <w:spacing w:after="0"/>
              <w:rPr>
                <w:sz w:val="20"/>
                <w:szCs w:val="20"/>
                <w:color w:val="auto"/>
              </w:rPr>
            </w:pPr>
            <w:r>
              <w:rPr>
                <w:rFonts w:ascii="Arial" w:cs="Arial" w:eastAsia="Arial" w:hAnsi="Arial"/>
                <w:sz w:val="17"/>
                <w:szCs w:val="17"/>
                <w:color w:val="auto"/>
              </w:rPr>
              <w:t>3,985</w:t>
            </w:r>
          </w:p>
        </w:tc>
        <w:tc>
          <w:tcPr>
            <w:tcW w:w="12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700" w:type="dxa"/>
            <w:vAlign w:val="bottom"/>
            <w:tcBorders>
              <w:bottom w:val="single" w:sz="8" w:color="CCEEFF"/>
            </w:tcBorders>
            <w:shd w:val="clear" w:color="auto" w:fill="CCEEFF"/>
          </w:tcPr>
          <w:p>
            <w:pPr>
              <w:jc w:val="right"/>
              <w:ind w:right="55"/>
              <w:spacing w:after="0"/>
              <w:rPr>
                <w:sz w:val="20"/>
                <w:szCs w:val="20"/>
                <w:color w:val="auto"/>
              </w:rPr>
            </w:pPr>
            <w:r>
              <w:rPr>
                <w:rFonts w:ascii="Arial" w:cs="Arial" w:eastAsia="Arial" w:hAnsi="Arial"/>
                <w:sz w:val="17"/>
                <w:szCs w:val="17"/>
                <w:color w:val="auto"/>
              </w:rPr>
              <w:t>4,128</w:t>
            </w:r>
          </w:p>
        </w:tc>
        <w:tc>
          <w:tcPr>
            <w:tcW w:w="0" w:type="dxa"/>
            <w:vAlign w:val="bottom"/>
          </w:tcPr>
          <w:p>
            <w:pPr>
              <w:spacing w:after="0"/>
              <w:rPr>
                <w:sz w:val="1"/>
                <w:szCs w:val="1"/>
                <w:color w:val="auto"/>
              </w:rPr>
            </w:pPr>
          </w:p>
        </w:tc>
      </w:tr>
      <w:tr>
        <w:trPr>
          <w:trHeight w:val="225"/>
        </w:trPr>
        <w:tc>
          <w:tcPr>
            <w:tcW w:w="7320" w:type="dxa"/>
            <w:vAlign w:val="bottom"/>
          </w:tcPr>
          <w:p>
            <w:pPr>
              <w:ind w:left="20"/>
              <w:spacing w:after="0"/>
              <w:rPr>
                <w:sz w:val="20"/>
                <w:szCs w:val="20"/>
                <w:color w:val="auto"/>
              </w:rPr>
            </w:pPr>
            <w:r>
              <w:rPr>
                <w:rFonts w:ascii="Arial" w:cs="Arial" w:eastAsia="Arial" w:hAnsi="Arial"/>
                <w:sz w:val="17"/>
                <w:szCs w:val="17"/>
                <w:color w:val="auto"/>
              </w:rPr>
              <w:t>Derivative liabilities</w:t>
            </w:r>
          </w:p>
        </w:tc>
        <w:tc>
          <w:tcPr>
            <w:tcW w:w="280" w:type="dxa"/>
            <w:vAlign w:val="bottom"/>
          </w:tcPr>
          <w:p>
            <w:pPr>
              <w:spacing w:after="0"/>
              <w:rPr>
                <w:sz w:val="19"/>
                <w:szCs w:val="19"/>
                <w:color w:val="auto"/>
              </w:rPr>
            </w:pPr>
          </w:p>
        </w:tc>
        <w:tc>
          <w:tcPr>
            <w:tcW w:w="1600" w:type="dxa"/>
            <w:vAlign w:val="bottom"/>
          </w:tcPr>
          <w:p>
            <w:pPr>
              <w:jc w:val="right"/>
              <w:ind w:right="55"/>
              <w:spacing w:after="0"/>
              <w:rPr>
                <w:sz w:val="20"/>
                <w:szCs w:val="20"/>
                <w:color w:val="auto"/>
              </w:rPr>
            </w:pPr>
            <w:r>
              <w:rPr>
                <w:rFonts w:ascii="Arial" w:cs="Arial" w:eastAsia="Arial" w:hAnsi="Arial"/>
                <w:sz w:val="17"/>
                <w:szCs w:val="17"/>
                <w:color w:val="auto"/>
              </w:rPr>
              <w:t>2,395</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700" w:type="dxa"/>
            <w:vAlign w:val="bottom"/>
          </w:tcPr>
          <w:p>
            <w:pPr>
              <w:jc w:val="right"/>
              <w:ind w:right="55"/>
              <w:spacing w:after="0"/>
              <w:rPr>
                <w:sz w:val="20"/>
                <w:szCs w:val="20"/>
                <w:color w:val="auto"/>
              </w:rPr>
            </w:pPr>
            <w:r>
              <w:rPr>
                <w:rFonts w:ascii="Arial" w:cs="Arial" w:eastAsia="Arial" w:hAnsi="Arial"/>
                <w:sz w:val="17"/>
                <w:szCs w:val="17"/>
                <w:color w:val="auto"/>
              </w:rPr>
              <w:t>3,792</w:t>
            </w:r>
          </w:p>
        </w:tc>
        <w:tc>
          <w:tcPr>
            <w:tcW w:w="0" w:type="dxa"/>
            <w:vAlign w:val="bottom"/>
          </w:tcPr>
          <w:p>
            <w:pPr>
              <w:spacing w:after="0"/>
              <w:rPr>
                <w:sz w:val="1"/>
                <w:szCs w:val="1"/>
                <w:color w:val="auto"/>
              </w:rPr>
            </w:pPr>
          </w:p>
        </w:tc>
      </w:tr>
      <w:tr>
        <w:trPr>
          <w:trHeight w:val="31"/>
        </w:trPr>
        <w:tc>
          <w:tcPr>
            <w:tcW w:w="73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73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Deferred revenue</w:t>
            </w:r>
          </w:p>
        </w:tc>
        <w:tc>
          <w:tcPr>
            <w:tcW w:w="280" w:type="dxa"/>
            <w:vAlign w:val="bottom"/>
            <w:tcBorders>
              <w:bottom w:val="single" w:sz="8" w:color="CCEEFF"/>
            </w:tcBorders>
            <w:shd w:val="clear" w:color="auto" w:fill="CCEEFF"/>
          </w:tcPr>
          <w:p>
            <w:pPr>
              <w:spacing w:after="0"/>
              <w:rPr>
                <w:sz w:val="20"/>
                <w:szCs w:val="20"/>
                <w:color w:val="auto"/>
              </w:rPr>
            </w:pPr>
          </w:p>
        </w:tc>
        <w:tc>
          <w:tcPr>
            <w:tcW w:w="1600" w:type="dxa"/>
            <w:vAlign w:val="bottom"/>
            <w:tcBorders>
              <w:bottom w:val="single" w:sz="8" w:color="CCEEFF"/>
            </w:tcBorders>
            <w:shd w:val="clear" w:color="auto" w:fill="CCEEFF"/>
          </w:tcPr>
          <w:p>
            <w:pPr>
              <w:jc w:val="right"/>
              <w:ind w:right="55"/>
              <w:spacing w:after="0"/>
              <w:rPr>
                <w:sz w:val="20"/>
                <w:szCs w:val="20"/>
                <w:color w:val="auto"/>
              </w:rPr>
            </w:pPr>
            <w:r>
              <w:rPr>
                <w:rFonts w:ascii="Arial" w:cs="Arial" w:eastAsia="Arial" w:hAnsi="Arial"/>
                <w:sz w:val="17"/>
                <w:szCs w:val="17"/>
                <w:color w:val="auto"/>
              </w:rPr>
              <w:t>5,017</w:t>
            </w:r>
          </w:p>
        </w:tc>
        <w:tc>
          <w:tcPr>
            <w:tcW w:w="12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700" w:type="dxa"/>
            <w:vAlign w:val="bottom"/>
            <w:tcBorders>
              <w:bottom w:val="single" w:sz="8" w:color="CCEEFF"/>
            </w:tcBorders>
            <w:shd w:val="clear" w:color="auto" w:fill="CCEEFF"/>
          </w:tcPr>
          <w:p>
            <w:pPr>
              <w:jc w:val="right"/>
              <w:ind w:right="55"/>
              <w:spacing w:after="0"/>
              <w:rPr>
                <w:sz w:val="20"/>
                <w:szCs w:val="20"/>
                <w:color w:val="auto"/>
              </w:rPr>
            </w:pPr>
            <w:r>
              <w:rPr>
                <w:rFonts w:ascii="Arial" w:cs="Arial" w:eastAsia="Arial" w:hAnsi="Arial"/>
                <w:sz w:val="17"/>
                <w:szCs w:val="17"/>
                <w:color w:val="auto"/>
              </w:rPr>
              <w:t>5,273</w:t>
            </w:r>
          </w:p>
        </w:tc>
        <w:tc>
          <w:tcPr>
            <w:tcW w:w="0" w:type="dxa"/>
            <w:vAlign w:val="bottom"/>
          </w:tcPr>
          <w:p>
            <w:pPr>
              <w:spacing w:after="0"/>
              <w:rPr>
                <w:sz w:val="1"/>
                <w:szCs w:val="1"/>
                <w:color w:val="auto"/>
              </w:rPr>
            </w:pPr>
          </w:p>
        </w:tc>
      </w:tr>
      <w:tr>
        <w:trPr>
          <w:trHeight w:val="225"/>
        </w:trPr>
        <w:tc>
          <w:tcPr>
            <w:tcW w:w="7320" w:type="dxa"/>
            <w:vAlign w:val="bottom"/>
          </w:tcPr>
          <w:p>
            <w:pPr>
              <w:ind w:left="20"/>
              <w:spacing w:after="0"/>
              <w:rPr>
                <w:sz w:val="20"/>
                <w:szCs w:val="20"/>
                <w:color w:val="auto"/>
              </w:rPr>
            </w:pPr>
            <w:r>
              <w:rPr>
                <w:rFonts w:ascii="Arial" w:cs="Arial" w:eastAsia="Arial" w:hAnsi="Arial"/>
                <w:sz w:val="17"/>
                <w:szCs w:val="17"/>
                <w:color w:val="auto"/>
              </w:rPr>
              <w:t>Other non-current liabilities</w:t>
            </w:r>
          </w:p>
        </w:tc>
        <w:tc>
          <w:tcPr>
            <w:tcW w:w="280" w:type="dxa"/>
            <w:vAlign w:val="bottom"/>
          </w:tcPr>
          <w:p>
            <w:pPr>
              <w:spacing w:after="0"/>
              <w:rPr>
                <w:sz w:val="19"/>
                <w:szCs w:val="19"/>
                <w:color w:val="auto"/>
              </w:rPr>
            </w:pPr>
          </w:p>
        </w:tc>
        <w:tc>
          <w:tcPr>
            <w:tcW w:w="1600" w:type="dxa"/>
            <w:vAlign w:val="bottom"/>
          </w:tcPr>
          <w:p>
            <w:pPr>
              <w:jc w:val="right"/>
              <w:ind w:right="55"/>
              <w:spacing w:after="0"/>
              <w:rPr>
                <w:sz w:val="20"/>
                <w:szCs w:val="20"/>
                <w:color w:val="auto"/>
              </w:rPr>
            </w:pPr>
            <w:r>
              <w:rPr>
                <w:rFonts w:ascii="Arial" w:cs="Arial" w:eastAsia="Arial" w:hAnsi="Arial"/>
                <w:sz w:val="17"/>
                <w:szCs w:val="17"/>
                <w:color w:val="auto"/>
              </w:rPr>
              <w:t>2,711</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700" w:type="dxa"/>
            <w:vAlign w:val="bottom"/>
          </w:tcPr>
          <w:p>
            <w:pPr>
              <w:jc w:val="right"/>
              <w:ind w:right="55"/>
              <w:spacing w:after="0"/>
              <w:rPr>
                <w:sz w:val="20"/>
                <w:szCs w:val="20"/>
                <w:color w:val="auto"/>
              </w:rPr>
            </w:pPr>
            <w:r>
              <w:rPr>
                <w:rFonts w:ascii="Arial" w:cs="Arial" w:eastAsia="Arial" w:hAnsi="Arial"/>
                <w:sz w:val="17"/>
                <w:szCs w:val="17"/>
                <w:color w:val="auto"/>
              </w:rPr>
              <w:t>3,071</w:t>
            </w:r>
          </w:p>
        </w:tc>
        <w:tc>
          <w:tcPr>
            <w:tcW w:w="0" w:type="dxa"/>
            <w:vAlign w:val="bottom"/>
          </w:tcPr>
          <w:p>
            <w:pPr>
              <w:spacing w:after="0"/>
              <w:rPr>
                <w:sz w:val="1"/>
                <w:szCs w:val="1"/>
                <w:color w:val="auto"/>
              </w:rPr>
            </w:pPr>
          </w:p>
        </w:tc>
      </w:tr>
      <w:tr>
        <w:trPr>
          <w:trHeight w:val="31"/>
        </w:trPr>
        <w:tc>
          <w:tcPr>
            <w:tcW w:w="73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7320" w:type="dxa"/>
            <w:vAlign w:val="bottom"/>
            <w:tcBorders>
              <w:bottom w:val="single" w:sz="8" w:color="CCEEFF"/>
            </w:tcBorders>
            <w:shd w:val="clear" w:color="auto" w:fill="CCEEFF"/>
          </w:tcPr>
          <w:p>
            <w:pPr>
              <w:ind w:left="440"/>
              <w:spacing w:after="0"/>
              <w:rPr>
                <w:sz w:val="20"/>
                <w:szCs w:val="20"/>
                <w:color w:val="auto"/>
              </w:rPr>
            </w:pPr>
            <w:r>
              <w:rPr>
                <w:rFonts w:ascii="Arial" w:cs="Arial" w:eastAsia="Arial" w:hAnsi="Arial"/>
                <w:sz w:val="17"/>
                <w:szCs w:val="17"/>
                <w:color w:val="auto"/>
              </w:rPr>
              <w:t>Total non-current liabilities</w:t>
            </w:r>
          </w:p>
        </w:tc>
        <w:tc>
          <w:tcPr>
            <w:tcW w:w="280" w:type="dxa"/>
            <w:vAlign w:val="bottom"/>
            <w:tcBorders>
              <w:bottom w:val="single" w:sz="8" w:color="CCEEFF"/>
            </w:tcBorders>
            <w:shd w:val="clear" w:color="auto" w:fill="CCEEFF"/>
          </w:tcPr>
          <w:p>
            <w:pPr>
              <w:spacing w:after="0"/>
              <w:rPr>
                <w:sz w:val="21"/>
                <w:szCs w:val="21"/>
                <w:color w:val="auto"/>
              </w:rPr>
            </w:pPr>
          </w:p>
        </w:tc>
        <w:tc>
          <w:tcPr>
            <w:tcW w:w="1600" w:type="dxa"/>
            <w:vAlign w:val="bottom"/>
            <w:tcBorders>
              <w:bottom w:val="single" w:sz="8" w:color="CCEEFF"/>
            </w:tcBorders>
            <w:shd w:val="clear" w:color="auto" w:fill="CCEEFF"/>
          </w:tcPr>
          <w:p>
            <w:pPr>
              <w:jc w:val="right"/>
              <w:ind w:right="55"/>
              <w:spacing w:after="0"/>
              <w:rPr>
                <w:sz w:val="20"/>
                <w:szCs w:val="20"/>
                <w:color w:val="auto"/>
              </w:rPr>
            </w:pPr>
            <w:r>
              <w:rPr>
                <w:rFonts w:ascii="Arial" w:cs="Arial" w:eastAsia="Arial" w:hAnsi="Arial"/>
                <w:sz w:val="17"/>
                <w:szCs w:val="17"/>
                <w:color w:val="auto"/>
              </w:rPr>
              <w:t>352,378</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700" w:type="dxa"/>
            <w:vAlign w:val="bottom"/>
            <w:tcBorders>
              <w:bottom w:val="single" w:sz="8" w:color="CCEEFF"/>
            </w:tcBorders>
            <w:shd w:val="clear" w:color="auto" w:fill="CCEEFF"/>
          </w:tcPr>
          <w:p>
            <w:pPr>
              <w:jc w:val="right"/>
              <w:ind w:right="55"/>
              <w:spacing w:after="0"/>
              <w:rPr>
                <w:sz w:val="20"/>
                <w:szCs w:val="20"/>
                <w:color w:val="auto"/>
              </w:rPr>
            </w:pPr>
            <w:r>
              <w:rPr>
                <w:rFonts w:ascii="Arial" w:cs="Arial" w:eastAsia="Arial" w:hAnsi="Arial"/>
                <w:sz w:val="17"/>
                <w:szCs w:val="17"/>
                <w:color w:val="auto"/>
              </w:rPr>
              <w:t>495,187</w:t>
            </w:r>
          </w:p>
        </w:tc>
        <w:tc>
          <w:tcPr>
            <w:tcW w:w="0" w:type="dxa"/>
            <w:vAlign w:val="bottom"/>
          </w:tcPr>
          <w:p>
            <w:pPr>
              <w:spacing w:after="0"/>
              <w:rPr>
                <w:sz w:val="1"/>
                <w:szCs w:val="1"/>
                <w:color w:val="auto"/>
              </w:rPr>
            </w:pPr>
          </w:p>
        </w:tc>
      </w:tr>
      <w:tr>
        <w:trPr>
          <w:trHeight w:val="34"/>
        </w:trPr>
        <w:tc>
          <w:tcPr>
            <w:tcW w:w="7320" w:type="dxa"/>
            <w:vAlign w:val="bottom"/>
          </w:tcPr>
          <w:p>
            <w:pPr>
              <w:spacing w:after="0"/>
              <w:rPr>
                <w:sz w:val="2"/>
                <w:szCs w:val="2"/>
                <w:color w:val="auto"/>
              </w:rPr>
            </w:pPr>
          </w:p>
        </w:tc>
        <w:tc>
          <w:tcPr>
            <w:tcW w:w="280" w:type="dxa"/>
            <w:vAlign w:val="bottom"/>
            <w:tcBorders>
              <w:top w:val="single" w:sz="8" w:color="auto"/>
            </w:tcBorders>
          </w:tcPr>
          <w:p>
            <w:pPr>
              <w:spacing w:after="0"/>
              <w:rPr>
                <w:sz w:val="2"/>
                <w:szCs w:val="2"/>
                <w:color w:val="auto"/>
              </w:rPr>
            </w:pPr>
          </w:p>
        </w:tc>
        <w:tc>
          <w:tcPr>
            <w:tcW w:w="1600" w:type="dxa"/>
            <w:vAlign w:val="bottom"/>
            <w:tcBorders>
              <w:top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Borders>
              <w:top w:val="single" w:sz="8" w:color="auto"/>
            </w:tcBorders>
          </w:tcPr>
          <w:p>
            <w:pPr>
              <w:spacing w:after="0"/>
              <w:rPr>
                <w:sz w:val="2"/>
                <w:szCs w:val="2"/>
                <w:color w:val="auto"/>
              </w:rPr>
            </w:pPr>
          </w:p>
        </w:tc>
        <w:tc>
          <w:tcPr>
            <w:tcW w:w="1700" w:type="dxa"/>
            <w:vAlign w:val="bottom"/>
            <w:tcBorders>
              <w:top w:val="single" w:sz="8" w:color="auto"/>
            </w:tcBorders>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73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Commitments and contingencies</w:t>
            </w:r>
          </w:p>
        </w:tc>
        <w:tc>
          <w:tcPr>
            <w:tcW w:w="280" w:type="dxa"/>
            <w:vAlign w:val="bottom"/>
            <w:tcBorders>
              <w:bottom w:val="single" w:sz="8" w:color="CCEEFF"/>
            </w:tcBorders>
            <w:shd w:val="clear" w:color="auto" w:fill="CCEEFF"/>
          </w:tcPr>
          <w:p>
            <w:pPr>
              <w:spacing w:after="0"/>
              <w:rPr>
                <w:sz w:val="20"/>
                <w:szCs w:val="20"/>
                <w:color w:val="auto"/>
              </w:rPr>
            </w:pPr>
          </w:p>
        </w:tc>
        <w:tc>
          <w:tcPr>
            <w:tcW w:w="16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70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54"/>
        </w:trPr>
        <w:tc>
          <w:tcPr>
            <w:tcW w:w="7320" w:type="dxa"/>
            <w:vAlign w:val="bottom"/>
          </w:tcPr>
          <w:p>
            <w:pPr>
              <w:spacing w:after="0"/>
              <w:rPr>
                <w:sz w:val="4"/>
                <w:szCs w:val="4"/>
                <w:color w:val="auto"/>
              </w:rPr>
            </w:pPr>
          </w:p>
        </w:tc>
        <w:tc>
          <w:tcPr>
            <w:tcW w:w="280" w:type="dxa"/>
            <w:vAlign w:val="bottom"/>
          </w:tcPr>
          <w:p>
            <w:pPr>
              <w:spacing w:after="0"/>
              <w:rPr>
                <w:sz w:val="4"/>
                <w:szCs w:val="4"/>
                <w:color w:val="auto"/>
              </w:rPr>
            </w:pPr>
          </w:p>
        </w:tc>
        <w:tc>
          <w:tcPr>
            <w:tcW w:w="16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80" w:type="dxa"/>
            <w:vAlign w:val="bottom"/>
          </w:tcPr>
          <w:p>
            <w:pPr>
              <w:spacing w:after="0"/>
              <w:rPr>
                <w:sz w:val="4"/>
                <w:szCs w:val="4"/>
                <w:color w:val="auto"/>
              </w:rPr>
            </w:pPr>
          </w:p>
        </w:tc>
        <w:tc>
          <w:tcPr>
            <w:tcW w:w="17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37"/>
        </w:trPr>
        <w:tc>
          <w:tcPr>
            <w:tcW w:w="73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Stockholders’ equity:</w:t>
            </w:r>
          </w:p>
        </w:tc>
        <w:tc>
          <w:tcPr>
            <w:tcW w:w="280" w:type="dxa"/>
            <w:vAlign w:val="bottom"/>
            <w:tcBorders>
              <w:bottom w:val="single" w:sz="8" w:color="CCEEFF"/>
            </w:tcBorders>
            <w:shd w:val="clear" w:color="auto" w:fill="CCEEFF"/>
          </w:tcPr>
          <w:p>
            <w:pPr>
              <w:spacing w:after="0"/>
              <w:rPr>
                <w:sz w:val="20"/>
                <w:szCs w:val="20"/>
                <w:color w:val="auto"/>
              </w:rPr>
            </w:pPr>
          </w:p>
        </w:tc>
        <w:tc>
          <w:tcPr>
            <w:tcW w:w="16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70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162"/>
        </w:trPr>
        <w:tc>
          <w:tcPr>
            <w:tcW w:w="7320" w:type="dxa"/>
            <w:vAlign w:val="bottom"/>
          </w:tcPr>
          <w:p>
            <w:pPr>
              <w:ind w:left="220"/>
              <w:spacing w:after="0" w:line="162" w:lineRule="exact"/>
              <w:rPr>
                <w:sz w:val="20"/>
                <w:szCs w:val="20"/>
                <w:color w:val="auto"/>
              </w:rPr>
            </w:pPr>
            <w:r>
              <w:rPr>
                <w:rFonts w:ascii="Arial" w:cs="Arial" w:eastAsia="Arial" w:hAnsi="Arial"/>
                <w:sz w:val="17"/>
                <w:szCs w:val="17"/>
                <w:color w:val="auto"/>
              </w:rPr>
              <w:t>Preferred Stock of $0.0001 par value; 100,000,000 shares authorized and none issued and</w:t>
            </w:r>
          </w:p>
        </w:tc>
        <w:tc>
          <w:tcPr>
            <w:tcW w:w="280" w:type="dxa"/>
            <w:vAlign w:val="bottom"/>
          </w:tcPr>
          <w:p>
            <w:pPr>
              <w:spacing w:after="0"/>
              <w:rPr>
                <w:sz w:val="14"/>
                <w:szCs w:val="14"/>
                <w:color w:val="auto"/>
              </w:rPr>
            </w:pPr>
          </w:p>
        </w:tc>
        <w:tc>
          <w:tcPr>
            <w:tcW w:w="1720" w:type="dxa"/>
            <w:vAlign w:val="bottom"/>
            <w:gridSpan w:val="2"/>
            <w:vMerge w:val="restart"/>
          </w:tcPr>
          <w:p>
            <w:pPr>
              <w:jc w:val="right"/>
              <w:ind w:right="260"/>
              <w:spacing w:after="0"/>
              <w:rPr>
                <w:sz w:val="20"/>
                <w:szCs w:val="20"/>
                <w:color w:val="auto"/>
              </w:rPr>
            </w:pPr>
            <w:r>
              <w:rPr>
                <w:rFonts w:ascii="Arial" w:cs="Arial" w:eastAsia="Arial" w:hAnsi="Arial"/>
                <w:sz w:val="17"/>
                <w:szCs w:val="17"/>
                <w:color w:val="auto"/>
              </w:rPr>
              <w:t>—</w:t>
            </w:r>
          </w:p>
        </w:tc>
        <w:tc>
          <w:tcPr>
            <w:tcW w:w="180" w:type="dxa"/>
            <w:vAlign w:val="bottom"/>
          </w:tcPr>
          <w:p>
            <w:pPr>
              <w:spacing w:after="0"/>
              <w:rPr>
                <w:sz w:val="14"/>
                <w:szCs w:val="14"/>
                <w:color w:val="auto"/>
              </w:rPr>
            </w:pPr>
          </w:p>
        </w:tc>
        <w:tc>
          <w:tcPr>
            <w:tcW w:w="1700" w:type="dxa"/>
            <w:vAlign w:val="bottom"/>
            <w:vMerge w:val="restart"/>
          </w:tcPr>
          <w:p>
            <w:pPr>
              <w:jc w:val="right"/>
              <w:ind w:right="55"/>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16"/>
        </w:trPr>
        <w:tc>
          <w:tcPr>
            <w:tcW w:w="7320" w:type="dxa"/>
            <w:vAlign w:val="bottom"/>
          </w:tcPr>
          <w:p>
            <w:pPr>
              <w:ind w:left="220"/>
              <w:spacing w:after="0"/>
              <w:rPr>
                <w:sz w:val="20"/>
                <w:szCs w:val="20"/>
                <w:color w:val="auto"/>
              </w:rPr>
            </w:pPr>
            <w:r>
              <w:rPr>
                <w:rFonts w:ascii="Arial" w:cs="Arial" w:eastAsia="Arial" w:hAnsi="Arial"/>
                <w:sz w:val="17"/>
                <w:szCs w:val="17"/>
                <w:color w:val="auto"/>
              </w:rPr>
              <w:t>outstanding at June 30, 2020 and December 31, 2019, respectively</w:t>
            </w:r>
          </w:p>
        </w:tc>
        <w:tc>
          <w:tcPr>
            <w:tcW w:w="280" w:type="dxa"/>
            <w:vAlign w:val="bottom"/>
          </w:tcPr>
          <w:p>
            <w:pPr>
              <w:spacing w:after="0"/>
              <w:rPr>
                <w:sz w:val="18"/>
                <w:szCs w:val="18"/>
                <w:color w:val="auto"/>
              </w:rPr>
            </w:pPr>
          </w:p>
        </w:tc>
        <w:tc>
          <w:tcPr>
            <w:tcW w:w="1720" w:type="dxa"/>
            <w:vAlign w:val="bottom"/>
            <w:gridSpan w:val="2"/>
            <w:vMerge w:val="continue"/>
          </w:tcPr>
          <w:p>
            <w:pPr>
              <w:spacing w:after="0"/>
              <w:rPr>
                <w:sz w:val="18"/>
                <w:szCs w:val="18"/>
                <w:color w:val="auto"/>
              </w:rPr>
            </w:pPr>
          </w:p>
        </w:tc>
        <w:tc>
          <w:tcPr>
            <w:tcW w:w="180" w:type="dxa"/>
            <w:vAlign w:val="bottom"/>
          </w:tcPr>
          <w:p>
            <w:pPr>
              <w:spacing w:after="0"/>
              <w:rPr>
                <w:sz w:val="18"/>
                <w:szCs w:val="18"/>
                <w:color w:val="auto"/>
              </w:rPr>
            </w:pPr>
          </w:p>
        </w:tc>
        <w:tc>
          <w:tcPr>
            <w:tcW w:w="170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62"/>
        </w:trPr>
        <w:tc>
          <w:tcPr>
            <w:tcW w:w="7320" w:type="dxa"/>
            <w:vAlign w:val="bottom"/>
            <w:shd w:val="clear" w:color="auto" w:fill="CCEEFF"/>
          </w:tcPr>
          <w:p>
            <w:pPr>
              <w:ind w:left="220"/>
              <w:spacing w:after="0" w:line="162" w:lineRule="exact"/>
              <w:rPr>
                <w:sz w:val="20"/>
                <w:szCs w:val="20"/>
                <w:color w:val="auto"/>
              </w:rPr>
            </w:pPr>
            <w:r>
              <w:rPr>
                <w:rFonts w:ascii="Arial" w:cs="Arial" w:eastAsia="Arial" w:hAnsi="Arial"/>
                <w:sz w:val="17"/>
                <w:szCs w:val="17"/>
                <w:color w:val="auto"/>
                <w:w w:val="92"/>
              </w:rPr>
              <w:t>Series A Preferred Convertible Stock of $0.0001 par value; one share authorized and none issued and</w:t>
            </w:r>
          </w:p>
        </w:tc>
        <w:tc>
          <w:tcPr>
            <w:tcW w:w="280" w:type="dxa"/>
            <w:vAlign w:val="bottom"/>
            <w:shd w:val="clear" w:color="auto" w:fill="CCEEFF"/>
          </w:tcPr>
          <w:p>
            <w:pPr>
              <w:spacing w:after="0"/>
              <w:rPr>
                <w:sz w:val="14"/>
                <w:szCs w:val="14"/>
                <w:color w:val="auto"/>
              </w:rPr>
            </w:pPr>
          </w:p>
        </w:tc>
        <w:tc>
          <w:tcPr>
            <w:tcW w:w="1720" w:type="dxa"/>
            <w:vAlign w:val="bottom"/>
            <w:gridSpan w:val="2"/>
            <w:vMerge w:val="restart"/>
            <w:shd w:val="clear" w:color="auto" w:fill="CCEEFF"/>
          </w:tcPr>
          <w:p>
            <w:pPr>
              <w:jc w:val="right"/>
              <w:ind w:right="260"/>
              <w:spacing w:after="0"/>
              <w:rPr>
                <w:sz w:val="20"/>
                <w:szCs w:val="20"/>
                <w:color w:val="auto"/>
              </w:rPr>
            </w:pPr>
            <w:r>
              <w:rPr>
                <w:rFonts w:ascii="Arial" w:cs="Arial" w:eastAsia="Arial" w:hAnsi="Arial"/>
                <w:sz w:val="17"/>
                <w:szCs w:val="17"/>
                <w:color w:val="auto"/>
              </w:rPr>
              <w:t>—</w:t>
            </w:r>
          </w:p>
        </w:tc>
        <w:tc>
          <w:tcPr>
            <w:tcW w:w="180" w:type="dxa"/>
            <w:vAlign w:val="bottom"/>
            <w:shd w:val="clear" w:color="auto" w:fill="CCEEFF"/>
          </w:tcPr>
          <w:p>
            <w:pPr>
              <w:spacing w:after="0"/>
              <w:rPr>
                <w:sz w:val="14"/>
                <w:szCs w:val="14"/>
                <w:color w:val="auto"/>
              </w:rPr>
            </w:pPr>
          </w:p>
        </w:tc>
        <w:tc>
          <w:tcPr>
            <w:tcW w:w="1700" w:type="dxa"/>
            <w:vAlign w:val="bottom"/>
            <w:vMerge w:val="restart"/>
            <w:shd w:val="clear" w:color="auto" w:fill="CCEEFF"/>
          </w:tcPr>
          <w:p>
            <w:pPr>
              <w:jc w:val="right"/>
              <w:ind w:right="55"/>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16"/>
        </w:trPr>
        <w:tc>
          <w:tcPr>
            <w:tcW w:w="7320" w:type="dxa"/>
            <w:vAlign w:val="bottom"/>
            <w:shd w:val="clear" w:color="auto" w:fill="CCEEFF"/>
          </w:tcPr>
          <w:p>
            <w:pPr>
              <w:ind w:left="220"/>
              <w:spacing w:after="0"/>
              <w:rPr>
                <w:sz w:val="20"/>
                <w:szCs w:val="20"/>
                <w:color w:val="auto"/>
              </w:rPr>
            </w:pPr>
            <w:r>
              <w:rPr>
                <w:rFonts w:ascii="Arial" w:cs="Arial" w:eastAsia="Arial" w:hAnsi="Arial"/>
                <w:sz w:val="17"/>
                <w:szCs w:val="17"/>
                <w:color w:val="auto"/>
              </w:rPr>
              <w:t>outstanding at June 30, 2020 and December 31, 2019, respectively</w:t>
            </w:r>
          </w:p>
        </w:tc>
        <w:tc>
          <w:tcPr>
            <w:tcW w:w="280" w:type="dxa"/>
            <w:vAlign w:val="bottom"/>
            <w:shd w:val="clear" w:color="auto" w:fill="CCEEFF"/>
          </w:tcPr>
          <w:p>
            <w:pPr>
              <w:spacing w:after="0"/>
              <w:rPr>
                <w:sz w:val="18"/>
                <w:szCs w:val="18"/>
                <w:color w:val="auto"/>
              </w:rPr>
            </w:pPr>
          </w:p>
        </w:tc>
        <w:tc>
          <w:tcPr>
            <w:tcW w:w="1720" w:type="dxa"/>
            <w:vAlign w:val="bottom"/>
            <w:gridSpan w:val="2"/>
            <w:vMerge w:val="continue"/>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700" w:type="dxa"/>
            <w:vAlign w:val="bottom"/>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72"/>
        </w:trPr>
        <w:tc>
          <w:tcPr>
            <w:tcW w:w="7320" w:type="dxa"/>
            <w:vAlign w:val="bottom"/>
          </w:tcPr>
          <w:p>
            <w:pPr>
              <w:ind w:left="220"/>
              <w:spacing w:after="0" w:line="172" w:lineRule="exact"/>
              <w:rPr>
                <w:sz w:val="20"/>
                <w:szCs w:val="20"/>
                <w:color w:val="auto"/>
              </w:rPr>
            </w:pPr>
            <w:r>
              <w:rPr>
                <w:rFonts w:ascii="Arial" w:cs="Arial" w:eastAsia="Arial" w:hAnsi="Arial"/>
                <w:sz w:val="17"/>
                <w:szCs w:val="17"/>
                <w:color w:val="auto"/>
                <w:w w:val="93"/>
              </w:rPr>
              <w:t>Voting Common Stock of $0.0001 par value; 1,900,000,000 shares authorized; 1,670,289,833 shares</w:t>
            </w:r>
          </w:p>
        </w:tc>
        <w:tc>
          <w:tcPr>
            <w:tcW w:w="280" w:type="dxa"/>
            <w:vAlign w:val="bottom"/>
          </w:tcPr>
          <w:p>
            <w:pPr>
              <w:spacing w:after="0"/>
              <w:rPr>
                <w:sz w:val="14"/>
                <w:szCs w:val="14"/>
                <w:color w:val="auto"/>
              </w:rPr>
            </w:pPr>
          </w:p>
        </w:tc>
        <w:tc>
          <w:tcPr>
            <w:tcW w:w="1600" w:type="dxa"/>
            <w:vAlign w:val="bottom"/>
          </w:tcPr>
          <w:p>
            <w:pPr>
              <w:jc w:val="right"/>
              <w:ind w:right="55"/>
              <w:spacing w:after="0" w:line="172" w:lineRule="exact"/>
              <w:rPr>
                <w:sz w:val="20"/>
                <w:szCs w:val="20"/>
                <w:color w:val="auto"/>
              </w:rPr>
            </w:pPr>
            <w:r>
              <w:rPr>
                <w:rFonts w:ascii="Arial" w:cs="Arial" w:eastAsia="Arial" w:hAnsi="Arial"/>
                <w:sz w:val="17"/>
                <w:szCs w:val="17"/>
                <w:color w:val="auto"/>
              </w:rPr>
              <w:t>167</w:t>
            </w: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700" w:type="dxa"/>
            <w:vAlign w:val="bottom"/>
          </w:tcPr>
          <w:p>
            <w:pPr>
              <w:jc w:val="right"/>
              <w:ind w:right="55"/>
              <w:spacing w:after="0" w:line="172" w:lineRule="exact"/>
              <w:rPr>
                <w:sz w:val="20"/>
                <w:szCs w:val="20"/>
                <w:color w:val="auto"/>
              </w:rPr>
            </w:pPr>
            <w:r>
              <w:rPr>
                <w:rFonts w:ascii="Arial" w:cs="Arial" w:eastAsia="Arial" w:hAnsi="Arial"/>
                <w:sz w:val="17"/>
                <w:szCs w:val="17"/>
                <w:color w:val="auto"/>
              </w:rPr>
              <w:t>146</w:t>
            </w:r>
          </w:p>
        </w:tc>
        <w:tc>
          <w:tcPr>
            <w:tcW w:w="0" w:type="dxa"/>
            <w:vAlign w:val="bottom"/>
          </w:tcPr>
          <w:p>
            <w:pPr>
              <w:spacing w:after="0"/>
              <w:rPr>
                <w:sz w:val="1"/>
                <w:szCs w:val="1"/>
                <w:color w:val="auto"/>
              </w:rPr>
            </w:pPr>
          </w:p>
        </w:tc>
      </w:tr>
      <w:tr>
        <w:trPr>
          <w:trHeight w:val="152"/>
        </w:trPr>
        <w:tc>
          <w:tcPr>
            <w:tcW w:w="7320" w:type="dxa"/>
            <w:vAlign w:val="bottom"/>
          </w:tcPr>
          <w:p>
            <w:pPr>
              <w:ind w:left="220"/>
              <w:spacing w:after="0" w:line="152" w:lineRule="exact"/>
              <w:rPr>
                <w:sz w:val="20"/>
                <w:szCs w:val="20"/>
                <w:color w:val="auto"/>
              </w:rPr>
            </w:pPr>
            <w:r>
              <w:rPr>
                <w:rFonts w:ascii="Arial" w:cs="Arial" w:eastAsia="Arial" w:hAnsi="Arial"/>
                <w:sz w:val="17"/>
                <w:szCs w:val="17"/>
                <w:color w:val="auto"/>
              </w:rPr>
              <w:t>and 1,464,544,144 shares issued and outstanding at June 30, 2020 and December 31, 2019,</w:t>
            </w:r>
          </w:p>
        </w:tc>
        <w:tc>
          <w:tcPr>
            <w:tcW w:w="280" w:type="dxa"/>
            <w:vAlign w:val="bottom"/>
          </w:tcPr>
          <w:p>
            <w:pPr>
              <w:spacing w:after="0"/>
              <w:rPr>
                <w:sz w:val="13"/>
                <w:szCs w:val="13"/>
                <w:color w:val="auto"/>
              </w:rPr>
            </w:pPr>
          </w:p>
        </w:tc>
        <w:tc>
          <w:tcPr>
            <w:tcW w:w="16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7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6"/>
        </w:trPr>
        <w:tc>
          <w:tcPr>
            <w:tcW w:w="7320" w:type="dxa"/>
            <w:vAlign w:val="bottom"/>
          </w:tcPr>
          <w:p>
            <w:pPr>
              <w:ind w:left="220"/>
              <w:spacing w:after="0"/>
              <w:rPr>
                <w:sz w:val="20"/>
                <w:szCs w:val="20"/>
                <w:color w:val="auto"/>
              </w:rPr>
            </w:pPr>
            <w:r>
              <w:rPr>
                <w:rFonts w:ascii="Arial" w:cs="Arial" w:eastAsia="Arial" w:hAnsi="Arial"/>
                <w:sz w:val="17"/>
                <w:szCs w:val="17"/>
                <w:color w:val="auto"/>
              </w:rPr>
              <w:t>respectively</w:t>
            </w:r>
          </w:p>
        </w:tc>
        <w:tc>
          <w:tcPr>
            <w:tcW w:w="280" w:type="dxa"/>
            <w:vAlign w:val="bottom"/>
          </w:tcPr>
          <w:p>
            <w:pPr>
              <w:spacing w:after="0"/>
              <w:rPr>
                <w:sz w:val="18"/>
                <w:szCs w:val="18"/>
                <w:color w:val="auto"/>
              </w:rPr>
            </w:pPr>
          </w:p>
        </w:tc>
        <w:tc>
          <w:tcPr>
            <w:tcW w:w="16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72"/>
        </w:trPr>
        <w:tc>
          <w:tcPr>
            <w:tcW w:w="7320" w:type="dxa"/>
            <w:vAlign w:val="bottom"/>
            <w:shd w:val="clear" w:color="auto" w:fill="CCEEFF"/>
          </w:tcPr>
          <w:p>
            <w:pPr>
              <w:ind w:left="220"/>
              <w:spacing w:after="0" w:line="172" w:lineRule="exact"/>
              <w:rPr>
                <w:sz w:val="20"/>
                <w:szCs w:val="20"/>
                <w:color w:val="auto"/>
              </w:rPr>
            </w:pPr>
            <w:r>
              <w:rPr>
                <w:rFonts w:ascii="Arial" w:cs="Arial" w:eastAsia="Arial" w:hAnsi="Arial"/>
                <w:sz w:val="17"/>
                <w:szCs w:val="17"/>
                <w:color w:val="auto"/>
                <w:w w:val="90"/>
              </w:rPr>
              <w:t>Nonvoting Common Stock of $0.0001 par value; no shares authorized and none issued and outstanding</w:t>
            </w:r>
          </w:p>
        </w:tc>
        <w:tc>
          <w:tcPr>
            <w:tcW w:w="280" w:type="dxa"/>
            <w:vAlign w:val="bottom"/>
            <w:shd w:val="clear" w:color="auto" w:fill="CCEEFF"/>
          </w:tcPr>
          <w:p>
            <w:pPr>
              <w:spacing w:after="0"/>
              <w:rPr>
                <w:sz w:val="14"/>
                <w:szCs w:val="14"/>
                <w:color w:val="auto"/>
              </w:rPr>
            </w:pPr>
          </w:p>
        </w:tc>
        <w:tc>
          <w:tcPr>
            <w:tcW w:w="1720" w:type="dxa"/>
            <w:vAlign w:val="bottom"/>
            <w:gridSpan w:val="2"/>
            <w:shd w:val="clear" w:color="auto" w:fill="CCEEFF"/>
          </w:tcPr>
          <w:p>
            <w:pPr>
              <w:jc w:val="right"/>
              <w:ind w:right="260"/>
              <w:spacing w:after="0" w:line="172" w:lineRule="exact"/>
              <w:rPr>
                <w:sz w:val="20"/>
                <w:szCs w:val="20"/>
                <w:color w:val="auto"/>
              </w:rPr>
            </w:pPr>
            <w:r>
              <w:rPr>
                <w:rFonts w:ascii="Arial" w:cs="Arial" w:eastAsia="Arial" w:hAnsi="Arial"/>
                <w:sz w:val="17"/>
                <w:szCs w:val="17"/>
                <w:color w:val="auto"/>
              </w:rPr>
              <w:t>—</w:t>
            </w:r>
          </w:p>
        </w:tc>
        <w:tc>
          <w:tcPr>
            <w:tcW w:w="180" w:type="dxa"/>
            <w:vAlign w:val="bottom"/>
            <w:shd w:val="clear" w:color="auto" w:fill="CCEEFF"/>
          </w:tcPr>
          <w:p>
            <w:pPr>
              <w:spacing w:after="0"/>
              <w:rPr>
                <w:sz w:val="14"/>
                <w:szCs w:val="14"/>
                <w:color w:val="auto"/>
              </w:rPr>
            </w:pPr>
          </w:p>
        </w:tc>
        <w:tc>
          <w:tcPr>
            <w:tcW w:w="1700" w:type="dxa"/>
            <w:vAlign w:val="bottom"/>
            <w:shd w:val="clear" w:color="auto" w:fill="CCEEFF"/>
          </w:tcPr>
          <w:p>
            <w:pPr>
              <w:jc w:val="right"/>
              <w:ind w:right="55"/>
              <w:spacing w:after="0" w:line="172" w:lineRule="exact"/>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06"/>
        </w:trPr>
        <w:tc>
          <w:tcPr>
            <w:tcW w:w="7320" w:type="dxa"/>
            <w:vAlign w:val="bottom"/>
            <w:shd w:val="clear" w:color="auto" w:fill="CCEEFF"/>
          </w:tcPr>
          <w:p>
            <w:pPr>
              <w:ind w:left="220"/>
              <w:spacing w:after="0"/>
              <w:rPr>
                <w:sz w:val="20"/>
                <w:szCs w:val="20"/>
                <w:color w:val="auto"/>
              </w:rPr>
            </w:pPr>
            <w:r>
              <w:rPr>
                <w:rFonts w:ascii="Arial" w:cs="Arial" w:eastAsia="Arial" w:hAnsi="Arial"/>
                <w:sz w:val="17"/>
                <w:szCs w:val="17"/>
                <w:color w:val="auto"/>
              </w:rPr>
              <w:t>at June 30, 2020 and December 31, 2019, respectively</w:t>
            </w:r>
          </w:p>
        </w:tc>
        <w:tc>
          <w:tcPr>
            <w:tcW w:w="280" w:type="dxa"/>
            <w:vAlign w:val="bottom"/>
            <w:shd w:val="clear" w:color="auto" w:fill="CCEEFF"/>
          </w:tcPr>
          <w:p>
            <w:pPr>
              <w:spacing w:after="0"/>
              <w:rPr>
                <w:sz w:val="17"/>
                <w:szCs w:val="17"/>
                <w:color w:val="auto"/>
              </w:rPr>
            </w:pPr>
          </w:p>
        </w:tc>
        <w:tc>
          <w:tcPr>
            <w:tcW w:w="16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7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25"/>
        </w:trPr>
        <w:tc>
          <w:tcPr>
            <w:tcW w:w="7320" w:type="dxa"/>
            <w:vAlign w:val="bottom"/>
          </w:tcPr>
          <w:p>
            <w:pPr>
              <w:ind w:left="200"/>
              <w:spacing w:after="0"/>
              <w:rPr>
                <w:sz w:val="20"/>
                <w:szCs w:val="20"/>
                <w:color w:val="auto"/>
              </w:rPr>
            </w:pPr>
            <w:r>
              <w:rPr>
                <w:rFonts w:ascii="Arial" w:cs="Arial" w:eastAsia="Arial" w:hAnsi="Arial"/>
                <w:sz w:val="17"/>
                <w:szCs w:val="17"/>
                <w:color w:val="auto"/>
              </w:rPr>
              <w:t>Additional paid-in capital</w:t>
            </w:r>
          </w:p>
        </w:tc>
        <w:tc>
          <w:tcPr>
            <w:tcW w:w="280" w:type="dxa"/>
            <w:vAlign w:val="bottom"/>
          </w:tcPr>
          <w:p>
            <w:pPr>
              <w:spacing w:after="0"/>
              <w:rPr>
                <w:sz w:val="19"/>
                <w:szCs w:val="19"/>
                <w:color w:val="auto"/>
              </w:rPr>
            </w:pPr>
          </w:p>
        </w:tc>
        <w:tc>
          <w:tcPr>
            <w:tcW w:w="1600" w:type="dxa"/>
            <w:vAlign w:val="bottom"/>
          </w:tcPr>
          <w:p>
            <w:pPr>
              <w:jc w:val="right"/>
              <w:ind w:right="55"/>
              <w:spacing w:after="0"/>
              <w:rPr>
                <w:sz w:val="20"/>
                <w:szCs w:val="20"/>
                <w:color w:val="auto"/>
              </w:rPr>
            </w:pPr>
            <w:r>
              <w:rPr>
                <w:rFonts w:ascii="Arial" w:cs="Arial" w:eastAsia="Arial" w:hAnsi="Arial"/>
                <w:sz w:val="17"/>
                <w:szCs w:val="17"/>
                <w:color w:val="auto"/>
              </w:rPr>
              <w:t>2,093,877</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700" w:type="dxa"/>
            <w:vAlign w:val="bottom"/>
          </w:tcPr>
          <w:p>
            <w:pPr>
              <w:jc w:val="right"/>
              <w:ind w:right="55"/>
              <w:spacing w:after="0"/>
              <w:rPr>
                <w:sz w:val="20"/>
                <w:szCs w:val="20"/>
                <w:color w:val="auto"/>
              </w:rPr>
            </w:pPr>
            <w:r>
              <w:rPr>
                <w:rFonts w:ascii="Arial" w:cs="Arial" w:eastAsia="Arial" w:hAnsi="Arial"/>
                <w:sz w:val="17"/>
                <w:szCs w:val="17"/>
                <w:color w:val="auto"/>
              </w:rPr>
              <w:t>1,970,047</w:t>
            </w:r>
          </w:p>
        </w:tc>
        <w:tc>
          <w:tcPr>
            <w:tcW w:w="0" w:type="dxa"/>
            <w:vAlign w:val="bottom"/>
          </w:tcPr>
          <w:p>
            <w:pPr>
              <w:spacing w:after="0"/>
              <w:rPr>
                <w:sz w:val="1"/>
                <w:szCs w:val="1"/>
                <w:color w:val="auto"/>
              </w:rPr>
            </w:pPr>
          </w:p>
        </w:tc>
      </w:tr>
      <w:tr>
        <w:trPr>
          <w:trHeight w:val="31"/>
        </w:trPr>
        <w:tc>
          <w:tcPr>
            <w:tcW w:w="73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6"/>
        </w:trPr>
        <w:tc>
          <w:tcPr>
            <w:tcW w:w="732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7"/>
                <w:szCs w:val="17"/>
                <w:color w:val="auto"/>
              </w:rPr>
              <w:t>Accumulated other comprehensive income (loss)</w:t>
            </w:r>
          </w:p>
        </w:tc>
        <w:tc>
          <w:tcPr>
            <w:tcW w:w="280" w:type="dxa"/>
            <w:vAlign w:val="bottom"/>
            <w:tcBorders>
              <w:bottom w:val="single" w:sz="8" w:color="CCEEFF"/>
            </w:tcBorders>
            <w:shd w:val="clear" w:color="auto" w:fill="CCEEFF"/>
          </w:tcPr>
          <w:p>
            <w:pPr>
              <w:spacing w:after="0"/>
              <w:rPr>
                <w:sz w:val="20"/>
                <w:szCs w:val="20"/>
                <w:color w:val="auto"/>
              </w:rPr>
            </w:pPr>
          </w:p>
        </w:tc>
        <w:tc>
          <w:tcPr>
            <w:tcW w:w="1600" w:type="dxa"/>
            <w:vAlign w:val="bottom"/>
            <w:tcBorders>
              <w:bottom w:val="single" w:sz="8" w:color="CCEEFF"/>
            </w:tcBorders>
            <w:shd w:val="clear" w:color="auto" w:fill="CCEEFF"/>
          </w:tcPr>
          <w:p>
            <w:pPr>
              <w:jc w:val="right"/>
              <w:ind w:right="55"/>
              <w:spacing w:after="0"/>
              <w:rPr>
                <w:sz w:val="20"/>
                <w:szCs w:val="20"/>
                <w:color w:val="auto"/>
              </w:rPr>
            </w:pPr>
            <w:r>
              <w:rPr>
                <w:rFonts w:ascii="Arial" w:cs="Arial" w:eastAsia="Arial" w:hAnsi="Arial"/>
                <w:sz w:val="17"/>
                <w:szCs w:val="17"/>
                <w:color w:val="auto"/>
              </w:rPr>
              <w:t>486</w:t>
            </w:r>
          </w:p>
        </w:tc>
        <w:tc>
          <w:tcPr>
            <w:tcW w:w="12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70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(3,449)</w:t>
            </w:r>
          </w:p>
        </w:tc>
        <w:tc>
          <w:tcPr>
            <w:tcW w:w="0" w:type="dxa"/>
            <w:vAlign w:val="bottom"/>
          </w:tcPr>
          <w:p>
            <w:pPr>
              <w:spacing w:after="0"/>
              <w:rPr>
                <w:sz w:val="1"/>
                <w:szCs w:val="1"/>
                <w:color w:val="auto"/>
              </w:rPr>
            </w:pPr>
          </w:p>
        </w:tc>
      </w:tr>
      <w:tr>
        <w:trPr>
          <w:trHeight w:val="226"/>
        </w:trPr>
        <w:tc>
          <w:tcPr>
            <w:tcW w:w="7320" w:type="dxa"/>
            <w:vAlign w:val="bottom"/>
          </w:tcPr>
          <w:p>
            <w:pPr>
              <w:ind w:left="200"/>
              <w:spacing w:after="0"/>
              <w:rPr>
                <w:sz w:val="20"/>
                <w:szCs w:val="20"/>
                <w:color w:val="auto"/>
              </w:rPr>
            </w:pPr>
            <w:r>
              <w:rPr>
                <w:rFonts w:ascii="Arial" w:cs="Arial" w:eastAsia="Arial" w:hAnsi="Arial"/>
                <w:sz w:val="17"/>
                <w:szCs w:val="17"/>
                <w:color w:val="auto"/>
              </w:rPr>
              <w:t>Retained deficit</w:t>
            </w:r>
          </w:p>
        </w:tc>
        <w:tc>
          <w:tcPr>
            <w:tcW w:w="280" w:type="dxa"/>
            <w:vAlign w:val="bottom"/>
          </w:tcPr>
          <w:p>
            <w:pPr>
              <w:spacing w:after="0"/>
              <w:rPr>
                <w:sz w:val="19"/>
                <w:szCs w:val="19"/>
                <w:color w:val="auto"/>
              </w:rPr>
            </w:pPr>
          </w:p>
        </w:tc>
        <w:tc>
          <w:tcPr>
            <w:tcW w:w="1600" w:type="dxa"/>
            <w:vAlign w:val="bottom"/>
          </w:tcPr>
          <w:p>
            <w:pPr>
              <w:jc w:val="right"/>
              <w:ind w:right="15"/>
              <w:spacing w:after="0"/>
              <w:rPr>
                <w:sz w:val="20"/>
                <w:szCs w:val="20"/>
                <w:color w:val="auto"/>
              </w:rPr>
            </w:pPr>
            <w:r>
              <w:rPr>
                <w:rFonts w:ascii="Arial" w:cs="Arial" w:eastAsia="Arial" w:hAnsi="Arial"/>
                <w:sz w:val="17"/>
                <w:szCs w:val="17"/>
                <w:color w:val="auto"/>
              </w:rPr>
              <w:t>(1,624,044)</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700" w:type="dxa"/>
            <w:vAlign w:val="bottom"/>
          </w:tcPr>
          <w:p>
            <w:pPr>
              <w:jc w:val="right"/>
              <w:ind w:right="15"/>
              <w:spacing w:after="0"/>
              <w:rPr>
                <w:sz w:val="20"/>
                <w:szCs w:val="20"/>
                <w:color w:val="auto"/>
              </w:rPr>
            </w:pPr>
            <w:r>
              <w:rPr>
                <w:rFonts w:ascii="Arial" w:cs="Arial" w:eastAsia="Arial" w:hAnsi="Arial"/>
                <w:sz w:val="17"/>
                <w:szCs w:val="17"/>
                <w:color w:val="auto"/>
              </w:rPr>
              <w:t>(1,559,401)</w:t>
            </w:r>
          </w:p>
        </w:tc>
        <w:tc>
          <w:tcPr>
            <w:tcW w:w="0" w:type="dxa"/>
            <w:vAlign w:val="bottom"/>
          </w:tcPr>
          <w:p>
            <w:pPr>
              <w:spacing w:after="0"/>
              <w:rPr>
                <w:sz w:val="1"/>
                <w:szCs w:val="1"/>
                <w:color w:val="auto"/>
              </w:rPr>
            </w:pPr>
          </w:p>
        </w:tc>
      </w:tr>
      <w:tr>
        <w:trPr>
          <w:trHeight w:val="31"/>
        </w:trPr>
        <w:tc>
          <w:tcPr>
            <w:tcW w:w="73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7320" w:type="dxa"/>
            <w:vAlign w:val="bottom"/>
            <w:tcBorders>
              <w:bottom w:val="single" w:sz="8" w:color="CCEEFF"/>
            </w:tcBorders>
            <w:shd w:val="clear" w:color="auto" w:fill="CCEEFF"/>
          </w:tcPr>
          <w:p>
            <w:pPr>
              <w:ind w:left="440"/>
              <w:spacing w:after="0"/>
              <w:rPr>
                <w:sz w:val="20"/>
                <w:szCs w:val="20"/>
                <w:color w:val="auto"/>
              </w:rPr>
            </w:pPr>
            <w:r>
              <w:rPr>
                <w:rFonts w:ascii="Arial" w:cs="Arial" w:eastAsia="Arial" w:hAnsi="Arial"/>
                <w:sz w:val="17"/>
                <w:szCs w:val="17"/>
                <w:color w:val="auto"/>
              </w:rPr>
              <w:t>Total stockholders’ equity</w:t>
            </w:r>
          </w:p>
        </w:tc>
        <w:tc>
          <w:tcPr>
            <w:tcW w:w="280" w:type="dxa"/>
            <w:vAlign w:val="bottom"/>
            <w:tcBorders>
              <w:bottom w:val="single" w:sz="8" w:color="CCEEFF"/>
            </w:tcBorders>
            <w:shd w:val="clear" w:color="auto" w:fill="CCEEFF"/>
          </w:tcPr>
          <w:p>
            <w:pPr>
              <w:spacing w:after="0"/>
              <w:rPr>
                <w:sz w:val="21"/>
                <w:szCs w:val="21"/>
                <w:color w:val="auto"/>
              </w:rPr>
            </w:pPr>
          </w:p>
        </w:tc>
        <w:tc>
          <w:tcPr>
            <w:tcW w:w="1600" w:type="dxa"/>
            <w:vAlign w:val="bottom"/>
            <w:tcBorders>
              <w:bottom w:val="single" w:sz="8" w:color="CCEEFF"/>
            </w:tcBorders>
            <w:shd w:val="clear" w:color="auto" w:fill="CCEEFF"/>
          </w:tcPr>
          <w:p>
            <w:pPr>
              <w:jc w:val="right"/>
              <w:ind w:right="55"/>
              <w:spacing w:after="0"/>
              <w:rPr>
                <w:sz w:val="20"/>
                <w:szCs w:val="20"/>
                <w:color w:val="auto"/>
              </w:rPr>
            </w:pPr>
            <w:r>
              <w:rPr>
                <w:rFonts w:ascii="Arial" w:cs="Arial" w:eastAsia="Arial" w:hAnsi="Arial"/>
                <w:sz w:val="17"/>
                <w:szCs w:val="17"/>
                <w:color w:val="auto"/>
              </w:rPr>
              <w:t>470,486</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700" w:type="dxa"/>
            <w:vAlign w:val="bottom"/>
            <w:tcBorders>
              <w:bottom w:val="single" w:sz="8" w:color="CCEEFF"/>
            </w:tcBorders>
            <w:shd w:val="clear" w:color="auto" w:fill="CCEEFF"/>
          </w:tcPr>
          <w:p>
            <w:pPr>
              <w:jc w:val="right"/>
              <w:ind w:right="55"/>
              <w:spacing w:after="0"/>
              <w:rPr>
                <w:sz w:val="20"/>
                <w:szCs w:val="20"/>
                <w:color w:val="auto"/>
              </w:rPr>
            </w:pPr>
            <w:r>
              <w:rPr>
                <w:rFonts w:ascii="Arial" w:cs="Arial" w:eastAsia="Arial" w:hAnsi="Arial"/>
                <w:sz w:val="17"/>
                <w:szCs w:val="17"/>
                <w:color w:val="auto"/>
              </w:rPr>
              <w:t>407,343</w:t>
            </w:r>
          </w:p>
        </w:tc>
        <w:tc>
          <w:tcPr>
            <w:tcW w:w="0" w:type="dxa"/>
            <w:vAlign w:val="bottom"/>
          </w:tcPr>
          <w:p>
            <w:pPr>
              <w:spacing w:after="0"/>
              <w:rPr>
                <w:sz w:val="1"/>
                <w:szCs w:val="1"/>
                <w:color w:val="auto"/>
              </w:rPr>
            </w:pPr>
          </w:p>
        </w:tc>
      </w:tr>
      <w:tr>
        <w:trPr>
          <w:trHeight w:val="248"/>
        </w:trPr>
        <w:tc>
          <w:tcPr>
            <w:tcW w:w="7320" w:type="dxa"/>
            <w:vAlign w:val="bottom"/>
          </w:tcPr>
          <w:p>
            <w:pPr>
              <w:ind w:left="640"/>
              <w:spacing w:after="0"/>
              <w:rPr>
                <w:sz w:val="20"/>
                <w:szCs w:val="20"/>
                <w:color w:val="auto"/>
              </w:rPr>
            </w:pPr>
            <w:r>
              <w:rPr>
                <w:rFonts w:ascii="Arial" w:cs="Arial" w:eastAsia="Arial" w:hAnsi="Arial"/>
                <w:sz w:val="17"/>
                <w:szCs w:val="17"/>
                <w:color w:val="auto"/>
              </w:rPr>
              <w:t>Total liabilities and stockholders’ equity</w:t>
            </w:r>
          </w:p>
        </w:tc>
        <w:tc>
          <w:tcPr>
            <w:tcW w:w="280" w:type="dxa"/>
            <w:vAlign w:val="bottom"/>
            <w:tcBorders>
              <w:top w:val="single" w:sz="8" w:color="auto"/>
              <w:bottom w:val="single" w:sz="8" w:color="auto"/>
            </w:tcBorders>
          </w:tcPr>
          <w:p>
            <w:pPr>
              <w:jc w:val="right"/>
              <w:ind w:right="95"/>
              <w:spacing w:after="0"/>
              <w:rPr>
                <w:sz w:val="20"/>
                <w:szCs w:val="20"/>
                <w:color w:val="auto"/>
              </w:rPr>
            </w:pPr>
            <w:r>
              <w:rPr>
                <w:rFonts w:ascii="Arial" w:cs="Arial" w:eastAsia="Arial" w:hAnsi="Arial"/>
                <w:sz w:val="17"/>
                <w:szCs w:val="17"/>
                <w:color w:val="auto"/>
                <w:w w:val="84"/>
              </w:rPr>
              <w:t>$</w:t>
            </w:r>
          </w:p>
        </w:tc>
        <w:tc>
          <w:tcPr>
            <w:tcW w:w="1600" w:type="dxa"/>
            <w:vAlign w:val="bottom"/>
            <w:tcBorders>
              <w:top w:val="single" w:sz="8" w:color="auto"/>
              <w:bottom w:val="single" w:sz="8" w:color="auto"/>
            </w:tcBorders>
          </w:tcPr>
          <w:p>
            <w:pPr>
              <w:jc w:val="right"/>
              <w:ind w:right="55"/>
              <w:spacing w:after="0"/>
              <w:rPr>
                <w:sz w:val="20"/>
                <w:szCs w:val="20"/>
                <w:color w:val="auto"/>
              </w:rPr>
            </w:pPr>
            <w:r>
              <w:rPr>
                <w:rFonts w:ascii="Arial" w:cs="Arial" w:eastAsia="Arial" w:hAnsi="Arial"/>
                <w:sz w:val="17"/>
                <w:szCs w:val="17"/>
                <w:color w:val="auto"/>
              </w:rPr>
              <w:t>923,550</w:t>
            </w:r>
          </w:p>
        </w:tc>
        <w:tc>
          <w:tcPr>
            <w:tcW w:w="120" w:type="dxa"/>
            <w:vAlign w:val="bottom"/>
          </w:tcPr>
          <w:p>
            <w:pPr>
              <w:spacing w:after="0"/>
              <w:rPr>
                <w:sz w:val="21"/>
                <w:szCs w:val="21"/>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700" w:type="dxa"/>
            <w:vAlign w:val="bottom"/>
            <w:tcBorders>
              <w:top w:val="single" w:sz="8" w:color="auto"/>
              <w:bottom w:val="single" w:sz="8" w:color="auto"/>
            </w:tcBorders>
          </w:tcPr>
          <w:p>
            <w:pPr>
              <w:jc w:val="right"/>
              <w:ind w:right="55"/>
              <w:spacing w:after="0"/>
              <w:rPr>
                <w:sz w:val="20"/>
                <w:szCs w:val="20"/>
                <w:color w:val="auto"/>
              </w:rPr>
            </w:pPr>
            <w:r>
              <w:rPr>
                <w:rFonts w:ascii="Arial" w:cs="Arial" w:eastAsia="Arial" w:hAnsi="Arial"/>
                <w:sz w:val="17"/>
                <w:szCs w:val="17"/>
                <w:color w:val="auto"/>
              </w:rPr>
              <w:t>965,590</w:t>
            </w:r>
          </w:p>
        </w:tc>
        <w:tc>
          <w:tcPr>
            <w:tcW w:w="0" w:type="dxa"/>
            <w:vAlign w:val="bottom"/>
          </w:tcPr>
          <w:p>
            <w:pPr>
              <w:spacing w:after="0"/>
              <w:rPr>
                <w:sz w:val="1"/>
                <w:szCs w:val="1"/>
                <w:color w:val="auto"/>
              </w:rPr>
            </w:pPr>
          </w:p>
        </w:tc>
      </w:tr>
      <w:tr>
        <w:trPr>
          <w:trHeight w:val="22"/>
        </w:trPr>
        <w:tc>
          <w:tcPr>
            <w:tcW w:w="73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63" w:lineRule="exact"/>
        <w:rPr>
          <w:sz w:val="20"/>
          <w:szCs w:val="20"/>
          <w:color w:val="auto"/>
        </w:rPr>
      </w:pPr>
    </w:p>
    <w:p>
      <w:pPr>
        <w:jc w:val="center"/>
        <w:ind w:right="40"/>
        <w:spacing w:after="0"/>
        <w:rPr>
          <w:sz w:val="20"/>
          <w:szCs w:val="20"/>
          <w:color w:val="auto"/>
        </w:rPr>
      </w:pPr>
      <w:r>
        <w:rPr>
          <w:rFonts w:ascii="Arial" w:cs="Arial" w:eastAsia="Arial" w:hAnsi="Arial"/>
          <w:sz w:val="17"/>
          <w:szCs w:val="17"/>
          <w:color w:val="auto"/>
        </w:rPr>
        <w:t>See accompanying notes to unaudited interim condensed consolidated financial statements.</w:t>
      </w:r>
    </w:p>
    <w:p>
      <w:pPr>
        <w:sectPr>
          <w:pgSz w:w="11900" w:h="16838" w:orient="portrait"/>
          <w:cols w:equalWidth="0" w:num="1">
            <w:col w:w="11200"/>
          </w:cols>
          <w:pgMar w:left="340" w:top="938" w:right="359" w:bottom="1440" w:gutter="0" w:footer="0" w:header="0"/>
        </w:sectPr>
      </w:pPr>
    </w:p>
    <w:p>
      <w:pPr>
        <w:spacing w:after="0" w:line="200" w:lineRule="exact"/>
        <w:rPr>
          <w:sz w:val="20"/>
          <w:szCs w:val="20"/>
          <w:color w:val="auto"/>
        </w:rPr>
      </w:pPr>
    </w:p>
    <w:p>
      <w:pPr>
        <w:spacing w:after="0" w:line="364"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120015</wp:posOffset>
            </wp:positionV>
            <wp:extent cx="7132320" cy="171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00"/>
          </w:cols>
          <w:pgMar w:left="340" w:top="938" w:right="359" w:bottom="1440" w:gutter="0" w:footer="0" w:header="0"/>
          <w:type w:val="continuous"/>
        </w:sectPr>
      </w:pPr>
    </w:p>
    <w:bookmarkStart w:id="4" w:name="page5"/>
    <w:bookmarkEnd w:id="4"/>
    <w:p>
      <w:pPr>
        <w:jc w:val="center"/>
        <w:ind w:right="80"/>
        <w:spacing w:after="0"/>
        <w:rPr>
          <w:sz w:val="20"/>
          <w:szCs w:val="20"/>
          <w:color w:val="auto"/>
        </w:rPr>
      </w:pPr>
      <w:r>
        <w:rPr>
          <w:rFonts w:ascii="Arial" w:cs="Arial" w:eastAsia="Arial" w:hAnsi="Arial"/>
          <w:sz w:val="18"/>
          <w:szCs w:val="18"/>
          <w:b w:val="1"/>
          <w:bCs w:val="1"/>
          <w:color w:val="auto"/>
        </w:rPr>
        <w:t>GLOBALSTAR, INC.</w:t>
      </w:r>
    </w:p>
    <w:p>
      <w:pPr>
        <w:spacing w:after="0" w:line="5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STOCKHOLDERS' EQUITY</w:t>
      </w:r>
    </w:p>
    <w:p>
      <w:pPr>
        <w:spacing w:after="0" w:line="50" w:lineRule="exact"/>
        <w:rPr>
          <w:sz w:val="20"/>
          <w:szCs w:val="20"/>
          <w:color w:val="auto"/>
        </w:rPr>
      </w:pPr>
    </w:p>
    <w:p>
      <w:pPr>
        <w:ind w:left="5040"/>
        <w:spacing w:after="0"/>
        <w:rPr>
          <w:sz w:val="20"/>
          <w:szCs w:val="20"/>
          <w:color w:val="auto"/>
        </w:rPr>
      </w:pPr>
      <w:r>
        <w:rPr>
          <w:rFonts w:ascii="Arial" w:cs="Arial" w:eastAsia="Arial" w:hAnsi="Arial"/>
          <w:sz w:val="18"/>
          <w:szCs w:val="18"/>
          <w:b w:val="1"/>
          <w:bCs w:val="1"/>
          <w:color w:val="auto"/>
        </w:rPr>
        <w:t>(In thousands)</w:t>
      </w:r>
    </w:p>
    <w:p>
      <w:pPr>
        <w:spacing w:after="0" w:line="50" w:lineRule="exact"/>
        <w:rPr>
          <w:sz w:val="20"/>
          <w:szCs w:val="20"/>
          <w:color w:val="auto"/>
        </w:rPr>
      </w:pPr>
    </w:p>
    <w:p>
      <w:pPr>
        <w:ind w:left="5140"/>
        <w:spacing w:after="0"/>
        <w:rPr>
          <w:sz w:val="20"/>
          <w:szCs w:val="20"/>
          <w:color w:val="auto"/>
        </w:rPr>
      </w:pPr>
      <w:r>
        <w:rPr>
          <w:rFonts w:ascii="Arial" w:cs="Arial" w:eastAsia="Arial" w:hAnsi="Arial"/>
          <w:sz w:val="18"/>
          <w:szCs w:val="18"/>
          <w:b w:val="1"/>
          <w:bCs w:val="1"/>
          <w:color w:val="auto"/>
        </w:rPr>
        <w:t>(Unaudited)</w:t>
      </w:r>
    </w:p>
    <w:p>
      <w:pPr>
        <w:spacing w:after="0" w:line="145"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428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60" w:type="dxa"/>
            <w:vAlign w:val="bottom"/>
          </w:tcPr>
          <w:p>
            <w:pPr>
              <w:jc w:val="center"/>
              <w:spacing w:after="0"/>
              <w:rPr>
                <w:sz w:val="20"/>
                <w:szCs w:val="20"/>
                <w:color w:val="auto"/>
              </w:rPr>
            </w:pPr>
            <w:r>
              <w:rPr>
                <w:rFonts w:ascii="Arial" w:cs="Arial" w:eastAsia="Arial" w:hAnsi="Arial"/>
                <w:sz w:val="16"/>
                <w:szCs w:val="16"/>
                <w:b w:val="1"/>
                <w:bCs w:val="1"/>
                <w:color w:val="auto"/>
                <w:w w:val="92"/>
              </w:rPr>
              <w:t>Common</w:t>
            </w:r>
          </w:p>
        </w:tc>
        <w:tc>
          <w:tcPr>
            <w:tcW w:w="220" w:type="dxa"/>
            <w:vAlign w:val="bottom"/>
          </w:tcPr>
          <w:p>
            <w:pPr>
              <w:spacing w:after="0"/>
              <w:rPr>
                <w:sz w:val="17"/>
                <w:szCs w:val="17"/>
                <w:color w:val="auto"/>
              </w:rPr>
            </w:pPr>
          </w:p>
        </w:tc>
        <w:tc>
          <w:tcPr>
            <w:tcW w:w="940" w:type="dxa"/>
            <w:vAlign w:val="bottom"/>
          </w:tcPr>
          <w:p>
            <w:pPr>
              <w:jc w:val="right"/>
              <w:ind w:right="59"/>
              <w:spacing w:after="0"/>
              <w:rPr>
                <w:sz w:val="20"/>
                <w:szCs w:val="20"/>
                <w:color w:val="auto"/>
              </w:rPr>
            </w:pPr>
            <w:r>
              <w:rPr>
                <w:rFonts w:ascii="Arial" w:cs="Arial" w:eastAsia="Arial" w:hAnsi="Arial"/>
                <w:sz w:val="16"/>
                <w:szCs w:val="16"/>
                <w:b w:val="1"/>
                <w:bCs w:val="1"/>
                <w:color w:val="auto"/>
                <w:w w:val="99"/>
              </w:rPr>
              <w:t>Additional</w:t>
            </w:r>
          </w:p>
        </w:tc>
        <w:tc>
          <w:tcPr>
            <w:tcW w:w="1500" w:type="dxa"/>
            <w:vAlign w:val="bottom"/>
            <w:gridSpan w:val="2"/>
          </w:tcPr>
          <w:p>
            <w:pPr>
              <w:ind w:left="120"/>
              <w:spacing w:after="0"/>
              <w:rPr>
                <w:sz w:val="20"/>
                <w:szCs w:val="20"/>
                <w:color w:val="auto"/>
              </w:rPr>
            </w:pPr>
            <w:r>
              <w:rPr>
                <w:rFonts w:ascii="Arial" w:cs="Arial" w:eastAsia="Arial" w:hAnsi="Arial"/>
                <w:sz w:val="16"/>
                <w:szCs w:val="16"/>
                <w:b w:val="1"/>
                <w:bCs w:val="1"/>
                <w:color w:val="auto"/>
                <w:w w:val="92"/>
              </w:rPr>
              <w:t>Accumulated Other</w:t>
            </w:r>
          </w:p>
        </w:tc>
        <w:tc>
          <w:tcPr>
            <w:tcW w:w="2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280" w:type="dxa"/>
            <w:vAlign w:val="bottom"/>
          </w:tcPr>
          <w:p>
            <w:pPr>
              <w:spacing w:after="0"/>
              <w:rPr>
                <w:sz w:val="17"/>
                <w:szCs w:val="17"/>
                <w:color w:val="auto"/>
              </w:rPr>
            </w:pPr>
          </w:p>
        </w:tc>
        <w:tc>
          <w:tcPr>
            <w:tcW w:w="1040" w:type="dxa"/>
            <w:vAlign w:val="bottom"/>
          </w:tcPr>
          <w:p>
            <w:pPr>
              <w:jc w:val="right"/>
              <w:ind w:right="99"/>
              <w:spacing w:after="0"/>
              <w:rPr>
                <w:sz w:val="20"/>
                <w:szCs w:val="20"/>
                <w:color w:val="auto"/>
              </w:rPr>
            </w:pPr>
            <w:r>
              <w:rPr>
                <w:rFonts w:ascii="Arial" w:cs="Arial" w:eastAsia="Arial" w:hAnsi="Arial"/>
                <w:sz w:val="16"/>
                <w:szCs w:val="16"/>
                <w:b w:val="1"/>
                <w:bCs w:val="1"/>
                <w:color w:val="auto"/>
              </w:rPr>
              <w:t>Common</w:t>
            </w:r>
          </w:p>
        </w:tc>
        <w:tc>
          <w:tcPr>
            <w:tcW w:w="200" w:type="dxa"/>
            <w:vAlign w:val="bottom"/>
          </w:tcPr>
          <w:p>
            <w:pPr>
              <w:spacing w:after="0"/>
              <w:rPr>
                <w:sz w:val="17"/>
                <w:szCs w:val="17"/>
                <w:color w:val="auto"/>
              </w:rPr>
            </w:pPr>
          </w:p>
        </w:tc>
        <w:tc>
          <w:tcPr>
            <w:tcW w:w="760" w:type="dxa"/>
            <w:vAlign w:val="bottom"/>
          </w:tcPr>
          <w:p>
            <w:pPr>
              <w:jc w:val="center"/>
              <w:spacing w:after="0"/>
              <w:rPr>
                <w:sz w:val="20"/>
                <w:szCs w:val="20"/>
                <w:color w:val="auto"/>
              </w:rPr>
            </w:pPr>
            <w:r>
              <w:rPr>
                <w:rFonts w:ascii="Arial" w:cs="Arial" w:eastAsia="Arial" w:hAnsi="Arial"/>
                <w:sz w:val="16"/>
                <w:szCs w:val="16"/>
                <w:b w:val="1"/>
                <w:bCs w:val="1"/>
                <w:color w:val="auto"/>
                <w:w w:val="87"/>
              </w:rPr>
              <w:t>Stock</w:t>
            </w:r>
          </w:p>
        </w:tc>
        <w:tc>
          <w:tcPr>
            <w:tcW w:w="220" w:type="dxa"/>
            <w:vAlign w:val="bottom"/>
          </w:tcPr>
          <w:p>
            <w:pPr>
              <w:spacing w:after="0"/>
              <w:rPr>
                <w:sz w:val="17"/>
                <w:szCs w:val="17"/>
                <w:color w:val="auto"/>
              </w:rPr>
            </w:pPr>
          </w:p>
        </w:tc>
        <w:tc>
          <w:tcPr>
            <w:tcW w:w="940" w:type="dxa"/>
            <w:vAlign w:val="bottom"/>
          </w:tcPr>
          <w:p>
            <w:pPr>
              <w:jc w:val="right"/>
              <w:ind w:right="159"/>
              <w:spacing w:after="0"/>
              <w:rPr>
                <w:sz w:val="20"/>
                <w:szCs w:val="20"/>
                <w:color w:val="auto"/>
              </w:rPr>
            </w:pPr>
            <w:r>
              <w:rPr>
                <w:rFonts w:ascii="Arial" w:cs="Arial" w:eastAsia="Arial" w:hAnsi="Arial"/>
                <w:sz w:val="16"/>
                <w:szCs w:val="16"/>
                <w:b w:val="1"/>
                <w:bCs w:val="1"/>
                <w:color w:val="auto"/>
              </w:rPr>
              <w:t>Paid-In</w:t>
            </w:r>
          </w:p>
        </w:tc>
        <w:tc>
          <w:tcPr>
            <w:tcW w:w="220" w:type="dxa"/>
            <w:vAlign w:val="bottom"/>
          </w:tcPr>
          <w:p>
            <w:pPr>
              <w:spacing w:after="0"/>
              <w:rPr>
                <w:sz w:val="17"/>
                <w:szCs w:val="17"/>
                <w:color w:val="auto"/>
              </w:rPr>
            </w:pPr>
          </w:p>
        </w:tc>
        <w:tc>
          <w:tcPr>
            <w:tcW w:w="1280" w:type="dxa"/>
            <w:vAlign w:val="bottom"/>
          </w:tcPr>
          <w:p>
            <w:pPr>
              <w:jc w:val="right"/>
              <w:ind w:right="79"/>
              <w:spacing w:after="0"/>
              <w:rPr>
                <w:sz w:val="20"/>
                <w:szCs w:val="20"/>
                <w:color w:val="auto"/>
              </w:rPr>
            </w:pPr>
            <w:r>
              <w:rPr>
                <w:rFonts w:ascii="Arial" w:cs="Arial" w:eastAsia="Arial" w:hAnsi="Arial"/>
                <w:sz w:val="16"/>
                <w:szCs w:val="16"/>
                <w:b w:val="1"/>
                <w:bCs w:val="1"/>
                <w:color w:val="auto"/>
                <w:w w:val="91"/>
              </w:rPr>
              <w:t>Comprehensive</w:t>
            </w:r>
          </w:p>
        </w:tc>
        <w:tc>
          <w:tcPr>
            <w:tcW w:w="220" w:type="dxa"/>
            <w:vAlign w:val="bottom"/>
          </w:tcPr>
          <w:p>
            <w:pPr>
              <w:spacing w:after="0"/>
              <w:rPr>
                <w:sz w:val="17"/>
                <w:szCs w:val="17"/>
                <w:color w:val="auto"/>
              </w:rPr>
            </w:pPr>
          </w:p>
        </w:tc>
        <w:tc>
          <w:tcPr>
            <w:tcW w:w="960" w:type="dxa"/>
            <w:vAlign w:val="bottom"/>
          </w:tcPr>
          <w:p>
            <w:pPr>
              <w:jc w:val="right"/>
              <w:ind w:right="179"/>
              <w:spacing w:after="0"/>
              <w:rPr>
                <w:sz w:val="20"/>
                <w:szCs w:val="20"/>
                <w:color w:val="auto"/>
              </w:rPr>
            </w:pPr>
            <w:r>
              <w:rPr>
                <w:rFonts w:ascii="Arial" w:cs="Arial" w:eastAsia="Arial" w:hAnsi="Arial"/>
                <w:sz w:val="16"/>
                <w:szCs w:val="16"/>
                <w:b w:val="1"/>
                <w:bCs w:val="1"/>
                <w:color w:val="auto"/>
              </w:rPr>
              <w:t>Retained</w:t>
            </w:r>
          </w:p>
        </w:tc>
        <w:tc>
          <w:tcPr>
            <w:tcW w:w="28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4280" w:type="dxa"/>
            <w:vAlign w:val="bottom"/>
          </w:tcPr>
          <w:p>
            <w:pPr>
              <w:spacing w:after="0"/>
              <w:rPr>
                <w:sz w:val="18"/>
                <w:szCs w:val="18"/>
                <w:color w:val="auto"/>
              </w:rPr>
            </w:pPr>
          </w:p>
        </w:tc>
        <w:tc>
          <w:tcPr>
            <w:tcW w:w="1040" w:type="dxa"/>
            <w:vAlign w:val="bottom"/>
          </w:tcPr>
          <w:p>
            <w:pPr>
              <w:jc w:val="right"/>
              <w:ind w:right="179"/>
              <w:spacing w:after="0"/>
              <w:rPr>
                <w:sz w:val="20"/>
                <w:szCs w:val="20"/>
                <w:color w:val="auto"/>
              </w:rPr>
            </w:pPr>
            <w:r>
              <w:rPr>
                <w:rFonts w:ascii="Arial" w:cs="Arial" w:eastAsia="Arial" w:hAnsi="Arial"/>
                <w:sz w:val="16"/>
                <w:szCs w:val="16"/>
                <w:b w:val="1"/>
                <w:bCs w:val="1"/>
                <w:color w:val="auto"/>
              </w:rPr>
              <w:t>Shares</w:t>
            </w:r>
          </w:p>
        </w:tc>
        <w:tc>
          <w:tcPr>
            <w:tcW w:w="200" w:type="dxa"/>
            <w:vAlign w:val="bottom"/>
          </w:tcPr>
          <w:p>
            <w:pPr>
              <w:spacing w:after="0"/>
              <w:rPr>
                <w:sz w:val="18"/>
                <w:szCs w:val="18"/>
                <w:color w:val="auto"/>
              </w:rPr>
            </w:pPr>
          </w:p>
        </w:tc>
        <w:tc>
          <w:tcPr>
            <w:tcW w:w="760" w:type="dxa"/>
            <w:vAlign w:val="bottom"/>
          </w:tcPr>
          <w:p>
            <w:pPr>
              <w:jc w:val="center"/>
              <w:spacing w:after="0"/>
              <w:rPr>
                <w:sz w:val="20"/>
                <w:szCs w:val="20"/>
                <w:color w:val="auto"/>
              </w:rPr>
            </w:pPr>
            <w:r>
              <w:rPr>
                <w:rFonts w:ascii="Arial" w:cs="Arial" w:eastAsia="Arial" w:hAnsi="Arial"/>
                <w:sz w:val="16"/>
                <w:szCs w:val="16"/>
                <w:b w:val="1"/>
                <w:bCs w:val="1"/>
                <w:color w:val="auto"/>
                <w:w w:val="95"/>
              </w:rPr>
              <w:t>Amount</w:t>
            </w:r>
          </w:p>
        </w:tc>
        <w:tc>
          <w:tcPr>
            <w:tcW w:w="220" w:type="dxa"/>
            <w:vAlign w:val="bottom"/>
          </w:tcPr>
          <w:p>
            <w:pPr>
              <w:spacing w:after="0"/>
              <w:rPr>
                <w:sz w:val="18"/>
                <w:szCs w:val="18"/>
                <w:color w:val="auto"/>
              </w:rPr>
            </w:pPr>
          </w:p>
        </w:tc>
        <w:tc>
          <w:tcPr>
            <w:tcW w:w="940" w:type="dxa"/>
            <w:vAlign w:val="bottom"/>
          </w:tcPr>
          <w:p>
            <w:pPr>
              <w:jc w:val="right"/>
              <w:ind w:right="159"/>
              <w:spacing w:after="0"/>
              <w:rPr>
                <w:sz w:val="20"/>
                <w:szCs w:val="20"/>
                <w:color w:val="auto"/>
              </w:rPr>
            </w:pPr>
            <w:r>
              <w:rPr>
                <w:rFonts w:ascii="Arial" w:cs="Arial" w:eastAsia="Arial" w:hAnsi="Arial"/>
                <w:sz w:val="16"/>
                <w:szCs w:val="16"/>
                <w:b w:val="1"/>
                <w:bCs w:val="1"/>
                <w:color w:val="auto"/>
              </w:rPr>
              <w:t>Capital</w:t>
            </w:r>
          </w:p>
        </w:tc>
        <w:tc>
          <w:tcPr>
            <w:tcW w:w="220" w:type="dxa"/>
            <w:vAlign w:val="bottom"/>
          </w:tcPr>
          <w:p>
            <w:pPr>
              <w:spacing w:after="0"/>
              <w:rPr>
                <w:sz w:val="18"/>
                <w:szCs w:val="18"/>
                <w:color w:val="auto"/>
              </w:rPr>
            </w:pPr>
          </w:p>
        </w:tc>
        <w:tc>
          <w:tcPr>
            <w:tcW w:w="1280" w:type="dxa"/>
            <w:vAlign w:val="bottom"/>
          </w:tcPr>
          <w:p>
            <w:pPr>
              <w:jc w:val="right"/>
              <w:ind w:right="139"/>
              <w:spacing w:after="0"/>
              <w:rPr>
                <w:sz w:val="20"/>
                <w:szCs w:val="20"/>
                <w:color w:val="auto"/>
              </w:rPr>
            </w:pPr>
            <w:r>
              <w:rPr>
                <w:rFonts w:ascii="Arial" w:cs="Arial" w:eastAsia="Arial" w:hAnsi="Arial"/>
                <w:sz w:val="16"/>
                <w:szCs w:val="16"/>
                <w:b w:val="1"/>
                <w:bCs w:val="1"/>
                <w:color w:val="auto"/>
                <w:w w:val="95"/>
              </w:rPr>
              <w:t>Income (Loss)</w:t>
            </w:r>
          </w:p>
        </w:tc>
        <w:tc>
          <w:tcPr>
            <w:tcW w:w="220" w:type="dxa"/>
            <w:vAlign w:val="bottom"/>
          </w:tcPr>
          <w:p>
            <w:pPr>
              <w:spacing w:after="0"/>
              <w:rPr>
                <w:sz w:val="18"/>
                <w:szCs w:val="18"/>
                <w:color w:val="auto"/>
              </w:rPr>
            </w:pPr>
          </w:p>
        </w:tc>
        <w:tc>
          <w:tcPr>
            <w:tcW w:w="960" w:type="dxa"/>
            <w:vAlign w:val="bottom"/>
          </w:tcPr>
          <w:p>
            <w:pPr>
              <w:jc w:val="right"/>
              <w:ind w:right="259"/>
              <w:spacing w:after="0"/>
              <w:rPr>
                <w:sz w:val="20"/>
                <w:szCs w:val="20"/>
                <w:color w:val="auto"/>
              </w:rPr>
            </w:pPr>
            <w:r>
              <w:rPr>
                <w:rFonts w:ascii="Arial" w:cs="Arial" w:eastAsia="Arial" w:hAnsi="Arial"/>
                <w:sz w:val="16"/>
                <w:szCs w:val="16"/>
                <w:b w:val="1"/>
                <w:bCs w:val="1"/>
                <w:color w:val="auto"/>
              </w:rPr>
              <w:t>Deficit</w:t>
            </w:r>
          </w:p>
        </w:tc>
        <w:tc>
          <w:tcPr>
            <w:tcW w:w="280" w:type="dxa"/>
            <w:vAlign w:val="bottom"/>
          </w:tcPr>
          <w:p>
            <w:pPr>
              <w:spacing w:after="0"/>
              <w:rPr>
                <w:sz w:val="18"/>
                <w:szCs w:val="18"/>
                <w:color w:val="auto"/>
              </w:rPr>
            </w:pPr>
          </w:p>
        </w:tc>
        <w:tc>
          <w:tcPr>
            <w:tcW w:w="840" w:type="dxa"/>
            <w:vAlign w:val="bottom"/>
          </w:tcPr>
          <w:p>
            <w:pPr>
              <w:jc w:val="right"/>
              <w:ind w:right="279"/>
              <w:spacing w:after="0"/>
              <w:rPr>
                <w:sz w:val="20"/>
                <w:szCs w:val="20"/>
                <w:color w:val="auto"/>
              </w:rPr>
            </w:pPr>
            <w:r>
              <w:rPr>
                <w:rFonts w:ascii="Arial" w:cs="Arial" w:eastAsia="Arial" w:hAnsi="Arial"/>
                <w:sz w:val="16"/>
                <w:szCs w:val="16"/>
                <w:b w:val="1"/>
                <w:bCs w:val="1"/>
                <w:color w:val="auto"/>
              </w:rPr>
              <w:t>Total</w:t>
            </w:r>
          </w:p>
        </w:tc>
        <w:tc>
          <w:tcPr>
            <w:tcW w:w="0" w:type="dxa"/>
            <w:vAlign w:val="bottom"/>
          </w:tcPr>
          <w:p>
            <w:pPr>
              <w:spacing w:after="0"/>
              <w:rPr>
                <w:sz w:val="1"/>
                <w:szCs w:val="1"/>
                <w:color w:val="auto"/>
              </w:rPr>
            </w:pPr>
          </w:p>
        </w:tc>
      </w:tr>
      <w:tr>
        <w:trPr>
          <w:trHeight w:val="33"/>
        </w:trPr>
        <w:tc>
          <w:tcPr>
            <w:tcW w:w="4280" w:type="dxa"/>
            <w:vAlign w:val="bottom"/>
            <w:tcBorders>
              <w:bottom w:val="single" w:sz="8" w:color="CCEEFF"/>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42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Balances – January 1, 2020</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1,464,544</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146</w:t>
            </w:r>
          </w:p>
        </w:tc>
        <w:tc>
          <w:tcPr>
            <w:tcW w:w="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1,970,047</w:t>
            </w:r>
          </w:p>
        </w:tc>
        <w:tc>
          <w:tcPr>
            <w:tcW w:w="220" w:type="dxa"/>
            <w:vAlign w:val="bottom"/>
            <w:tcBorders>
              <w:bottom w:val="single" w:sz="8" w:color="CCEEFF"/>
            </w:tcBorders>
            <w:shd w:val="clear" w:color="auto" w:fill="CCEEFF"/>
          </w:tcPr>
          <w:p>
            <w:pPr>
              <w:ind w:left="100"/>
              <w:spacing w:after="0"/>
              <w:rPr>
                <w:sz w:val="20"/>
                <w:szCs w:val="20"/>
                <w:color w:val="auto"/>
              </w:rPr>
            </w:pPr>
            <w:r>
              <w:rPr>
                <w:rFonts w:ascii="Arial" w:cs="Arial" w:eastAsia="Arial" w:hAnsi="Arial"/>
                <w:sz w:val="16"/>
                <w:szCs w:val="16"/>
                <w:color w:val="auto"/>
              </w:rPr>
              <w:t>$</w:t>
            </w: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(3,449)</w:t>
            </w:r>
          </w:p>
        </w:tc>
        <w:tc>
          <w:tcPr>
            <w:tcW w:w="2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(1,559,401)</w:t>
            </w:r>
          </w:p>
        </w:tc>
        <w:tc>
          <w:tcPr>
            <w:tcW w:w="28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w:t>
            </w:r>
          </w:p>
        </w:tc>
        <w:tc>
          <w:tcPr>
            <w:tcW w:w="84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407,343</w:t>
            </w:r>
          </w:p>
        </w:tc>
        <w:tc>
          <w:tcPr>
            <w:tcW w:w="0" w:type="dxa"/>
            <w:vAlign w:val="bottom"/>
          </w:tcPr>
          <w:p>
            <w:pPr>
              <w:spacing w:after="0"/>
              <w:rPr>
                <w:sz w:val="1"/>
                <w:szCs w:val="1"/>
                <w:color w:val="auto"/>
              </w:rPr>
            </w:pPr>
          </w:p>
        </w:tc>
      </w:tr>
      <w:tr>
        <w:trPr>
          <w:trHeight w:val="220"/>
        </w:trPr>
        <w:tc>
          <w:tcPr>
            <w:tcW w:w="4280" w:type="dxa"/>
            <w:vAlign w:val="bottom"/>
          </w:tcPr>
          <w:p>
            <w:pPr>
              <w:ind w:left="220"/>
              <w:spacing w:after="0"/>
              <w:rPr>
                <w:sz w:val="20"/>
                <w:szCs w:val="20"/>
                <w:color w:val="auto"/>
              </w:rPr>
            </w:pPr>
            <w:r>
              <w:rPr>
                <w:rFonts w:ascii="Arial" w:cs="Arial" w:eastAsia="Arial" w:hAnsi="Arial"/>
                <w:sz w:val="16"/>
                <w:szCs w:val="16"/>
                <w:color w:val="auto"/>
                <w:w w:val="98"/>
              </w:rPr>
              <w:t>Net issuance of restricted stock awards and recognition of</w:t>
            </w:r>
          </w:p>
        </w:tc>
        <w:tc>
          <w:tcPr>
            <w:tcW w:w="10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6"/>
        </w:trPr>
        <w:tc>
          <w:tcPr>
            <w:tcW w:w="4280" w:type="dxa"/>
            <w:vAlign w:val="bottom"/>
          </w:tcPr>
          <w:p>
            <w:pPr>
              <w:ind w:left="220"/>
              <w:spacing w:after="0"/>
              <w:rPr>
                <w:sz w:val="20"/>
                <w:szCs w:val="20"/>
                <w:color w:val="auto"/>
              </w:rPr>
            </w:pPr>
            <w:r>
              <w:rPr>
                <w:rFonts w:ascii="Arial" w:cs="Arial" w:eastAsia="Arial" w:hAnsi="Arial"/>
                <w:sz w:val="16"/>
                <w:szCs w:val="16"/>
                <w:color w:val="auto"/>
              </w:rPr>
              <w:t>stock-based compensation</w:t>
            </w:r>
          </w:p>
        </w:tc>
        <w:tc>
          <w:tcPr>
            <w:tcW w:w="1040" w:type="dxa"/>
            <w:vAlign w:val="bottom"/>
          </w:tcPr>
          <w:p>
            <w:pPr>
              <w:jc w:val="right"/>
              <w:spacing w:after="0"/>
              <w:rPr>
                <w:sz w:val="20"/>
                <w:szCs w:val="20"/>
                <w:color w:val="auto"/>
              </w:rPr>
            </w:pPr>
            <w:r>
              <w:rPr>
                <w:rFonts w:ascii="Arial" w:cs="Arial" w:eastAsia="Arial" w:hAnsi="Arial"/>
                <w:sz w:val="16"/>
                <w:szCs w:val="16"/>
                <w:color w:val="auto"/>
              </w:rPr>
              <w:t>3,020</w:t>
            </w:r>
          </w:p>
        </w:tc>
        <w:tc>
          <w:tcPr>
            <w:tcW w:w="20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1</w:t>
            </w:r>
          </w:p>
        </w:tc>
        <w:tc>
          <w:tcPr>
            <w:tcW w:w="220" w:type="dxa"/>
            <w:vAlign w:val="bottom"/>
          </w:tcPr>
          <w:p>
            <w:pPr>
              <w:spacing w:after="0"/>
              <w:rPr>
                <w:sz w:val="17"/>
                <w:szCs w:val="17"/>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1,729</w:t>
            </w:r>
          </w:p>
        </w:tc>
        <w:tc>
          <w:tcPr>
            <w:tcW w:w="220" w:type="dxa"/>
            <w:vAlign w:val="bottom"/>
          </w:tcPr>
          <w:p>
            <w:pPr>
              <w:spacing w:after="0"/>
              <w:rPr>
                <w:sz w:val="17"/>
                <w:szCs w:val="17"/>
                <w:color w:val="auto"/>
              </w:rPr>
            </w:pPr>
          </w:p>
        </w:tc>
        <w:tc>
          <w:tcPr>
            <w:tcW w:w="128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7"/>
                <w:szCs w:val="17"/>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80" w:type="dxa"/>
            <w:vAlign w:val="bottom"/>
          </w:tcPr>
          <w:p>
            <w:pPr>
              <w:spacing w:after="0"/>
              <w:rPr>
                <w:sz w:val="17"/>
                <w:szCs w:val="17"/>
                <w:color w:val="auto"/>
              </w:rPr>
            </w:pPr>
          </w:p>
        </w:tc>
        <w:tc>
          <w:tcPr>
            <w:tcW w:w="840" w:type="dxa"/>
            <w:vAlign w:val="bottom"/>
          </w:tcPr>
          <w:p>
            <w:pPr>
              <w:jc w:val="right"/>
              <w:ind w:right="79"/>
              <w:spacing w:after="0"/>
              <w:rPr>
                <w:sz w:val="20"/>
                <w:szCs w:val="20"/>
                <w:color w:val="auto"/>
              </w:rPr>
            </w:pPr>
            <w:r>
              <w:rPr>
                <w:rFonts w:ascii="Arial" w:cs="Arial" w:eastAsia="Arial" w:hAnsi="Arial"/>
                <w:sz w:val="16"/>
                <w:szCs w:val="16"/>
                <w:color w:val="auto"/>
              </w:rPr>
              <w:t>1,730</w:t>
            </w:r>
          </w:p>
        </w:tc>
        <w:tc>
          <w:tcPr>
            <w:tcW w:w="0" w:type="dxa"/>
            <w:vAlign w:val="bottom"/>
          </w:tcPr>
          <w:p>
            <w:pPr>
              <w:spacing w:after="0"/>
              <w:rPr>
                <w:sz w:val="1"/>
                <w:szCs w:val="1"/>
                <w:color w:val="auto"/>
              </w:rPr>
            </w:pPr>
          </w:p>
        </w:tc>
      </w:tr>
      <w:tr>
        <w:trPr>
          <w:trHeight w:val="33"/>
        </w:trPr>
        <w:tc>
          <w:tcPr>
            <w:tcW w:w="42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200" w:type="dxa"/>
            <w:vAlign w:val="bottom"/>
          </w:tcPr>
          <w:p>
            <w:pPr>
              <w:spacing w:after="0"/>
              <w:rPr>
                <w:sz w:val="2"/>
                <w:szCs w:val="2"/>
                <w:color w:val="auto"/>
              </w:rPr>
            </w:pPr>
          </w:p>
        </w:tc>
        <w:tc>
          <w:tcPr>
            <w:tcW w:w="760" w:type="dxa"/>
            <w:vAlign w:val="bottom"/>
          </w:tcPr>
          <w:p>
            <w:pPr>
              <w:spacing w:after="0"/>
              <w:rPr>
                <w:sz w:val="2"/>
                <w:szCs w:val="2"/>
                <w:color w:val="auto"/>
              </w:rPr>
            </w:pPr>
          </w:p>
        </w:tc>
        <w:tc>
          <w:tcPr>
            <w:tcW w:w="220" w:type="dxa"/>
            <w:vAlign w:val="bottom"/>
          </w:tcPr>
          <w:p>
            <w:pPr>
              <w:spacing w:after="0"/>
              <w:rPr>
                <w:sz w:val="2"/>
                <w:szCs w:val="2"/>
                <w:color w:val="auto"/>
              </w:rPr>
            </w:pPr>
          </w:p>
        </w:tc>
        <w:tc>
          <w:tcPr>
            <w:tcW w:w="9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220" w:type="dxa"/>
            <w:vAlign w:val="bottom"/>
          </w:tcPr>
          <w:p>
            <w:pPr>
              <w:spacing w:after="0"/>
              <w:rPr>
                <w:sz w:val="2"/>
                <w:szCs w:val="2"/>
                <w:color w:val="auto"/>
              </w:rPr>
            </w:pPr>
          </w:p>
        </w:tc>
        <w:tc>
          <w:tcPr>
            <w:tcW w:w="960" w:type="dxa"/>
            <w:vAlign w:val="bottom"/>
          </w:tcPr>
          <w:p>
            <w:pPr>
              <w:spacing w:after="0"/>
              <w:rPr>
                <w:sz w:val="2"/>
                <w:szCs w:val="2"/>
                <w:color w:val="auto"/>
              </w:rPr>
            </w:pPr>
          </w:p>
        </w:tc>
        <w:tc>
          <w:tcPr>
            <w:tcW w:w="280" w:type="dxa"/>
            <w:vAlign w:val="bottom"/>
          </w:tcPr>
          <w:p>
            <w:pPr>
              <w:spacing w:after="0"/>
              <w:rPr>
                <w:sz w:val="2"/>
                <w:szCs w:val="2"/>
                <w:color w:val="auto"/>
              </w:rPr>
            </w:pPr>
          </w:p>
        </w:tc>
        <w:tc>
          <w:tcPr>
            <w:tcW w:w="8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428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6"/>
                <w:szCs w:val="16"/>
                <w:color w:val="auto"/>
              </w:rPr>
              <w:t>Contribution of services</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CEEFF"/>
            </w:tcBorders>
            <w:shd w:val="clear" w:color="auto" w:fill="CCEEFF"/>
          </w:tcPr>
          <w:p>
            <w:pPr>
              <w:spacing w:after="0"/>
              <w:rPr>
                <w:sz w:val="20"/>
                <w:szCs w:val="20"/>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91</w:t>
            </w:r>
          </w:p>
        </w:tc>
        <w:tc>
          <w:tcPr>
            <w:tcW w:w="220" w:type="dxa"/>
            <w:vAlign w:val="bottom"/>
            <w:tcBorders>
              <w:bottom w:val="single" w:sz="8" w:color="CCEEFF"/>
            </w:tcBorders>
            <w:shd w:val="clear" w:color="auto" w:fill="CCEEFF"/>
          </w:tcPr>
          <w:p>
            <w:pPr>
              <w:spacing w:after="0"/>
              <w:rPr>
                <w:sz w:val="20"/>
                <w:szCs w:val="20"/>
                <w:color w:val="auto"/>
              </w:rPr>
            </w:pPr>
          </w:p>
        </w:tc>
        <w:tc>
          <w:tcPr>
            <w:tcW w:w="12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9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80" w:type="dxa"/>
            <w:vAlign w:val="bottom"/>
            <w:tcBorders>
              <w:bottom w:val="single" w:sz="8" w:color="CCEEFF"/>
            </w:tcBorders>
            <w:shd w:val="clear" w:color="auto" w:fill="CCEEFF"/>
          </w:tcPr>
          <w:p>
            <w:pPr>
              <w:spacing w:after="0"/>
              <w:rPr>
                <w:sz w:val="20"/>
                <w:szCs w:val="20"/>
                <w:color w:val="auto"/>
              </w:rPr>
            </w:pPr>
          </w:p>
        </w:tc>
        <w:tc>
          <w:tcPr>
            <w:tcW w:w="84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91</w:t>
            </w:r>
          </w:p>
        </w:tc>
        <w:tc>
          <w:tcPr>
            <w:tcW w:w="0" w:type="dxa"/>
            <w:vAlign w:val="bottom"/>
          </w:tcPr>
          <w:p>
            <w:pPr>
              <w:spacing w:after="0"/>
              <w:rPr>
                <w:sz w:val="1"/>
                <w:szCs w:val="1"/>
                <w:color w:val="auto"/>
              </w:rPr>
            </w:pPr>
          </w:p>
        </w:tc>
      </w:tr>
      <w:tr>
        <w:trPr>
          <w:trHeight w:val="220"/>
        </w:trPr>
        <w:tc>
          <w:tcPr>
            <w:tcW w:w="4280" w:type="dxa"/>
            <w:vAlign w:val="bottom"/>
          </w:tcPr>
          <w:p>
            <w:pPr>
              <w:ind w:left="220"/>
              <w:spacing w:after="0"/>
              <w:rPr>
                <w:sz w:val="20"/>
                <w:szCs w:val="20"/>
                <w:color w:val="auto"/>
              </w:rPr>
            </w:pPr>
            <w:r>
              <w:rPr>
                <w:rFonts w:ascii="Arial" w:cs="Arial" w:eastAsia="Arial" w:hAnsi="Arial"/>
                <w:sz w:val="16"/>
                <w:szCs w:val="16"/>
                <w:color w:val="auto"/>
                <w:w w:val="93"/>
              </w:rPr>
              <w:t>Recognition of stock-based compensation of employee stock</w:t>
            </w:r>
          </w:p>
        </w:tc>
        <w:tc>
          <w:tcPr>
            <w:tcW w:w="10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6"/>
        </w:trPr>
        <w:tc>
          <w:tcPr>
            <w:tcW w:w="4280" w:type="dxa"/>
            <w:vAlign w:val="bottom"/>
          </w:tcPr>
          <w:p>
            <w:pPr>
              <w:ind w:left="220"/>
              <w:spacing w:after="0"/>
              <w:rPr>
                <w:sz w:val="20"/>
                <w:szCs w:val="20"/>
                <w:color w:val="auto"/>
              </w:rPr>
            </w:pPr>
            <w:r>
              <w:rPr>
                <w:rFonts w:ascii="Arial" w:cs="Arial" w:eastAsia="Arial" w:hAnsi="Arial"/>
                <w:sz w:val="16"/>
                <w:szCs w:val="16"/>
                <w:color w:val="auto"/>
              </w:rPr>
              <w:t>purchase plan</w:t>
            </w:r>
          </w:p>
        </w:tc>
        <w:tc>
          <w:tcPr>
            <w:tcW w:w="104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7"/>
                <w:szCs w:val="17"/>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102</w:t>
            </w:r>
          </w:p>
        </w:tc>
        <w:tc>
          <w:tcPr>
            <w:tcW w:w="220" w:type="dxa"/>
            <w:vAlign w:val="bottom"/>
          </w:tcPr>
          <w:p>
            <w:pPr>
              <w:spacing w:after="0"/>
              <w:rPr>
                <w:sz w:val="17"/>
                <w:szCs w:val="17"/>
                <w:color w:val="auto"/>
              </w:rPr>
            </w:pPr>
          </w:p>
        </w:tc>
        <w:tc>
          <w:tcPr>
            <w:tcW w:w="128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7"/>
                <w:szCs w:val="17"/>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80" w:type="dxa"/>
            <w:vAlign w:val="bottom"/>
          </w:tcPr>
          <w:p>
            <w:pPr>
              <w:spacing w:after="0"/>
              <w:rPr>
                <w:sz w:val="17"/>
                <w:szCs w:val="17"/>
                <w:color w:val="auto"/>
              </w:rPr>
            </w:pPr>
          </w:p>
        </w:tc>
        <w:tc>
          <w:tcPr>
            <w:tcW w:w="840" w:type="dxa"/>
            <w:vAlign w:val="bottom"/>
          </w:tcPr>
          <w:p>
            <w:pPr>
              <w:jc w:val="right"/>
              <w:ind w:right="79"/>
              <w:spacing w:after="0"/>
              <w:rPr>
                <w:sz w:val="20"/>
                <w:szCs w:val="20"/>
                <w:color w:val="auto"/>
              </w:rPr>
            </w:pPr>
            <w:r>
              <w:rPr>
                <w:rFonts w:ascii="Arial" w:cs="Arial" w:eastAsia="Arial" w:hAnsi="Arial"/>
                <w:sz w:val="16"/>
                <w:szCs w:val="16"/>
                <w:color w:val="auto"/>
              </w:rPr>
              <w:t>102</w:t>
            </w:r>
          </w:p>
        </w:tc>
        <w:tc>
          <w:tcPr>
            <w:tcW w:w="0" w:type="dxa"/>
            <w:vAlign w:val="bottom"/>
          </w:tcPr>
          <w:p>
            <w:pPr>
              <w:spacing w:after="0"/>
              <w:rPr>
                <w:sz w:val="1"/>
                <w:szCs w:val="1"/>
                <w:color w:val="auto"/>
              </w:rPr>
            </w:pPr>
          </w:p>
        </w:tc>
      </w:tr>
      <w:tr>
        <w:trPr>
          <w:trHeight w:val="33"/>
        </w:trPr>
        <w:tc>
          <w:tcPr>
            <w:tcW w:w="42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200" w:type="dxa"/>
            <w:vAlign w:val="bottom"/>
          </w:tcPr>
          <w:p>
            <w:pPr>
              <w:spacing w:after="0"/>
              <w:rPr>
                <w:sz w:val="2"/>
                <w:szCs w:val="2"/>
                <w:color w:val="auto"/>
              </w:rPr>
            </w:pPr>
          </w:p>
        </w:tc>
        <w:tc>
          <w:tcPr>
            <w:tcW w:w="760" w:type="dxa"/>
            <w:vAlign w:val="bottom"/>
          </w:tcPr>
          <w:p>
            <w:pPr>
              <w:spacing w:after="0"/>
              <w:rPr>
                <w:sz w:val="2"/>
                <w:szCs w:val="2"/>
                <w:color w:val="auto"/>
              </w:rPr>
            </w:pPr>
          </w:p>
        </w:tc>
        <w:tc>
          <w:tcPr>
            <w:tcW w:w="220" w:type="dxa"/>
            <w:vAlign w:val="bottom"/>
          </w:tcPr>
          <w:p>
            <w:pPr>
              <w:spacing w:after="0"/>
              <w:rPr>
                <w:sz w:val="2"/>
                <w:szCs w:val="2"/>
                <w:color w:val="auto"/>
              </w:rPr>
            </w:pPr>
          </w:p>
        </w:tc>
        <w:tc>
          <w:tcPr>
            <w:tcW w:w="9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220" w:type="dxa"/>
            <w:vAlign w:val="bottom"/>
          </w:tcPr>
          <w:p>
            <w:pPr>
              <w:spacing w:after="0"/>
              <w:rPr>
                <w:sz w:val="2"/>
                <w:szCs w:val="2"/>
                <w:color w:val="auto"/>
              </w:rPr>
            </w:pPr>
          </w:p>
        </w:tc>
        <w:tc>
          <w:tcPr>
            <w:tcW w:w="960" w:type="dxa"/>
            <w:vAlign w:val="bottom"/>
          </w:tcPr>
          <w:p>
            <w:pPr>
              <w:spacing w:after="0"/>
              <w:rPr>
                <w:sz w:val="2"/>
                <w:szCs w:val="2"/>
                <w:color w:val="auto"/>
              </w:rPr>
            </w:pPr>
          </w:p>
        </w:tc>
        <w:tc>
          <w:tcPr>
            <w:tcW w:w="280" w:type="dxa"/>
            <w:vAlign w:val="bottom"/>
          </w:tcPr>
          <w:p>
            <w:pPr>
              <w:spacing w:after="0"/>
              <w:rPr>
                <w:sz w:val="2"/>
                <w:szCs w:val="2"/>
                <w:color w:val="auto"/>
              </w:rPr>
            </w:pPr>
          </w:p>
        </w:tc>
        <w:tc>
          <w:tcPr>
            <w:tcW w:w="8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0"/>
        </w:trPr>
        <w:tc>
          <w:tcPr>
            <w:tcW w:w="4280" w:type="dxa"/>
            <w:vAlign w:val="bottom"/>
            <w:shd w:val="clear" w:color="auto" w:fill="CCEEFF"/>
          </w:tcPr>
          <w:p>
            <w:pPr>
              <w:ind w:left="220"/>
              <w:spacing w:after="0"/>
              <w:rPr>
                <w:sz w:val="20"/>
                <w:szCs w:val="20"/>
                <w:color w:val="auto"/>
              </w:rPr>
            </w:pPr>
            <w:r>
              <w:rPr>
                <w:rFonts w:ascii="Arial" w:cs="Arial" w:eastAsia="Arial" w:hAnsi="Arial"/>
                <w:sz w:val="16"/>
                <w:szCs w:val="16"/>
                <w:color w:val="auto"/>
                <w:w w:val="94"/>
              </w:rPr>
              <w:t>Common stock issued in connection with conversion of Loan</w:t>
            </w:r>
          </w:p>
        </w:tc>
        <w:tc>
          <w:tcPr>
            <w:tcW w:w="104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76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2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8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9"/>
        </w:trPr>
        <w:tc>
          <w:tcPr>
            <w:tcW w:w="428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6"/>
                <w:szCs w:val="16"/>
                <w:color w:val="auto"/>
              </w:rPr>
              <w:t>Agreement with Thermo</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200,140</w:t>
            </w:r>
          </w:p>
        </w:tc>
        <w:tc>
          <w:tcPr>
            <w:tcW w:w="200" w:type="dxa"/>
            <w:vAlign w:val="bottom"/>
            <w:tcBorders>
              <w:bottom w:val="single" w:sz="8" w:color="CCEEFF"/>
            </w:tcBorders>
            <w:shd w:val="clear" w:color="auto" w:fill="CCEEFF"/>
          </w:tcPr>
          <w:p>
            <w:pPr>
              <w:spacing w:after="0"/>
              <w:rPr>
                <w:sz w:val="19"/>
                <w:szCs w:val="19"/>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20</w:t>
            </w:r>
          </w:p>
        </w:tc>
        <w:tc>
          <w:tcPr>
            <w:tcW w:w="220" w:type="dxa"/>
            <w:vAlign w:val="bottom"/>
            <w:tcBorders>
              <w:bottom w:val="single" w:sz="8" w:color="CCEEFF"/>
            </w:tcBorders>
            <w:shd w:val="clear" w:color="auto" w:fill="CCEEFF"/>
          </w:tcPr>
          <w:p>
            <w:pPr>
              <w:spacing w:after="0"/>
              <w:rPr>
                <w:sz w:val="19"/>
                <w:szCs w:val="19"/>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120,441</w:t>
            </w:r>
          </w:p>
        </w:tc>
        <w:tc>
          <w:tcPr>
            <w:tcW w:w="220" w:type="dxa"/>
            <w:vAlign w:val="bottom"/>
            <w:tcBorders>
              <w:bottom w:val="single" w:sz="8" w:color="CCEEFF"/>
            </w:tcBorders>
            <w:shd w:val="clear" w:color="auto" w:fill="CCEEFF"/>
          </w:tcPr>
          <w:p>
            <w:pPr>
              <w:spacing w:after="0"/>
              <w:rPr>
                <w:sz w:val="19"/>
                <w:szCs w:val="19"/>
                <w:color w:val="auto"/>
              </w:rPr>
            </w:pPr>
          </w:p>
        </w:tc>
        <w:tc>
          <w:tcPr>
            <w:tcW w:w="12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19"/>
                <w:szCs w:val="19"/>
                <w:color w:val="auto"/>
              </w:rPr>
            </w:pPr>
          </w:p>
        </w:tc>
        <w:tc>
          <w:tcPr>
            <w:tcW w:w="9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80" w:type="dxa"/>
            <w:vAlign w:val="bottom"/>
            <w:tcBorders>
              <w:bottom w:val="single" w:sz="8" w:color="CCEEFF"/>
            </w:tcBorders>
            <w:shd w:val="clear" w:color="auto" w:fill="CCEEFF"/>
          </w:tcPr>
          <w:p>
            <w:pPr>
              <w:spacing w:after="0"/>
              <w:rPr>
                <w:sz w:val="19"/>
                <w:szCs w:val="19"/>
                <w:color w:val="auto"/>
              </w:rPr>
            </w:pPr>
          </w:p>
        </w:tc>
        <w:tc>
          <w:tcPr>
            <w:tcW w:w="84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120,461</w:t>
            </w:r>
          </w:p>
        </w:tc>
        <w:tc>
          <w:tcPr>
            <w:tcW w:w="0" w:type="dxa"/>
            <w:vAlign w:val="bottom"/>
          </w:tcPr>
          <w:p>
            <w:pPr>
              <w:spacing w:after="0"/>
              <w:rPr>
                <w:sz w:val="1"/>
                <w:szCs w:val="1"/>
                <w:color w:val="auto"/>
              </w:rPr>
            </w:pPr>
          </w:p>
        </w:tc>
      </w:tr>
      <w:tr>
        <w:trPr>
          <w:trHeight w:val="224"/>
        </w:trPr>
        <w:tc>
          <w:tcPr>
            <w:tcW w:w="4280" w:type="dxa"/>
            <w:vAlign w:val="bottom"/>
          </w:tcPr>
          <w:p>
            <w:pPr>
              <w:ind w:left="220"/>
              <w:spacing w:after="0"/>
              <w:rPr>
                <w:sz w:val="20"/>
                <w:szCs w:val="20"/>
                <w:color w:val="auto"/>
              </w:rPr>
            </w:pPr>
            <w:r>
              <w:rPr>
                <w:rFonts w:ascii="Arial" w:cs="Arial" w:eastAsia="Arial" w:hAnsi="Arial"/>
                <w:sz w:val="16"/>
                <w:szCs w:val="16"/>
                <w:color w:val="auto"/>
              </w:rPr>
              <w:t>Impact of adoption of Credit Loss Standard</w:t>
            </w:r>
          </w:p>
        </w:tc>
        <w:tc>
          <w:tcPr>
            <w:tcW w:w="104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128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(1,684)</w:t>
            </w:r>
          </w:p>
        </w:tc>
        <w:tc>
          <w:tcPr>
            <w:tcW w:w="280" w:type="dxa"/>
            <w:vAlign w:val="bottom"/>
          </w:tcPr>
          <w:p>
            <w:pPr>
              <w:spacing w:after="0"/>
              <w:rPr>
                <w:sz w:val="19"/>
                <w:szCs w:val="19"/>
                <w:color w:val="auto"/>
              </w:rPr>
            </w:pPr>
          </w:p>
        </w:tc>
        <w:tc>
          <w:tcPr>
            <w:tcW w:w="840" w:type="dxa"/>
            <w:vAlign w:val="bottom"/>
          </w:tcPr>
          <w:p>
            <w:pPr>
              <w:jc w:val="right"/>
              <w:ind w:right="39"/>
              <w:spacing w:after="0"/>
              <w:rPr>
                <w:sz w:val="20"/>
                <w:szCs w:val="20"/>
                <w:color w:val="auto"/>
              </w:rPr>
            </w:pPr>
            <w:r>
              <w:rPr>
                <w:rFonts w:ascii="Arial" w:cs="Arial" w:eastAsia="Arial" w:hAnsi="Arial"/>
                <w:sz w:val="16"/>
                <w:szCs w:val="16"/>
                <w:color w:val="auto"/>
              </w:rPr>
              <w:t>(1,684)</w:t>
            </w:r>
          </w:p>
        </w:tc>
        <w:tc>
          <w:tcPr>
            <w:tcW w:w="0" w:type="dxa"/>
            <w:vAlign w:val="bottom"/>
          </w:tcPr>
          <w:p>
            <w:pPr>
              <w:spacing w:after="0"/>
              <w:rPr>
                <w:sz w:val="1"/>
                <w:szCs w:val="1"/>
                <w:color w:val="auto"/>
              </w:rPr>
            </w:pPr>
          </w:p>
        </w:tc>
      </w:tr>
      <w:tr>
        <w:trPr>
          <w:trHeight w:val="33"/>
        </w:trPr>
        <w:tc>
          <w:tcPr>
            <w:tcW w:w="42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200" w:type="dxa"/>
            <w:vAlign w:val="bottom"/>
          </w:tcPr>
          <w:p>
            <w:pPr>
              <w:spacing w:after="0"/>
              <w:rPr>
                <w:sz w:val="2"/>
                <w:szCs w:val="2"/>
                <w:color w:val="auto"/>
              </w:rPr>
            </w:pPr>
          </w:p>
        </w:tc>
        <w:tc>
          <w:tcPr>
            <w:tcW w:w="760" w:type="dxa"/>
            <w:vAlign w:val="bottom"/>
          </w:tcPr>
          <w:p>
            <w:pPr>
              <w:spacing w:after="0"/>
              <w:rPr>
                <w:sz w:val="2"/>
                <w:szCs w:val="2"/>
                <w:color w:val="auto"/>
              </w:rPr>
            </w:pPr>
          </w:p>
        </w:tc>
        <w:tc>
          <w:tcPr>
            <w:tcW w:w="220" w:type="dxa"/>
            <w:vAlign w:val="bottom"/>
          </w:tcPr>
          <w:p>
            <w:pPr>
              <w:spacing w:after="0"/>
              <w:rPr>
                <w:sz w:val="2"/>
                <w:szCs w:val="2"/>
                <w:color w:val="auto"/>
              </w:rPr>
            </w:pPr>
          </w:p>
        </w:tc>
        <w:tc>
          <w:tcPr>
            <w:tcW w:w="9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220" w:type="dxa"/>
            <w:vAlign w:val="bottom"/>
          </w:tcPr>
          <w:p>
            <w:pPr>
              <w:spacing w:after="0"/>
              <w:rPr>
                <w:sz w:val="2"/>
                <w:szCs w:val="2"/>
                <w:color w:val="auto"/>
              </w:rPr>
            </w:pPr>
          </w:p>
        </w:tc>
        <w:tc>
          <w:tcPr>
            <w:tcW w:w="960" w:type="dxa"/>
            <w:vAlign w:val="bottom"/>
          </w:tcPr>
          <w:p>
            <w:pPr>
              <w:spacing w:after="0"/>
              <w:rPr>
                <w:sz w:val="2"/>
                <w:szCs w:val="2"/>
                <w:color w:val="auto"/>
              </w:rPr>
            </w:pPr>
          </w:p>
        </w:tc>
        <w:tc>
          <w:tcPr>
            <w:tcW w:w="280" w:type="dxa"/>
            <w:vAlign w:val="bottom"/>
          </w:tcPr>
          <w:p>
            <w:pPr>
              <w:spacing w:after="0"/>
              <w:rPr>
                <w:sz w:val="2"/>
                <w:szCs w:val="2"/>
                <w:color w:val="auto"/>
              </w:rPr>
            </w:pPr>
          </w:p>
        </w:tc>
        <w:tc>
          <w:tcPr>
            <w:tcW w:w="8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428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6"/>
                <w:szCs w:val="16"/>
                <w:color w:val="auto"/>
              </w:rPr>
              <w:t>Other comprehensive income</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CEEFF"/>
            </w:tcBorders>
            <w:shd w:val="clear" w:color="auto" w:fill="CCEEFF"/>
          </w:tcPr>
          <w:p>
            <w:pPr>
              <w:spacing w:after="0"/>
              <w:rPr>
                <w:sz w:val="20"/>
                <w:szCs w:val="20"/>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12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5,303</w:t>
            </w:r>
          </w:p>
        </w:tc>
        <w:tc>
          <w:tcPr>
            <w:tcW w:w="220" w:type="dxa"/>
            <w:vAlign w:val="bottom"/>
            <w:tcBorders>
              <w:bottom w:val="single" w:sz="8" w:color="CCEEFF"/>
            </w:tcBorders>
            <w:shd w:val="clear" w:color="auto" w:fill="CCEEFF"/>
          </w:tcPr>
          <w:p>
            <w:pPr>
              <w:spacing w:after="0"/>
              <w:rPr>
                <w:sz w:val="20"/>
                <w:szCs w:val="20"/>
                <w:color w:val="auto"/>
              </w:rPr>
            </w:pPr>
          </w:p>
        </w:tc>
        <w:tc>
          <w:tcPr>
            <w:tcW w:w="9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80" w:type="dxa"/>
            <w:vAlign w:val="bottom"/>
            <w:tcBorders>
              <w:bottom w:val="single" w:sz="8" w:color="CCEEFF"/>
            </w:tcBorders>
            <w:shd w:val="clear" w:color="auto" w:fill="CCEEFF"/>
          </w:tcPr>
          <w:p>
            <w:pPr>
              <w:spacing w:after="0"/>
              <w:rPr>
                <w:sz w:val="20"/>
                <w:szCs w:val="20"/>
                <w:color w:val="auto"/>
              </w:rPr>
            </w:pPr>
          </w:p>
        </w:tc>
        <w:tc>
          <w:tcPr>
            <w:tcW w:w="84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5,303</w:t>
            </w:r>
          </w:p>
        </w:tc>
        <w:tc>
          <w:tcPr>
            <w:tcW w:w="0" w:type="dxa"/>
            <w:vAlign w:val="bottom"/>
          </w:tcPr>
          <w:p>
            <w:pPr>
              <w:spacing w:after="0"/>
              <w:rPr>
                <w:sz w:val="1"/>
                <w:szCs w:val="1"/>
                <w:color w:val="auto"/>
              </w:rPr>
            </w:pPr>
          </w:p>
        </w:tc>
      </w:tr>
      <w:tr>
        <w:trPr>
          <w:trHeight w:val="224"/>
        </w:trPr>
        <w:tc>
          <w:tcPr>
            <w:tcW w:w="4280" w:type="dxa"/>
            <w:vAlign w:val="bottom"/>
          </w:tcPr>
          <w:p>
            <w:pPr>
              <w:ind w:left="220"/>
              <w:spacing w:after="0"/>
              <w:rPr>
                <w:sz w:val="20"/>
                <w:szCs w:val="20"/>
                <w:color w:val="auto"/>
              </w:rPr>
            </w:pPr>
            <w:r>
              <w:rPr>
                <w:rFonts w:ascii="Arial" w:cs="Arial" w:eastAsia="Arial" w:hAnsi="Arial"/>
                <w:sz w:val="16"/>
                <w:szCs w:val="16"/>
                <w:color w:val="auto"/>
              </w:rPr>
              <w:t>Net loss</w:t>
            </w:r>
          </w:p>
        </w:tc>
        <w:tc>
          <w:tcPr>
            <w:tcW w:w="104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128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(38,223)</w:t>
            </w:r>
          </w:p>
        </w:tc>
        <w:tc>
          <w:tcPr>
            <w:tcW w:w="280" w:type="dxa"/>
            <w:vAlign w:val="bottom"/>
          </w:tcPr>
          <w:p>
            <w:pPr>
              <w:spacing w:after="0"/>
              <w:rPr>
                <w:sz w:val="19"/>
                <w:szCs w:val="19"/>
                <w:color w:val="auto"/>
              </w:rPr>
            </w:pPr>
          </w:p>
        </w:tc>
        <w:tc>
          <w:tcPr>
            <w:tcW w:w="840" w:type="dxa"/>
            <w:vAlign w:val="bottom"/>
          </w:tcPr>
          <w:p>
            <w:pPr>
              <w:jc w:val="right"/>
              <w:ind w:right="39"/>
              <w:spacing w:after="0"/>
              <w:rPr>
                <w:sz w:val="20"/>
                <w:szCs w:val="20"/>
                <w:color w:val="auto"/>
              </w:rPr>
            </w:pPr>
            <w:r>
              <w:rPr>
                <w:rFonts w:ascii="Arial" w:cs="Arial" w:eastAsia="Arial" w:hAnsi="Arial"/>
                <w:sz w:val="16"/>
                <w:szCs w:val="16"/>
                <w:color w:val="auto"/>
              </w:rPr>
              <w:t>(38,223)</w:t>
            </w:r>
          </w:p>
        </w:tc>
        <w:tc>
          <w:tcPr>
            <w:tcW w:w="0" w:type="dxa"/>
            <w:vAlign w:val="bottom"/>
          </w:tcPr>
          <w:p>
            <w:pPr>
              <w:spacing w:after="0"/>
              <w:rPr>
                <w:sz w:val="1"/>
                <w:szCs w:val="1"/>
                <w:color w:val="auto"/>
              </w:rPr>
            </w:pPr>
          </w:p>
        </w:tc>
      </w:tr>
      <w:tr>
        <w:trPr>
          <w:trHeight w:val="33"/>
        </w:trPr>
        <w:tc>
          <w:tcPr>
            <w:tcW w:w="4280" w:type="dxa"/>
            <w:vAlign w:val="bottom"/>
            <w:tcBorders>
              <w:bottom w:val="single" w:sz="8" w:color="CCEEFF"/>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42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Balances – March 31, 2020</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1,667,704</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167</w:t>
            </w:r>
          </w:p>
        </w:tc>
        <w:tc>
          <w:tcPr>
            <w:tcW w:w="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2,092,410</w:t>
            </w:r>
          </w:p>
        </w:tc>
        <w:tc>
          <w:tcPr>
            <w:tcW w:w="220" w:type="dxa"/>
            <w:vAlign w:val="bottom"/>
            <w:tcBorders>
              <w:bottom w:val="single" w:sz="8" w:color="CCEEFF"/>
            </w:tcBorders>
            <w:shd w:val="clear" w:color="auto" w:fill="CCEEFF"/>
          </w:tcPr>
          <w:p>
            <w:pPr>
              <w:ind w:left="100"/>
              <w:spacing w:after="0"/>
              <w:rPr>
                <w:sz w:val="20"/>
                <w:szCs w:val="20"/>
                <w:color w:val="auto"/>
              </w:rPr>
            </w:pPr>
            <w:r>
              <w:rPr>
                <w:rFonts w:ascii="Arial" w:cs="Arial" w:eastAsia="Arial" w:hAnsi="Arial"/>
                <w:sz w:val="16"/>
                <w:szCs w:val="16"/>
                <w:color w:val="auto"/>
              </w:rPr>
              <w:t>$</w:t>
            </w:r>
          </w:p>
        </w:tc>
        <w:tc>
          <w:tcPr>
            <w:tcW w:w="12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1,854</w:t>
            </w:r>
          </w:p>
        </w:tc>
        <w:tc>
          <w:tcPr>
            <w:tcW w:w="2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(1,599,308)</w:t>
            </w:r>
          </w:p>
        </w:tc>
        <w:tc>
          <w:tcPr>
            <w:tcW w:w="28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w:t>
            </w:r>
          </w:p>
        </w:tc>
        <w:tc>
          <w:tcPr>
            <w:tcW w:w="84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495,123</w:t>
            </w:r>
          </w:p>
        </w:tc>
        <w:tc>
          <w:tcPr>
            <w:tcW w:w="0" w:type="dxa"/>
            <w:vAlign w:val="bottom"/>
          </w:tcPr>
          <w:p>
            <w:pPr>
              <w:spacing w:after="0"/>
              <w:rPr>
                <w:sz w:val="1"/>
                <w:szCs w:val="1"/>
                <w:color w:val="auto"/>
              </w:rPr>
            </w:pPr>
          </w:p>
        </w:tc>
      </w:tr>
      <w:tr>
        <w:trPr>
          <w:trHeight w:val="200"/>
        </w:trPr>
        <w:tc>
          <w:tcPr>
            <w:tcW w:w="4280" w:type="dxa"/>
            <w:vAlign w:val="bottom"/>
          </w:tcPr>
          <w:p>
            <w:pPr>
              <w:ind w:left="220"/>
              <w:spacing w:after="0"/>
              <w:rPr>
                <w:sz w:val="20"/>
                <w:szCs w:val="20"/>
                <w:color w:val="auto"/>
              </w:rPr>
            </w:pPr>
            <w:r>
              <w:rPr>
                <w:rFonts w:ascii="Arial" w:cs="Arial" w:eastAsia="Arial" w:hAnsi="Arial"/>
                <w:sz w:val="16"/>
                <w:szCs w:val="16"/>
                <w:color w:val="auto"/>
                <w:w w:val="98"/>
              </w:rPr>
              <w:t>Net issuance of restricted stock awards and recognition of</w:t>
            </w:r>
          </w:p>
        </w:tc>
        <w:tc>
          <w:tcPr>
            <w:tcW w:w="1040" w:type="dxa"/>
            <w:vAlign w:val="bottom"/>
            <w:tcBorders>
              <w:top w:val="single" w:sz="8" w:color="auto"/>
            </w:tcBorders>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760" w:type="dxa"/>
            <w:vAlign w:val="bottom"/>
            <w:tcBorders>
              <w:top w:val="single" w:sz="8" w:color="auto"/>
            </w:tcBorders>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940" w:type="dxa"/>
            <w:vAlign w:val="bottom"/>
            <w:tcBorders>
              <w:top w:val="single" w:sz="8" w:color="auto"/>
            </w:tcBorders>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1280" w:type="dxa"/>
            <w:vAlign w:val="bottom"/>
            <w:tcBorders>
              <w:top w:val="single" w:sz="8" w:color="auto"/>
            </w:tcBorders>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960" w:type="dxa"/>
            <w:vAlign w:val="bottom"/>
            <w:tcBorders>
              <w:top w:val="single" w:sz="8" w:color="auto"/>
            </w:tcBorders>
          </w:tcPr>
          <w:p>
            <w:pPr>
              <w:spacing w:after="0"/>
              <w:rPr>
                <w:sz w:val="17"/>
                <w:szCs w:val="17"/>
                <w:color w:val="auto"/>
              </w:rPr>
            </w:pPr>
          </w:p>
        </w:tc>
        <w:tc>
          <w:tcPr>
            <w:tcW w:w="280" w:type="dxa"/>
            <w:vAlign w:val="bottom"/>
            <w:tcBorders>
              <w:top w:val="single" w:sz="8" w:color="auto"/>
            </w:tcBorders>
          </w:tcPr>
          <w:p>
            <w:pPr>
              <w:spacing w:after="0"/>
              <w:rPr>
                <w:sz w:val="17"/>
                <w:szCs w:val="17"/>
                <w:color w:val="auto"/>
              </w:rPr>
            </w:pPr>
          </w:p>
        </w:tc>
        <w:tc>
          <w:tcPr>
            <w:tcW w:w="840" w:type="dxa"/>
            <w:vAlign w:val="bottom"/>
            <w:tcBorders>
              <w:top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4280" w:type="dxa"/>
            <w:vAlign w:val="bottom"/>
          </w:tcPr>
          <w:p>
            <w:pPr>
              <w:ind w:left="220"/>
              <w:spacing w:after="0"/>
              <w:rPr>
                <w:sz w:val="20"/>
                <w:szCs w:val="20"/>
                <w:color w:val="auto"/>
              </w:rPr>
            </w:pPr>
            <w:r>
              <w:rPr>
                <w:rFonts w:ascii="Arial" w:cs="Arial" w:eastAsia="Arial" w:hAnsi="Arial"/>
                <w:sz w:val="16"/>
                <w:szCs w:val="16"/>
                <w:color w:val="auto"/>
              </w:rPr>
              <w:t>stock-based compensation</w:t>
            </w:r>
          </w:p>
        </w:tc>
        <w:tc>
          <w:tcPr>
            <w:tcW w:w="1040" w:type="dxa"/>
            <w:vAlign w:val="bottom"/>
          </w:tcPr>
          <w:p>
            <w:pPr>
              <w:jc w:val="right"/>
              <w:spacing w:after="0"/>
              <w:rPr>
                <w:sz w:val="20"/>
                <w:szCs w:val="20"/>
                <w:color w:val="auto"/>
              </w:rPr>
            </w:pPr>
            <w:r>
              <w:rPr>
                <w:rFonts w:ascii="Arial" w:cs="Arial" w:eastAsia="Arial" w:hAnsi="Arial"/>
                <w:sz w:val="16"/>
                <w:szCs w:val="16"/>
                <w:color w:val="auto"/>
              </w:rPr>
              <w:t>1,354</w:t>
            </w:r>
          </w:p>
        </w:tc>
        <w:tc>
          <w:tcPr>
            <w:tcW w:w="20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7"/>
                <w:szCs w:val="17"/>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922</w:t>
            </w:r>
          </w:p>
        </w:tc>
        <w:tc>
          <w:tcPr>
            <w:tcW w:w="220" w:type="dxa"/>
            <w:vAlign w:val="bottom"/>
          </w:tcPr>
          <w:p>
            <w:pPr>
              <w:spacing w:after="0"/>
              <w:rPr>
                <w:sz w:val="17"/>
                <w:szCs w:val="17"/>
                <w:color w:val="auto"/>
              </w:rPr>
            </w:pPr>
          </w:p>
        </w:tc>
        <w:tc>
          <w:tcPr>
            <w:tcW w:w="128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7"/>
                <w:szCs w:val="17"/>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80" w:type="dxa"/>
            <w:vAlign w:val="bottom"/>
          </w:tcPr>
          <w:p>
            <w:pPr>
              <w:spacing w:after="0"/>
              <w:rPr>
                <w:sz w:val="17"/>
                <w:szCs w:val="17"/>
                <w:color w:val="auto"/>
              </w:rPr>
            </w:pPr>
          </w:p>
        </w:tc>
        <w:tc>
          <w:tcPr>
            <w:tcW w:w="840" w:type="dxa"/>
            <w:vAlign w:val="bottom"/>
          </w:tcPr>
          <w:p>
            <w:pPr>
              <w:jc w:val="right"/>
              <w:ind w:right="79"/>
              <w:spacing w:after="0"/>
              <w:rPr>
                <w:sz w:val="20"/>
                <w:szCs w:val="20"/>
                <w:color w:val="auto"/>
              </w:rPr>
            </w:pPr>
            <w:r>
              <w:rPr>
                <w:rFonts w:ascii="Arial" w:cs="Arial" w:eastAsia="Arial" w:hAnsi="Arial"/>
                <w:sz w:val="16"/>
                <w:szCs w:val="16"/>
                <w:color w:val="auto"/>
              </w:rPr>
              <w:t>922</w:t>
            </w:r>
          </w:p>
        </w:tc>
        <w:tc>
          <w:tcPr>
            <w:tcW w:w="0" w:type="dxa"/>
            <w:vAlign w:val="bottom"/>
          </w:tcPr>
          <w:p>
            <w:pPr>
              <w:spacing w:after="0"/>
              <w:rPr>
                <w:sz w:val="1"/>
                <w:szCs w:val="1"/>
                <w:color w:val="auto"/>
              </w:rPr>
            </w:pPr>
          </w:p>
        </w:tc>
      </w:tr>
      <w:tr>
        <w:trPr>
          <w:trHeight w:val="33"/>
        </w:trPr>
        <w:tc>
          <w:tcPr>
            <w:tcW w:w="42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200" w:type="dxa"/>
            <w:vAlign w:val="bottom"/>
          </w:tcPr>
          <w:p>
            <w:pPr>
              <w:spacing w:after="0"/>
              <w:rPr>
                <w:sz w:val="2"/>
                <w:szCs w:val="2"/>
                <w:color w:val="auto"/>
              </w:rPr>
            </w:pPr>
          </w:p>
        </w:tc>
        <w:tc>
          <w:tcPr>
            <w:tcW w:w="760" w:type="dxa"/>
            <w:vAlign w:val="bottom"/>
          </w:tcPr>
          <w:p>
            <w:pPr>
              <w:spacing w:after="0"/>
              <w:rPr>
                <w:sz w:val="2"/>
                <w:szCs w:val="2"/>
                <w:color w:val="auto"/>
              </w:rPr>
            </w:pPr>
          </w:p>
        </w:tc>
        <w:tc>
          <w:tcPr>
            <w:tcW w:w="220" w:type="dxa"/>
            <w:vAlign w:val="bottom"/>
          </w:tcPr>
          <w:p>
            <w:pPr>
              <w:spacing w:after="0"/>
              <w:rPr>
                <w:sz w:val="2"/>
                <w:szCs w:val="2"/>
                <w:color w:val="auto"/>
              </w:rPr>
            </w:pPr>
          </w:p>
        </w:tc>
        <w:tc>
          <w:tcPr>
            <w:tcW w:w="9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220" w:type="dxa"/>
            <w:vAlign w:val="bottom"/>
          </w:tcPr>
          <w:p>
            <w:pPr>
              <w:spacing w:after="0"/>
              <w:rPr>
                <w:sz w:val="2"/>
                <w:szCs w:val="2"/>
                <w:color w:val="auto"/>
              </w:rPr>
            </w:pPr>
          </w:p>
        </w:tc>
        <w:tc>
          <w:tcPr>
            <w:tcW w:w="960" w:type="dxa"/>
            <w:vAlign w:val="bottom"/>
          </w:tcPr>
          <w:p>
            <w:pPr>
              <w:spacing w:after="0"/>
              <w:rPr>
                <w:sz w:val="2"/>
                <w:szCs w:val="2"/>
                <w:color w:val="auto"/>
              </w:rPr>
            </w:pPr>
          </w:p>
        </w:tc>
        <w:tc>
          <w:tcPr>
            <w:tcW w:w="280" w:type="dxa"/>
            <w:vAlign w:val="bottom"/>
          </w:tcPr>
          <w:p>
            <w:pPr>
              <w:spacing w:after="0"/>
              <w:rPr>
                <w:sz w:val="2"/>
                <w:szCs w:val="2"/>
                <w:color w:val="auto"/>
              </w:rPr>
            </w:pPr>
          </w:p>
        </w:tc>
        <w:tc>
          <w:tcPr>
            <w:tcW w:w="8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428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6"/>
                <w:szCs w:val="16"/>
                <w:color w:val="auto"/>
              </w:rPr>
              <w:t>Contribution of services</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CEEFF"/>
            </w:tcBorders>
            <w:shd w:val="clear" w:color="auto" w:fill="CCEEFF"/>
          </w:tcPr>
          <w:p>
            <w:pPr>
              <w:spacing w:after="0"/>
              <w:rPr>
                <w:sz w:val="20"/>
                <w:szCs w:val="20"/>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47</w:t>
            </w:r>
          </w:p>
        </w:tc>
        <w:tc>
          <w:tcPr>
            <w:tcW w:w="220" w:type="dxa"/>
            <w:vAlign w:val="bottom"/>
            <w:tcBorders>
              <w:bottom w:val="single" w:sz="8" w:color="CCEEFF"/>
            </w:tcBorders>
            <w:shd w:val="clear" w:color="auto" w:fill="CCEEFF"/>
          </w:tcPr>
          <w:p>
            <w:pPr>
              <w:spacing w:after="0"/>
              <w:rPr>
                <w:sz w:val="20"/>
                <w:szCs w:val="20"/>
                <w:color w:val="auto"/>
              </w:rPr>
            </w:pPr>
          </w:p>
        </w:tc>
        <w:tc>
          <w:tcPr>
            <w:tcW w:w="12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9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80" w:type="dxa"/>
            <w:vAlign w:val="bottom"/>
            <w:tcBorders>
              <w:bottom w:val="single" w:sz="8" w:color="CCEEFF"/>
            </w:tcBorders>
            <w:shd w:val="clear" w:color="auto" w:fill="CCEEFF"/>
          </w:tcPr>
          <w:p>
            <w:pPr>
              <w:spacing w:after="0"/>
              <w:rPr>
                <w:sz w:val="20"/>
                <w:szCs w:val="20"/>
                <w:color w:val="auto"/>
              </w:rPr>
            </w:pPr>
          </w:p>
        </w:tc>
        <w:tc>
          <w:tcPr>
            <w:tcW w:w="84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47</w:t>
            </w:r>
          </w:p>
        </w:tc>
        <w:tc>
          <w:tcPr>
            <w:tcW w:w="0" w:type="dxa"/>
            <w:vAlign w:val="bottom"/>
          </w:tcPr>
          <w:p>
            <w:pPr>
              <w:spacing w:after="0"/>
              <w:rPr>
                <w:sz w:val="1"/>
                <w:szCs w:val="1"/>
                <w:color w:val="auto"/>
              </w:rPr>
            </w:pPr>
          </w:p>
        </w:tc>
      </w:tr>
      <w:tr>
        <w:trPr>
          <w:trHeight w:val="220"/>
        </w:trPr>
        <w:tc>
          <w:tcPr>
            <w:tcW w:w="4280" w:type="dxa"/>
            <w:vAlign w:val="bottom"/>
          </w:tcPr>
          <w:p>
            <w:pPr>
              <w:ind w:left="220"/>
              <w:spacing w:after="0"/>
              <w:rPr>
                <w:sz w:val="20"/>
                <w:szCs w:val="20"/>
                <w:color w:val="auto"/>
              </w:rPr>
            </w:pPr>
            <w:r>
              <w:rPr>
                <w:rFonts w:ascii="Arial" w:cs="Arial" w:eastAsia="Arial" w:hAnsi="Arial"/>
                <w:sz w:val="16"/>
                <w:szCs w:val="16"/>
                <w:color w:val="auto"/>
                <w:w w:val="93"/>
              </w:rPr>
              <w:t>Net issuance of stock through employee stock purchase plan</w:t>
            </w:r>
          </w:p>
        </w:tc>
        <w:tc>
          <w:tcPr>
            <w:tcW w:w="10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6"/>
        </w:trPr>
        <w:tc>
          <w:tcPr>
            <w:tcW w:w="4280" w:type="dxa"/>
            <w:vAlign w:val="bottom"/>
          </w:tcPr>
          <w:p>
            <w:pPr>
              <w:ind w:left="220"/>
              <w:spacing w:after="0"/>
              <w:rPr>
                <w:sz w:val="20"/>
                <w:szCs w:val="20"/>
                <w:color w:val="auto"/>
              </w:rPr>
            </w:pPr>
            <w:r>
              <w:rPr>
                <w:rFonts w:ascii="Arial" w:cs="Arial" w:eastAsia="Arial" w:hAnsi="Arial"/>
                <w:sz w:val="16"/>
                <w:szCs w:val="16"/>
                <w:color w:val="auto"/>
              </w:rPr>
              <w:t>and recognition of stock-based compensation</w:t>
            </w:r>
          </w:p>
        </w:tc>
        <w:tc>
          <w:tcPr>
            <w:tcW w:w="1040" w:type="dxa"/>
            <w:vAlign w:val="bottom"/>
          </w:tcPr>
          <w:p>
            <w:pPr>
              <w:jc w:val="right"/>
              <w:spacing w:after="0"/>
              <w:rPr>
                <w:sz w:val="20"/>
                <w:szCs w:val="20"/>
                <w:color w:val="auto"/>
              </w:rPr>
            </w:pPr>
            <w:r>
              <w:rPr>
                <w:rFonts w:ascii="Arial" w:cs="Arial" w:eastAsia="Arial" w:hAnsi="Arial"/>
                <w:sz w:val="16"/>
                <w:szCs w:val="16"/>
                <w:color w:val="auto"/>
              </w:rPr>
              <w:t>1,188</w:t>
            </w:r>
          </w:p>
        </w:tc>
        <w:tc>
          <w:tcPr>
            <w:tcW w:w="20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7"/>
                <w:szCs w:val="17"/>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482</w:t>
            </w:r>
          </w:p>
        </w:tc>
        <w:tc>
          <w:tcPr>
            <w:tcW w:w="220" w:type="dxa"/>
            <w:vAlign w:val="bottom"/>
          </w:tcPr>
          <w:p>
            <w:pPr>
              <w:spacing w:after="0"/>
              <w:rPr>
                <w:sz w:val="17"/>
                <w:szCs w:val="17"/>
                <w:color w:val="auto"/>
              </w:rPr>
            </w:pPr>
          </w:p>
        </w:tc>
        <w:tc>
          <w:tcPr>
            <w:tcW w:w="128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7"/>
                <w:szCs w:val="17"/>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80" w:type="dxa"/>
            <w:vAlign w:val="bottom"/>
          </w:tcPr>
          <w:p>
            <w:pPr>
              <w:spacing w:after="0"/>
              <w:rPr>
                <w:sz w:val="17"/>
                <w:szCs w:val="17"/>
                <w:color w:val="auto"/>
              </w:rPr>
            </w:pPr>
          </w:p>
        </w:tc>
        <w:tc>
          <w:tcPr>
            <w:tcW w:w="840" w:type="dxa"/>
            <w:vAlign w:val="bottom"/>
          </w:tcPr>
          <w:p>
            <w:pPr>
              <w:jc w:val="right"/>
              <w:ind w:right="79"/>
              <w:spacing w:after="0"/>
              <w:rPr>
                <w:sz w:val="20"/>
                <w:szCs w:val="20"/>
                <w:color w:val="auto"/>
              </w:rPr>
            </w:pPr>
            <w:r>
              <w:rPr>
                <w:rFonts w:ascii="Arial" w:cs="Arial" w:eastAsia="Arial" w:hAnsi="Arial"/>
                <w:sz w:val="16"/>
                <w:szCs w:val="16"/>
                <w:color w:val="auto"/>
              </w:rPr>
              <w:t>482</w:t>
            </w:r>
          </w:p>
        </w:tc>
        <w:tc>
          <w:tcPr>
            <w:tcW w:w="0" w:type="dxa"/>
            <w:vAlign w:val="bottom"/>
          </w:tcPr>
          <w:p>
            <w:pPr>
              <w:spacing w:after="0"/>
              <w:rPr>
                <w:sz w:val="1"/>
                <w:szCs w:val="1"/>
                <w:color w:val="auto"/>
              </w:rPr>
            </w:pPr>
          </w:p>
        </w:tc>
      </w:tr>
      <w:tr>
        <w:trPr>
          <w:trHeight w:val="33"/>
        </w:trPr>
        <w:tc>
          <w:tcPr>
            <w:tcW w:w="42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200" w:type="dxa"/>
            <w:vAlign w:val="bottom"/>
          </w:tcPr>
          <w:p>
            <w:pPr>
              <w:spacing w:after="0"/>
              <w:rPr>
                <w:sz w:val="2"/>
                <w:szCs w:val="2"/>
                <w:color w:val="auto"/>
              </w:rPr>
            </w:pPr>
          </w:p>
        </w:tc>
        <w:tc>
          <w:tcPr>
            <w:tcW w:w="760" w:type="dxa"/>
            <w:vAlign w:val="bottom"/>
          </w:tcPr>
          <w:p>
            <w:pPr>
              <w:spacing w:after="0"/>
              <w:rPr>
                <w:sz w:val="2"/>
                <w:szCs w:val="2"/>
                <w:color w:val="auto"/>
              </w:rPr>
            </w:pPr>
          </w:p>
        </w:tc>
        <w:tc>
          <w:tcPr>
            <w:tcW w:w="220" w:type="dxa"/>
            <w:vAlign w:val="bottom"/>
          </w:tcPr>
          <w:p>
            <w:pPr>
              <w:spacing w:after="0"/>
              <w:rPr>
                <w:sz w:val="2"/>
                <w:szCs w:val="2"/>
                <w:color w:val="auto"/>
              </w:rPr>
            </w:pPr>
          </w:p>
        </w:tc>
        <w:tc>
          <w:tcPr>
            <w:tcW w:w="9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220" w:type="dxa"/>
            <w:vAlign w:val="bottom"/>
          </w:tcPr>
          <w:p>
            <w:pPr>
              <w:spacing w:after="0"/>
              <w:rPr>
                <w:sz w:val="2"/>
                <w:szCs w:val="2"/>
                <w:color w:val="auto"/>
              </w:rPr>
            </w:pPr>
          </w:p>
        </w:tc>
        <w:tc>
          <w:tcPr>
            <w:tcW w:w="960" w:type="dxa"/>
            <w:vAlign w:val="bottom"/>
          </w:tcPr>
          <w:p>
            <w:pPr>
              <w:spacing w:after="0"/>
              <w:rPr>
                <w:sz w:val="2"/>
                <w:szCs w:val="2"/>
                <w:color w:val="auto"/>
              </w:rPr>
            </w:pPr>
          </w:p>
        </w:tc>
        <w:tc>
          <w:tcPr>
            <w:tcW w:w="280" w:type="dxa"/>
            <w:vAlign w:val="bottom"/>
          </w:tcPr>
          <w:p>
            <w:pPr>
              <w:spacing w:after="0"/>
              <w:rPr>
                <w:sz w:val="2"/>
                <w:szCs w:val="2"/>
                <w:color w:val="auto"/>
              </w:rPr>
            </w:pPr>
          </w:p>
        </w:tc>
        <w:tc>
          <w:tcPr>
            <w:tcW w:w="8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66"/>
        </w:trPr>
        <w:tc>
          <w:tcPr>
            <w:tcW w:w="4280" w:type="dxa"/>
            <w:vAlign w:val="bottom"/>
            <w:shd w:val="clear" w:color="auto" w:fill="CCEEFF"/>
          </w:tcPr>
          <w:p>
            <w:pPr>
              <w:ind w:left="220"/>
              <w:spacing w:after="0" w:line="166" w:lineRule="exact"/>
              <w:rPr>
                <w:sz w:val="20"/>
                <w:szCs w:val="20"/>
                <w:color w:val="auto"/>
              </w:rPr>
            </w:pPr>
            <w:r>
              <w:rPr>
                <w:rFonts w:ascii="Arial" w:cs="Arial" w:eastAsia="Arial" w:hAnsi="Arial"/>
                <w:sz w:val="16"/>
                <w:szCs w:val="16"/>
                <w:color w:val="auto"/>
                <w:w w:val="94"/>
              </w:rPr>
              <w:t>Common stock issued in connection with conversion of 2013</w:t>
            </w:r>
          </w:p>
        </w:tc>
        <w:tc>
          <w:tcPr>
            <w:tcW w:w="104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44</w:t>
            </w:r>
          </w:p>
        </w:tc>
        <w:tc>
          <w:tcPr>
            <w:tcW w:w="200" w:type="dxa"/>
            <w:vAlign w:val="bottom"/>
            <w:shd w:val="clear" w:color="auto" w:fill="CCEEFF"/>
          </w:tcPr>
          <w:p>
            <w:pPr>
              <w:spacing w:after="0"/>
              <w:rPr>
                <w:sz w:val="14"/>
                <w:szCs w:val="14"/>
                <w:color w:val="auto"/>
              </w:rPr>
            </w:pPr>
          </w:p>
        </w:tc>
        <w:tc>
          <w:tcPr>
            <w:tcW w:w="76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20" w:type="dxa"/>
            <w:vAlign w:val="bottom"/>
            <w:shd w:val="clear" w:color="auto" w:fill="CCEEFF"/>
          </w:tcPr>
          <w:p>
            <w:pPr>
              <w:spacing w:after="0"/>
              <w:rPr>
                <w:sz w:val="14"/>
                <w:szCs w:val="14"/>
                <w:color w:val="auto"/>
              </w:rPr>
            </w:pPr>
          </w:p>
        </w:tc>
        <w:tc>
          <w:tcPr>
            <w:tcW w:w="94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16</w:t>
            </w:r>
          </w:p>
        </w:tc>
        <w:tc>
          <w:tcPr>
            <w:tcW w:w="220" w:type="dxa"/>
            <w:vAlign w:val="bottom"/>
            <w:shd w:val="clear" w:color="auto" w:fill="CCEEFF"/>
          </w:tcPr>
          <w:p>
            <w:pPr>
              <w:spacing w:after="0"/>
              <w:rPr>
                <w:sz w:val="14"/>
                <w:szCs w:val="14"/>
                <w:color w:val="auto"/>
              </w:rPr>
            </w:pPr>
          </w:p>
        </w:tc>
        <w:tc>
          <w:tcPr>
            <w:tcW w:w="1280" w:type="dxa"/>
            <w:vAlign w:val="bottom"/>
            <w:vMerge w:val="restart"/>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220" w:type="dxa"/>
            <w:vAlign w:val="bottom"/>
            <w:shd w:val="clear" w:color="auto" w:fill="CCEEFF"/>
          </w:tcPr>
          <w:p>
            <w:pPr>
              <w:spacing w:after="0"/>
              <w:rPr>
                <w:sz w:val="14"/>
                <w:szCs w:val="14"/>
                <w:color w:val="auto"/>
              </w:rPr>
            </w:pPr>
          </w:p>
        </w:tc>
        <w:tc>
          <w:tcPr>
            <w:tcW w:w="960" w:type="dxa"/>
            <w:vAlign w:val="bottom"/>
            <w:vMerge w:val="restart"/>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80" w:type="dxa"/>
            <w:vAlign w:val="bottom"/>
            <w:shd w:val="clear" w:color="auto" w:fill="CCEEFF"/>
          </w:tcPr>
          <w:p>
            <w:pPr>
              <w:spacing w:after="0"/>
              <w:rPr>
                <w:sz w:val="14"/>
                <w:szCs w:val="14"/>
                <w:color w:val="auto"/>
              </w:rPr>
            </w:pPr>
          </w:p>
        </w:tc>
        <w:tc>
          <w:tcPr>
            <w:tcW w:w="840" w:type="dxa"/>
            <w:vAlign w:val="bottom"/>
            <w:vMerge w:val="restart"/>
            <w:shd w:val="clear" w:color="auto" w:fill="CCEEFF"/>
          </w:tcPr>
          <w:p>
            <w:pPr>
              <w:jc w:val="right"/>
              <w:ind w:right="79"/>
              <w:spacing w:after="0"/>
              <w:rPr>
                <w:sz w:val="20"/>
                <w:szCs w:val="20"/>
                <w:color w:val="auto"/>
              </w:rPr>
            </w:pPr>
            <w:r>
              <w:rPr>
                <w:rFonts w:ascii="Arial" w:cs="Arial" w:eastAsia="Arial" w:hAnsi="Arial"/>
                <w:sz w:val="16"/>
                <w:szCs w:val="16"/>
                <w:color w:val="auto"/>
              </w:rPr>
              <w:t>16</w:t>
            </w:r>
          </w:p>
        </w:tc>
        <w:tc>
          <w:tcPr>
            <w:tcW w:w="0" w:type="dxa"/>
            <w:vAlign w:val="bottom"/>
          </w:tcPr>
          <w:p>
            <w:pPr>
              <w:spacing w:after="0"/>
              <w:rPr>
                <w:sz w:val="1"/>
                <w:szCs w:val="1"/>
                <w:color w:val="auto"/>
              </w:rPr>
            </w:pPr>
          </w:p>
        </w:tc>
      </w:tr>
      <w:tr>
        <w:trPr>
          <w:trHeight w:val="212"/>
        </w:trPr>
        <w:tc>
          <w:tcPr>
            <w:tcW w:w="4280" w:type="dxa"/>
            <w:vAlign w:val="bottom"/>
            <w:shd w:val="clear" w:color="auto" w:fill="CCEEFF"/>
          </w:tcPr>
          <w:p>
            <w:pPr>
              <w:ind w:left="220"/>
              <w:spacing w:after="0"/>
              <w:rPr>
                <w:sz w:val="20"/>
                <w:szCs w:val="20"/>
                <w:color w:val="auto"/>
              </w:rPr>
            </w:pPr>
            <w:r>
              <w:rPr>
                <w:rFonts w:ascii="Arial" w:cs="Arial" w:eastAsia="Arial" w:hAnsi="Arial"/>
                <w:sz w:val="16"/>
                <w:szCs w:val="16"/>
                <w:color w:val="auto"/>
              </w:rPr>
              <w:t>8.00% Notes</w:t>
            </w:r>
          </w:p>
        </w:tc>
        <w:tc>
          <w:tcPr>
            <w:tcW w:w="1040" w:type="dxa"/>
            <w:vAlign w:val="bottom"/>
            <w:vMerge w:val="continue"/>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60" w:type="dxa"/>
            <w:vAlign w:val="bottom"/>
            <w:vMerge w:val="continue"/>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40" w:type="dxa"/>
            <w:vAlign w:val="bottom"/>
            <w:vMerge w:val="continue"/>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80" w:type="dxa"/>
            <w:vAlign w:val="bottom"/>
            <w:vMerge w:val="continue"/>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60" w:type="dxa"/>
            <w:vAlign w:val="bottom"/>
            <w:vMerge w:val="continue"/>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840" w:type="dxa"/>
            <w:vAlign w:val="bottom"/>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4280" w:type="dxa"/>
            <w:vAlign w:val="bottom"/>
          </w:tcPr>
          <w:p>
            <w:pPr>
              <w:ind w:left="220"/>
              <w:spacing w:after="0"/>
              <w:rPr>
                <w:sz w:val="20"/>
                <w:szCs w:val="20"/>
                <w:color w:val="auto"/>
              </w:rPr>
            </w:pPr>
            <w:r>
              <w:rPr>
                <w:rFonts w:ascii="Arial" w:cs="Arial" w:eastAsia="Arial" w:hAnsi="Arial"/>
                <w:sz w:val="16"/>
                <w:szCs w:val="16"/>
                <w:color w:val="auto"/>
              </w:rPr>
              <w:t>Other comprehensive loss</w:t>
            </w:r>
          </w:p>
        </w:tc>
        <w:tc>
          <w:tcPr>
            <w:tcW w:w="104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(1,368)</w:t>
            </w:r>
          </w:p>
        </w:tc>
        <w:tc>
          <w:tcPr>
            <w:tcW w:w="220" w:type="dxa"/>
            <w:vAlign w:val="bottom"/>
          </w:tcPr>
          <w:p>
            <w:pPr>
              <w:spacing w:after="0"/>
              <w:rPr>
                <w:sz w:val="19"/>
                <w:szCs w:val="19"/>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80" w:type="dxa"/>
            <w:vAlign w:val="bottom"/>
          </w:tcPr>
          <w:p>
            <w:pPr>
              <w:spacing w:after="0"/>
              <w:rPr>
                <w:sz w:val="19"/>
                <w:szCs w:val="19"/>
                <w:color w:val="auto"/>
              </w:rPr>
            </w:pPr>
          </w:p>
        </w:tc>
        <w:tc>
          <w:tcPr>
            <w:tcW w:w="840" w:type="dxa"/>
            <w:vAlign w:val="bottom"/>
          </w:tcPr>
          <w:p>
            <w:pPr>
              <w:jc w:val="right"/>
              <w:ind w:right="39"/>
              <w:spacing w:after="0"/>
              <w:rPr>
                <w:sz w:val="20"/>
                <w:szCs w:val="20"/>
                <w:color w:val="auto"/>
              </w:rPr>
            </w:pPr>
            <w:r>
              <w:rPr>
                <w:rFonts w:ascii="Arial" w:cs="Arial" w:eastAsia="Arial" w:hAnsi="Arial"/>
                <w:sz w:val="16"/>
                <w:szCs w:val="16"/>
                <w:color w:val="auto"/>
              </w:rPr>
              <w:t>(1,368)</w:t>
            </w:r>
          </w:p>
        </w:tc>
        <w:tc>
          <w:tcPr>
            <w:tcW w:w="0" w:type="dxa"/>
            <w:vAlign w:val="bottom"/>
          </w:tcPr>
          <w:p>
            <w:pPr>
              <w:spacing w:after="0"/>
              <w:rPr>
                <w:sz w:val="1"/>
                <w:szCs w:val="1"/>
                <w:color w:val="auto"/>
              </w:rPr>
            </w:pPr>
          </w:p>
        </w:tc>
      </w:tr>
      <w:tr>
        <w:trPr>
          <w:trHeight w:val="33"/>
        </w:trPr>
        <w:tc>
          <w:tcPr>
            <w:tcW w:w="42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200" w:type="dxa"/>
            <w:vAlign w:val="bottom"/>
          </w:tcPr>
          <w:p>
            <w:pPr>
              <w:spacing w:after="0"/>
              <w:rPr>
                <w:sz w:val="2"/>
                <w:szCs w:val="2"/>
                <w:color w:val="auto"/>
              </w:rPr>
            </w:pPr>
          </w:p>
        </w:tc>
        <w:tc>
          <w:tcPr>
            <w:tcW w:w="760" w:type="dxa"/>
            <w:vAlign w:val="bottom"/>
          </w:tcPr>
          <w:p>
            <w:pPr>
              <w:spacing w:after="0"/>
              <w:rPr>
                <w:sz w:val="2"/>
                <w:szCs w:val="2"/>
                <w:color w:val="auto"/>
              </w:rPr>
            </w:pPr>
          </w:p>
        </w:tc>
        <w:tc>
          <w:tcPr>
            <w:tcW w:w="220" w:type="dxa"/>
            <w:vAlign w:val="bottom"/>
          </w:tcPr>
          <w:p>
            <w:pPr>
              <w:spacing w:after="0"/>
              <w:rPr>
                <w:sz w:val="2"/>
                <w:szCs w:val="2"/>
                <w:color w:val="auto"/>
              </w:rPr>
            </w:pPr>
          </w:p>
        </w:tc>
        <w:tc>
          <w:tcPr>
            <w:tcW w:w="9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220" w:type="dxa"/>
            <w:vAlign w:val="bottom"/>
          </w:tcPr>
          <w:p>
            <w:pPr>
              <w:spacing w:after="0"/>
              <w:rPr>
                <w:sz w:val="2"/>
                <w:szCs w:val="2"/>
                <w:color w:val="auto"/>
              </w:rPr>
            </w:pPr>
          </w:p>
        </w:tc>
        <w:tc>
          <w:tcPr>
            <w:tcW w:w="960" w:type="dxa"/>
            <w:vAlign w:val="bottom"/>
          </w:tcPr>
          <w:p>
            <w:pPr>
              <w:spacing w:after="0"/>
              <w:rPr>
                <w:sz w:val="2"/>
                <w:szCs w:val="2"/>
                <w:color w:val="auto"/>
              </w:rPr>
            </w:pPr>
          </w:p>
        </w:tc>
        <w:tc>
          <w:tcPr>
            <w:tcW w:w="280" w:type="dxa"/>
            <w:vAlign w:val="bottom"/>
          </w:tcPr>
          <w:p>
            <w:pPr>
              <w:spacing w:after="0"/>
              <w:rPr>
                <w:sz w:val="2"/>
                <w:szCs w:val="2"/>
                <w:color w:val="auto"/>
              </w:rPr>
            </w:pPr>
          </w:p>
        </w:tc>
        <w:tc>
          <w:tcPr>
            <w:tcW w:w="8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6"/>
        </w:trPr>
        <w:tc>
          <w:tcPr>
            <w:tcW w:w="428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6"/>
                <w:szCs w:val="16"/>
                <w:color w:val="auto"/>
              </w:rPr>
              <w:t>Net loss</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CEEFF"/>
            </w:tcBorders>
            <w:shd w:val="clear" w:color="auto" w:fill="CCEEFF"/>
          </w:tcPr>
          <w:p>
            <w:pPr>
              <w:spacing w:after="0"/>
              <w:rPr>
                <w:sz w:val="22"/>
                <w:szCs w:val="22"/>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2"/>
                <w:szCs w:val="22"/>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2"/>
                <w:szCs w:val="22"/>
                <w:color w:val="auto"/>
              </w:rPr>
            </w:pPr>
          </w:p>
        </w:tc>
        <w:tc>
          <w:tcPr>
            <w:tcW w:w="128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(24,736)</w:t>
            </w:r>
          </w:p>
        </w:tc>
        <w:tc>
          <w:tcPr>
            <w:tcW w:w="280" w:type="dxa"/>
            <w:vAlign w:val="bottom"/>
            <w:tcBorders>
              <w:bottom w:val="single" w:sz="8" w:color="CCEEFF"/>
            </w:tcBorders>
            <w:shd w:val="clear" w:color="auto" w:fill="CCEEFF"/>
          </w:tcPr>
          <w:p>
            <w:pPr>
              <w:spacing w:after="0"/>
              <w:rPr>
                <w:sz w:val="22"/>
                <w:szCs w:val="22"/>
                <w:color w:val="auto"/>
              </w:rPr>
            </w:pPr>
          </w:p>
        </w:tc>
        <w:tc>
          <w:tcPr>
            <w:tcW w:w="8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(24,736)</w:t>
            </w:r>
          </w:p>
        </w:tc>
        <w:tc>
          <w:tcPr>
            <w:tcW w:w="0" w:type="dxa"/>
            <w:vAlign w:val="bottom"/>
          </w:tcPr>
          <w:p>
            <w:pPr>
              <w:spacing w:after="0"/>
              <w:rPr>
                <w:sz w:val="1"/>
                <w:szCs w:val="1"/>
                <w:color w:val="auto"/>
              </w:rPr>
            </w:pPr>
          </w:p>
        </w:tc>
      </w:tr>
      <w:tr>
        <w:trPr>
          <w:trHeight w:val="217"/>
        </w:trPr>
        <w:tc>
          <w:tcPr>
            <w:tcW w:w="4280" w:type="dxa"/>
            <w:vAlign w:val="bottom"/>
          </w:tcPr>
          <w:p>
            <w:pPr>
              <w:ind w:left="20"/>
              <w:spacing w:after="0"/>
              <w:rPr>
                <w:sz w:val="20"/>
                <w:szCs w:val="20"/>
                <w:color w:val="auto"/>
              </w:rPr>
            </w:pPr>
            <w:r>
              <w:rPr>
                <w:rFonts w:ascii="Arial" w:cs="Arial" w:eastAsia="Arial" w:hAnsi="Arial"/>
                <w:sz w:val="16"/>
                <w:szCs w:val="16"/>
                <w:color w:val="auto"/>
              </w:rPr>
              <w:t>Balances – June 30, 2020</w:t>
            </w: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1,670,290</w:t>
            </w:r>
          </w:p>
        </w:tc>
        <w:tc>
          <w:tcPr>
            <w:tcW w:w="20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167</w:t>
            </w:r>
          </w:p>
        </w:tc>
        <w:tc>
          <w:tcPr>
            <w:tcW w:w="22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9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2,093,877</w:t>
            </w:r>
          </w:p>
        </w:tc>
        <w:tc>
          <w:tcPr>
            <w:tcW w:w="220" w:type="dxa"/>
            <w:vAlign w:val="bottom"/>
            <w:tcBorders>
              <w:top w:val="single" w:sz="8" w:color="auto"/>
            </w:tcBorders>
          </w:tcPr>
          <w:p>
            <w:pPr>
              <w:ind w:left="100"/>
              <w:spacing w:after="0"/>
              <w:rPr>
                <w:sz w:val="20"/>
                <w:szCs w:val="20"/>
                <w:color w:val="auto"/>
              </w:rPr>
            </w:pPr>
            <w:r>
              <w:rPr>
                <w:rFonts w:ascii="Arial" w:cs="Arial" w:eastAsia="Arial" w:hAnsi="Arial"/>
                <w:sz w:val="16"/>
                <w:szCs w:val="16"/>
                <w:color w:val="auto"/>
              </w:rPr>
              <w:t>$</w:t>
            </w:r>
          </w:p>
        </w:tc>
        <w:tc>
          <w:tcPr>
            <w:tcW w:w="128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486</w:t>
            </w:r>
          </w:p>
        </w:tc>
        <w:tc>
          <w:tcPr>
            <w:tcW w:w="22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9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(1,624,044)</w:t>
            </w:r>
          </w:p>
        </w:tc>
        <w:tc>
          <w:tcPr>
            <w:tcW w:w="280" w:type="dxa"/>
            <w:vAlign w:val="bottom"/>
            <w:tcBorders>
              <w:top w:val="single" w:sz="8" w:color="auto"/>
            </w:tcBorders>
          </w:tcPr>
          <w:p>
            <w:pPr>
              <w:jc w:val="right"/>
              <w:ind w:right="59"/>
              <w:spacing w:after="0"/>
              <w:rPr>
                <w:sz w:val="20"/>
                <w:szCs w:val="20"/>
                <w:color w:val="auto"/>
              </w:rPr>
            </w:pPr>
            <w:r>
              <w:rPr>
                <w:rFonts w:ascii="Arial" w:cs="Arial" w:eastAsia="Arial" w:hAnsi="Arial"/>
                <w:sz w:val="16"/>
                <w:szCs w:val="16"/>
                <w:color w:val="auto"/>
              </w:rPr>
              <w:t>$</w:t>
            </w:r>
          </w:p>
        </w:tc>
        <w:tc>
          <w:tcPr>
            <w:tcW w:w="840" w:type="dxa"/>
            <w:vAlign w:val="bottom"/>
            <w:tcBorders>
              <w:top w:val="single" w:sz="8" w:color="auto"/>
            </w:tcBorders>
          </w:tcPr>
          <w:p>
            <w:pPr>
              <w:jc w:val="right"/>
              <w:ind w:right="79"/>
              <w:spacing w:after="0"/>
              <w:rPr>
                <w:sz w:val="20"/>
                <w:szCs w:val="20"/>
                <w:color w:val="auto"/>
              </w:rPr>
            </w:pPr>
            <w:r>
              <w:rPr>
                <w:rFonts w:ascii="Arial" w:cs="Arial" w:eastAsia="Arial" w:hAnsi="Arial"/>
                <w:sz w:val="16"/>
                <w:szCs w:val="16"/>
                <w:color w:val="auto"/>
              </w:rPr>
              <w:t>470,486</w:t>
            </w:r>
          </w:p>
        </w:tc>
        <w:tc>
          <w:tcPr>
            <w:tcW w:w="0" w:type="dxa"/>
            <w:vAlign w:val="bottom"/>
          </w:tcPr>
          <w:p>
            <w:pPr>
              <w:spacing w:after="0"/>
              <w:rPr>
                <w:sz w:val="1"/>
                <w:szCs w:val="1"/>
                <w:color w:val="auto"/>
              </w:rPr>
            </w:pPr>
          </w:p>
        </w:tc>
      </w:tr>
      <w:tr>
        <w:trPr>
          <w:trHeight w:val="33"/>
        </w:trPr>
        <w:tc>
          <w:tcPr>
            <w:tcW w:w="4280" w:type="dxa"/>
            <w:vAlign w:val="bottom"/>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49" w:right="339" w:bottom="1440" w:gutter="0" w:footer="0" w:header="0"/>
        </w:sectPr>
      </w:pPr>
    </w:p>
    <w:bookmarkStart w:id="5" w:name="page6"/>
    <w:bookmarkEnd w:id="5"/>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spacing w:after="0"/>
        <w:rPr>
          <w:sz w:val="20"/>
          <w:szCs w:val="20"/>
          <w:color w:val="auto"/>
        </w:rPr>
      </w:pPr>
      <w:r>
        <w:rPr>
          <w:rFonts w:ascii="Arial" w:cs="Arial" w:eastAsia="Arial" w:hAnsi="Arial"/>
          <w:sz w:val="16"/>
          <w:szCs w:val="16"/>
          <w:color w:val="auto"/>
        </w:rPr>
        <w:t>Balances – January 1, 2019</w:t>
      </w:r>
    </w:p>
    <w:p>
      <w:pPr>
        <w:spacing w:after="0" w:line="73" w:lineRule="exact"/>
        <w:rPr>
          <w:sz w:val="20"/>
          <w:szCs w:val="20"/>
          <w:color w:val="auto"/>
        </w:rPr>
      </w:pPr>
    </w:p>
    <w:p>
      <w:pPr>
        <w:ind w:left="200" w:right="100"/>
        <w:spacing w:after="0" w:line="278" w:lineRule="auto"/>
        <w:rPr>
          <w:sz w:val="20"/>
          <w:szCs w:val="20"/>
          <w:color w:val="auto"/>
        </w:rPr>
      </w:pPr>
      <w:r>
        <w:rPr>
          <w:rFonts w:ascii="Arial" w:cs="Arial" w:eastAsia="Arial" w:hAnsi="Arial"/>
          <w:sz w:val="16"/>
          <w:szCs w:val="16"/>
          <w:color w:val="auto"/>
        </w:rPr>
        <w:t>Net issuance of restricted stock awards, stock for employee stock option exercises and recognition of stock-based compensation</w:t>
      </w:r>
    </w:p>
    <w:p>
      <w:pPr>
        <w:spacing w:after="0" w:line="22" w:lineRule="exact"/>
        <w:rPr>
          <w:sz w:val="20"/>
          <w:szCs w:val="20"/>
          <w:color w:val="auto"/>
        </w:rPr>
      </w:pPr>
    </w:p>
    <w:p>
      <w:pPr>
        <w:ind w:left="200"/>
        <w:spacing w:after="0"/>
        <w:rPr>
          <w:sz w:val="20"/>
          <w:szCs w:val="20"/>
          <w:color w:val="auto"/>
        </w:rPr>
      </w:pPr>
      <w:r>
        <w:rPr>
          <w:rFonts w:ascii="Arial" w:cs="Arial" w:eastAsia="Arial" w:hAnsi="Arial"/>
          <w:sz w:val="16"/>
          <w:szCs w:val="16"/>
          <w:color w:val="auto"/>
        </w:rPr>
        <w:t>Contribution of services</w:t>
      </w:r>
    </w:p>
    <w:p>
      <w:pPr>
        <w:spacing w:after="0" w:line="73" w:lineRule="exact"/>
        <w:rPr>
          <w:sz w:val="20"/>
          <w:szCs w:val="20"/>
          <w:color w:val="auto"/>
        </w:rPr>
      </w:pPr>
    </w:p>
    <w:p>
      <w:pPr>
        <w:ind w:left="200"/>
        <w:spacing w:after="0" w:line="293" w:lineRule="auto"/>
        <w:rPr>
          <w:sz w:val="20"/>
          <w:szCs w:val="20"/>
          <w:color w:val="auto"/>
        </w:rPr>
      </w:pPr>
      <w:r>
        <w:rPr>
          <w:rFonts w:ascii="Arial" w:cs="Arial" w:eastAsia="Arial" w:hAnsi="Arial"/>
          <w:sz w:val="16"/>
          <w:szCs w:val="16"/>
          <w:color w:val="auto"/>
        </w:rPr>
        <w:t>Recognition of stock-based compensation of employee stock purchase plan</w:t>
      </w:r>
    </w:p>
    <w:p>
      <w:pPr>
        <w:spacing w:after="0" w:line="10" w:lineRule="exact"/>
        <w:rPr>
          <w:sz w:val="20"/>
          <w:szCs w:val="20"/>
          <w:color w:val="auto"/>
        </w:rPr>
      </w:pPr>
    </w:p>
    <w:p>
      <w:pPr>
        <w:ind w:left="200"/>
        <w:spacing w:after="0"/>
        <w:rPr>
          <w:sz w:val="20"/>
          <w:szCs w:val="20"/>
          <w:color w:val="auto"/>
        </w:rPr>
      </w:pPr>
      <w:r>
        <w:rPr>
          <w:rFonts w:ascii="Arial" w:cs="Arial" w:eastAsia="Arial" w:hAnsi="Arial"/>
          <w:sz w:val="16"/>
          <w:szCs w:val="16"/>
          <w:color w:val="auto"/>
        </w:rPr>
        <w:t>Stock offering issuance costs</w:t>
      </w:r>
    </w:p>
    <w:p>
      <w:pPr>
        <w:spacing w:after="0" w:line="73" w:lineRule="exact"/>
        <w:rPr>
          <w:sz w:val="20"/>
          <w:szCs w:val="20"/>
          <w:color w:val="auto"/>
        </w:rPr>
      </w:pPr>
    </w:p>
    <w:p>
      <w:pPr>
        <w:ind w:left="200"/>
        <w:spacing w:after="0"/>
        <w:rPr>
          <w:sz w:val="20"/>
          <w:szCs w:val="20"/>
          <w:color w:val="auto"/>
        </w:rPr>
      </w:pPr>
      <w:r>
        <w:rPr>
          <w:rFonts w:ascii="Arial" w:cs="Arial" w:eastAsia="Arial" w:hAnsi="Arial"/>
          <w:sz w:val="16"/>
          <w:szCs w:val="16"/>
          <w:color w:val="auto"/>
        </w:rPr>
        <w:t>Other comprehensive loss</w:t>
      </w:r>
    </w:p>
    <w:p>
      <w:pPr>
        <w:spacing w:after="0" w:line="73" w:lineRule="exact"/>
        <w:rPr>
          <w:sz w:val="20"/>
          <w:szCs w:val="20"/>
          <w:color w:val="auto"/>
        </w:rPr>
      </w:pPr>
    </w:p>
    <w:p>
      <w:pPr>
        <w:ind w:left="200"/>
        <w:spacing w:after="0"/>
        <w:rPr>
          <w:sz w:val="20"/>
          <w:szCs w:val="20"/>
          <w:color w:val="auto"/>
        </w:rPr>
      </w:pPr>
      <w:r>
        <w:rPr>
          <w:rFonts w:ascii="Arial" w:cs="Arial" w:eastAsia="Arial" w:hAnsi="Arial"/>
          <w:sz w:val="16"/>
          <w:szCs w:val="16"/>
          <w:color w:val="auto"/>
        </w:rPr>
        <w:t>Net income</w:t>
      </w:r>
    </w:p>
    <w:p>
      <w:pPr>
        <w:spacing w:after="0" w:line="86" w:lineRule="exact"/>
        <w:rPr>
          <w:sz w:val="20"/>
          <w:szCs w:val="20"/>
          <w:color w:val="auto"/>
        </w:rPr>
      </w:pPr>
    </w:p>
    <w:p>
      <w:pPr>
        <w:spacing w:after="0"/>
        <w:rPr>
          <w:sz w:val="20"/>
          <w:szCs w:val="20"/>
          <w:color w:val="auto"/>
        </w:rPr>
      </w:pPr>
      <w:r>
        <w:rPr>
          <w:rFonts w:ascii="Arial" w:cs="Arial" w:eastAsia="Arial" w:hAnsi="Arial"/>
          <w:sz w:val="16"/>
          <w:szCs w:val="16"/>
          <w:color w:val="auto"/>
        </w:rPr>
        <w:t>Balances – March 31, 2019</w:t>
      </w:r>
    </w:p>
    <w:p>
      <w:pPr>
        <w:spacing w:after="0" w:line="73" w:lineRule="exact"/>
        <w:rPr>
          <w:sz w:val="20"/>
          <w:szCs w:val="20"/>
          <w:color w:val="auto"/>
        </w:rPr>
      </w:pPr>
    </w:p>
    <w:p>
      <w:pPr>
        <w:ind w:left="200" w:right="100"/>
        <w:spacing w:after="0" w:line="278" w:lineRule="auto"/>
        <w:rPr>
          <w:sz w:val="20"/>
          <w:szCs w:val="20"/>
          <w:color w:val="auto"/>
        </w:rPr>
      </w:pPr>
      <w:r>
        <w:rPr>
          <w:rFonts w:ascii="Arial" w:cs="Arial" w:eastAsia="Arial" w:hAnsi="Arial"/>
          <w:sz w:val="16"/>
          <w:szCs w:val="16"/>
          <w:color w:val="auto"/>
        </w:rPr>
        <w:t>Net issuance of restricted stock awards, stock for employee stock option exercises and recognition of stock-based compensation</w:t>
      </w:r>
    </w:p>
    <w:p>
      <w:pPr>
        <w:spacing w:after="0" w:line="22" w:lineRule="exact"/>
        <w:rPr>
          <w:sz w:val="20"/>
          <w:szCs w:val="20"/>
          <w:color w:val="auto"/>
        </w:rPr>
      </w:pPr>
    </w:p>
    <w:p>
      <w:pPr>
        <w:ind w:left="200"/>
        <w:spacing w:after="0"/>
        <w:rPr>
          <w:sz w:val="20"/>
          <w:szCs w:val="20"/>
          <w:color w:val="auto"/>
        </w:rPr>
      </w:pPr>
      <w:r>
        <w:rPr>
          <w:rFonts w:ascii="Arial" w:cs="Arial" w:eastAsia="Arial" w:hAnsi="Arial"/>
          <w:sz w:val="16"/>
          <w:szCs w:val="16"/>
          <w:color w:val="auto"/>
        </w:rPr>
        <w:t>Contribution of services</w:t>
      </w:r>
    </w:p>
    <w:p>
      <w:pPr>
        <w:spacing w:after="0" w:line="73" w:lineRule="exact"/>
        <w:rPr>
          <w:sz w:val="20"/>
          <w:szCs w:val="20"/>
          <w:color w:val="auto"/>
        </w:rPr>
      </w:pPr>
    </w:p>
    <w:p>
      <w:pPr>
        <w:ind w:left="200" w:right="40"/>
        <w:spacing w:after="0" w:line="319" w:lineRule="auto"/>
        <w:rPr>
          <w:sz w:val="20"/>
          <w:szCs w:val="20"/>
          <w:color w:val="auto"/>
        </w:rPr>
      </w:pPr>
      <w:r>
        <w:rPr>
          <w:rFonts w:ascii="Arial" w:cs="Arial" w:eastAsia="Arial" w:hAnsi="Arial"/>
          <w:sz w:val="15"/>
          <w:szCs w:val="15"/>
          <w:color w:val="auto"/>
        </w:rPr>
        <w:t>Net issuance of stock through employee stock purchase plan and recognition of stock-based compensation</w:t>
      </w:r>
    </w:p>
    <w:p>
      <w:pPr>
        <w:ind w:left="200"/>
        <w:spacing w:after="0"/>
        <w:rPr>
          <w:sz w:val="20"/>
          <w:szCs w:val="20"/>
          <w:color w:val="auto"/>
        </w:rPr>
      </w:pPr>
      <w:r>
        <w:rPr>
          <w:rFonts w:ascii="Arial" w:cs="Arial" w:eastAsia="Arial" w:hAnsi="Arial"/>
          <w:sz w:val="16"/>
          <w:szCs w:val="16"/>
          <w:color w:val="auto"/>
        </w:rPr>
        <w:t>Investment in business</w:t>
      </w:r>
    </w:p>
    <w:p>
      <w:pPr>
        <w:spacing w:after="0" w:line="73" w:lineRule="exact"/>
        <w:rPr>
          <w:sz w:val="20"/>
          <w:szCs w:val="20"/>
          <w:color w:val="auto"/>
        </w:rPr>
      </w:pPr>
    </w:p>
    <w:p>
      <w:pPr>
        <w:ind w:left="200"/>
        <w:spacing w:after="0"/>
        <w:rPr>
          <w:sz w:val="20"/>
          <w:szCs w:val="20"/>
          <w:color w:val="auto"/>
        </w:rPr>
      </w:pPr>
      <w:r>
        <w:rPr>
          <w:rFonts w:ascii="Arial" w:cs="Arial" w:eastAsia="Arial" w:hAnsi="Arial"/>
          <w:sz w:val="16"/>
          <w:szCs w:val="16"/>
          <w:color w:val="auto"/>
        </w:rPr>
        <w:t>Other comprehensive loss</w:t>
      </w:r>
    </w:p>
    <w:p>
      <w:pPr>
        <w:spacing w:after="0" w:line="73" w:lineRule="exact"/>
        <w:rPr>
          <w:sz w:val="20"/>
          <w:szCs w:val="20"/>
          <w:color w:val="auto"/>
        </w:rPr>
      </w:pPr>
    </w:p>
    <w:p>
      <w:pPr>
        <w:ind w:left="200"/>
        <w:spacing w:after="0"/>
        <w:rPr>
          <w:sz w:val="20"/>
          <w:szCs w:val="20"/>
          <w:color w:val="auto"/>
        </w:rPr>
      </w:pPr>
      <w:r>
        <w:rPr>
          <w:rFonts w:ascii="Arial" w:cs="Arial" w:eastAsia="Arial" w:hAnsi="Arial"/>
          <w:sz w:val="16"/>
          <w:szCs w:val="16"/>
          <w:color w:val="auto"/>
        </w:rPr>
        <w:t>Net income</w:t>
      </w:r>
    </w:p>
    <w:p>
      <w:pPr>
        <w:spacing w:after="0" w:line="86" w:lineRule="exact"/>
        <w:rPr>
          <w:sz w:val="20"/>
          <w:szCs w:val="20"/>
          <w:color w:val="auto"/>
        </w:rPr>
      </w:pPr>
    </w:p>
    <w:p>
      <w:pPr>
        <w:spacing w:after="0"/>
        <w:rPr>
          <w:sz w:val="20"/>
          <w:szCs w:val="20"/>
          <w:color w:val="auto"/>
        </w:rPr>
      </w:pPr>
      <w:r>
        <w:rPr>
          <w:rFonts w:ascii="Arial" w:cs="Arial" w:eastAsia="Arial" w:hAnsi="Arial"/>
          <w:sz w:val="16"/>
          <w:szCs w:val="16"/>
          <w:color w:val="auto"/>
        </w:rPr>
        <w:t>Balances – June 30, 2019</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03"/>
        </w:trPr>
        <w:tc>
          <w:tcPr>
            <w:tcW w:w="10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0" w:type="dxa"/>
            <w:vAlign w:val="bottom"/>
          </w:tcPr>
          <w:p>
            <w:pPr>
              <w:jc w:val="center"/>
              <w:spacing w:after="0"/>
              <w:rPr>
                <w:sz w:val="20"/>
                <w:szCs w:val="20"/>
                <w:color w:val="auto"/>
              </w:rPr>
            </w:pPr>
            <w:r>
              <w:rPr>
                <w:rFonts w:ascii="Arial" w:cs="Arial" w:eastAsia="Arial" w:hAnsi="Arial"/>
                <w:sz w:val="16"/>
                <w:szCs w:val="16"/>
                <w:b w:val="1"/>
                <w:bCs w:val="1"/>
                <w:color w:val="auto"/>
                <w:w w:val="91"/>
              </w:rPr>
              <w:t>Accumulated</w:t>
            </w:r>
          </w:p>
        </w:tc>
        <w:tc>
          <w:tcPr>
            <w:tcW w:w="24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20" w:type="dxa"/>
            <w:vAlign w:val="bottom"/>
          </w:tcPr>
          <w:p>
            <w:pPr>
              <w:spacing w:after="0"/>
              <w:rPr>
                <w:sz w:val="17"/>
                <w:szCs w:val="17"/>
                <w:color w:val="auto"/>
              </w:rPr>
            </w:pPr>
          </w:p>
        </w:tc>
      </w:tr>
      <w:tr>
        <w:trPr>
          <w:trHeight w:val="203"/>
        </w:trPr>
        <w:tc>
          <w:tcPr>
            <w:tcW w:w="10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80" w:type="dxa"/>
            <w:vAlign w:val="bottom"/>
          </w:tcPr>
          <w:p>
            <w:pPr>
              <w:jc w:val="center"/>
              <w:spacing w:after="0"/>
              <w:rPr>
                <w:sz w:val="20"/>
                <w:szCs w:val="20"/>
                <w:color w:val="auto"/>
              </w:rPr>
            </w:pPr>
            <w:r>
              <w:rPr>
                <w:rFonts w:ascii="Arial" w:cs="Arial" w:eastAsia="Arial" w:hAnsi="Arial"/>
                <w:sz w:val="16"/>
                <w:szCs w:val="16"/>
                <w:b w:val="1"/>
                <w:bCs w:val="1"/>
                <w:color w:val="auto"/>
                <w:w w:val="92"/>
              </w:rPr>
              <w:t>Common</w:t>
            </w:r>
          </w:p>
        </w:tc>
        <w:tc>
          <w:tcPr>
            <w:tcW w:w="220" w:type="dxa"/>
            <w:vAlign w:val="bottom"/>
          </w:tcPr>
          <w:p>
            <w:pPr>
              <w:spacing w:after="0"/>
              <w:rPr>
                <w:sz w:val="17"/>
                <w:szCs w:val="17"/>
                <w:color w:val="auto"/>
              </w:rPr>
            </w:pPr>
          </w:p>
        </w:tc>
        <w:tc>
          <w:tcPr>
            <w:tcW w:w="960" w:type="dxa"/>
            <w:vAlign w:val="bottom"/>
          </w:tcPr>
          <w:p>
            <w:pPr>
              <w:jc w:val="right"/>
              <w:ind w:right="79"/>
              <w:spacing w:after="0"/>
              <w:rPr>
                <w:sz w:val="20"/>
                <w:szCs w:val="20"/>
                <w:color w:val="auto"/>
              </w:rPr>
            </w:pPr>
            <w:r>
              <w:rPr>
                <w:rFonts w:ascii="Arial" w:cs="Arial" w:eastAsia="Arial" w:hAnsi="Arial"/>
                <w:sz w:val="16"/>
                <w:szCs w:val="16"/>
                <w:b w:val="1"/>
                <w:bCs w:val="1"/>
                <w:color w:val="auto"/>
                <w:w w:val="99"/>
              </w:rPr>
              <w:t>Additional</w:t>
            </w:r>
          </w:p>
        </w:tc>
        <w:tc>
          <w:tcPr>
            <w:tcW w:w="160" w:type="dxa"/>
            <w:vAlign w:val="bottom"/>
          </w:tcPr>
          <w:p>
            <w:pPr>
              <w:spacing w:after="0"/>
              <w:rPr>
                <w:sz w:val="17"/>
                <w:szCs w:val="17"/>
                <w:color w:val="auto"/>
              </w:rPr>
            </w:pPr>
          </w:p>
        </w:tc>
        <w:tc>
          <w:tcPr>
            <w:tcW w:w="1200" w:type="dxa"/>
            <w:vAlign w:val="bottom"/>
          </w:tcPr>
          <w:p>
            <w:pPr>
              <w:jc w:val="center"/>
              <w:spacing w:after="0"/>
              <w:rPr>
                <w:sz w:val="20"/>
                <w:szCs w:val="20"/>
                <w:color w:val="auto"/>
              </w:rPr>
            </w:pPr>
            <w:r>
              <w:rPr>
                <w:rFonts w:ascii="Arial" w:cs="Arial" w:eastAsia="Arial" w:hAnsi="Arial"/>
                <w:sz w:val="16"/>
                <w:szCs w:val="16"/>
                <w:b w:val="1"/>
                <w:bCs w:val="1"/>
                <w:color w:val="auto"/>
                <w:w w:val="98"/>
              </w:rPr>
              <w:t>Other</w:t>
            </w:r>
          </w:p>
        </w:tc>
        <w:tc>
          <w:tcPr>
            <w:tcW w:w="24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20" w:type="dxa"/>
            <w:vAlign w:val="bottom"/>
          </w:tcPr>
          <w:p>
            <w:pPr>
              <w:spacing w:after="0"/>
              <w:rPr>
                <w:sz w:val="17"/>
                <w:szCs w:val="17"/>
                <w:color w:val="auto"/>
              </w:rPr>
            </w:pPr>
          </w:p>
        </w:tc>
      </w:tr>
      <w:tr>
        <w:trPr>
          <w:trHeight w:val="203"/>
        </w:trPr>
        <w:tc>
          <w:tcPr>
            <w:tcW w:w="1040" w:type="dxa"/>
            <w:vAlign w:val="bottom"/>
          </w:tcPr>
          <w:p>
            <w:pPr>
              <w:jc w:val="right"/>
              <w:ind w:right="79"/>
              <w:spacing w:after="0"/>
              <w:rPr>
                <w:sz w:val="20"/>
                <w:szCs w:val="20"/>
                <w:color w:val="auto"/>
              </w:rPr>
            </w:pPr>
            <w:r>
              <w:rPr>
                <w:rFonts w:ascii="Arial" w:cs="Arial" w:eastAsia="Arial" w:hAnsi="Arial"/>
                <w:sz w:val="16"/>
                <w:szCs w:val="16"/>
                <w:b w:val="1"/>
                <w:bCs w:val="1"/>
                <w:color w:val="auto"/>
              </w:rPr>
              <w:t>Common</w:t>
            </w:r>
          </w:p>
        </w:tc>
        <w:tc>
          <w:tcPr>
            <w:tcW w:w="200" w:type="dxa"/>
            <w:vAlign w:val="bottom"/>
          </w:tcPr>
          <w:p>
            <w:pPr>
              <w:spacing w:after="0"/>
              <w:rPr>
                <w:sz w:val="17"/>
                <w:szCs w:val="17"/>
                <w:color w:val="auto"/>
              </w:rPr>
            </w:pPr>
          </w:p>
        </w:tc>
        <w:tc>
          <w:tcPr>
            <w:tcW w:w="780" w:type="dxa"/>
            <w:vAlign w:val="bottom"/>
          </w:tcPr>
          <w:p>
            <w:pPr>
              <w:jc w:val="center"/>
              <w:spacing w:after="0"/>
              <w:rPr>
                <w:sz w:val="20"/>
                <w:szCs w:val="20"/>
                <w:color w:val="auto"/>
              </w:rPr>
            </w:pPr>
            <w:r>
              <w:rPr>
                <w:rFonts w:ascii="Arial" w:cs="Arial" w:eastAsia="Arial" w:hAnsi="Arial"/>
                <w:sz w:val="16"/>
                <w:szCs w:val="16"/>
                <w:b w:val="1"/>
                <w:bCs w:val="1"/>
                <w:color w:val="auto"/>
                <w:w w:val="87"/>
              </w:rPr>
              <w:t>Stock</w:t>
            </w:r>
          </w:p>
        </w:tc>
        <w:tc>
          <w:tcPr>
            <w:tcW w:w="220" w:type="dxa"/>
            <w:vAlign w:val="bottom"/>
          </w:tcPr>
          <w:p>
            <w:pPr>
              <w:spacing w:after="0"/>
              <w:rPr>
                <w:sz w:val="17"/>
                <w:szCs w:val="17"/>
                <w:color w:val="auto"/>
              </w:rPr>
            </w:pPr>
          </w:p>
        </w:tc>
        <w:tc>
          <w:tcPr>
            <w:tcW w:w="960" w:type="dxa"/>
            <w:vAlign w:val="bottom"/>
          </w:tcPr>
          <w:p>
            <w:pPr>
              <w:jc w:val="right"/>
              <w:ind w:right="199"/>
              <w:spacing w:after="0"/>
              <w:rPr>
                <w:sz w:val="20"/>
                <w:szCs w:val="20"/>
                <w:color w:val="auto"/>
              </w:rPr>
            </w:pPr>
            <w:r>
              <w:rPr>
                <w:rFonts w:ascii="Arial" w:cs="Arial" w:eastAsia="Arial" w:hAnsi="Arial"/>
                <w:sz w:val="16"/>
                <w:szCs w:val="16"/>
                <w:b w:val="1"/>
                <w:bCs w:val="1"/>
                <w:color w:val="auto"/>
              </w:rPr>
              <w:t>Paid-In</w:t>
            </w:r>
          </w:p>
        </w:tc>
        <w:tc>
          <w:tcPr>
            <w:tcW w:w="160" w:type="dxa"/>
            <w:vAlign w:val="bottom"/>
          </w:tcPr>
          <w:p>
            <w:pPr>
              <w:spacing w:after="0"/>
              <w:rPr>
                <w:sz w:val="17"/>
                <w:szCs w:val="17"/>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b w:val="1"/>
                <w:bCs w:val="1"/>
                <w:color w:val="auto"/>
                <w:w w:val="89"/>
              </w:rPr>
              <w:t>Comprehensive</w:t>
            </w:r>
          </w:p>
        </w:tc>
        <w:tc>
          <w:tcPr>
            <w:tcW w:w="240" w:type="dxa"/>
            <w:vAlign w:val="bottom"/>
          </w:tcPr>
          <w:p>
            <w:pPr>
              <w:spacing w:after="0"/>
              <w:rPr>
                <w:sz w:val="17"/>
                <w:szCs w:val="17"/>
                <w:color w:val="auto"/>
              </w:rPr>
            </w:pPr>
          </w:p>
        </w:tc>
        <w:tc>
          <w:tcPr>
            <w:tcW w:w="960" w:type="dxa"/>
            <w:vAlign w:val="bottom"/>
          </w:tcPr>
          <w:p>
            <w:pPr>
              <w:jc w:val="right"/>
              <w:ind w:right="159"/>
              <w:spacing w:after="0"/>
              <w:rPr>
                <w:sz w:val="20"/>
                <w:szCs w:val="20"/>
                <w:color w:val="auto"/>
              </w:rPr>
            </w:pPr>
            <w:r>
              <w:rPr>
                <w:rFonts w:ascii="Arial" w:cs="Arial" w:eastAsia="Arial" w:hAnsi="Arial"/>
                <w:sz w:val="16"/>
                <w:szCs w:val="16"/>
                <w:b w:val="1"/>
                <w:bCs w:val="1"/>
                <w:color w:val="auto"/>
              </w:rPr>
              <w:t>Retained</w:t>
            </w:r>
          </w:p>
        </w:tc>
        <w:tc>
          <w:tcPr>
            <w:tcW w:w="280" w:type="dxa"/>
            <w:vAlign w:val="bottom"/>
          </w:tcPr>
          <w:p>
            <w:pPr>
              <w:spacing w:after="0"/>
              <w:rPr>
                <w:sz w:val="17"/>
                <w:szCs w:val="17"/>
                <w:color w:val="auto"/>
              </w:rPr>
            </w:pPr>
          </w:p>
        </w:tc>
        <w:tc>
          <w:tcPr>
            <w:tcW w:w="820" w:type="dxa"/>
            <w:vAlign w:val="bottom"/>
          </w:tcPr>
          <w:p>
            <w:pPr>
              <w:spacing w:after="0"/>
              <w:rPr>
                <w:sz w:val="17"/>
                <w:szCs w:val="17"/>
                <w:color w:val="auto"/>
              </w:rPr>
            </w:pPr>
          </w:p>
        </w:tc>
      </w:tr>
      <w:tr>
        <w:trPr>
          <w:trHeight w:val="210"/>
        </w:trPr>
        <w:tc>
          <w:tcPr>
            <w:tcW w:w="1040" w:type="dxa"/>
            <w:vAlign w:val="bottom"/>
          </w:tcPr>
          <w:p>
            <w:pPr>
              <w:jc w:val="right"/>
              <w:ind w:right="179"/>
              <w:spacing w:after="0"/>
              <w:rPr>
                <w:sz w:val="20"/>
                <w:szCs w:val="20"/>
                <w:color w:val="auto"/>
              </w:rPr>
            </w:pPr>
            <w:r>
              <w:rPr>
                <w:rFonts w:ascii="Arial" w:cs="Arial" w:eastAsia="Arial" w:hAnsi="Arial"/>
                <w:sz w:val="16"/>
                <w:szCs w:val="16"/>
                <w:b w:val="1"/>
                <w:bCs w:val="1"/>
                <w:color w:val="auto"/>
              </w:rPr>
              <w:t>Shares</w:t>
            </w:r>
          </w:p>
        </w:tc>
        <w:tc>
          <w:tcPr>
            <w:tcW w:w="200" w:type="dxa"/>
            <w:vAlign w:val="bottom"/>
          </w:tcPr>
          <w:p>
            <w:pPr>
              <w:spacing w:after="0"/>
              <w:rPr>
                <w:sz w:val="18"/>
                <w:szCs w:val="18"/>
                <w:color w:val="auto"/>
              </w:rPr>
            </w:pPr>
          </w:p>
        </w:tc>
        <w:tc>
          <w:tcPr>
            <w:tcW w:w="780" w:type="dxa"/>
            <w:vAlign w:val="bottom"/>
          </w:tcPr>
          <w:p>
            <w:pPr>
              <w:jc w:val="center"/>
              <w:spacing w:after="0"/>
              <w:rPr>
                <w:sz w:val="20"/>
                <w:szCs w:val="20"/>
                <w:color w:val="auto"/>
              </w:rPr>
            </w:pPr>
            <w:r>
              <w:rPr>
                <w:rFonts w:ascii="Arial" w:cs="Arial" w:eastAsia="Arial" w:hAnsi="Arial"/>
                <w:sz w:val="16"/>
                <w:szCs w:val="16"/>
                <w:b w:val="1"/>
                <w:bCs w:val="1"/>
                <w:color w:val="auto"/>
                <w:w w:val="92"/>
              </w:rPr>
              <w:t>Amount</w:t>
            </w:r>
          </w:p>
        </w:tc>
        <w:tc>
          <w:tcPr>
            <w:tcW w:w="220" w:type="dxa"/>
            <w:vAlign w:val="bottom"/>
          </w:tcPr>
          <w:p>
            <w:pPr>
              <w:spacing w:after="0"/>
              <w:rPr>
                <w:sz w:val="18"/>
                <w:szCs w:val="18"/>
                <w:color w:val="auto"/>
              </w:rPr>
            </w:pPr>
          </w:p>
        </w:tc>
        <w:tc>
          <w:tcPr>
            <w:tcW w:w="960" w:type="dxa"/>
            <w:vAlign w:val="bottom"/>
          </w:tcPr>
          <w:p>
            <w:pPr>
              <w:jc w:val="right"/>
              <w:ind w:right="199"/>
              <w:spacing w:after="0"/>
              <w:rPr>
                <w:sz w:val="20"/>
                <w:szCs w:val="20"/>
                <w:color w:val="auto"/>
              </w:rPr>
            </w:pPr>
            <w:r>
              <w:rPr>
                <w:rFonts w:ascii="Arial" w:cs="Arial" w:eastAsia="Arial" w:hAnsi="Arial"/>
                <w:sz w:val="16"/>
                <w:szCs w:val="16"/>
                <w:b w:val="1"/>
                <w:bCs w:val="1"/>
                <w:color w:val="auto"/>
              </w:rPr>
              <w:t>Capital</w:t>
            </w:r>
          </w:p>
        </w:tc>
        <w:tc>
          <w:tcPr>
            <w:tcW w:w="160" w:type="dxa"/>
            <w:vAlign w:val="bottom"/>
          </w:tcPr>
          <w:p>
            <w:pPr>
              <w:spacing w:after="0"/>
              <w:rPr>
                <w:sz w:val="18"/>
                <w:szCs w:val="18"/>
                <w:color w:val="auto"/>
              </w:rPr>
            </w:pPr>
          </w:p>
        </w:tc>
        <w:tc>
          <w:tcPr>
            <w:tcW w:w="1200" w:type="dxa"/>
            <w:vAlign w:val="bottom"/>
          </w:tcPr>
          <w:p>
            <w:pPr>
              <w:jc w:val="center"/>
              <w:spacing w:after="0"/>
              <w:rPr>
                <w:sz w:val="20"/>
                <w:szCs w:val="20"/>
                <w:color w:val="auto"/>
              </w:rPr>
            </w:pPr>
            <w:r>
              <w:rPr>
                <w:rFonts w:ascii="Arial" w:cs="Arial" w:eastAsia="Arial" w:hAnsi="Arial"/>
                <w:sz w:val="16"/>
                <w:szCs w:val="16"/>
                <w:b w:val="1"/>
                <w:bCs w:val="1"/>
                <w:color w:val="auto"/>
                <w:w w:val="85"/>
              </w:rPr>
              <w:t>Loss</w:t>
            </w:r>
          </w:p>
        </w:tc>
        <w:tc>
          <w:tcPr>
            <w:tcW w:w="240" w:type="dxa"/>
            <w:vAlign w:val="bottom"/>
          </w:tcPr>
          <w:p>
            <w:pPr>
              <w:spacing w:after="0"/>
              <w:rPr>
                <w:sz w:val="18"/>
                <w:szCs w:val="18"/>
                <w:color w:val="auto"/>
              </w:rPr>
            </w:pPr>
          </w:p>
        </w:tc>
        <w:tc>
          <w:tcPr>
            <w:tcW w:w="960" w:type="dxa"/>
            <w:vAlign w:val="bottom"/>
          </w:tcPr>
          <w:p>
            <w:pPr>
              <w:jc w:val="right"/>
              <w:ind w:right="239"/>
              <w:spacing w:after="0"/>
              <w:rPr>
                <w:sz w:val="20"/>
                <w:szCs w:val="20"/>
                <w:color w:val="auto"/>
              </w:rPr>
            </w:pPr>
            <w:r>
              <w:rPr>
                <w:rFonts w:ascii="Arial" w:cs="Arial" w:eastAsia="Arial" w:hAnsi="Arial"/>
                <w:sz w:val="16"/>
                <w:szCs w:val="16"/>
                <w:b w:val="1"/>
                <w:bCs w:val="1"/>
                <w:color w:val="auto"/>
              </w:rPr>
              <w:t>Deficit</w:t>
            </w:r>
          </w:p>
        </w:tc>
        <w:tc>
          <w:tcPr>
            <w:tcW w:w="280" w:type="dxa"/>
            <w:vAlign w:val="bottom"/>
          </w:tcPr>
          <w:p>
            <w:pPr>
              <w:spacing w:after="0"/>
              <w:rPr>
                <w:sz w:val="18"/>
                <w:szCs w:val="18"/>
                <w:color w:val="auto"/>
              </w:rPr>
            </w:pPr>
          </w:p>
        </w:tc>
        <w:tc>
          <w:tcPr>
            <w:tcW w:w="820" w:type="dxa"/>
            <w:vAlign w:val="bottom"/>
          </w:tcPr>
          <w:p>
            <w:pPr>
              <w:jc w:val="right"/>
              <w:ind w:right="259"/>
              <w:spacing w:after="0"/>
              <w:rPr>
                <w:sz w:val="20"/>
                <w:szCs w:val="20"/>
                <w:color w:val="auto"/>
              </w:rPr>
            </w:pPr>
            <w:r>
              <w:rPr>
                <w:rFonts w:ascii="Arial" w:cs="Arial" w:eastAsia="Arial" w:hAnsi="Arial"/>
                <w:sz w:val="16"/>
                <w:szCs w:val="16"/>
                <w:b w:val="1"/>
                <w:bCs w:val="1"/>
                <w:color w:val="auto"/>
              </w:rPr>
              <w:t>Total</w:t>
            </w:r>
          </w:p>
        </w:tc>
      </w:tr>
      <w:tr>
        <w:trPr>
          <w:trHeight w:val="33"/>
        </w:trPr>
        <w:tc>
          <w:tcPr>
            <w:tcW w:w="104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r>
      <w:tr>
        <w:trPr>
          <w:trHeight w:val="217"/>
        </w:trPr>
        <w:tc>
          <w:tcPr>
            <w:tcW w:w="1040" w:type="dxa"/>
            <w:vAlign w:val="bottom"/>
          </w:tcPr>
          <w:p>
            <w:pPr>
              <w:jc w:val="right"/>
              <w:spacing w:after="0"/>
              <w:rPr>
                <w:sz w:val="20"/>
                <w:szCs w:val="20"/>
                <w:color w:val="auto"/>
              </w:rPr>
            </w:pPr>
            <w:r>
              <w:rPr>
                <w:rFonts w:ascii="Arial" w:cs="Arial" w:eastAsia="Arial" w:hAnsi="Arial"/>
                <w:sz w:val="16"/>
                <w:szCs w:val="16"/>
                <w:color w:val="auto"/>
              </w:rPr>
              <w:t>1,446,784</w:t>
            </w:r>
          </w:p>
        </w:tc>
        <w:tc>
          <w:tcPr>
            <w:tcW w:w="200" w:type="dxa"/>
            <w:vAlign w:val="bottom"/>
          </w:tcPr>
          <w:p>
            <w:pPr>
              <w:jc w:val="right"/>
              <w:spacing w:after="0"/>
              <w:rPr>
                <w:sz w:val="20"/>
                <w:szCs w:val="20"/>
                <w:color w:val="auto"/>
              </w:rPr>
            </w:pPr>
            <w:r>
              <w:rPr>
                <w:rFonts w:ascii="Arial" w:cs="Arial" w:eastAsia="Arial" w:hAnsi="Arial"/>
                <w:sz w:val="16"/>
                <w:szCs w:val="16"/>
                <w:color w:val="auto"/>
              </w:rPr>
              <w:t>$</w:t>
            </w:r>
          </w:p>
        </w:tc>
        <w:tc>
          <w:tcPr>
            <w:tcW w:w="780" w:type="dxa"/>
            <w:vAlign w:val="bottom"/>
          </w:tcPr>
          <w:p>
            <w:pPr>
              <w:jc w:val="right"/>
              <w:spacing w:after="0"/>
              <w:rPr>
                <w:sz w:val="20"/>
                <w:szCs w:val="20"/>
                <w:color w:val="auto"/>
              </w:rPr>
            </w:pPr>
            <w:r>
              <w:rPr>
                <w:rFonts w:ascii="Arial" w:cs="Arial" w:eastAsia="Arial" w:hAnsi="Arial"/>
                <w:sz w:val="16"/>
                <w:szCs w:val="16"/>
                <w:color w:val="auto"/>
              </w:rPr>
              <w:t>145</w:t>
            </w:r>
          </w:p>
        </w:tc>
        <w:tc>
          <w:tcPr>
            <w:tcW w:w="220" w:type="dxa"/>
            <w:vAlign w:val="bottom"/>
          </w:tcPr>
          <w:p>
            <w:pPr>
              <w:jc w:val="right"/>
              <w:spacing w:after="0"/>
              <w:rPr>
                <w:sz w:val="20"/>
                <w:szCs w:val="20"/>
                <w:color w:val="auto"/>
              </w:rPr>
            </w:pPr>
            <w:r>
              <w:rPr>
                <w:rFonts w:ascii="Arial" w:cs="Arial" w:eastAsia="Arial" w:hAnsi="Arial"/>
                <w:sz w:val="16"/>
                <w:szCs w:val="16"/>
                <w:color w:val="auto"/>
              </w:rPr>
              <w:t>$</w:t>
            </w: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1,937,364</w:t>
            </w: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200" w:type="dxa"/>
            <w:vAlign w:val="bottom"/>
          </w:tcPr>
          <w:p>
            <w:pPr>
              <w:jc w:val="right"/>
              <w:spacing w:after="0"/>
              <w:rPr>
                <w:sz w:val="20"/>
                <w:szCs w:val="20"/>
                <w:color w:val="auto"/>
              </w:rPr>
            </w:pPr>
            <w:r>
              <w:rPr>
                <w:rFonts w:ascii="Arial" w:cs="Arial" w:eastAsia="Arial" w:hAnsi="Arial"/>
                <w:sz w:val="16"/>
                <w:szCs w:val="16"/>
                <w:color w:val="auto"/>
              </w:rPr>
              <w:t>(3,839)</w:t>
            </w:r>
          </w:p>
        </w:tc>
        <w:tc>
          <w:tcPr>
            <w:tcW w:w="24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960" w:type="dxa"/>
            <w:vAlign w:val="bottom"/>
          </w:tcPr>
          <w:p>
            <w:pPr>
              <w:jc w:val="right"/>
              <w:spacing w:after="0"/>
              <w:rPr>
                <w:sz w:val="20"/>
                <w:szCs w:val="20"/>
                <w:color w:val="auto"/>
              </w:rPr>
            </w:pPr>
            <w:r>
              <w:rPr>
                <w:rFonts w:ascii="Arial" w:cs="Arial" w:eastAsia="Arial" w:hAnsi="Arial"/>
                <w:sz w:val="16"/>
                <w:szCs w:val="16"/>
                <w:color w:val="auto"/>
              </w:rPr>
              <w:t>(1,574,725)</w:t>
            </w:r>
          </w:p>
        </w:tc>
        <w:tc>
          <w:tcPr>
            <w:tcW w:w="28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820" w:type="dxa"/>
            <w:vAlign w:val="bottom"/>
          </w:tcPr>
          <w:p>
            <w:pPr>
              <w:jc w:val="right"/>
              <w:ind w:right="59"/>
              <w:spacing w:after="0"/>
              <w:rPr>
                <w:sz w:val="20"/>
                <w:szCs w:val="20"/>
                <w:color w:val="auto"/>
              </w:rPr>
            </w:pPr>
            <w:r>
              <w:rPr>
                <w:rFonts w:ascii="Arial" w:cs="Arial" w:eastAsia="Arial" w:hAnsi="Arial"/>
                <w:sz w:val="16"/>
                <w:szCs w:val="16"/>
                <w:color w:val="auto"/>
              </w:rPr>
              <w:t>358,945</w:t>
            </w:r>
          </w:p>
        </w:tc>
      </w:tr>
      <w:tr>
        <w:trPr>
          <w:trHeight w:val="662"/>
        </w:trPr>
        <w:tc>
          <w:tcPr>
            <w:tcW w:w="1040" w:type="dxa"/>
            <w:vAlign w:val="bottom"/>
          </w:tcPr>
          <w:p>
            <w:pPr>
              <w:jc w:val="right"/>
              <w:spacing w:after="0"/>
              <w:rPr>
                <w:sz w:val="20"/>
                <w:szCs w:val="20"/>
                <w:color w:val="auto"/>
              </w:rPr>
            </w:pPr>
            <w:r>
              <w:rPr>
                <w:rFonts w:ascii="Arial" w:cs="Arial" w:eastAsia="Arial" w:hAnsi="Arial"/>
                <w:sz w:val="16"/>
                <w:szCs w:val="16"/>
                <w:color w:val="auto"/>
              </w:rPr>
              <w:t>3,285</w:t>
            </w:r>
          </w:p>
        </w:tc>
        <w:tc>
          <w:tcPr>
            <w:tcW w:w="200" w:type="dxa"/>
            <w:vAlign w:val="bottom"/>
          </w:tcPr>
          <w:p>
            <w:pPr>
              <w:spacing w:after="0"/>
              <w:rPr>
                <w:sz w:val="24"/>
                <w:szCs w:val="24"/>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4"/>
                <w:szCs w:val="24"/>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1,000</w:t>
            </w:r>
          </w:p>
        </w:tc>
        <w:tc>
          <w:tcPr>
            <w:tcW w:w="160" w:type="dxa"/>
            <w:vAlign w:val="bottom"/>
          </w:tcPr>
          <w:p>
            <w:pPr>
              <w:spacing w:after="0"/>
              <w:rPr>
                <w:sz w:val="24"/>
                <w:szCs w:val="24"/>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24"/>
                <w:szCs w:val="24"/>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80" w:type="dxa"/>
            <w:vAlign w:val="bottom"/>
          </w:tcPr>
          <w:p>
            <w:pPr>
              <w:spacing w:after="0"/>
              <w:rPr>
                <w:sz w:val="24"/>
                <w:szCs w:val="24"/>
                <w:color w:val="auto"/>
              </w:rPr>
            </w:pPr>
          </w:p>
        </w:tc>
        <w:tc>
          <w:tcPr>
            <w:tcW w:w="820" w:type="dxa"/>
            <w:vAlign w:val="bottom"/>
          </w:tcPr>
          <w:p>
            <w:pPr>
              <w:jc w:val="right"/>
              <w:ind w:right="59"/>
              <w:spacing w:after="0"/>
              <w:rPr>
                <w:sz w:val="20"/>
                <w:szCs w:val="20"/>
                <w:color w:val="auto"/>
              </w:rPr>
            </w:pPr>
            <w:r>
              <w:rPr>
                <w:rFonts w:ascii="Arial" w:cs="Arial" w:eastAsia="Arial" w:hAnsi="Arial"/>
                <w:sz w:val="16"/>
                <w:szCs w:val="16"/>
                <w:color w:val="auto"/>
              </w:rPr>
              <w:t>1,000</w:t>
            </w:r>
          </w:p>
        </w:tc>
      </w:tr>
      <w:tr>
        <w:trPr>
          <w:trHeight w:val="257"/>
        </w:trPr>
        <w:tc>
          <w:tcPr>
            <w:tcW w:w="104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2"/>
                <w:szCs w:val="22"/>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2"/>
                <w:szCs w:val="22"/>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47</w:t>
            </w:r>
          </w:p>
        </w:tc>
        <w:tc>
          <w:tcPr>
            <w:tcW w:w="160" w:type="dxa"/>
            <w:vAlign w:val="bottom"/>
          </w:tcPr>
          <w:p>
            <w:pPr>
              <w:spacing w:after="0"/>
              <w:rPr>
                <w:sz w:val="22"/>
                <w:szCs w:val="22"/>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22"/>
                <w:szCs w:val="22"/>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80" w:type="dxa"/>
            <w:vAlign w:val="bottom"/>
          </w:tcPr>
          <w:p>
            <w:pPr>
              <w:spacing w:after="0"/>
              <w:rPr>
                <w:sz w:val="22"/>
                <w:szCs w:val="22"/>
                <w:color w:val="auto"/>
              </w:rPr>
            </w:pPr>
          </w:p>
        </w:tc>
        <w:tc>
          <w:tcPr>
            <w:tcW w:w="820" w:type="dxa"/>
            <w:vAlign w:val="bottom"/>
          </w:tcPr>
          <w:p>
            <w:pPr>
              <w:jc w:val="right"/>
              <w:ind w:right="59"/>
              <w:spacing w:after="0"/>
              <w:rPr>
                <w:sz w:val="20"/>
                <w:szCs w:val="20"/>
                <w:color w:val="auto"/>
              </w:rPr>
            </w:pPr>
            <w:r>
              <w:rPr>
                <w:rFonts w:ascii="Arial" w:cs="Arial" w:eastAsia="Arial" w:hAnsi="Arial"/>
                <w:sz w:val="16"/>
                <w:szCs w:val="16"/>
                <w:color w:val="auto"/>
              </w:rPr>
              <w:t>47</w:t>
            </w:r>
          </w:p>
        </w:tc>
      </w:tr>
      <w:tr>
        <w:trPr>
          <w:trHeight w:val="459"/>
        </w:trPr>
        <w:tc>
          <w:tcPr>
            <w:tcW w:w="104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4"/>
                <w:szCs w:val="24"/>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4"/>
                <w:szCs w:val="24"/>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77</w:t>
            </w:r>
          </w:p>
        </w:tc>
        <w:tc>
          <w:tcPr>
            <w:tcW w:w="160" w:type="dxa"/>
            <w:vAlign w:val="bottom"/>
          </w:tcPr>
          <w:p>
            <w:pPr>
              <w:spacing w:after="0"/>
              <w:rPr>
                <w:sz w:val="24"/>
                <w:szCs w:val="24"/>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24"/>
                <w:szCs w:val="24"/>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80" w:type="dxa"/>
            <w:vAlign w:val="bottom"/>
          </w:tcPr>
          <w:p>
            <w:pPr>
              <w:spacing w:after="0"/>
              <w:rPr>
                <w:sz w:val="24"/>
                <w:szCs w:val="24"/>
                <w:color w:val="auto"/>
              </w:rPr>
            </w:pPr>
          </w:p>
        </w:tc>
        <w:tc>
          <w:tcPr>
            <w:tcW w:w="820" w:type="dxa"/>
            <w:vAlign w:val="bottom"/>
          </w:tcPr>
          <w:p>
            <w:pPr>
              <w:jc w:val="right"/>
              <w:ind w:right="59"/>
              <w:spacing w:after="0"/>
              <w:rPr>
                <w:sz w:val="20"/>
                <w:szCs w:val="20"/>
                <w:color w:val="auto"/>
              </w:rPr>
            </w:pPr>
            <w:r>
              <w:rPr>
                <w:rFonts w:ascii="Arial" w:cs="Arial" w:eastAsia="Arial" w:hAnsi="Arial"/>
                <w:sz w:val="16"/>
                <w:szCs w:val="16"/>
                <w:color w:val="auto"/>
              </w:rPr>
              <w:t>77</w:t>
            </w:r>
          </w:p>
        </w:tc>
      </w:tr>
      <w:tr>
        <w:trPr>
          <w:trHeight w:val="257"/>
        </w:trPr>
        <w:tc>
          <w:tcPr>
            <w:tcW w:w="104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2"/>
                <w:szCs w:val="22"/>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2"/>
                <w:szCs w:val="22"/>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(195)</w:t>
            </w:r>
          </w:p>
        </w:tc>
        <w:tc>
          <w:tcPr>
            <w:tcW w:w="16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820" w:type="dxa"/>
            <w:vAlign w:val="bottom"/>
          </w:tcPr>
          <w:p>
            <w:pPr>
              <w:jc w:val="right"/>
              <w:ind w:right="19"/>
              <w:spacing w:after="0"/>
              <w:rPr>
                <w:sz w:val="20"/>
                <w:szCs w:val="20"/>
                <w:color w:val="auto"/>
              </w:rPr>
            </w:pPr>
            <w:r>
              <w:rPr>
                <w:rFonts w:ascii="Arial" w:cs="Arial" w:eastAsia="Arial" w:hAnsi="Arial"/>
                <w:sz w:val="16"/>
                <w:szCs w:val="16"/>
                <w:color w:val="auto"/>
              </w:rPr>
              <w:t>(195)</w:t>
            </w:r>
          </w:p>
        </w:tc>
      </w:tr>
      <w:tr>
        <w:trPr>
          <w:trHeight w:val="257"/>
        </w:trPr>
        <w:tc>
          <w:tcPr>
            <w:tcW w:w="104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2"/>
                <w:szCs w:val="22"/>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2"/>
                <w:szCs w:val="22"/>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2"/>
                <w:szCs w:val="22"/>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(270)</w:t>
            </w:r>
          </w:p>
        </w:tc>
        <w:tc>
          <w:tcPr>
            <w:tcW w:w="240" w:type="dxa"/>
            <w:vAlign w:val="bottom"/>
          </w:tcPr>
          <w:p>
            <w:pPr>
              <w:spacing w:after="0"/>
              <w:rPr>
                <w:sz w:val="22"/>
                <w:szCs w:val="22"/>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80" w:type="dxa"/>
            <w:vAlign w:val="bottom"/>
          </w:tcPr>
          <w:p>
            <w:pPr>
              <w:spacing w:after="0"/>
              <w:rPr>
                <w:sz w:val="22"/>
                <w:szCs w:val="22"/>
                <w:color w:val="auto"/>
              </w:rPr>
            </w:pPr>
          </w:p>
        </w:tc>
        <w:tc>
          <w:tcPr>
            <w:tcW w:w="820" w:type="dxa"/>
            <w:vAlign w:val="bottom"/>
          </w:tcPr>
          <w:p>
            <w:pPr>
              <w:jc w:val="right"/>
              <w:ind w:right="19"/>
              <w:spacing w:after="0"/>
              <w:rPr>
                <w:sz w:val="20"/>
                <w:szCs w:val="20"/>
                <w:color w:val="auto"/>
              </w:rPr>
            </w:pPr>
            <w:r>
              <w:rPr>
                <w:rFonts w:ascii="Arial" w:cs="Arial" w:eastAsia="Arial" w:hAnsi="Arial"/>
                <w:sz w:val="16"/>
                <w:szCs w:val="16"/>
                <w:color w:val="auto"/>
              </w:rPr>
              <w:t>(270)</w:t>
            </w:r>
          </w:p>
        </w:tc>
      </w:tr>
      <w:tr>
        <w:trPr>
          <w:trHeight w:val="257"/>
        </w:trPr>
        <w:tc>
          <w:tcPr>
            <w:tcW w:w="104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2"/>
                <w:szCs w:val="22"/>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2"/>
                <w:szCs w:val="22"/>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2"/>
                <w:szCs w:val="22"/>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22"/>
                <w:szCs w:val="22"/>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25,771</w:t>
            </w:r>
          </w:p>
        </w:tc>
        <w:tc>
          <w:tcPr>
            <w:tcW w:w="280" w:type="dxa"/>
            <w:vAlign w:val="bottom"/>
          </w:tcPr>
          <w:p>
            <w:pPr>
              <w:spacing w:after="0"/>
              <w:rPr>
                <w:sz w:val="22"/>
                <w:szCs w:val="22"/>
                <w:color w:val="auto"/>
              </w:rPr>
            </w:pPr>
          </w:p>
        </w:tc>
        <w:tc>
          <w:tcPr>
            <w:tcW w:w="820" w:type="dxa"/>
            <w:vAlign w:val="bottom"/>
          </w:tcPr>
          <w:p>
            <w:pPr>
              <w:jc w:val="right"/>
              <w:ind w:right="59"/>
              <w:spacing w:after="0"/>
              <w:rPr>
                <w:sz w:val="20"/>
                <w:szCs w:val="20"/>
                <w:color w:val="auto"/>
              </w:rPr>
            </w:pPr>
            <w:r>
              <w:rPr>
                <w:rFonts w:ascii="Arial" w:cs="Arial" w:eastAsia="Arial" w:hAnsi="Arial"/>
                <w:sz w:val="16"/>
                <w:szCs w:val="16"/>
                <w:color w:val="auto"/>
              </w:rPr>
              <w:t>25,771</w:t>
            </w:r>
          </w:p>
        </w:tc>
      </w:tr>
      <w:tr>
        <w:trPr>
          <w:trHeight w:val="33"/>
        </w:trPr>
        <w:tc>
          <w:tcPr>
            <w:tcW w:w="104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r>
      <w:tr>
        <w:trPr>
          <w:trHeight w:val="217"/>
        </w:trPr>
        <w:tc>
          <w:tcPr>
            <w:tcW w:w="1040" w:type="dxa"/>
            <w:vAlign w:val="bottom"/>
          </w:tcPr>
          <w:p>
            <w:pPr>
              <w:jc w:val="right"/>
              <w:spacing w:after="0"/>
              <w:rPr>
                <w:sz w:val="20"/>
                <w:szCs w:val="20"/>
                <w:color w:val="auto"/>
              </w:rPr>
            </w:pPr>
            <w:r>
              <w:rPr>
                <w:rFonts w:ascii="Arial" w:cs="Arial" w:eastAsia="Arial" w:hAnsi="Arial"/>
                <w:sz w:val="16"/>
                <w:szCs w:val="16"/>
                <w:color w:val="auto"/>
              </w:rPr>
              <w:t>1,450,069</w:t>
            </w:r>
          </w:p>
        </w:tc>
        <w:tc>
          <w:tcPr>
            <w:tcW w:w="200" w:type="dxa"/>
            <w:vAlign w:val="bottom"/>
          </w:tcPr>
          <w:p>
            <w:pPr>
              <w:jc w:val="right"/>
              <w:spacing w:after="0"/>
              <w:rPr>
                <w:sz w:val="20"/>
                <w:szCs w:val="20"/>
                <w:color w:val="auto"/>
              </w:rPr>
            </w:pPr>
            <w:r>
              <w:rPr>
                <w:rFonts w:ascii="Arial" w:cs="Arial" w:eastAsia="Arial" w:hAnsi="Arial"/>
                <w:sz w:val="16"/>
                <w:szCs w:val="16"/>
                <w:color w:val="auto"/>
              </w:rPr>
              <w:t>$</w:t>
            </w:r>
          </w:p>
        </w:tc>
        <w:tc>
          <w:tcPr>
            <w:tcW w:w="780" w:type="dxa"/>
            <w:vAlign w:val="bottom"/>
          </w:tcPr>
          <w:p>
            <w:pPr>
              <w:jc w:val="right"/>
              <w:spacing w:after="0"/>
              <w:rPr>
                <w:sz w:val="20"/>
                <w:szCs w:val="20"/>
                <w:color w:val="auto"/>
              </w:rPr>
            </w:pPr>
            <w:r>
              <w:rPr>
                <w:rFonts w:ascii="Arial" w:cs="Arial" w:eastAsia="Arial" w:hAnsi="Arial"/>
                <w:sz w:val="16"/>
                <w:szCs w:val="16"/>
                <w:color w:val="auto"/>
              </w:rPr>
              <w:t>145</w:t>
            </w:r>
          </w:p>
        </w:tc>
        <w:tc>
          <w:tcPr>
            <w:tcW w:w="220" w:type="dxa"/>
            <w:vAlign w:val="bottom"/>
          </w:tcPr>
          <w:p>
            <w:pPr>
              <w:jc w:val="right"/>
              <w:spacing w:after="0"/>
              <w:rPr>
                <w:sz w:val="20"/>
                <w:szCs w:val="20"/>
                <w:color w:val="auto"/>
              </w:rPr>
            </w:pPr>
            <w:r>
              <w:rPr>
                <w:rFonts w:ascii="Arial" w:cs="Arial" w:eastAsia="Arial" w:hAnsi="Arial"/>
                <w:sz w:val="16"/>
                <w:szCs w:val="16"/>
                <w:color w:val="auto"/>
              </w:rPr>
              <w:t>$</w:t>
            </w: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1,938,293</w:t>
            </w: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200" w:type="dxa"/>
            <w:vAlign w:val="bottom"/>
          </w:tcPr>
          <w:p>
            <w:pPr>
              <w:jc w:val="right"/>
              <w:spacing w:after="0"/>
              <w:rPr>
                <w:sz w:val="20"/>
                <w:szCs w:val="20"/>
                <w:color w:val="auto"/>
              </w:rPr>
            </w:pPr>
            <w:r>
              <w:rPr>
                <w:rFonts w:ascii="Arial" w:cs="Arial" w:eastAsia="Arial" w:hAnsi="Arial"/>
                <w:sz w:val="16"/>
                <w:szCs w:val="16"/>
                <w:color w:val="auto"/>
              </w:rPr>
              <w:t>(4,109)</w:t>
            </w:r>
          </w:p>
        </w:tc>
        <w:tc>
          <w:tcPr>
            <w:tcW w:w="24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960" w:type="dxa"/>
            <w:vAlign w:val="bottom"/>
          </w:tcPr>
          <w:p>
            <w:pPr>
              <w:jc w:val="right"/>
              <w:spacing w:after="0"/>
              <w:rPr>
                <w:sz w:val="20"/>
                <w:szCs w:val="20"/>
                <w:color w:val="auto"/>
              </w:rPr>
            </w:pPr>
            <w:r>
              <w:rPr>
                <w:rFonts w:ascii="Arial" w:cs="Arial" w:eastAsia="Arial" w:hAnsi="Arial"/>
                <w:sz w:val="16"/>
                <w:szCs w:val="16"/>
                <w:color w:val="auto"/>
              </w:rPr>
              <w:t>(1,548,954)</w:t>
            </w:r>
          </w:p>
        </w:tc>
        <w:tc>
          <w:tcPr>
            <w:tcW w:w="28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820" w:type="dxa"/>
            <w:vAlign w:val="bottom"/>
          </w:tcPr>
          <w:p>
            <w:pPr>
              <w:jc w:val="right"/>
              <w:ind w:right="59"/>
              <w:spacing w:after="0"/>
              <w:rPr>
                <w:sz w:val="20"/>
                <w:szCs w:val="20"/>
                <w:color w:val="auto"/>
              </w:rPr>
            </w:pPr>
            <w:r>
              <w:rPr>
                <w:rFonts w:ascii="Arial" w:cs="Arial" w:eastAsia="Arial" w:hAnsi="Arial"/>
                <w:sz w:val="16"/>
                <w:szCs w:val="16"/>
                <w:color w:val="auto"/>
              </w:rPr>
              <w:t>385,375</w:t>
            </w:r>
          </w:p>
        </w:tc>
      </w:tr>
      <w:tr>
        <w:trPr>
          <w:trHeight w:val="33"/>
        </w:trPr>
        <w:tc>
          <w:tcPr>
            <w:tcW w:w="104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r>
      <w:tr>
        <w:trPr>
          <w:trHeight w:val="608"/>
        </w:trPr>
        <w:tc>
          <w:tcPr>
            <w:tcW w:w="1040" w:type="dxa"/>
            <w:vAlign w:val="bottom"/>
          </w:tcPr>
          <w:p>
            <w:pPr>
              <w:jc w:val="right"/>
              <w:spacing w:after="0"/>
              <w:rPr>
                <w:sz w:val="20"/>
                <w:szCs w:val="20"/>
                <w:color w:val="auto"/>
              </w:rPr>
            </w:pPr>
            <w:r>
              <w:rPr>
                <w:rFonts w:ascii="Arial" w:cs="Arial" w:eastAsia="Arial" w:hAnsi="Arial"/>
                <w:sz w:val="16"/>
                <w:szCs w:val="16"/>
                <w:color w:val="auto"/>
              </w:rPr>
              <w:t>232</w:t>
            </w:r>
          </w:p>
        </w:tc>
        <w:tc>
          <w:tcPr>
            <w:tcW w:w="200" w:type="dxa"/>
            <w:vAlign w:val="bottom"/>
          </w:tcPr>
          <w:p>
            <w:pPr>
              <w:spacing w:after="0"/>
              <w:rPr>
                <w:sz w:val="24"/>
                <w:szCs w:val="24"/>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4"/>
                <w:szCs w:val="24"/>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968</w:t>
            </w:r>
          </w:p>
        </w:tc>
        <w:tc>
          <w:tcPr>
            <w:tcW w:w="160" w:type="dxa"/>
            <w:vAlign w:val="bottom"/>
          </w:tcPr>
          <w:p>
            <w:pPr>
              <w:spacing w:after="0"/>
              <w:rPr>
                <w:sz w:val="24"/>
                <w:szCs w:val="24"/>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24"/>
                <w:szCs w:val="24"/>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80" w:type="dxa"/>
            <w:vAlign w:val="bottom"/>
          </w:tcPr>
          <w:p>
            <w:pPr>
              <w:spacing w:after="0"/>
              <w:rPr>
                <w:sz w:val="24"/>
                <w:szCs w:val="24"/>
                <w:color w:val="auto"/>
              </w:rPr>
            </w:pPr>
          </w:p>
        </w:tc>
        <w:tc>
          <w:tcPr>
            <w:tcW w:w="820" w:type="dxa"/>
            <w:vAlign w:val="bottom"/>
          </w:tcPr>
          <w:p>
            <w:pPr>
              <w:jc w:val="right"/>
              <w:ind w:right="59"/>
              <w:spacing w:after="0"/>
              <w:rPr>
                <w:sz w:val="20"/>
                <w:szCs w:val="20"/>
                <w:color w:val="auto"/>
              </w:rPr>
            </w:pPr>
            <w:r>
              <w:rPr>
                <w:rFonts w:ascii="Arial" w:cs="Arial" w:eastAsia="Arial" w:hAnsi="Arial"/>
                <w:sz w:val="16"/>
                <w:szCs w:val="16"/>
                <w:color w:val="auto"/>
              </w:rPr>
              <w:t>968</w:t>
            </w:r>
          </w:p>
        </w:tc>
      </w:tr>
      <w:tr>
        <w:trPr>
          <w:trHeight w:val="257"/>
        </w:trPr>
        <w:tc>
          <w:tcPr>
            <w:tcW w:w="104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2"/>
                <w:szCs w:val="22"/>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2"/>
                <w:szCs w:val="22"/>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197</w:t>
            </w:r>
          </w:p>
        </w:tc>
        <w:tc>
          <w:tcPr>
            <w:tcW w:w="160" w:type="dxa"/>
            <w:vAlign w:val="bottom"/>
          </w:tcPr>
          <w:p>
            <w:pPr>
              <w:spacing w:after="0"/>
              <w:rPr>
                <w:sz w:val="22"/>
                <w:szCs w:val="22"/>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22"/>
                <w:szCs w:val="22"/>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80" w:type="dxa"/>
            <w:vAlign w:val="bottom"/>
          </w:tcPr>
          <w:p>
            <w:pPr>
              <w:spacing w:after="0"/>
              <w:rPr>
                <w:sz w:val="22"/>
                <w:szCs w:val="22"/>
                <w:color w:val="auto"/>
              </w:rPr>
            </w:pPr>
          </w:p>
        </w:tc>
        <w:tc>
          <w:tcPr>
            <w:tcW w:w="820" w:type="dxa"/>
            <w:vAlign w:val="bottom"/>
          </w:tcPr>
          <w:p>
            <w:pPr>
              <w:jc w:val="right"/>
              <w:ind w:right="59"/>
              <w:spacing w:after="0"/>
              <w:rPr>
                <w:sz w:val="20"/>
                <w:szCs w:val="20"/>
                <w:color w:val="auto"/>
              </w:rPr>
            </w:pPr>
            <w:r>
              <w:rPr>
                <w:rFonts w:ascii="Arial" w:cs="Arial" w:eastAsia="Arial" w:hAnsi="Arial"/>
                <w:sz w:val="16"/>
                <w:szCs w:val="16"/>
                <w:color w:val="auto"/>
              </w:rPr>
              <w:t>197</w:t>
            </w:r>
          </w:p>
        </w:tc>
      </w:tr>
      <w:tr>
        <w:trPr>
          <w:trHeight w:val="459"/>
        </w:trPr>
        <w:tc>
          <w:tcPr>
            <w:tcW w:w="1040" w:type="dxa"/>
            <w:vAlign w:val="bottom"/>
          </w:tcPr>
          <w:p>
            <w:pPr>
              <w:jc w:val="right"/>
              <w:spacing w:after="0"/>
              <w:rPr>
                <w:sz w:val="20"/>
                <w:szCs w:val="20"/>
                <w:color w:val="auto"/>
              </w:rPr>
            </w:pPr>
            <w:r>
              <w:rPr>
                <w:rFonts w:ascii="Arial" w:cs="Arial" w:eastAsia="Arial" w:hAnsi="Arial"/>
                <w:sz w:val="16"/>
                <w:szCs w:val="16"/>
                <w:color w:val="auto"/>
              </w:rPr>
              <w:t>1,437</w:t>
            </w:r>
          </w:p>
        </w:tc>
        <w:tc>
          <w:tcPr>
            <w:tcW w:w="200" w:type="dxa"/>
            <w:vAlign w:val="bottom"/>
          </w:tcPr>
          <w:p>
            <w:pPr>
              <w:spacing w:after="0"/>
              <w:rPr>
                <w:sz w:val="24"/>
                <w:szCs w:val="24"/>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4"/>
                <w:szCs w:val="24"/>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500</w:t>
            </w:r>
          </w:p>
        </w:tc>
        <w:tc>
          <w:tcPr>
            <w:tcW w:w="160" w:type="dxa"/>
            <w:vAlign w:val="bottom"/>
          </w:tcPr>
          <w:p>
            <w:pPr>
              <w:spacing w:after="0"/>
              <w:rPr>
                <w:sz w:val="24"/>
                <w:szCs w:val="24"/>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24"/>
                <w:szCs w:val="24"/>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80" w:type="dxa"/>
            <w:vAlign w:val="bottom"/>
          </w:tcPr>
          <w:p>
            <w:pPr>
              <w:spacing w:after="0"/>
              <w:rPr>
                <w:sz w:val="24"/>
                <w:szCs w:val="24"/>
                <w:color w:val="auto"/>
              </w:rPr>
            </w:pPr>
          </w:p>
        </w:tc>
        <w:tc>
          <w:tcPr>
            <w:tcW w:w="820" w:type="dxa"/>
            <w:vAlign w:val="bottom"/>
          </w:tcPr>
          <w:p>
            <w:pPr>
              <w:jc w:val="right"/>
              <w:ind w:right="59"/>
              <w:spacing w:after="0"/>
              <w:rPr>
                <w:sz w:val="20"/>
                <w:szCs w:val="20"/>
                <w:color w:val="auto"/>
              </w:rPr>
            </w:pPr>
            <w:r>
              <w:rPr>
                <w:rFonts w:ascii="Arial" w:cs="Arial" w:eastAsia="Arial" w:hAnsi="Arial"/>
                <w:sz w:val="16"/>
                <w:szCs w:val="16"/>
                <w:color w:val="auto"/>
              </w:rPr>
              <w:t>500</w:t>
            </w:r>
          </w:p>
        </w:tc>
      </w:tr>
      <w:tr>
        <w:trPr>
          <w:trHeight w:val="257"/>
        </w:trPr>
        <w:tc>
          <w:tcPr>
            <w:tcW w:w="104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2"/>
                <w:szCs w:val="22"/>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2"/>
                <w:szCs w:val="22"/>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155</w:t>
            </w:r>
          </w:p>
        </w:tc>
        <w:tc>
          <w:tcPr>
            <w:tcW w:w="160" w:type="dxa"/>
            <w:vAlign w:val="bottom"/>
          </w:tcPr>
          <w:p>
            <w:pPr>
              <w:spacing w:after="0"/>
              <w:rPr>
                <w:sz w:val="22"/>
                <w:szCs w:val="22"/>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22"/>
                <w:szCs w:val="22"/>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80" w:type="dxa"/>
            <w:vAlign w:val="bottom"/>
          </w:tcPr>
          <w:p>
            <w:pPr>
              <w:spacing w:after="0"/>
              <w:rPr>
                <w:sz w:val="22"/>
                <w:szCs w:val="22"/>
                <w:color w:val="auto"/>
              </w:rPr>
            </w:pPr>
          </w:p>
        </w:tc>
        <w:tc>
          <w:tcPr>
            <w:tcW w:w="820" w:type="dxa"/>
            <w:vAlign w:val="bottom"/>
          </w:tcPr>
          <w:p>
            <w:pPr>
              <w:jc w:val="right"/>
              <w:ind w:right="59"/>
              <w:spacing w:after="0"/>
              <w:rPr>
                <w:sz w:val="20"/>
                <w:szCs w:val="20"/>
                <w:color w:val="auto"/>
              </w:rPr>
            </w:pPr>
            <w:r>
              <w:rPr>
                <w:rFonts w:ascii="Arial" w:cs="Arial" w:eastAsia="Arial" w:hAnsi="Arial"/>
                <w:sz w:val="16"/>
                <w:szCs w:val="16"/>
                <w:color w:val="auto"/>
              </w:rPr>
              <w:t>155</w:t>
            </w:r>
          </w:p>
        </w:tc>
      </w:tr>
      <w:tr>
        <w:trPr>
          <w:trHeight w:val="256"/>
        </w:trPr>
        <w:tc>
          <w:tcPr>
            <w:tcW w:w="104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2"/>
                <w:szCs w:val="22"/>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2"/>
                <w:szCs w:val="22"/>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2"/>
                <w:szCs w:val="22"/>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(498)</w:t>
            </w:r>
          </w:p>
        </w:tc>
        <w:tc>
          <w:tcPr>
            <w:tcW w:w="240" w:type="dxa"/>
            <w:vAlign w:val="bottom"/>
          </w:tcPr>
          <w:p>
            <w:pPr>
              <w:spacing w:after="0"/>
              <w:rPr>
                <w:sz w:val="22"/>
                <w:szCs w:val="22"/>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80" w:type="dxa"/>
            <w:vAlign w:val="bottom"/>
          </w:tcPr>
          <w:p>
            <w:pPr>
              <w:spacing w:after="0"/>
              <w:rPr>
                <w:sz w:val="22"/>
                <w:szCs w:val="22"/>
                <w:color w:val="auto"/>
              </w:rPr>
            </w:pPr>
          </w:p>
        </w:tc>
        <w:tc>
          <w:tcPr>
            <w:tcW w:w="820" w:type="dxa"/>
            <w:vAlign w:val="bottom"/>
          </w:tcPr>
          <w:p>
            <w:pPr>
              <w:jc w:val="right"/>
              <w:ind w:right="19"/>
              <w:spacing w:after="0"/>
              <w:rPr>
                <w:sz w:val="20"/>
                <w:szCs w:val="20"/>
                <w:color w:val="auto"/>
              </w:rPr>
            </w:pPr>
            <w:r>
              <w:rPr>
                <w:rFonts w:ascii="Arial" w:cs="Arial" w:eastAsia="Arial" w:hAnsi="Arial"/>
                <w:sz w:val="16"/>
                <w:szCs w:val="16"/>
                <w:color w:val="auto"/>
              </w:rPr>
              <w:t>(498)</w:t>
            </w:r>
          </w:p>
        </w:tc>
      </w:tr>
      <w:tr>
        <w:trPr>
          <w:trHeight w:val="257"/>
        </w:trPr>
        <w:tc>
          <w:tcPr>
            <w:tcW w:w="104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2"/>
                <w:szCs w:val="22"/>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2"/>
                <w:szCs w:val="22"/>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2"/>
                <w:szCs w:val="22"/>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22"/>
                <w:szCs w:val="22"/>
                <w:color w:val="auto"/>
              </w:rPr>
            </w:pP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6,189</w:t>
            </w:r>
          </w:p>
        </w:tc>
        <w:tc>
          <w:tcPr>
            <w:tcW w:w="280" w:type="dxa"/>
            <w:vAlign w:val="bottom"/>
          </w:tcPr>
          <w:p>
            <w:pPr>
              <w:spacing w:after="0"/>
              <w:rPr>
                <w:sz w:val="22"/>
                <w:szCs w:val="22"/>
                <w:color w:val="auto"/>
              </w:rPr>
            </w:pPr>
          </w:p>
        </w:tc>
        <w:tc>
          <w:tcPr>
            <w:tcW w:w="820" w:type="dxa"/>
            <w:vAlign w:val="bottom"/>
          </w:tcPr>
          <w:p>
            <w:pPr>
              <w:jc w:val="right"/>
              <w:ind w:right="59"/>
              <w:spacing w:after="0"/>
              <w:rPr>
                <w:sz w:val="20"/>
                <w:szCs w:val="20"/>
                <w:color w:val="auto"/>
              </w:rPr>
            </w:pPr>
            <w:r>
              <w:rPr>
                <w:rFonts w:ascii="Arial" w:cs="Arial" w:eastAsia="Arial" w:hAnsi="Arial"/>
                <w:sz w:val="16"/>
                <w:szCs w:val="16"/>
                <w:color w:val="auto"/>
              </w:rPr>
              <w:t>6,189</w:t>
            </w:r>
          </w:p>
        </w:tc>
      </w:tr>
      <w:tr>
        <w:trPr>
          <w:trHeight w:val="33"/>
        </w:trPr>
        <w:tc>
          <w:tcPr>
            <w:tcW w:w="104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r>
      <w:tr>
        <w:trPr>
          <w:trHeight w:val="217"/>
        </w:trPr>
        <w:tc>
          <w:tcPr>
            <w:tcW w:w="1040" w:type="dxa"/>
            <w:vAlign w:val="bottom"/>
          </w:tcPr>
          <w:p>
            <w:pPr>
              <w:jc w:val="right"/>
              <w:spacing w:after="0"/>
              <w:rPr>
                <w:sz w:val="20"/>
                <w:szCs w:val="20"/>
                <w:color w:val="auto"/>
              </w:rPr>
            </w:pPr>
            <w:r>
              <w:rPr>
                <w:rFonts w:ascii="Arial" w:cs="Arial" w:eastAsia="Arial" w:hAnsi="Arial"/>
                <w:sz w:val="16"/>
                <w:szCs w:val="16"/>
                <w:color w:val="auto"/>
              </w:rPr>
              <w:t>1,451,738</w:t>
            </w:r>
          </w:p>
        </w:tc>
        <w:tc>
          <w:tcPr>
            <w:tcW w:w="200" w:type="dxa"/>
            <w:vAlign w:val="bottom"/>
          </w:tcPr>
          <w:p>
            <w:pPr>
              <w:jc w:val="right"/>
              <w:spacing w:after="0"/>
              <w:rPr>
                <w:sz w:val="20"/>
                <w:szCs w:val="20"/>
                <w:color w:val="auto"/>
              </w:rPr>
            </w:pPr>
            <w:r>
              <w:rPr>
                <w:rFonts w:ascii="Arial" w:cs="Arial" w:eastAsia="Arial" w:hAnsi="Arial"/>
                <w:sz w:val="16"/>
                <w:szCs w:val="16"/>
                <w:color w:val="auto"/>
              </w:rPr>
              <w:t>$</w:t>
            </w:r>
          </w:p>
        </w:tc>
        <w:tc>
          <w:tcPr>
            <w:tcW w:w="780" w:type="dxa"/>
            <w:vAlign w:val="bottom"/>
          </w:tcPr>
          <w:p>
            <w:pPr>
              <w:jc w:val="right"/>
              <w:spacing w:after="0"/>
              <w:rPr>
                <w:sz w:val="20"/>
                <w:szCs w:val="20"/>
                <w:color w:val="auto"/>
              </w:rPr>
            </w:pPr>
            <w:r>
              <w:rPr>
                <w:rFonts w:ascii="Arial" w:cs="Arial" w:eastAsia="Arial" w:hAnsi="Arial"/>
                <w:sz w:val="16"/>
                <w:szCs w:val="16"/>
                <w:color w:val="auto"/>
              </w:rPr>
              <w:t>145</w:t>
            </w:r>
          </w:p>
        </w:tc>
        <w:tc>
          <w:tcPr>
            <w:tcW w:w="220" w:type="dxa"/>
            <w:vAlign w:val="bottom"/>
          </w:tcPr>
          <w:p>
            <w:pPr>
              <w:jc w:val="right"/>
              <w:spacing w:after="0"/>
              <w:rPr>
                <w:sz w:val="20"/>
                <w:szCs w:val="20"/>
                <w:color w:val="auto"/>
              </w:rPr>
            </w:pPr>
            <w:r>
              <w:rPr>
                <w:rFonts w:ascii="Arial" w:cs="Arial" w:eastAsia="Arial" w:hAnsi="Arial"/>
                <w:sz w:val="16"/>
                <w:szCs w:val="16"/>
                <w:color w:val="auto"/>
              </w:rPr>
              <w:t>$</w:t>
            </w: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1,940,113</w:t>
            </w: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200" w:type="dxa"/>
            <w:vAlign w:val="bottom"/>
          </w:tcPr>
          <w:p>
            <w:pPr>
              <w:jc w:val="right"/>
              <w:spacing w:after="0"/>
              <w:rPr>
                <w:sz w:val="20"/>
                <w:szCs w:val="20"/>
                <w:color w:val="auto"/>
              </w:rPr>
            </w:pPr>
            <w:r>
              <w:rPr>
                <w:rFonts w:ascii="Arial" w:cs="Arial" w:eastAsia="Arial" w:hAnsi="Arial"/>
                <w:sz w:val="16"/>
                <w:szCs w:val="16"/>
                <w:color w:val="auto"/>
              </w:rPr>
              <w:t>(4,607)</w:t>
            </w:r>
          </w:p>
        </w:tc>
        <w:tc>
          <w:tcPr>
            <w:tcW w:w="24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960" w:type="dxa"/>
            <w:vAlign w:val="bottom"/>
          </w:tcPr>
          <w:p>
            <w:pPr>
              <w:jc w:val="right"/>
              <w:spacing w:after="0"/>
              <w:rPr>
                <w:sz w:val="20"/>
                <w:szCs w:val="20"/>
                <w:color w:val="auto"/>
              </w:rPr>
            </w:pPr>
            <w:r>
              <w:rPr>
                <w:rFonts w:ascii="Arial" w:cs="Arial" w:eastAsia="Arial" w:hAnsi="Arial"/>
                <w:sz w:val="16"/>
                <w:szCs w:val="16"/>
                <w:color w:val="auto"/>
              </w:rPr>
              <w:t>(1,542,765)</w:t>
            </w:r>
          </w:p>
        </w:tc>
        <w:tc>
          <w:tcPr>
            <w:tcW w:w="28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820" w:type="dxa"/>
            <w:vAlign w:val="bottom"/>
          </w:tcPr>
          <w:p>
            <w:pPr>
              <w:jc w:val="right"/>
              <w:ind w:right="59"/>
              <w:spacing w:after="0"/>
              <w:rPr>
                <w:sz w:val="20"/>
                <w:szCs w:val="20"/>
                <w:color w:val="auto"/>
              </w:rPr>
            </w:pPr>
            <w:r>
              <w:rPr>
                <w:rFonts w:ascii="Arial" w:cs="Arial" w:eastAsia="Arial" w:hAnsi="Arial"/>
                <w:sz w:val="16"/>
                <w:szCs w:val="16"/>
                <w:color w:val="auto"/>
              </w:rPr>
              <w:t>392,886</w:t>
            </w:r>
          </w:p>
        </w:tc>
      </w:tr>
      <w:tr>
        <w:trPr>
          <w:trHeight w:val="33"/>
        </w:trPr>
        <w:tc>
          <w:tcPr>
            <w:tcW w:w="104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-2775585</wp:posOffset>
            </wp:positionH>
            <wp:positionV relativeFrom="paragraph">
              <wp:posOffset>-3248025</wp:posOffset>
            </wp:positionV>
            <wp:extent cx="7132320" cy="1714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32320" cy="171450"/>
                    </a:xfrm>
                    <a:prstGeom prst="rect">
                      <a:avLst/>
                    </a:prstGeom>
                    <a:noFill/>
                  </pic:spPr>
                </pic:pic>
              </a:graphicData>
            </a:graphic>
          </wp:anchor>
        </w:drawing>
        <w:drawing>
          <wp:anchor simplePos="0" relativeHeight="251657728" behindDoc="1" locked="0" layoutInCell="0" allowOverlap="1">
            <wp:simplePos x="0" y="0"/>
            <wp:positionH relativeFrom="column">
              <wp:posOffset>-2775585</wp:posOffset>
            </wp:positionH>
            <wp:positionV relativeFrom="paragraph">
              <wp:posOffset>-2656840</wp:posOffset>
            </wp:positionV>
            <wp:extent cx="7132320" cy="16319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32320" cy="163195"/>
                    </a:xfrm>
                    <a:prstGeom prst="rect">
                      <a:avLst/>
                    </a:prstGeom>
                    <a:noFill/>
                  </pic:spPr>
                </pic:pic>
              </a:graphicData>
            </a:graphic>
          </wp:anchor>
        </w:drawing>
        <w:drawing>
          <wp:anchor simplePos="0" relativeHeight="251657728" behindDoc="1" locked="0" layoutInCell="0" allowOverlap="1">
            <wp:simplePos x="0" y="0"/>
            <wp:positionH relativeFrom="column">
              <wp:posOffset>-2775585</wp:posOffset>
            </wp:positionH>
            <wp:positionV relativeFrom="paragraph">
              <wp:posOffset>-2202180</wp:posOffset>
            </wp:positionV>
            <wp:extent cx="7132320" cy="16256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32320" cy="162560"/>
                    </a:xfrm>
                    <a:prstGeom prst="rect">
                      <a:avLst/>
                    </a:prstGeom>
                    <a:noFill/>
                  </pic:spPr>
                </pic:pic>
              </a:graphicData>
            </a:graphic>
          </wp:anchor>
        </w:drawing>
        <w:drawing>
          <wp:anchor simplePos="0" relativeHeight="251657728" behindDoc="1" locked="0" layoutInCell="0" allowOverlap="1">
            <wp:simplePos x="0" y="0"/>
            <wp:positionH relativeFrom="column">
              <wp:posOffset>-2775585</wp:posOffset>
            </wp:positionH>
            <wp:positionV relativeFrom="paragraph">
              <wp:posOffset>-1876425</wp:posOffset>
            </wp:positionV>
            <wp:extent cx="7132320" cy="16319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32320" cy="163195"/>
                    </a:xfrm>
                    <a:prstGeom prst="rect">
                      <a:avLst/>
                    </a:prstGeom>
                    <a:noFill/>
                  </pic:spPr>
                </pic:pic>
              </a:graphicData>
            </a:graphic>
          </wp:anchor>
        </w:drawing>
        <w:drawing>
          <wp:anchor simplePos="0" relativeHeight="251657728" behindDoc="1" locked="0" layoutInCell="0" allowOverlap="1">
            <wp:simplePos x="0" y="0"/>
            <wp:positionH relativeFrom="column">
              <wp:posOffset>-2775585</wp:posOffset>
            </wp:positionH>
            <wp:positionV relativeFrom="paragraph">
              <wp:posOffset>-1542415</wp:posOffset>
            </wp:positionV>
            <wp:extent cx="7132320" cy="4203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32320" cy="420370"/>
                    </a:xfrm>
                    <a:prstGeom prst="rect">
                      <a:avLst/>
                    </a:prstGeom>
                    <a:noFill/>
                  </pic:spPr>
                </pic:pic>
              </a:graphicData>
            </a:graphic>
          </wp:anchor>
        </w:drawing>
        <w:drawing>
          <wp:anchor simplePos="0" relativeHeight="251657728" behindDoc="1" locked="0" layoutInCell="0" allowOverlap="1">
            <wp:simplePos x="0" y="0"/>
            <wp:positionH relativeFrom="column">
              <wp:posOffset>-2775585</wp:posOffset>
            </wp:positionH>
            <wp:positionV relativeFrom="paragraph">
              <wp:posOffset>-959485</wp:posOffset>
            </wp:positionV>
            <wp:extent cx="7132320" cy="29146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32320" cy="291465"/>
                    </a:xfrm>
                    <a:prstGeom prst="rect">
                      <a:avLst/>
                    </a:prstGeom>
                    <a:noFill/>
                  </pic:spPr>
                </pic:pic>
              </a:graphicData>
            </a:graphic>
          </wp:anchor>
        </w:drawing>
        <w:drawing>
          <wp:anchor simplePos="0" relativeHeight="251657728" behindDoc="1" locked="0" layoutInCell="0" allowOverlap="1">
            <wp:simplePos x="0" y="0"/>
            <wp:positionH relativeFrom="column">
              <wp:posOffset>-2775585</wp:posOffset>
            </wp:positionH>
            <wp:positionV relativeFrom="paragraph">
              <wp:posOffset>-504825</wp:posOffset>
            </wp:positionV>
            <wp:extent cx="7132320" cy="16319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32320" cy="163195"/>
                    </a:xfrm>
                    <a:prstGeom prst="rect">
                      <a:avLst/>
                    </a:prstGeom>
                    <a:noFill/>
                  </pic:spPr>
                </pic:pic>
              </a:graphicData>
            </a:graphic>
          </wp:anchor>
        </w:drawing>
        <w:drawing>
          <wp:anchor simplePos="0" relativeHeight="251657728" behindDoc="1" locked="0" layoutInCell="0" allowOverlap="1">
            <wp:simplePos x="0" y="0"/>
            <wp:positionH relativeFrom="column">
              <wp:posOffset>-2775585</wp:posOffset>
            </wp:positionH>
            <wp:positionV relativeFrom="paragraph">
              <wp:posOffset>-179070</wp:posOffset>
            </wp:positionV>
            <wp:extent cx="7132320" cy="1714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32320" cy="171450"/>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4140" w:space="220"/>
            <w:col w:w="6860"/>
          </w:cols>
          <w:pgMar w:left="340" w:top="1044" w:right="339" w:bottom="1440" w:gutter="0" w:footer="0" w:header="0"/>
        </w:sectPr>
      </w:pPr>
    </w:p>
    <w:p>
      <w:pPr>
        <w:spacing w:after="0" w:line="93" w:lineRule="exact"/>
        <w:rPr>
          <w:sz w:val="20"/>
          <w:szCs w:val="20"/>
          <w:color w:val="auto"/>
        </w:rPr>
      </w:pPr>
    </w:p>
    <w:p>
      <w:pPr>
        <w:jc w:val="center"/>
        <w:ind w:right="20"/>
        <w:spacing w:after="0"/>
        <w:rPr>
          <w:sz w:val="20"/>
          <w:szCs w:val="20"/>
          <w:color w:val="auto"/>
        </w:rPr>
      </w:pPr>
      <w:r>
        <w:rPr>
          <w:rFonts w:ascii="Arial" w:cs="Arial" w:eastAsia="Arial" w:hAnsi="Arial"/>
          <w:sz w:val="15"/>
          <w:szCs w:val="15"/>
          <w:color w:val="auto"/>
        </w:rPr>
        <w:t>See accompanying notes to unaudited interim condensed consolidated financial statements.</w:t>
      </w:r>
    </w:p>
    <w:p>
      <w:pPr>
        <w:spacing w:after="0" w:line="200" w:lineRule="exact"/>
        <w:rPr>
          <w:sz w:val="20"/>
          <w:szCs w:val="20"/>
          <w:color w:val="auto"/>
        </w:rPr>
      </w:pPr>
    </w:p>
    <w:p>
      <w:pPr>
        <w:spacing w:after="0" w:line="387"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83185</wp:posOffset>
            </wp:positionV>
            <wp:extent cx="7132320" cy="171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40" w:top="1044" w:right="339" w:bottom="1440" w:gutter="0" w:footer="0" w:header="0"/>
          <w:type w:val="continuous"/>
        </w:sectPr>
      </w:pPr>
    </w:p>
    <w:bookmarkStart w:id="6" w:name="page7"/>
    <w:bookmarkEnd w:id="6"/>
    <w:p>
      <w:pPr>
        <w:spacing w:after="0" w:line="76" w:lineRule="exact"/>
        <w:rPr>
          <w:sz w:val="20"/>
          <w:szCs w:val="20"/>
          <w:color w:val="auto"/>
        </w:rPr>
      </w:pPr>
    </w:p>
    <w:p>
      <w:pPr>
        <w:jc w:val="center"/>
        <w:ind w:right="60"/>
        <w:spacing w:after="0"/>
        <w:rPr>
          <w:sz w:val="20"/>
          <w:szCs w:val="20"/>
          <w:color w:val="auto"/>
        </w:rPr>
      </w:pPr>
      <w:r>
        <w:rPr>
          <w:rFonts w:ascii="Arial" w:cs="Arial" w:eastAsia="Arial" w:hAnsi="Arial"/>
          <w:sz w:val="16"/>
          <w:szCs w:val="16"/>
          <w:b w:val="1"/>
          <w:bCs w:val="1"/>
          <w:color w:val="auto"/>
        </w:rPr>
        <w:t>GLOBALSTAR, INC.</w:t>
      </w:r>
    </w:p>
    <w:p>
      <w:pPr>
        <w:spacing w:after="0" w:line="59" w:lineRule="exact"/>
        <w:rPr>
          <w:sz w:val="20"/>
          <w:szCs w:val="20"/>
          <w:color w:val="auto"/>
        </w:rPr>
      </w:pPr>
    </w:p>
    <w:p>
      <w:pPr>
        <w:jc w:val="center"/>
        <w:ind w:right="20"/>
        <w:spacing w:after="0"/>
        <w:rPr>
          <w:sz w:val="20"/>
          <w:szCs w:val="20"/>
          <w:color w:val="auto"/>
        </w:rPr>
      </w:pPr>
      <w:r>
        <w:rPr>
          <w:rFonts w:ascii="Arial" w:cs="Arial" w:eastAsia="Arial" w:hAnsi="Arial"/>
          <w:sz w:val="16"/>
          <w:szCs w:val="16"/>
          <w:b w:val="1"/>
          <w:bCs w:val="1"/>
          <w:color w:val="auto"/>
        </w:rPr>
        <w:t>CONDENSED CONSOLIDATED STATEMENTS OF CASH FLOWS</w:t>
      </w:r>
    </w:p>
    <w:p>
      <w:pPr>
        <w:spacing w:after="0" w:line="59" w:lineRule="exact"/>
        <w:rPr>
          <w:sz w:val="20"/>
          <w:szCs w:val="20"/>
          <w:color w:val="auto"/>
        </w:rPr>
      </w:pPr>
    </w:p>
    <w:p>
      <w:pPr>
        <w:jc w:val="center"/>
        <w:ind w:right="20"/>
        <w:spacing w:after="0"/>
        <w:rPr>
          <w:sz w:val="20"/>
          <w:szCs w:val="20"/>
          <w:color w:val="auto"/>
        </w:rPr>
      </w:pPr>
      <w:r>
        <w:rPr>
          <w:rFonts w:ascii="Arial" w:cs="Arial" w:eastAsia="Arial" w:hAnsi="Arial"/>
          <w:sz w:val="16"/>
          <w:szCs w:val="16"/>
          <w:b w:val="1"/>
          <w:bCs w:val="1"/>
          <w:color w:val="auto"/>
        </w:rPr>
        <w:t>(In thousands)</w:t>
      </w:r>
    </w:p>
    <w:p>
      <w:pPr>
        <w:spacing w:after="0" w:line="59" w:lineRule="exact"/>
        <w:rPr>
          <w:sz w:val="20"/>
          <w:szCs w:val="20"/>
          <w:color w:val="auto"/>
        </w:rPr>
      </w:pPr>
    </w:p>
    <w:p>
      <w:pPr>
        <w:jc w:val="center"/>
        <w:ind w:right="20"/>
        <w:spacing w:after="0"/>
        <w:rPr>
          <w:sz w:val="20"/>
          <w:szCs w:val="20"/>
          <w:color w:val="auto"/>
        </w:rPr>
      </w:pPr>
      <w:r>
        <w:rPr>
          <w:rFonts w:ascii="Arial" w:cs="Arial" w:eastAsia="Arial" w:hAnsi="Arial"/>
          <w:sz w:val="16"/>
          <w:szCs w:val="16"/>
          <w:b w:val="1"/>
          <w:bCs w:val="1"/>
          <w:color w:val="auto"/>
        </w:rPr>
        <w:t>(Unaudited)</w:t>
      </w:r>
    </w:p>
    <w:p>
      <w:pPr>
        <w:spacing w:after="0" w:line="200" w:lineRule="exact"/>
        <w:rPr>
          <w:sz w:val="20"/>
          <w:szCs w:val="20"/>
          <w:color w:val="auto"/>
        </w:rPr>
      </w:pPr>
    </w:p>
    <w:tbl>
      <w:tblPr>
        <w:tblLayout w:type="fixed"/>
        <w:tblInd w:w="0" w:type="dxa"/>
        <w:tblCellMar>
          <w:top w:w="0" w:type="dxa"/>
          <w:left w:w="0" w:type="dxa"/>
          <w:bottom w:w="0" w:type="dxa"/>
          <w:right w:w="0" w:type="dxa"/>
        </w:tblCellMar>
      </w:tblPr>
      <w:tr>
        <w:trPr>
          <w:trHeight w:val="220"/>
        </w:trPr>
        <w:tc>
          <w:tcPr>
            <w:tcW w:w="79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980" w:type="dxa"/>
            <w:vAlign w:val="bottom"/>
            <w:gridSpan w:val="4"/>
          </w:tcPr>
          <w:p>
            <w:pPr>
              <w:jc w:val="right"/>
              <w:ind w:right="875"/>
              <w:spacing w:after="0"/>
              <w:rPr>
                <w:sz w:val="20"/>
                <w:szCs w:val="20"/>
                <w:color w:val="auto"/>
              </w:rPr>
            </w:pPr>
            <w:r>
              <w:rPr>
                <w:rFonts w:ascii="Arial" w:cs="Arial" w:eastAsia="Arial" w:hAnsi="Arial"/>
                <w:sz w:val="17"/>
                <w:szCs w:val="17"/>
                <w:b w:val="1"/>
                <w:bCs w:val="1"/>
                <w:color w:val="auto"/>
              </w:rPr>
              <w:t>Six Months Ended</w:t>
            </w:r>
          </w:p>
        </w:tc>
      </w:tr>
      <w:tr>
        <w:trPr>
          <w:trHeight w:val="31"/>
        </w:trPr>
        <w:tc>
          <w:tcPr>
            <w:tcW w:w="792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gridSpan w:val="2"/>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r>
      <w:tr>
        <w:trPr>
          <w:trHeight w:val="201"/>
        </w:trPr>
        <w:tc>
          <w:tcPr>
            <w:tcW w:w="79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400" w:type="dxa"/>
            <w:vAlign w:val="bottom"/>
            <w:gridSpan w:val="2"/>
          </w:tcPr>
          <w:p>
            <w:pPr>
              <w:ind w:left="200"/>
              <w:spacing w:after="0"/>
              <w:rPr>
                <w:sz w:val="20"/>
                <w:szCs w:val="20"/>
                <w:color w:val="auto"/>
              </w:rPr>
            </w:pPr>
            <w:r>
              <w:rPr>
                <w:rFonts w:ascii="Arial" w:cs="Arial" w:eastAsia="Arial" w:hAnsi="Arial"/>
                <w:sz w:val="17"/>
                <w:szCs w:val="17"/>
                <w:b w:val="1"/>
                <w:bCs w:val="1"/>
                <w:color w:val="auto"/>
              </w:rPr>
              <w:t>June 30,</w:t>
            </w:r>
          </w:p>
        </w:tc>
        <w:tc>
          <w:tcPr>
            <w:tcW w:w="300" w:type="dxa"/>
            <w:vAlign w:val="bottom"/>
          </w:tcPr>
          <w:p>
            <w:pPr>
              <w:spacing w:after="0"/>
              <w:rPr>
                <w:sz w:val="17"/>
                <w:szCs w:val="17"/>
                <w:color w:val="auto"/>
              </w:rPr>
            </w:pPr>
          </w:p>
        </w:tc>
        <w:tc>
          <w:tcPr>
            <w:tcW w:w="1280" w:type="dxa"/>
            <w:vAlign w:val="bottom"/>
          </w:tcPr>
          <w:p>
            <w:pPr>
              <w:jc w:val="right"/>
              <w:ind w:right="395"/>
              <w:spacing w:after="0"/>
              <w:rPr>
                <w:sz w:val="20"/>
                <w:szCs w:val="20"/>
                <w:color w:val="auto"/>
              </w:rPr>
            </w:pPr>
            <w:r>
              <w:rPr>
                <w:rFonts w:ascii="Arial" w:cs="Arial" w:eastAsia="Arial" w:hAnsi="Arial"/>
                <w:sz w:val="17"/>
                <w:szCs w:val="17"/>
                <w:b w:val="1"/>
                <w:bCs w:val="1"/>
                <w:color w:val="auto"/>
              </w:rPr>
              <w:t>June 30,</w:t>
            </w:r>
          </w:p>
        </w:tc>
      </w:tr>
      <w:tr>
        <w:trPr>
          <w:trHeight w:val="220"/>
        </w:trPr>
        <w:tc>
          <w:tcPr>
            <w:tcW w:w="79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300" w:type="dxa"/>
            <w:vAlign w:val="bottom"/>
          </w:tcPr>
          <w:p>
            <w:pPr>
              <w:jc w:val="right"/>
              <w:ind w:right="535"/>
              <w:spacing w:after="0"/>
              <w:rPr>
                <w:sz w:val="20"/>
                <w:szCs w:val="20"/>
                <w:color w:val="auto"/>
              </w:rPr>
            </w:pPr>
            <w:r>
              <w:rPr>
                <w:rFonts w:ascii="Arial" w:cs="Arial" w:eastAsia="Arial" w:hAnsi="Arial"/>
                <w:sz w:val="17"/>
                <w:szCs w:val="17"/>
                <w:b w:val="1"/>
                <w:bCs w:val="1"/>
                <w:color w:val="auto"/>
              </w:rPr>
              <w:t>2020</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280" w:type="dxa"/>
            <w:vAlign w:val="bottom"/>
          </w:tcPr>
          <w:p>
            <w:pPr>
              <w:jc w:val="right"/>
              <w:ind w:right="535"/>
              <w:spacing w:after="0"/>
              <w:rPr>
                <w:sz w:val="20"/>
                <w:szCs w:val="20"/>
                <w:color w:val="auto"/>
              </w:rPr>
            </w:pPr>
            <w:r>
              <w:rPr>
                <w:rFonts w:ascii="Arial" w:cs="Arial" w:eastAsia="Arial" w:hAnsi="Arial"/>
                <w:sz w:val="17"/>
                <w:szCs w:val="17"/>
                <w:b w:val="1"/>
                <w:bCs w:val="1"/>
                <w:color w:val="auto"/>
              </w:rPr>
              <w:t>2019</w:t>
            </w:r>
          </w:p>
        </w:tc>
      </w:tr>
      <w:tr>
        <w:trPr>
          <w:trHeight w:val="31"/>
        </w:trPr>
        <w:tc>
          <w:tcPr>
            <w:tcW w:w="79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r>
      <w:tr>
        <w:trPr>
          <w:trHeight w:val="230"/>
        </w:trPr>
        <w:tc>
          <w:tcPr>
            <w:tcW w:w="79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7"/>
                <w:szCs w:val="17"/>
                <w:color w:val="auto"/>
              </w:rPr>
              <w:t>Cash flows provided by (used in) operating activities:</w:t>
            </w:r>
          </w:p>
        </w:tc>
        <w:tc>
          <w:tcPr>
            <w:tcW w:w="28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280" w:type="dxa"/>
            <w:vAlign w:val="bottom"/>
            <w:tcBorders>
              <w:bottom w:val="single" w:sz="8" w:color="CCEEFF"/>
            </w:tcBorders>
            <w:shd w:val="clear" w:color="auto" w:fill="CCEEFF"/>
          </w:tcPr>
          <w:p>
            <w:pPr>
              <w:spacing w:after="0"/>
              <w:rPr>
                <w:sz w:val="20"/>
                <w:szCs w:val="20"/>
                <w:color w:val="auto"/>
              </w:rPr>
            </w:pPr>
          </w:p>
        </w:tc>
      </w:tr>
      <w:tr>
        <w:trPr>
          <w:trHeight w:val="226"/>
        </w:trPr>
        <w:tc>
          <w:tcPr>
            <w:tcW w:w="7920" w:type="dxa"/>
            <w:vAlign w:val="bottom"/>
          </w:tcPr>
          <w:p>
            <w:pPr>
              <w:ind w:left="200"/>
              <w:spacing w:after="0"/>
              <w:rPr>
                <w:sz w:val="20"/>
                <w:szCs w:val="20"/>
                <w:color w:val="auto"/>
              </w:rPr>
            </w:pPr>
            <w:r>
              <w:rPr>
                <w:rFonts w:ascii="Arial" w:cs="Arial" w:eastAsia="Arial" w:hAnsi="Arial"/>
                <w:sz w:val="17"/>
                <w:szCs w:val="17"/>
                <w:color w:val="auto"/>
              </w:rPr>
              <w:t>Net (loss) income</w:t>
            </w:r>
          </w:p>
        </w:tc>
        <w:tc>
          <w:tcPr>
            <w:tcW w:w="280" w:type="dxa"/>
            <w:vAlign w:val="bottom"/>
          </w:tcPr>
          <w:p>
            <w:pPr>
              <w:jc w:val="right"/>
              <w:ind w:right="95"/>
              <w:spacing w:after="0"/>
              <w:rPr>
                <w:sz w:val="20"/>
                <w:szCs w:val="20"/>
                <w:color w:val="auto"/>
              </w:rPr>
            </w:pPr>
            <w:r>
              <w:rPr>
                <w:rFonts w:ascii="Arial" w:cs="Arial" w:eastAsia="Arial" w:hAnsi="Arial"/>
                <w:sz w:val="17"/>
                <w:szCs w:val="17"/>
                <w:color w:val="auto"/>
                <w:w w:val="84"/>
              </w:rPr>
              <w:t>$</w:t>
            </w:r>
          </w:p>
        </w:tc>
        <w:tc>
          <w:tcPr>
            <w:tcW w:w="1300" w:type="dxa"/>
            <w:vAlign w:val="bottom"/>
          </w:tcPr>
          <w:p>
            <w:pPr>
              <w:jc w:val="right"/>
              <w:ind w:right="35"/>
              <w:spacing w:after="0"/>
              <w:rPr>
                <w:sz w:val="20"/>
                <w:szCs w:val="20"/>
                <w:color w:val="auto"/>
              </w:rPr>
            </w:pPr>
            <w:r>
              <w:rPr>
                <w:rFonts w:ascii="Arial" w:cs="Arial" w:eastAsia="Arial" w:hAnsi="Arial"/>
                <w:sz w:val="17"/>
                <w:szCs w:val="17"/>
                <w:color w:val="auto"/>
              </w:rPr>
              <w:t>(62,959)</w:t>
            </w:r>
          </w:p>
        </w:tc>
        <w:tc>
          <w:tcPr>
            <w:tcW w:w="100" w:type="dxa"/>
            <w:vAlign w:val="bottom"/>
          </w:tcPr>
          <w:p>
            <w:pPr>
              <w:spacing w:after="0"/>
              <w:rPr>
                <w:sz w:val="19"/>
                <w:szCs w:val="19"/>
                <w:color w:val="auto"/>
              </w:rPr>
            </w:pPr>
          </w:p>
        </w:tc>
        <w:tc>
          <w:tcPr>
            <w:tcW w:w="300" w:type="dxa"/>
            <w:vAlign w:val="bottom"/>
          </w:tcPr>
          <w:p>
            <w:pPr>
              <w:jc w:val="right"/>
              <w:ind w:right="115"/>
              <w:spacing w:after="0"/>
              <w:rPr>
                <w:sz w:val="20"/>
                <w:szCs w:val="20"/>
                <w:color w:val="auto"/>
              </w:rPr>
            </w:pPr>
            <w:r>
              <w:rPr>
                <w:rFonts w:ascii="Arial" w:cs="Arial" w:eastAsia="Arial" w:hAnsi="Arial"/>
                <w:sz w:val="17"/>
                <w:szCs w:val="17"/>
                <w:color w:val="auto"/>
                <w:w w:val="84"/>
              </w:rPr>
              <w:t>$</w:t>
            </w:r>
          </w:p>
        </w:tc>
        <w:tc>
          <w:tcPr>
            <w:tcW w:w="1280" w:type="dxa"/>
            <w:vAlign w:val="bottom"/>
          </w:tcPr>
          <w:p>
            <w:pPr>
              <w:jc w:val="right"/>
              <w:ind w:right="75"/>
              <w:spacing w:after="0"/>
              <w:rPr>
                <w:sz w:val="20"/>
                <w:szCs w:val="20"/>
                <w:color w:val="auto"/>
              </w:rPr>
            </w:pPr>
            <w:r>
              <w:rPr>
                <w:rFonts w:ascii="Arial" w:cs="Arial" w:eastAsia="Arial" w:hAnsi="Arial"/>
                <w:sz w:val="17"/>
                <w:szCs w:val="17"/>
                <w:color w:val="auto"/>
              </w:rPr>
              <w:t>31,960</w:t>
            </w:r>
          </w:p>
        </w:tc>
      </w:tr>
      <w:tr>
        <w:trPr>
          <w:trHeight w:val="31"/>
        </w:trPr>
        <w:tc>
          <w:tcPr>
            <w:tcW w:w="79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r>
      <w:tr>
        <w:trPr>
          <w:trHeight w:val="192"/>
        </w:trPr>
        <w:tc>
          <w:tcPr>
            <w:tcW w:w="7920" w:type="dxa"/>
            <w:vAlign w:val="bottom"/>
            <w:shd w:val="clear" w:color="auto" w:fill="CCEEFF"/>
          </w:tcPr>
          <w:p>
            <w:pPr>
              <w:ind w:left="200"/>
              <w:spacing w:after="0" w:line="192" w:lineRule="exact"/>
              <w:rPr>
                <w:sz w:val="20"/>
                <w:szCs w:val="20"/>
                <w:color w:val="auto"/>
              </w:rPr>
            </w:pPr>
            <w:r>
              <w:rPr>
                <w:rFonts w:ascii="Arial" w:cs="Arial" w:eastAsia="Arial" w:hAnsi="Arial"/>
                <w:sz w:val="17"/>
                <w:szCs w:val="17"/>
                <w:color w:val="auto"/>
              </w:rPr>
              <w:t>Adjustments to reconcile net (loss) income to net cash provided by (used in) operating</w:t>
            </w:r>
          </w:p>
        </w:tc>
        <w:tc>
          <w:tcPr>
            <w:tcW w:w="280" w:type="dxa"/>
            <w:vAlign w:val="bottom"/>
            <w:shd w:val="clear" w:color="auto" w:fill="CCEEFF"/>
          </w:tcPr>
          <w:p>
            <w:pPr>
              <w:spacing w:after="0"/>
              <w:rPr>
                <w:sz w:val="16"/>
                <w:szCs w:val="16"/>
                <w:color w:val="auto"/>
              </w:rPr>
            </w:pPr>
          </w:p>
        </w:tc>
        <w:tc>
          <w:tcPr>
            <w:tcW w:w="13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300" w:type="dxa"/>
            <w:vAlign w:val="bottom"/>
            <w:shd w:val="clear" w:color="auto" w:fill="CCEEFF"/>
          </w:tcPr>
          <w:p>
            <w:pPr>
              <w:spacing w:after="0"/>
              <w:rPr>
                <w:sz w:val="16"/>
                <w:szCs w:val="16"/>
                <w:color w:val="auto"/>
              </w:rPr>
            </w:pPr>
          </w:p>
        </w:tc>
        <w:tc>
          <w:tcPr>
            <w:tcW w:w="1280" w:type="dxa"/>
            <w:vAlign w:val="bottom"/>
            <w:shd w:val="clear" w:color="auto" w:fill="CCEEFF"/>
          </w:tcPr>
          <w:p>
            <w:pPr>
              <w:spacing w:after="0"/>
              <w:rPr>
                <w:sz w:val="16"/>
                <w:szCs w:val="16"/>
                <w:color w:val="auto"/>
              </w:rPr>
            </w:pPr>
          </w:p>
        </w:tc>
      </w:tr>
      <w:tr>
        <w:trPr>
          <w:trHeight w:val="227"/>
        </w:trPr>
        <w:tc>
          <w:tcPr>
            <w:tcW w:w="792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7"/>
                <w:szCs w:val="17"/>
                <w:color w:val="auto"/>
              </w:rPr>
              <w:t>activities:</w:t>
            </w:r>
          </w:p>
        </w:tc>
        <w:tc>
          <w:tcPr>
            <w:tcW w:w="280" w:type="dxa"/>
            <w:vAlign w:val="bottom"/>
            <w:tcBorders>
              <w:bottom w:val="single" w:sz="8" w:color="CCEEFF"/>
            </w:tcBorders>
            <w:shd w:val="clear" w:color="auto" w:fill="CCEEFF"/>
          </w:tcPr>
          <w:p>
            <w:pPr>
              <w:spacing w:after="0"/>
              <w:rPr>
                <w:sz w:val="19"/>
                <w:szCs w:val="19"/>
                <w:color w:val="auto"/>
              </w:rPr>
            </w:pPr>
          </w:p>
        </w:tc>
        <w:tc>
          <w:tcPr>
            <w:tcW w:w="130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300" w:type="dxa"/>
            <w:vAlign w:val="bottom"/>
            <w:tcBorders>
              <w:bottom w:val="single" w:sz="8" w:color="CCEEFF"/>
            </w:tcBorders>
            <w:shd w:val="clear" w:color="auto" w:fill="CCEEFF"/>
          </w:tcPr>
          <w:p>
            <w:pPr>
              <w:spacing w:after="0"/>
              <w:rPr>
                <w:sz w:val="19"/>
                <w:szCs w:val="19"/>
                <w:color w:val="auto"/>
              </w:rPr>
            </w:pPr>
          </w:p>
        </w:tc>
        <w:tc>
          <w:tcPr>
            <w:tcW w:w="1280" w:type="dxa"/>
            <w:vAlign w:val="bottom"/>
            <w:tcBorders>
              <w:bottom w:val="single" w:sz="8" w:color="CCEEFF"/>
            </w:tcBorders>
            <w:shd w:val="clear" w:color="auto" w:fill="CCEEFF"/>
          </w:tcPr>
          <w:p>
            <w:pPr>
              <w:spacing w:after="0"/>
              <w:rPr>
                <w:sz w:val="19"/>
                <w:szCs w:val="19"/>
                <w:color w:val="auto"/>
              </w:rPr>
            </w:pPr>
          </w:p>
        </w:tc>
      </w:tr>
      <w:tr>
        <w:trPr>
          <w:trHeight w:val="226"/>
        </w:trPr>
        <w:tc>
          <w:tcPr>
            <w:tcW w:w="7920" w:type="dxa"/>
            <w:vAlign w:val="bottom"/>
          </w:tcPr>
          <w:p>
            <w:pPr>
              <w:ind w:left="440"/>
              <w:spacing w:after="0"/>
              <w:rPr>
                <w:sz w:val="20"/>
                <w:szCs w:val="20"/>
                <w:color w:val="auto"/>
              </w:rPr>
            </w:pPr>
            <w:r>
              <w:rPr>
                <w:rFonts w:ascii="Arial" w:cs="Arial" w:eastAsia="Arial" w:hAnsi="Arial"/>
                <w:sz w:val="17"/>
                <w:szCs w:val="17"/>
                <w:color w:val="auto"/>
              </w:rPr>
              <w:t>Depreciation, amortization and accretion</w:t>
            </w:r>
          </w:p>
        </w:tc>
        <w:tc>
          <w:tcPr>
            <w:tcW w:w="280" w:type="dxa"/>
            <w:vAlign w:val="bottom"/>
          </w:tcPr>
          <w:p>
            <w:pPr>
              <w:spacing w:after="0"/>
              <w:rPr>
                <w:sz w:val="19"/>
                <w:szCs w:val="19"/>
                <w:color w:val="auto"/>
              </w:rPr>
            </w:pPr>
          </w:p>
        </w:tc>
        <w:tc>
          <w:tcPr>
            <w:tcW w:w="1300" w:type="dxa"/>
            <w:vAlign w:val="bottom"/>
          </w:tcPr>
          <w:p>
            <w:pPr>
              <w:jc w:val="right"/>
              <w:ind w:right="75"/>
              <w:spacing w:after="0"/>
              <w:rPr>
                <w:sz w:val="20"/>
                <w:szCs w:val="20"/>
                <w:color w:val="auto"/>
              </w:rPr>
            </w:pPr>
            <w:r>
              <w:rPr>
                <w:rFonts w:ascii="Arial" w:cs="Arial" w:eastAsia="Arial" w:hAnsi="Arial"/>
                <w:sz w:val="17"/>
                <w:szCs w:val="17"/>
                <w:color w:val="auto"/>
              </w:rPr>
              <w:t>47,720</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280" w:type="dxa"/>
            <w:vAlign w:val="bottom"/>
          </w:tcPr>
          <w:p>
            <w:pPr>
              <w:jc w:val="right"/>
              <w:ind w:right="75"/>
              <w:spacing w:after="0"/>
              <w:rPr>
                <w:sz w:val="20"/>
                <w:szCs w:val="20"/>
                <w:color w:val="auto"/>
              </w:rPr>
            </w:pPr>
            <w:r>
              <w:rPr>
                <w:rFonts w:ascii="Arial" w:cs="Arial" w:eastAsia="Arial" w:hAnsi="Arial"/>
                <w:sz w:val="17"/>
                <w:szCs w:val="17"/>
                <w:color w:val="auto"/>
              </w:rPr>
              <w:t>47,653</w:t>
            </w:r>
          </w:p>
        </w:tc>
      </w:tr>
      <w:tr>
        <w:trPr>
          <w:trHeight w:val="31"/>
        </w:trPr>
        <w:tc>
          <w:tcPr>
            <w:tcW w:w="79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37"/>
        </w:trPr>
        <w:tc>
          <w:tcPr>
            <w:tcW w:w="7920" w:type="dxa"/>
            <w:vAlign w:val="bottom"/>
            <w:tcBorders>
              <w:bottom w:val="single" w:sz="8" w:color="CCEEFF"/>
            </w:tcBorders>
            <w:shd w:val="clear" w:color="auto" w:fill="CCEEFF"/>
          </w:tcPr>
          <w:p>
            <w:pPr>
              <w:ind w:left="440"/>
              <w:spacing w:after="0"/>
              <w:rPr>
                <w:sz w:val="20"/>
                <w:szCs w:val="20"/>
                <w:color w:val="auto"/>
              </w:rPr>
            </w:pPr>
            <w:r>
              <w:rPr>
                <w:rFonts w:ascii="Arial" w:cs="Arial" w:eastAsia="Arial" w:hAnsi="Arial"/>
                <w:sz w:val="17"/>
                <w:szCs w:val="17"/>
                <w:color w:val="auto"/>
              </w:rPr>
              <w:t>Change in fair value of derivative assets and liabilities</w:t>
            </w:r>
          </w:p>
        </w:tc>
        <w:tc>
          <w:tcPr>
            <w:tcW w:w="28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7"/>
                <w:szCs w:val="17"/>
                <w:color w:val="auto"/>
              </w:rPr>
              <w:t>(339)</w:t>
            </w:r>
          </w:p>
        </w:tc>
        <w:tc>
          <w:tcPr>
            <w:tcW w:w="10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28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(92,124)</w:t>
            </w:r>
          </w:p>
        </w:tc>
      </w:tr>
      <w:tr>
        <w:trPr>
          <w:trHeight w:val="225"/>
        </w:trPr>
        <w:tc>
          <w:tcPr>
            <w:tcW w:w="7920" w:type="dxa"/>
            <w:vAlign w:val="bottom"/>
          </w:tcPr>
          <w:p>
            <w:pPr>
              <w:ind w:left="440"/>
              <w:spacing w:after="0"/>
              <w:rPr>
                <w:sz w:val="20"/>
                <w:szCs w:val="20"/>
                <w:color w:val="auto"/>
              </w:rPr>
            </w:pPr>
            <w:r>
              <w:rPr>
                <w:rFonts w:ascii="Arial" w:cs="Arial" w:eastAsia="Arial" w:hAnsi="Arial"/>
                <w:sz w:val="17"/>
                <w:szCs w:val="17"/>
                <w:color w:val="auto"/>
              </w:rPr>
              <w:t>Stock-based compensation expense</w:t>
            </w:r>
          </w:p>
        </w:tc>
        <w:tc>
          <w:tcPr>
            <w:tcW w:w="280" w:type="dxa"/>
            <w:vAlign w:val="bottom"/>
          </w:tcPr>
          <w:p>
            <w:pPr>
              <w:spacing w:after="0"/>
              <w:rPr>
                <w:sz w:val="19"/>
                <w:szCs w:val="19"/>
                <w:color w:val="auto"/>
              </w:rPr>
            </w:pPr>
          </w:p>
        </w:tc>
        <w:tc>
          <w:tcPr>
            <w:tcW w:w="1300" w:type="dxa"/>
            <w:vAlign w:val="bottom"/>
          </w:tcPr>
          <w:p>
            <w:pPr>
              <w:jc w:val="right"/>
              <w:ind w:right="75"/>
              <w:spacing w:after="0"/>
              <w:rPr>
                <w:sz w:val="20"/>
                <w:szCs w:val="20"/>
                <w:color w:val="auto"/>
              </w:rPr>
            </w:pPr>
            <w:r>
              <w:rPr>
                <w:rFonts w:ascii="Arial" w:cs="Arial" w:eastAsia="Arial" w:hAnsi="Arial"/>
                <w:sz w:val="17"/>
                <w:szCs w:val="17"/>
                <w:color w:val="auto"/>
              </w:rPr>
              <w:t>2,508</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280" w:type="dxa"/>
            <w:vAlign w:val="bottom"/>
          </w:tcPr>
          <w:p>
            <w:pPr>
              <w:jc w:val="right"/>
              <w:ind w:right="75"/>
              <w:spacing w:after="0"/>
              <w:rPr>
                <w:sz w:val="20"/>
                <w:szCs w:val="20"/>
                <w:color w:val="auto"/>
              </w:rPr>
            </w:pPr>
            <w:r>
              <w:rPr>
                <w:rFonts w:ascii="Arial" w:cs="Arial" w:eastAsia="Arial" w:hAnsi="Arial"/>
                <w:sz w:val="17"/>
                <w:szCs w:val="17"/>
                <w:color w:val="auto"/>
              </w:rPr>
              <w:t>2,756</w:t>
            </w:r>
          </w:p>
        </w:tc>
      </w:tr>
      <w:tr>
        <w:trPr>
          <w:trHeight w:val="31"/>
        </w:trPr>
        <w:tc>
          <w:tcPr>
            <w:tcW w:w="79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37"/>
        </w:trPr>
        <w:tc>
          <w:tcPr>
            <w:tcW w:w="7920" w:type="dxa"/>
            <w:vAlign w:val="bottom"/>
            <w:tcBorders>
              <w:bottom w:val="single" w:sz="8" w:color="CCEEFF"/>
            </w:tcBorders>
            <w:shd w:val="clear" w:color="auto" w:fill="CCEEFF"/>
          </w:tcPr>
          <w:p>
            <w:pPr>
              <w:ind w:left="440"/>
              <w:spacing w:after="0"/>
              <w:rPr>
                <w:sz w:val="20"/>
                <w:szCs w:val="20"/>
                <w:color w:val="auto"/>
              </w:rPr>
            </w:pPr>
            <w:r>
              <w:rPr>
                <w:rFonts w:ascii="Arial" w:cs="Arial" w:eastAsia="Arial" w:hAnsi="Arial"/>
                <w:sz w:val="17"/>
                <w:szCs w:val="17"/>
                <w:color w:val="auto"/>
              </w:rPr>
              <w:t>Amortization of deferred financing costs</w:t>
            </w:r>
          </w:p>
        </w:tc>
        <w:tc>
          <w:tcPr>
            <w:tcW w:w="28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jc w:val="right"/>
              <w:ind w:right="75"/>
              <w:spacing w:after="0"/>
              <w:rPr>
                <w:sz w:val="20"/>
                <w:szCs w:val="20"/>
                <w:color w:val="auto"/>
              </w:rPr>
            </w:pPr>
            <w:r>
              <w:rPr>
                <w:rFonts w:ascii="Arial" w:cs="Arial" w:eastAsia="Arial" w:hAnsi="Arial"/>
                <w:sz w:val="17"/>
                <w:szCs w:val="17"/>
                <w:color w:val="auto"/>
              </w:rPr>
              <w:t>3,822</w:t>
            </w:r>
          </w:p>
        </w:tc>
        <w:tc>
          <w:tcPr>
            <w:tcW w:w="10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280" w:type="dxa"/>
            <w:vAlign w:val="bottom"/>
            <w:tcBorders>
              <w:bottom w:val="single" w:sz="8" w:color="CCEEFF"/>
            </w:tcBorders>
            <w:shd w:val="clear" w:color="auto" w:fill="CCEEFF"/>
          </w:tcPr>
          <w:p>
            <w:pPr>
              <w:jc w:val="right"/>
              <w:ind w:right="75"/>
              <w:spacing w:after="0"/>
              <w:rPr>
                <w:sz w:val="20"/>
                <w:szCs w:val="20"/>
                <w:color w:val="auto"/>
              </w:rPr>
            </w:pPr>
            <w:r>
              <w:rPr>
                <w:rFonts w:ascii="Arial" w:cs="Arial" w:eastAsia="Arial" w:hAnsi="Arial"/>
                <w:sz w:val="17"/>
                <w:szCs w:val="17"/>
                <w:color w:val="auto"/>
              </w:rPr>
              <w:t>4,480</w:t>
            </w:r>
          </w:p>
        </w:tc>
      </w:tr>
      <w:tr>
        <w:trPr>
          <w:trHeight w:val="226"/>
        </w:trPr>
        <w:tc>
          <w:tcPr>
            <w:tcW w:w="7920" w:type="dxa"/>
            <w:vAlign w:val="bottom"/>
          </w:tcPr>
          <w:p>
            <w:pPr>
              <w:ind w:left="440"/>
              <w:spacing w:after="0"/>
              <w:rPr>
                <w:sz w:val="20"/>
                <w:szCs w:val="20"/>
                <w:color w:val="auto"/>
              </w:rPr>
            </w:pPr>
            <w:r>
              <w:rPr>
                <w:rFonts w:ascii="Arial" w:cs="Arial" w:eastAsia="Arial" w:hAnsi="Arial"/>
                <w:sz w:val="17"/>
                <w:szCs w:val="17"/>
                <w:color w:val="auto"/>
              </w:rPr>
              <w:t>Provision for bad debts</w:t>
            </w:r>
          </w:p>
        </w:tc>
        <w:tc>
          <w:tcPr>
            <w:tcW w:w="280" w:type="dxa"/>
            <w:vAlign w:val="bottom"/>
          </w:tcPr>
          <w:p>
            <w:pPr>
              <w:spacing w:after="0"/>
              <w:rPr>
                <w:sz w:val="19"/>
                <w:szCs w:val="19"/>
                <w:color w:val="auto"/>
              </w:rPr>
            </w:pPr>
          </w:p>
        </w:tc>
        <w:tc>
          <w:tcPr>
            <w:tcW w:w="1300" w:type="dxa"/>
            <w:vAlign w:val="bottom"/>
          </w:tcPr>
          <w:p>
            <w:pPr>
              <w:jc w:val="right"/>
              <w:ind w:right="75"/>
              <w:spacing w:after="0"/>
              <w:rPr>
                <w:sz w:val="20"/>
                <w:szCs w:val="20"/>
                <w:color w:val="auto"/>
              </w:rPr>
            </w:pPr>
            <w:r>
              <w:rPr>
                <w:rFonts w:ascii="Arial" w:cs="Arial" w:eastAsia="Arial" w:hAnsi="Arial"/>
                <w:sz w:val="17"/>
                <w:szCs w:val="17"/>
                <w:color w:val="auto"/>
              </w:rPr>
              <w:t>1,419</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280" w:type="dxa"/>
            <w:vAlign w:val="bottom"/>
          </w:tcPr>
          <w:p>
            <w:pPr>
              <w:jc w:val="right"/>
              <w:ind w:right="75"/>
              <w:spacing w:after="0"/>
              <w:rPr>
                <w:sz w:val="20"/>
                <w:szCs w:val="20"/>
                <w:color w:val="auto"/>
              </w:rPr>
            </w:pPr>
            <w:r>
              <w:rPr>
                <w:rFonts w:ascii="Arial" w:cs="Arial" w:eastAsia="Arial" w:hAnsi="Arial"/>
                <w:sz w:val="17"/>
                <w:szCs w:val="17"/>
                <w:color w:val="auto"/>
              </w:rPr>
              <w:t>1,170</w:t>
            </w:r>
          </w:p>
        </w:tc>
      </w:tr>
      <w:tr>
        <w:trPr>
          <w:trHeight w:val="31"/>
        </w:trPr>
        <w:tc>
          <w:tcPr>
            <w:tcW w:w="79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37"/>
        </w:trPr>
        <w:tc>
          <w:tcPr>
            <w:tcW w:w="7920" w:type="dxa"/>
            <w:vAlign w:val="bottom"/>
            <w:tcBorders>
              <w:bottom w:val="single" w:sz="8" w:color="CCEEFF"/>
            </w:tcBorders>
            <w:shd w:val="clear" w:color="auto" w:fill="CCEEFF"/>
          </w:tcPr>
          <w:p>
            <w:pPr>
              <w:ind w:left="440"/>
              <w:spacing w:after="0"/>
              <w:rPr>
                <w:sz w:val="20"/>
                <w:szCs w:val="20"/>
                <w:color w:val="auto"/>
              </w:rPr>
            </w:pPr>
            <w:r>
              <w:rPr>
                <w:rFonts w:ascii="Arial" w:cs="Arial" w:eastAsia="Arial" w:hAnsi="Arial"/>
                <w:sz w:val="17"/>
                <w:szCs w:val="17"/>
                <w:color w:val="auto"/>
              </w:rPr>
              <w:t>Noncash interest and accretion expense</w:t>
            </w:r>
          </w:p>
        </w:tc>
        <w:tc>
          <w:tcPr>
            <w:tcW w:w="28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jc w:val="right"/>
              <w:ind w:right="75"/>
              <w:spacing w:after="0"/>
              <w:rPr>
                <w:sz w:val="20"/>
                <w:szCs w:val="20"/>
                <w:color w:val="auto"/>
              </w:rPr>
            </w:pPr>
            <w:r>
              <w:rPr>
                <w:rFonts w:ascii="Arial" w:cs="Arial" w:eastAsia="Arial" w:hAnsi="Arial"/>
                <w:sz w:val="17"/>
                <w:szCs w:val="17"/>
                <w:color w:val="auto"/>
              </w:rPr>
              <w:t>16,029</w:t>
            </w:r>
          </w:p>
        </w:tc>
        <w:tc>
          <w:tcPr>
            <w:tcW w:w="10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280" w:type="dxa"/>
            <w:vAlign w:val="bottom"/>
            <w:tcBorders>
              <w:bottom w:val="single" w:sz="8" w:color="CCEEFF"/>
            </w:tcBorders>
            <w:shd w:val="clear" w:color="auto" w:fill="CCEEFF"/>
          </w:tcPr>
          <w:p>
            <w:pPr>
              <w:jc w:val="right"/>
              <w:ind w:right="75"/>
              <w:spacing w:after="0"/>
              <w:rPr>
                <w:sz w:val="20"/>
                <w:szCs w:val="20"/>
                <w:color w:val="auto"/>
              </w:rPr>
            </w:pPr>
            <w:r>
              <w:rPr>
                <w:rFonts w:ascii="Arial" w:cs="Arial" w:eastAsia="Arial" w:hAnsi="Arial"/>
                <w:sz w:val="17"/>
                <w:szCs w:val="17"/>
                <w:color w:val="auto"/>
              </w:rPr>
              <w:t>9,135</w:t>
            </w:r>
          </w:p>
        </w:tc>
      </w:tr>
      <w:tr>
        <w:trPr>
          <w:trHeight w:val="225"/>
        </w:trPr>
        <w:tc>
          <w:tcPr>
            <w:tcW w:w="7920" w:type="dxa"/>
            <w:vAlign w:val="bottom"/>
          </w:tcPr>
          <w:p>
            <w:pPr>
              <w:ind w:left="440"/>
              <w:spacing w:after="0"/>
              <w:rPr>
                <w:sz w:val="20"/>
                <w:szCs w:val="20"/>
                <w:color w:val="auto"/>
              </w:rPr>
            </w:pPr>
            <w:r>
              <w:rPr>
                <w:rFonts w:ascii="Arial" w:cs="Arial" w:eastAsia="Arial" w:hAnsi="Arial"/>
                <w:sz w:val="17"/>
                <w:szCs w:val="17"/>
                <w:color w:val="auto"/>
              </w:rPr>
              <w:t>Unrealized foreign currency loss (gain)</w:t>
            </w:r>
          </w:p>
        </w:tc>
        <w:tc>
          <w:tcPr>
            <w:tcW w:w="280" w:type="dxa"/>
            <w:vAlign w:val="bottom"/>
          </w:tcPr>
          <w:p>
            <w:pPr>
              <w:spacing w:after="0"/>
              <w:rPr>
                <w:sz w:val="19"/>
                <w:szCs w:val="19"/>
                <w:color w:val="auto"/>
              </w:rPr>
            </w:pPr>
          </w:p>
        </w:tc>
        <w:tc>
          <w:tcPr>
            <w:tcW w:w="1300" w:type="dxa"/>
            <w:vAlign w:val="bottom"/>
          </w:tcPr>
          <w:p>
            <w:pPr>
              <w:jc w:val="right"/>
              <w:ind w:right="75"/>
              <w:spacing w:after="0"/>
              <w:rPr>
                <w:sz w:val="20"/>
                <w:szCs w:val="20"/>
                <w:color w:val="auto"/>
              </w:rPr>
            </w:pPr>
            <w:r>
              <w:rPr>
                <w:rFonts w:ascii="Arial" w:cs="Arial" w:eastAsia="Arial" w:hAnsi="Arial"/>
                <w:sz w:val="17"/>
                <w:szCs w:val="17"/>
                <w:color w:val="auto"/>
              </w:rPr>
              <w:t>7,619</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280" w:type="dxa"/>
            <w:vAlign w:val="bottom"/>
          </w:tcPr>
          <w:p>
            <w:pPr>
              <w:jc w:val="right"/>
              <w:ind w:right="15"/>
              <w:spacing w:after="0"/>
              <w:rPr>
                <w:sz w:val="20"/>
                <w:szCs w:val="20"/>
                <w:color w:val="auto"/>
              </w:rPr>
            </w:pPr>
            <w:r>
              <w:rPr>
                <w:rFonts w:ascii="Arial" w:cs="Arial" w:eastAsia="Arial" w:hAnsi="Arial"/>
                <w:sz w:val="17"/>
                <w:szCs w:val="17"/>
                <w:color w:val="auto"/>
              </w:rPr>
              <w:t>(975)</w:t>
            </w:r>
          </w:p>
        </w:tc>
      </w:tr>
      <w:tr>
        <w:trPr>
          <w:trHeight w:val="31"/>
        </w:trPr>
        <w:tc>
          <w:tcPr>
            <w:tcW w:w="79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37"/>
        </w:trPr>
        <w:tc>
          <w:tcPr>
            <w:tcW w:w="7920" w:type="dxa"/>
            <w:vAlign w:val="bottom"/>
            <w:tcBorders>
              <w:bottom w:val="single" w:sz="8" w:color="CCEEFF"/>
            </w:tcBorders>
            <w:shd w:val="clear" w:color="auto" w:fill="CCEEFF"/>
          </w:tcPr>
          <w:p>
            <w:pPr>
              <w:ind w:left="440"/>
              <w:spacing w:after="0"/>
              <w:rPr>
                <w:sz w:val="20"/>
                <w:szCs w:val="20"/>
                <w:color w:val="auto"/>
              </w:rPr>
            </w:pPr>
            <w:r>
              <w:rPr>
                <w:rFonts w:ascii="Arial" w:cs="Arial" w:eastAsia="Arial" w:hAnsi="Arial"/>
                <w:sz w:val="17"/>
                <w:szCs w:val="17"/>
                <w:color w:val="auto"/>
              </w:rPr>
              <w:t>Other, net</w:t>
            </w:r>
          </w:p>
        </w:tc>
        <w:tc>
          <w:tcPr>
            <w:tcW w:w="28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jc w:val="right"/>
              <w:ind w:right="75"/>
              <w:spacing w:after="0"/>
              <w:rPr>
                <w:sz w:val="20"/>
                <w:szCs w:val="20"/>
                <w:color w:val="auto"/>
              </w:rPr>
            </w:pPr>
            <w:r>
              <w:rPr>
                <w:rFonts w:ascii="Arial" w:cs="Arial" w:eastAsia="Arial" w:hAnsi="Arial"/>
                <w:sz w:val="17"/>
                <w:szCs w:val="17"/>
                <w:color w:val="auto"/>
              </w:rPr>
              <w:t>24</w:t>
            </w:r>
          </w:p>
        </w:tc>
        <w:tc>
          <w:tcPr>
            <w:tcW w:w="10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280" w:type="dxa"/>
            <w:vAlign w:val="bottom"/>
            <w:tcBorders>
              <w:bottom w:val="single" w:sz="8" w:color="CCEEFF"/>
            </w:tcBorders>
            <w:shd w:val="clear" w:color="auto" w:fill="CCEEFF"/>
          </w:tcPr>
          <w:p>
            <w:pPr>
              <w:jc w:val="right"/>
              <w:ind w:right="75"/>
              <w:spacing w:after="0"/>
              <w:rPr>
                <w:sz w:val="20"/>
                <w:szCs w:val="20"/>
                <w:color w:val="auto"/>
              </w:rPr>
            </w:pPr>
            <w:r>
              <w:rPr>
                <w:rFonts w:ascii="Arial" w:cs="Arial" w:eastAsia="Arial" w:hAnsi="Arial"/>
                <w:sz w:val="17"/>
                <w:szCs w:val="17"/>
                <w:color w:val="auto"/>
              </w:rPr>
              <w:t>230</w:t>
            </w:r>
          </w:p>
        </w:tc>
      </w:tr>
      <w:tr>
        <w:trPr>
          <w:trHeight w:val="226"/>
        </w:trPr>
        <w:tc>
          <w:tcPr>
            <w:tcW w:w="7920" w:type="dxa"/>
            <w:vAlign w:val="bottom"/>
          </w:tcPr>
          <w:p>
            <w:pPr>
              <w:ind w:left="440"/>
              <w:spacing w:after="0"/>
              <w:rPr>
                <w:sz w:val="20"/>
                <w:szCs w:val="20"/>
                <w:color w:val="auto"/>
              </w:rPr>
            </w:pPr>
            <w:r>
              <w:rPr>
                <w:rFonts w:ascii="Arial" w:cs="Arial" w:eastAsia="Arial" w:hAnsi="Arial"/>
                <w:sz w:val="17"/>
                <w:szCs w:val="17"/>
                <w:color w:val="auto"/>
              </w:rPr>
              <w:t>Changes in operating assets and liabilities:</w:t>
            </w:r>
          </w:p>
        </w:tc>
        <w:tc>
          <w:tcPr>
            <w:tcW w:w="28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280" w:type="dxa"/>
            <w:vAlign w:val="bottom"/>
          </w:tcPr>
          <w:p>
            <w:pPr>
              <w:spacing w:after="0"/>
              <w:rPr>
                <w:sz w:val="19"/>
                <w:szCs w:val="19"/>
                <w:color w:val="auto"/>
              </w:rPr>
            </w:pPr>
          </w:p>
        </w:tc>
      </w:tr>
      <w:tr>
        <w:trPr>
          <w:trHeight w:val="31"/>
        </w:trPr>
        <w:tc>
          <w:tcPr>
            <w:tcW w:w="79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37"/>
        </w:trPr>
        <w:tc>
          <w:tcPr>
            <w:tcW w:w="7920" w:type="dxa"/>
            <w:vAlign w:val="bottom"/>
            <w:tcBorders>
              <w:bottom w:val="single" w:sz="8" w:color="CCEEFF"/>
            </w:tcBorders>
            <w:shd w:val="clear" w:color="auto" w:fill="CCEEFF"/>
          </w:tcPr>
          <w:p>
            <w:pPr>
              <w:ind w:left="640"/>
              <w:spacing w:after="0"/>
              <w:rPr>
                <w:sz w:val="20"/>
                <w:szCs w:val="20"/>
                <w:color w:val="auto"/>
              </w:rPr>
            </w:pPr>
            <w:r>
              <w:rPr>
                <w:rFonts w:ascii="Arial" w:cs="Arial" w:eastAsia="Arial" w:hAnsi="Arial"/>
                <w:sz w:val="17"/>
                <w:szCs w:val="17"/>
                <w:color w:val="auto"/>
              </w:rPr>
              <w:t>Accounts receivable</w:t>
            </w:r>
          </w:p>
        </w:tc>
        <w:tc>
          <w:tcPr>
            <w:tcW w:w="28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7"/>
                <w:szCs w:val="17"/>
                <w:color w:val="auto"/>
              </w:rPr>
              <w:t>(1,445)</w:t>
            </w:r>
          </w:p>
        </w:tc>
        <w:tc>
          <w:tcPr>
            <w:tcW w:w="10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28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(4,328)</w:t>
            </w:r>
          </w:p>
        </w:tc>
      </w:tr>
      <w:tr>
        <w:trPr>
          <w:trHeight w:val="225"/>
        </w:trPr>
        <w:tc>
          <w:tcPr>
            <w:tcW w:w="7920" w:type="dxa"/>
            <w:vAlign w:val="bottom"/>
          </w:tcPr>
          <w:p>
            <w:pPr>
              <w:ind w:left="640"/>
              <w:spacing w:after="0"/>
              <w:rPr>
                <w:sz w:val="20"/>
                <w:szCs w:val="20"/>
                <w:color w:val="auto"/>
              </w:rPr>
            </w:pPr>
            <w:r>
              <w:rPr>
                <w:rFonts w:ascii="Arial" w:cs="Arial" w:eastAsia="Arial" w:hAnsi="Arial"/>
                <w:sz w:val="17"/>
                <w:szCs w:val="17"/>
                <w:color w:val="auto"/>
              </w:rPr>
              <w:t>Inventory</w:t>
            </w:r>
          </w:p>
        </w:tc>
        <w:tc>
          <w:tcPr>
            <w:tcW w:w="280" w:type="dxa"/>
            <w:vAlign w:val="bottom"/>
          </w:tcPr>
          <w:p>
            <w:pPr>
              <w:spacing w:after="0"/>
              <w:rPr>
                <w:sz w:val="19"/>
                <w:szCs w:val="19"/>
                <w:color w:val="auto"/>
              </w:rPr>
            </w:pPr>
          </w:p>
        </w:tc>
        <w:tc>
          <w:tcPr>
            <w:tcW w:w="1300" w:type="dxa"/>
            <w:vAlign w:val="bottom"/>
          </w:tcPr>
          <w:p>
            <w:pPr>
              <w:jc w:val="right"/>
              <w:ind w:right="75"/>
              <w:spacing w:after="0"/>
              <w:rPr>
                <w:sz w:val="20"/>
                <w:szCs w:val="20"/>
                <w:color w:val="auto"/>
              </w:rPr>
            </w:pPr>
            <w:r>
              <w:rPr>
                <w:rFonts w:ascii="Arial" w:cs="Arial" w:eastAsia="Arial" w:hAnsi="Arial"/>
                <w:sz w:val="17"/>
                <w:szCs w:val="17"/>
                <w:color w:val="auto"/>
              </w:rPr>
              <w:t>536</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280" w:type="dxa"/>
            <w:vAlign w:val="bottom"/>
          </w:tcPr>
          <w:p>
            <w:pPr>
              <w:jc w:val="right"/>
              <w:ind w:right="15"/>
              <w:spacing w:after="0"/>
              <w:rPr>
                <w:sz w:val="20"/>
                <w:szCs w:val="20"/>
                <w:color w:val="auto"/>
              </w:rPr>
            </w:pPr>
            <w:r>
              <w:rPr>
                <w:rFonts w:ascii="Arial" w:cs="Arial" w:eastAsia="Arial" w:hAnsi="Arial"/>
                <w:sz w:val="17"/>
                <w:szCs w:val="17"/>
                <w:color w:val="auto"/>
              </w:rPr>
              <w:t>(1,755)</w:t>
            </w:r>
          </w:p>
        </w:tc>
      </w:tr>
      <w:tr>
        <w:trPr>
          <w:trHeight w:val="31"/>
        </w:trPr>
        <w:tc>
          <w:tcPr>
            <w:tcW w:w="79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37"/>
        </w:trPr>
        <w:tc>
          <w:tcPr>
            <w:tcW w:w="7920" w:type="dxa"/>
            <w:vAlign w:val="bottom"/>
            <w:tcBorders>
              <w:bottom w:val="single" w:sz="8" w:color="CCEEFF"/>
            </w:tcBorders>
            <w:shd w:val="clear" w:color="auto" w:fill="CCEEFF"/>
          </w:tcPr>
          <w:p>
            <w:pPr>
              <w:ind w:left="640"/>
              <w:spacing w:after="0"/>
              <w:rPr>
                <w:sz w:val="20"/>
                <w:szCs w:val="20"/>
                <w:color w:val="auto"/>
              </w:rPr>
            </w:pPr>
            <w:r>
              <w:rPr>
                <w:rFonts w:ascii="Arial" w:cs="Arial" w:eastAsia="Arial" w:hAnsi="Arial"/>
                <w:sz w:val="17"/>
                <w:szCs w:val="17"/>
                <w:color w:val="auto"/>
              </w:rPr>
              <w:t>Prepaid expenses and other current assets</w:t>
            </w:r>
          </w:p>
        </w:tc>
        <w:tc>
          <w:tcPr>
            <w:tcW w:w="28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jc w:val="right"/>
              <w:ind w:right="75"/>
              <w:spacing w:after="0"/>
              <w:rPr>
                <w:sz w:val="20"/>
                <w:szCs w:val="20"/>
                <w:color w:val="auto"/>
              </w:rPr>
            </w:pPr>
            <w:r>
              <w:rPr>
                <w:rFonts w:ascii="Arial" w:cs="Arial" w:eastAsia="Arial" w:hAnsi="Arial"/>
                <w:sz w:val="17"/>
                <w:szCs w:val="17"/>
                <w:color w:val="auto"/>
              </w:rPr>
              <w:t>2,541</w:t>
            </w:r>
          </w:p>
        </w:tc>
        <w:tc>
          <w:tcPr>
            <w:tcW w:w="10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28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(2,486)</w:t>
            </w:r>
          </w:p>
        </w:tc>
      </w:tr>
      <w:tr>
        <w:trPr>
          <w:trHeight w:val="225"/>
        </w:trPr>
        <w:tc>
          <w:tcPr>
            <w:tcW w:w="7920" w:type="dxa"/>
            <w:vAlign w:val="bottom"/>
          </w:tcPr>
          <w:p>
            <w:pPr>
              <w:ind w:left="640"/>
              <w:spacing w:after="0"/>
              <w:rPr>
                <w:sz w:val="20"/>
                <w:szCs w:val="20"/>
                <w:color w:val="auto"/>
              </w:rPr>
            </w:pPr>
            <w:r>
              <w:rPr>
                <w:rFonts w:ascii="Arial" w:cs="Arial" w:eastAsia="Arial" w:hAnsi="Arial"/>
                <w:sz w:val="17"/>
                <w:szCs w:val="17"/>
                <w:color w:val="auto"/>
              </w:rPr>
              <w:t>Other assets</w:t>
            </w:r>
          </w:p>
        </w:tc>
        <w:tc>
          <w:tcPr>
            <w:tcW w:w="280" w:type="dxa"/>
            <w:vAlign w:val="bottom"/>
          </w:tcPr>
          <w:p>
            <w:pPr>
              <w:spacing w:after="0"/>
              <w:rPr>
                <w:sz w:val="19"/>
                <w:szCs w:val="19"/>
                <w:color w:val="auto"/>
              </w:rPr>
            </w:pPr>
          </w:p>
        </w:tc>
        <w:tc>
          <w:tcPr>
            <w:tcW w:w="1300" w:type="dxa"/>
            <w:vAlign w:val="bottom"/>
          </w:tcPr>
          <w:p>
            <w:pPr>
              <w:jc w:val="right"/>
              <w:ind w:right="35"/>
              <w:spacing w:after="0"/>
              <w:rPr>
                <w:sz w:val="20"/>
                <w:szCs w:val="20"/>
                <w:color w:val="auto"/>
              </w:rPr>
            </w:pPr>
            <w:r>
              <w:rPr>
                <w:rFonts w:ascii="Arial" w:cs="Arial" w:eastAsia="Arial" w:hAnsi="Arial"/>
                <w:sz w:val="17"/>
                <w:szCs w:val="17"/>
                <w:color w:val="auto"/>
              </w:rPr>
              <w:t>(1,623)</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280" w:type="dxa"/>
            <w:vAlign w:val="bottom"/>
          </w:tcPr>
          <w:p>
            <w:pPr>
              <w:jc w:val="right"/>
              <w:ind w:right="15"/>
              <w:spacing w:after="0"/>
              <w:rPr>
                <w:sz w:val="20"/>
                <w:szCs w:val="20"/>
                <w:color w:val="auto"/>
              </w:rPr>
            </w:pPr>
            <w:r>
              <w:rPr>
                <w:rFonts w:ascii="Arial" w:cs="Arial" w:eastAsia="Arial" w:hAnsi="Arial"/>
                <w:sz w:val="17"/>
                <w:szCs w:val="17"/>
                <w:color w:val="auto"/>
              </w:rPr>
              <w:t>(361)</w:t>
            </w:r>
          </w:p>
        </w:tc>
      </w:tr>
      <w:tr>
        <w:trPr>
          <w:trHeight w:val="31"/>
        </w:trPr>
        <w:tc>
          <w:tcPr>
            <w:tcW w:w="79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37"/>
        </w:trPr>
        <w:tc>
          <w:tcPr>
            <w:tcW w:w="7920" w:type="dxa"/>
            <w:vAlign w:val="bottom"/>
            <w:tcBorders>
              <w:bottom w:val="single" w:sz="8" w:color="CCEEFF"/>
            </w:tcBorders>
            <w:shd w:val="clear" w:color="auto" w:fill="CCEEFF"/>
          </w:tcPr>
          <w:p>
            <w:pPr>
              <w:ind w:left="640"/>
              <w:spacing w:after="0"/>
              <w:rPr>
                <w:sz w:val="20"/>
                <w:szCs w:val="20"/>
                <w:color w:val="auto"/>
              </w:rPr>
            </w:pPr>
            <w:r>
              <w:rPr>
                <w:rFonts w:ascii="Arial" w:cs="Arial" w:eastAsia="Arial" w:hAnsi="Arial"/>
                <w:sz w:val="17"/>
                <w:szCs w:val="17"/>
                <w:color w:val="auto"/>
              </w:rPr>
              <w:t>Accounts payable and accrued expenses</w:t>
            </w:r>
          </w:p>
        </w:tc>
        <w:tc>
          <w:tcPr>
            <w:tcW w:w="28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7"/>
                <w:szCs w:val="17"/>
                <w:color w:val="auto"/>
              </w:rPr>
              <w:t>(3,844)</w:t>
            </w:r>
          </w:p>
        </w:tc>
        <w:tc>
          <w:tcPr>
            <w:tcW w:w="10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280" w:type="dxa"/>
            <w:vAlign w:val="bottom"/>
            <w:tcBorders>
              <w:bottom w:val="single" w:sz="8" w:color="CCEEFF"/>
            </w:tcBorders>
            <w:shd w:val="clear" w:color="auto" w:fill="CCEEFF"/>
          </w:tcPr>
          <w:p>
            <w:pPr>
              <w:jc w:val="right"/>
              <w:ind w:right="75"/>
              <w:spacing w:after="0"/>
              <w:rPr>
                <w:sz w:val="20"/>
                <w:szCs w:val="20"/>
                <w:color w:val="auto"/>
              </w:rPr>
            </w:pPr>
            <w:r>
              <w:rPr>
                <w:rFonts w:ascii="Arial" w:cs="Arial" w:eastAsia="Arial" w:hAnsi="Arial"/>
                <w:sz w:val="17"/>
                <w:szCs w:val="17"/>
                <w:color w:val="auto"/>
              </w:rPr>
              <w:t>4,277</w:t>
            </w:r>
          </w:p>
        </w:tc>
      </w:tr>
      <w:tr>
        <w:trPr>
          <w:trHeight w:val="225"/>
        </w:trPr>
        <w:tc>
          <w:tcPr>
            <w:tcW w:w="7920" w:type="dxa"/>
            <w:vAlign w:val="bottom"/>
          </w:tcPr>
          <w:p>
            <w:pPr>
              <w:ind w:left="640"/>
              <w:spacing w:after="0"/>
              <w:rPr>
                <w:sz w:val="20"/>
                <w:szCs w:val="20"/>
                <w:color w:val="auto"/>
              </w:rPr>
            </w:pPr>
            <w:r>
              <w:rPr>
                <w:rFonts w:ascii="Arial" w:cs="Arial" w:eastAsia="Arial" w:hAnsi="Arial"/>
                <w:sz w:val="17"/>
                <w:szCs w:val="17"/>
                <w:color w:val="auto"/>
              </w:rPr>
              <w:t>Payables to affiliates</w:t>
            </w:r>
          </w:p>
        </w:tc>
        <w:tc>
          <w:tcPr>
            <w:tcW w:w="280" w:type="dxa"/>
            <w:vAlign w:val="bottom"/>
          </w:tcPr>
          <w:p>
            <w:pPr>
              <w:spacing w:after="0"/>
              <w:rPr>
                <w:sz w:val="19"/>
                <w:szCs w:val="19"/>
                <w:color w:val="auto"/>
              </w:rPr>
            </w:pPr>
          </w:p>
        </w:tc>
        <w:tc>
          <w:tcPr>
            <w:tcW w:w="1300" w:type="dxa"/>
            <w:vAlign w:val="bottom"/>
          </w:tcPr>
          <w:p>
            <w:pPr>
              <w:jc w:val="right"/>
              <w:ind w:right="75"/>
              <w:spacing w:after="0"/>
              <w:rPr>
                <w:sz w:val="20"/>
                <w:szCs w:val="20"/>
                <w:color w:val="auto"/>
              </w:rPr>
            </w:pPr>
            <w:r>
              <w:rPr>
                <w:rFonts w:ascii="Arial" w:cs="Arial" w:eastAsia="Arial" w:hAnsi="Arial"/>
                <w:sz w:val="17"/>
                <w:szCs w:val="17"/>
                <w:color w:val="auto"/>
              </w:rPr>
              <w:t>100</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280" w:type="dxa"/>
            <w:vAlign w:val="bottom"/>
          </w:tcPr>
          <w:p>
            <w:pPr>
              <w:jc w:val="right"/>
              <w:ind w:right="75"/>
              <w:spacing w:after="0"/>
              <w:rPr>
                <w:sz w:val="20"/>
                <w:szCs w:val="20"/>
                <w:color w:val="auto"/>
              </w:rPr>
            </w:pPr>
            <w:r>
              <w:rPr>
                <w:rFonts w:ascii="Arial" w:cs="Arial" w:eastAsia="Arial" w:hAnsi="Arial"/>
                <w:sz w:val="17"/>
                <w:szCs w:val="17"/>
                <w:color w:val="auto"/>
              </w:rPr>
              <w:t>1,700</w:t>
            </w:r>
          </w:p>
        </w:tc>
      </w:tr>
      <w:tr>
        <w:trPr>
          <w:trHeight w:val="31"/>
        </w:trPr>
        <w:tc>
          <w:tcPr>
            <w:tcW w:w="79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37"/>
        </w:trPr>
        <w:tc>
          <w:tcPr>
            <w:tcW w:w="7920" w:type="dxa"/>
            <w:vAlign w:val="bottom"/>
            <w:tcBorders>
              <w:bottom w:val="single" w:sz="8" w:color="CCEEFF"/>
            </w:tcBorders>
            <w:shd w:val="clear" w:color="auto" w:fill="CCEEFF"/>
          </w:tcPr>
          <w:p>
            <w:pPr>
              <w:ind w:left="640"/>
              <w:spacing w:after="0"/>
              <w:rPr>
                <w:sz w:val="20"/>
                <w:szCs w:val="20"/>
                <w:color w:val="auto"/>
              </w:rPr>
            </w:pPr>
            <w:r>
              <w:rPr>
                <w:rFonts w:ascii="Arial" w:cs="Arial" w:eastAsia="Arial" w:hAnsi="Arial"/>
                <w:sz w:val="17"/>
                <w:szCs w:val="17"/>
                <w:color w:val="auto"/>
              </w:rPr>
              <w:t>Other non-current liabilities</w:t>
            </w:r>
          </w:p>
        </w:tc>
        <w:tc>
          <w:tcPr>
            <w:tcW w:w="28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7"/>
                <w:szCs w:val="17"/>
                <w:color w:val="auto"/>
              </w:rPr>
              <w:t>(217)</w:t>
            </w:r>
          </w:p>
        </w:tc>
        <w:tc>
          <w:tcPr>
            <w:tcW w:w="10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280" w:type="dxa"/>
            <w:vAlign w:val="bottom"/>
            <w:tcBorders>
              <w:bottom w:val="single" w:sz="8" w:color="CCEEFF"/>
            </w:tcBorders>
            <w:shd w:val="clear" w:color="auto" w:fill="CCEEFF"/>
          </w:tcPr>
          <w:p>
            <w:pPr>
              <w:jc w:val="right"/>
              <w:ind w:right="75"/>
              <w:spacing w:after="0"/>
              <w:rPr>
                <w:sz w:val="20"/>
                <w:szCs w:val="20"/>
                <w:color w:val="auto"/>
              </w:rPr>
            </w:pPr>
            <w:r>
              <w:rPr>
                <w:rFonts w:ascii="Arial" w:cs="Arial" w:eastAsia="Arial" w:hAnsi="Arial"/>
                <w:sz w:val="17"/>
                <w:szCs w:val="17"/>
                <w:color w:val="auto"/>
              </w:rPr>
              <w:t>216</w:t>
            </w:r>
          </w:p>
        </w:tc>
      </w:tr>
      <w:tr>
        <w:trPr>
          <w:trHeight w:val="225"/>
        </w:trPr>
        <w:tc>
          <w:tcPr>
            <w:tcW w:w="7920" w:type="dxa"/>
            <w:vAlign w:val="bottom"/>
          </w:tcPr>
          <w:p>
            <w:pPr>
              <w:ind w:left="640"/>
              <w:spacing w:after="0"/>
              <w:rPr>
                <w:sz w:val="20"/>
                <w:szCs w:val="20"/>
                <w:color w:val="auto"/>
              </w:rPr>
            </w:pPr>
            <w:r>
              <w:rPr>
                <w:rFonts w:ascii="Arial" w:cs="Arial" w:eastAsia="Arial" w:hAnsi="Arial"/>
                <w:sz w:val="17"/>
                <w:szCs w:val="17"/>
                <w:color w:val="auto"/>
              </w:rPr>
              <w:t>Deferred revenue</w:t>
            </w:r>
          </w:p>
        </w:tc>
        <w:tc>
          <w:tcPr>
            <w:tcW w:w="280" w:type="dxa"/>
            <w:vAlign w:val="bottom"/>
          </w:tcPr>
          <w:p>
            <w:pPr>
              <w:spacing w:after="0"/>
              <w:rPr>
                <w:sz w:val="19"/>
                <w:szCs w:val="19"/>
                <w:color w:val="auto"/>
              </w:rPr>
            </w:pPr>
          </w:p>
        </w:tc>
        <w:tc>
          <w:tcPr>
            <w:tcW w:w="1300" w:type="dxa"/>
            <w:vAlign w:val="bottom"/>
          </w:tcPr>
          <w:p>
            <w:pPr>
              <w:jc w:val="right"/>
              <w:ind w:right="35"/>
              <w:spacing w:after="0"/>
              <w:rPr>
                <w:sz w:val="20"/>
                <w:szCs w:val="20"/>
                <w:color w:val="auto"/>
              </w:rPr>
            </w:pPr>
            <w:r>
              <w:rPr>
                <w:rFonts w:ascii="Arial" w:cs="Arial" w:eastAsia="Arial" w:hAnsi="Arial"/>
                <w:sz w:val="17"/>
                <w:szCs w:val="17"/>
                <w:color w:val="auto"/>
              </w:rPr>
              <w:t>(3,032)</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280" w:type="dxa"/>
            <w:vAlign w:val="bottom"/>
          </w:tcPr>
          <w:p>
            <w:pPr>
              <w:jc w:val="right"/>
              <w:ind w:right="75"/>
              <w:spacing w:after="0"/>
              <w:rPr>
                <w:sz w:val="20"/>
                <w:szCs w:val="20"/>
                <w:color w:val="auto"/>
              </w:rPr>
            </w:pPr>
            <w:r>
              <w:rPr>
                <w:rFonts w:ascii="Arial" w:cs="Arial" w:eastAsia="Arial" w:hAnsi="Arial"/>
                <w:sz w:val="17"/>
                <w:szCs w:val="17"/>
                <w:color w:val="auto"/>
              </w:rPr>
              <w:t>262</w:t>
            </w:r>
          </w:p>
        </w:tc>
      </w:tr>
      <w:tr>
        <w:trPr>
          <w:trHeight w:val="31"/>
        </w:trPr>
        <w:tc>
          <w:tcPr>
            <w:tcW w:w="79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r>
      <w:tr>
        <w:trPr>
          <w:trHeight w:val="250"/>
        </w:trPr>
        <w:tc>
          <w:tcPr>
            <w:tcW w:w="7920" w:type="dxa"/>
            <w:vAlign w:val="bottom"/>
            <w:tcBorders>
              <w:bottom w:val="single" w:sz="8" w:color="CCEEFF"/>
            </w:tcBorders>
            <w:shd w:val="clear" w:color="auto" w:fill="CCEEFF"/>
          </w:tcPr>
          <w:p>
            <w:pPr>
              <w:ind w:left="840"/>
              <w:spacing w:after="0"/>
              <w:rPr>
                <w:sz w:val="20"/>
                <w:szCs w:val="20"/>
                <w:color w:val="auto"/>
              </w:rPr>
            </w:pPr>
            <w:r>
              <w:rPr>
                <w:rFonts w:ascii="Arial" w:cs="Arial" w:eastAsia="Arial" w:hAnsi="Arial"/>
                <w:sz w:val="17"/>
                <w:szCs w:val="17"/>
                <w:color w:val="auto"/>
              </w:rPr>
              <w:t>Net cash provided by operating activities</w:t>
            </w:r>
          </w:p>
        </w:tc>
        <w:tc>
          <w:tcPr>
            <w:tcW w:w="2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75"/>
              <w:spacing w:after="0"/>
              <w:rPr>
                <w:sz w:val="20"/>
                <w:szCs w:val="20"/>
                <w:color w:val="auto"/>
              </w:rPr>
            </w:pPr>
            <w:r>
              <w:rPr>
                <w:rFonts w:ascii="Arial" w:cs="Arial" w:eastAsia="Arial" w:hAnsi="Arial"/>
                <w:sz w:val="17"/>
                <w:szCs w:val="17"/>
                <w:color w:val="auto"/>
              </w:rPr>
              <w:t>8,859</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75"/>
              <w:spacing w:after="0"/>
              <w:rPr>
                <w:sz w:val="20"/>
                <w:szCs w:val="20"/>
                <w:color w:val="auto"/>
              </w:rPr>
            </w:pPr>
            <w:r>
              <w:rPr>
                <w:rFonts w:ascii="Arial" w:cs="Arial" w:eastAsia="Arial" w:hAnsi="Arial"/>
                <w:sz w:val="17"/>
                <w:szCs w:val="17"/>
                <w:color w:val="auto"/>
              </w:rPr>
              <w:t>1,810</w:t>
            </w:r>
          </w:p>
        </w:tc>
      </w:tr>
      <w:tr>
        <w:trPr>
          <w:trHeight w:val="219"/>
        </w:trPr>
        <w:tc>
          <w:tcPr>
            <w:tcW w:w="7920" w:type="dxa"/>
            <w:vAlign w:val="bottom"/>
          </w:tcPr>
          <w:p>
            <w:pPr>
              <w:spacing w:after="0"/>
              <w:rPr>
                <w:sz w:val="20"/>
                <w:szCs w:val="20"/>
                <w:color w:val="auto"/>
              </w:rPr>
            </w:pPr>
            <w:r>
              <w:rPr>
                <w:rFonts w:ascii="Arial" w:cs="Arial" w:eastAsia="Arial" w:hAnsi="Arial"/>
                <w:sz w:val="17"/>
                <w:szCs w:val="17"/>
                <w:color w:val="auto"/>
              </w:rPr>
              <w:t>Cash flows used in investing activities:</w:t>
            </w:r>
          </w:p>
        </w:tc>
        <w:tc>
          <w:tcPr>
            <w:tcW w:w="280" w:type="dxa"/>
            <w:vAlign w:val="bottom"/>
            <w:tcBorders>
              <w:top w:val="single" w:sz="8" w:color="auto"/>
            </w:tcBorders>
          </w:tcPr>
          <w:p>
            <w:pPr>
              <w:spacing w:after="0"/>
              <w:rPr>
                <w:sz w:val="19"/>
                <w:szCs w:val="19"/>
                <w:color w:val="auto"/>
              </w:rPr>
            </w:pPr>
          </w:p>
        </w:tc>
        <w:tc>
          <w:tcPr>
            <w:tcW w:w="130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300" w:type="dxa"/>
            <w:vAlign w:val="bottom"/>
            <w:tcBorders>
              <w:top w:val="single" w:sz="8" w:color="auto"/>
            </w:tcBorders>
          </w:tcPr>
          <w:p>
            <w:pPr>
              <w:spacing w:after="0"/>
              <w:rPr>
                <w:sz w:val="19"/>
                <w:szCs w:val="19"/>
                <w:color w:val="auto"/>
              </w:rPr>
            </w:pPr>
          </w:p>
        </w:tc>
        <w:tc>
          <w:tcPr>
            <w:tcW w:w="1280" w:type="dxa"/>
            <w:vAlign w:val="bottom"/>
            <w:tcBorders>
              <w:top w:val="single" w:sz="8" w:color="auto"/>
            </w:tcBorders>
          </w:tcPr>
          <w:p>
            <w:pPr>
              <w:spacing w:after="0"/>
              <w:rPr>
                <w:sz w:val="19"/>
                <w:szCs w:val="19"/>
                <w:color w:val="auto"/>
              </w:rPr>
            </w:pPr>
          </w:p>
        </w:tc>
      </w:tr>
      <w:tr>
        <w:trPr>
          <w:trHeight w:val="31"/>
        </w:trPr>
        <w:tc>
          <w:tcPr>
            <w:tcW w:w="79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37"/>
        </w:trPr>
        <w:tc>
          <w:tcPr>
            <w:tcW w:w="792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7"/>
                <w:szCs w:val="17"/>
                <w:color w:val="auto"/>
              </w:rPr>
              <w:t>Second-generation network costs (including interest)</w:t>
            </w:r>
          </w:p>
        </w:tc>
        <w:tc>
          <w:tcPr>
            <w:tcW w:w="28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7"/>
                <w:szCs w:val="17"/>
                <w:color w:val="auto"/>
              </w:rPr>
              <w:t>(1,600)</w:t>
            </w:r>
          </w:p>
        </w:tc>
        <w:tc>
          <w:tcPr>
            <w:tcW w:w="10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28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(1,244)</w:t>
            </w:r>
          </w:p>
        </w:tc>
      </w:tr>
      <w:tr>
        <w:trPr>
          <w:trHeight w:val="225"/>
        </w:trPr>
        <w:tc>
          <w:tcPr>
            <w:tcW w:w="7920" w:type="dxa"/>
            <w:vAlign w:val="bottom"/>
          </w:tcPr>
          <w:p>
            <w:pPr>
              <w:ind w:left="200"/>
              <w:spacing w:after="0"/>
              <w:rPr>
                <w:sz w:val="20"/>
                <w:szCs w:val="20"/>
                <w:color w:val="auto"/>
              </w:rPr>
            </w:pPr>
            <w:r>
              <w:rPr>
                <w:rFonts w:ascii="Arial" w:cs="Arial" w:eastAsia="Arial" w:hAnsi="Arial"/>
                <w:sz w:val="17"/>
                <w:szCs w:val="17"/>
                <w:color w:val="auto"/>
              </w:rPr>
              <w:t>Property and equipment additions</w:t>
            </w:r>
          </w:p>
        </w:tc>
        <w:tc>
          <w:tcPr>
            <w:tcW w:w="280" w:type="dxa"/>
            <w:vAlign w:val="bottom"/>
          </w:tcPr>
          <w:p>
            <w:pPr>
              <w:spacing w:after="0"/>
              <w:rPr>
                <w:sz w:val="19"/>
                <w:szCs w:val="19"/>
                <w:color w:val="auto"/>
              </w:rPr>
            </w:pPr>
          </w:p>
        </w:tc>
        <w:tc>
          <w:tcPr>
            <w:tcW w:w="1300" w:type="dxa"/>
            <w:vAlign w:val="bottom"/>
          </w:tcPr>
          <w:p>
            <w:pPr>
              <w:jc w:val="right"/>
              <w:ind w:right="35"/>
              <w:spacing w:after="0"/>
              <w:rPr>
                <w:sz w:val="20"/>
                <w:szCs w:val="20"/>
                <w:color w:val="auto"/>
              </w:rPr>
            </w:pPr>
            <w:r>
              <w:rPr>
                <w:rFonts w:ascii="Arial" w:cs="Arial" w:eastAsia="Arial" w:hAnsi="Arial"/>
                <w:sz w:val="17"/>
                <w:szCs w:val="17"/>
                <w:color w:val="auto"/>
              </w:rPr>
              <w:t>(2,237)</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280" w:type="dxa"/>
            <w:vAlign w:val="bottom"/>
          </w:tcPr>
          <w:p>
            <w:pPr>
              <w:jc w:val="right"/>
              <w:ind w:right="15"/>
              <w:spacing w:after="0"/>
              <w:rPr>
                <w:sz w:val="20"/>
                <w:szCs w:val="20"/>
                <w:color w:val="auto"/>
              </w:rPr>
            </w:pPr>
            <w:r>
              <w:rPr>
                <w:rFonts w:ascii="Arial" w:cs="Arial" w:eastAsia="Arial" w:hAnsi="Arial"/>
                <w:sz w:val="17"/>
                <w:szCs w:val="17"/>
                <w:color w:val="auto"/>
              </w:rPr>
              <w:t>(2,366)</w:t>
            </w:r>
          </w:p>
        </w:tc>
      </w:tr>
      <w:tr>
        <w:trPr>
          <w:trHeight w:val="31"/>
        </w:trPr>
        <w:tc>
          <w:tcPr>
            <w:tcW w:w="79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57"/>
        </w:trPr>
        <w:tc>
          <w:tcPr>
            <w:tcW w:w="792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7"/>
                <w:szCs w:val="17"/>
                <w:color w:val="auto"/>
              </w:rPr>
              <w:t>Purchase of intangible assets</w:t>
            </w:r>
          </w:p>
        </w:tc>
        <w:tc>
          <w:tcPr>
            <w:tcW w:w="2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7"/>
                <w:szCs w:val="17"/>
                <w:color w:val="auto"/>
              </w:rPr>
              <w:t>(1,042)</w:t>
            </w: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spacing w:after="0"/>
              <w:rPr>
                <w:sz w:val="22"/>
                <w:szCs w:val="22"/>
                <w:color w:val="auto"/>
              </w:rPr>
            </w:pPr>
          </w:p>
        </w:tc>
        <w:tc>
          <w:tcPr>
            <w:tcW w:w="128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(1,487)</w:t>
            </w:r>
          </w:p>
        </w:tc>
      </w:tr>
      <w:tr>
        <w:trPr>
          <w:trHeight w:val="219"/>
        </w:trPr>
        <w:tc>
          <w:tcPr>
            <w:tcW w:w="7920" w:type="dxa"/>
            <w:vAlign w:val="bottom"/>
          </w:tcPr>
          <w:p>
            <w:pPr>
              <w:ind w:left="840"/>
              <w:spacing w:after="0"/>
              <w:rPr>
                <w:sz w:val="20"/>
                <w:szCs w:val="20"/>
                <w:color w:val="auto"/>
              </w:rPr>
            </w:pPr>
            <w:r>
              <w:rPr>
                <w:rFonts w:ascii="Arial" w:cs="Arial" w:eastAsia="Arial" w:hAnsi="Arial"/>
                <w:sz w:val="17"/>
                <w:szCs w:val="17"/>
                <w:color w:val="auto"/>
              </w:rPr>
              <w:t>Net cash used in investing activities</w:t>
            </w:r>
          </w:p>
        </w:tc>
        <w:tc>
          <w:tcPr>
            <w:tcW w:w="280" w:type="dxa"/>
            <w:vAlign w:val="bottom"/>
            <w:tcBorders>
              <w:top w:val="single" w:sz="8" w:color="auto"/>
            </w:tcBorders>
          </w:tcPr>
          <w:p>
            <w:pPr>
              <w:spacing w:after="0"/>
              <w:rPr>
                <w:sz w:val="19"/>
                <w:szCs w:val="19"/>
                <w:color w:val="auto"/>
              </w:rPr>
            </w:pPr>
          </w:p>
        </w:tc>
        <w:tc>
          <w:tcPr>
            <w:tcW w:w="1300" w:type="dxa"/>
            <w:vAlign w:val="bottom"/>
            <w:tcBorders>
              <w:top w:val="single" w:sz="8" w:color="auto"/>
            </w:tcBorders>
          </w:tcPr>
          <w:p>
            <w:pPr>
              <w:jc w:val="right"/>
              <w:ind w:right="35"/>
              <w:spacing w:after="0"/>
              <w:rPr>
                <w:sz w:val="20"/>
                <w:szCs w:val="20"/>
                <w:color w:val="auto"/>
              </w:rPr>
            </w:pPr>
            <w:r>
              <w:rPr>
                <w:rFonts w:ascii="Arial" w:cs="Arial" w:eastAsia="Arial" w:hAnsi="Arial"/>
                <w:sz w:val="17"/>
                <w:szCs w:val="17"/>
                <w:color w:val="auto"/>
              </w:rPr>
              <w:t>(4,879)</w:t>
            </w:r>
          </w:p>
        </w:tc>
        <w:tc>
          <w:tcPr>
            <w:tcW w:w="100" w:type="dxa"/>
            <w:vAlign w:val="bottom"/>
          </w:tcPr>
          <w:p>
            <w:pPr>
              <w:spacing w:after="0"/>
              <w:rPr>
                <w:sz w:val="19"/>
                <w:szCs w:val="19"/>
                <w:color w:val="auto"/>
              </w:rPr>
            </w:pPr>
          </w:p>
        </w:tc>
        <w:tc>
          <w:tcPr>
            <w:tcW w:w="300" w:type="dxa"/>
            <w:vAlign w:val="bottom"/>
            <w:tcBorders>
              <w:top w:val="single" w:sz="8" w:color="auto"/>
            </w:tcBorders>
          </w:tcPr>
          <w:p>
            <w:pPr>
              <w:spacing w:after="0"/>
              <w:rPr>
                <w:sz w:val="19"/>
                <w:szCs w:val="19"/>
                <w:color w:val="auto"/>
              </w:rPr>
            </w:pPr>
          </w:p>
        </w:tc>
        <w:tc>
          <w:tcPr>
            <w:tcW w:w="1280" w:type="dxa"/>
            <w:vAlign w:val="bottom"/>
            <w:tcBorders>
              <w:top w:val="single" w:sz="8" w:color="auto"/>
            </w:tcBorders>
          </w:tcPr>
          <w:p>
            <w:pPr>
              <w:jc w:val="right"/>
              <w:ind w:right="15"/>
              <w:spacing w:after="0"/>
              <w:rPr>
                <w:sz w:val="20"/>
                <w:szCs w:val="20"/>
                <w:color w:val="auto"/>
              </w:rPr>
            </w:pPr>
            <w:r>
              <w:rPr>
                <w:rFonts w:ascii="Arial" w:cs="Arial" w:eastAsia="Arial" w:hAnsi="Arial"/>
                <w:sz w:val="17"/>
                <w:szCs w:val="17"/>
                <w:color w:val="auto"/>
              </w:rPr>
              <w:t>(5,097)</w:t>
            </w:r>
          </w:p>
        </w:tc>
      </w:tr>
      <w:tr>
        <w:trPr>
          <w:trHeight w:val="31"/>
        </w:trPr>
        <w:tc>
          <w:tcPr>
            <w:tcW w:w="79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r>
      <w:tr>
        <w:trPr>
          <w:trHeight w:val="230"/>
        </w:trPr>
        <w:tc>
          <w:tcPr>
            <w:tcW w:w="79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7"/>
                <w:szCs w:val="17"/>
                <w:color w:val="auto"/>
              </w:rPr>
              <w:t>Cash flows provided by (used in) financing activities:</w:t>
            </w:r>
          </w:p>
        </w:tc>
        <w:tc>
          <w:tcPr>
            <w:tcW w:w="28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280" w:type="dxa"/>
            <w:vAlign w:val="bottom"/>
            <w:tcBorders>
              <w:bottom w:val="single" w:sz="8" w:color="CCEEFF"/>
            </w:tcBorders>
            <w:shd w:val="clear" w:color="auto" w:fill="CCEEFF"/>
          </w:tcPr>
          <w:p>
            <w:pPr>
              <w:spacing w:after="0"/>
              <w:rPr>
                <w:sz w:val="20"/>
                <w:szCs w:val="20"/>
                <w:color w:val="auto"/>
              </w:rPr>
            </w:pPr>
          </w:p>
        </w:tc>
      </w:tr>
      <w:tr>
        <w:trPr>
          <w:trHeight w:val="225"/>
        </w:trPr>
        <w:tc>
          <w:tcPr>
            <w:tcW w:w="7920" w:type="dxa"/>
            <w:vAlign w:val="bottom"/>
          </w:tcPr>
          <w:p>
            <w:pPr>
              <w:ind w:left="200"/>
              <w:spacing w:after="0"/>
              <w:rPr>
                <w:sz w:val="20"/>
                <w:szCs w:val="20"/>
                <w:color w:val="auto"/>
              </w:rPr>
            </w:pPr>
            <w:r>
              <w:rPr>
                <w:rFonts w:ascii="Arial" w:cs="Arial" w:eastAsia="Arial" w:hAnsi="Arial"/>
                <w:sz w:val="17"/>
                <w:szCs w:val="17"/>
                <w:color w:val="auto"/>
              </w:rPr>
              <w:t>Principal payments of the Facility Agreement</w:t>
            </w:r>
          </w:p>
        </w:tc>
        <w:tc>
          <w:tcPr>
            <w:tcW w:w="280" w:type="dxa"/>
            <w:vAlign w:val="bottom"/>
          </w:tcPr>
          <w:p>
            <w:pPr>
              <w:spacing w:after="0"/>
              <w:rPr>
                <w:sz w:val="19"/>
                <w:szCs w:val="19"/>
                <w:color w:val="auto"/>
              </w:rPr>
            </w:pPr>
          </w:p>
        </w:tc>
        <w:tc>
          <w:tcPr>
            <w:tcW w:w="1300" w:type="dxa"/>
            <w:vAlign w:val="bottom"/>
          </w:tcPr>
          <w:p>
            <w:pPr>
              <w:jc w:val="right"/>
              <w:ind w:right="35"/>
              <w:spacing w:after="0"/>
              <w:rPr>
                <w:sz w:val="20"/>
                <w:szCs w:val="20"/>
                <w:color w:val="auto"/>
              </w:rPr>
            </w:pPr>
            <w:r>
              <w:rPr>
                <w:rFonts w:ascii="Arial" w:cs="Arial" w:eastAsia="Arial" w:hAnsi="Arial"/>
                <w:sz w:val="17"/>
                <w:szCs w:val="17"/>
                <w:color w:val="auto"/>
              </w:rPr>
              <w:t>(276)</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280" w:type="dxa"/>
            <w:vAlign w:val="bottom"/>
          </w:tcPr>
          <w:p>
            <w:pPr>
              <w:jc w:val="right"/>
              <w:ind w:right="15"/>
              <w:spacing w:after="0"/>
              <w:rPr>
                <w:sz w:val="20"/>
                <w:szCs w:val="20"/>
                <w:color w:val="auto"/>
              </w:rPr>
            </w:pPr>
            <w:r>
              <w:rPr>
                <w:rFonts w:ascii="Arial" w:cs="Arial" w:eastAsia="Arial" w:hAnsi="Arial"/>
                <w:sz w:val="17"/>
                <w:szCs w:val="17"/>
                <w:color w:val="auto"/>
              </w:rPr>
              <w:t>(47,435)</w:t>
            </w:r>
          </w:p>
        </w:tc>
      </w:tr>
      <w:tr>
        <w:trPr>
          <w:trHeight w:val="31"/>
        </w:trPr>
        <w:tc>
          <w:tcPr>
            <w:tcW w:w="79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37"/>
        </w:trPr>
        <w:tc>
          <w:tcPr>
            <w:tcW w:w="792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7"/>
                <w:szCs w:val="17"/>
                <w:color w:val="auto"/>
              </w:rPr>
              <w:t>Payments for debt and equity issuance costs</w:t>
            </w:r>
          </w:p>
        </w:tc>
        <w:tc>
          <w:tcPr>
            <w:tcW w:w="28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7"/>
                <w:szCs w:val="17"/>
                <w:color w:val="auto"/>
              </w:rPr>
              <w:t>(1,074)</w:t>
            </w:r>
          </w:p>
        </w:tc>
        <w:tc>
          <w:tcPr>
            <w:tcW w:w="10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28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(1,230)</w:t>
            </w:r>
          </w:p>
        </w:tc>
      </w:tr>
      <w:tr>
        <w:trPr>
          <w:trHeight w:val="225"/>
        </w:trPr>
        <w:tc>
          <w:tcPr>
            <w:tcW w:w="7920" w:type="dxa"/>
            <w:vAlign w:val="bottom"/>
          </w:tcPr>
          <w:p>
            <w:pPr>
              <w:ind w:left="200"/>
              <w:spacing w:after="0"/>
              <w:rPr>
                <w:sz w:val="20"/>
                <w:szCs w:val="20"/>
                <w:color w:val="auto"/>
              </w:rPr>
            </w:pPr>
            <w:r>
              <w:rPr>
                <w:rFonts w:ascii="Arial" w:cs="Arial" w:eastAsia="Arial" w:hAnsi="Arial"/>
                <w:sz w:val="17"/>
                <w:szCs w:val="17"/>
                <w:color w:val="auto"/>
              </w:rPr>
              <w:t>Proceeds from PPP Loan</w:t>
            </w:r>
          </w:p>
        </w:tc>
        <w:tc>
          <w:tcPr>
            <w:tcW w:w="280" w:type="dxa"/>
            <w:vAlign w:val="bottom"/>
          </w:tcPr>
          <w:p>
            <w:pPr>
              <w:spacing w:after="0"/>
              <w:rPr>
                <w:sz w:val="19"/>
                <w:szCs w:val="19"/>
                <w:color w:val="auto"/>
              </w:rPr>
            </w:pPr>
          </w:p>
        </w:tc>
        <w:tc>
          <w:tcPr>
            <w:tcW w:w="1300" w:type="dxa"/>
            <w:vAlign w:val="bottom"/>
          </w:tcPr>
          <w:p>
            <w:pPr>
              <w:jc w:val="right"/>
              <w:ind w:right="75"/>
              <w:spacing w:after="0"/>
              <w:rPr>
                <w:sz w:val="20"/>
                <w:szCs w:val="20"/>
                <w:color w:val="auto"/>
              </w:rPr>
            </w:pPr>
            <w:r>
              <w:rPr>
                <w:rFonts w:ascii="Arial" w:cs="Arial" w:eastAsia="Arial" w:hAnsi="Arial"/>
                <w:sz w:val="17"/>
                <w:szCs w:val="17"/>
                <w:color w:val="auto"/>
              </w:rPr>
              <w:t>4,973</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280" w:type="dxa"/>
            <w:vAlign w:val="bottom"/>
          </w:tcPr>
          <w:p>
            <w:pPr>
              <w:jc w:val="right"/>
              <w:ind w:right="75"/>
              <w:spacing w:after="0"/>
              <w:rPr>
                <w:sz w:val="20"/>
                <w:szCs w:val="20"/>
                <w:color w:val="auto"/>
              </w:rPr>
            </w:pPr>
            <w:r>
              <w:rPr>
                <w:rFonts w:ascii="Arial" w:cs="Arial" w:eastAsia="Arial" w:hAnsi="Arial"/>
                <w:sz w:val="17"/>
                <w:szCs w:val="17"/>
                <w:color w:val="auto"/>
              </w:rPr>
              <w:t>—</w:t>
            </w:r>
          </w:p>
        </w:tc>
      </w:tr>
      <w:tr>
        <w:trPr>
          <w:trHeight w:val="31"/>
        </w:trPr>
        <w:tc>
          <w:tcPr>
            <w:tcW w:w="79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37"/>
        </w:trPr>
        <w:tc>
          <w:tcPr>
            <w:tcW w:w="792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7"/>
                <w:szCs w:val="17"/>
                <w:color w:val="auto"/>
              </w:rPr>
              <w:t>Proceeds from Subordinated Loan Agreement</w:t>
            </w:r>
          </w:p>
        </w:tc>
        <w:tc>
          <w:tcPr>
            <w:tcW w:w="280" w:type="dxa"/>
            <w:vAlign w:val="bottom"/>
            <w:tcBorders>
              <w:bottom w:val="single" w:sz="8" w:color="CCEEFF"/>
            </w:tcBorders>
            <w:shd w:val="clear" w:color="auto" w:fill="CCEEFF"/>
          </w:tcPr>
          <w:p>
            <w:pPr>
              <w:spacing w:after="0"/>
              <w:rPr>
                <w:sz w:val="20"/>
                <w:szCs w:val="20"/>
                <w:color w:val="auto"/>
              </w:rPr>
            </w:pPr>
          </w:p>
        </w:tc>
        <w:tc>
          <w:tcPr>
            <w:tcW w:w="140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7"/>
                <w:szCs w:val="17"/>
                <w:color w:val="auto"/>
              </w:rPr>
              <w:t>—</w:t>
            </w:r>
          </w:p>
        </w:tc>
        <w:tc>
          <w:tcPr>
            <w:tcW w:w="300" w:type="dxa"/>
            <w:vAlign w:val="bottom"/>
            <w:tcBorders>
              <w:bottom w:val="single" w:sz="8" w:color="CCEEFF"/>
            </w:tcBorders>
            <w:shd w:val="clear" w:color="auto" w:fill="CCEEFF"/>
          </w:tcPr>
          <w:p>
            <w:pPr>
              <w:spacing w:after="0"/>
              <w:rPr>
                <w:sz w:val="20"/>
                <w:szCs w:val="20"/>
                <w:color w:val="auto"/>
              </w:rPr>
            </w:pPr>
          </w:p>
        </w:tc>
        <w:tc>
          <w:tcPr>
            <w:tcW w:w="1280" w:type="dxa"/>
            <w:vAlign w:val="bottom"/>
            <w:tcBorders>
              <w:bottom w:val="single" w:sz="8" w:color="CCEEFF"/>
            </w:tcBorders>
            <w:shd w:val="clear" w:color="auto" w:fill="CCEEFF"/>
          </w:tcPr>
          <w:p>
            <w:pPr>
              <w:jc w:val="right"/>
              <w:ind w:right="75"/>
              <w:spacing w:after="0"/>
              <w:rPr>
                <w:sz w:val="20"/>
                <w:szCs w:val="20"/>
                <w:color w:val="auto"/>
              </w:rPr>
            </w:pPr>
            <w:r>
              <w:rPr>
                <w:rFonts w:ascii="Arial" w:cs="Arial" w:eastAsia="Arial" w:hAnsi="Arial"/>
                <w:sz w:val="17"/>
                <w:szCs w:val="17"/>
                <w:color w:val="auto"/>
              </w:rPr>
              <w:t>62,000</w:t>
            </w:r>
          </w:p>
        </w:tc>
      </w:tr>
      <w:tr>
        <w:trPr>
          <w:trHeight w:val="225"/>
        </w:trPr>
        <w:tc>
          <w:tcPr>
            <w:tcW w:w="7920" w:type="dxa"/>
            <w:vAlign w:val="bottom"/>
          </w:tcPr>
          <w:p>
            <w:pPr>
              <w:ind w:left="200"/>
              <w:spacing w:after="0"/>
              <w:rPr>
                <w:sz w:val="20"/>
                <w:szCs w:val="20"/>
                <w:color w:val="auto"/>
              </w:rPr>
            </w:pPr>
            <w:r>
              <w:rPr>
                <w:rFonts w:ascii="Arial" w:cs="Arial" w:eastAsia="Arial" w:hAnsi="Arial"/>
                <w:sz w:val="17"/>
                <w:szCs w:val="17"/>
                <w:color w:val="auto"/>
              </w:rPr>
              <w:t>Proceeds from issuance of common stock and exercise of options and warrants</w:t>
            </w:r>
          </w:p>
        </w:tc>
        <w:tc>
          <w:tcPr>
            <w:tcW w:w="280" w:type="dxa"/>
            <w:vAlign w:val="bottom"/>
          </w:tcPr>
          <w:p>
            <w:pPr>
              <w:spacing w:after="0"/>
              <w:rPr>
                <w:sz w:val="19"/>
                <w:szCs w:val="19"/>
                <w:color w:val="auto"/>
              </w:rPr>
            </w:pPr>
          </w:p>
        </w:tc>
        <w:tc>
          <w:tcPr>
            <w:tcW w:w="1300" w:type="dxa"/>
            <w:vAlign w:val="bottom"/>
          </w:tcPr>
          <w:p>
            <w:pPr>
              <w:jc w:val="right"/>
              <w:ind w:right="75"/>
              <w:spacing w:after="0"/>
              <w:rPr>
                <w:sz w:val="20"/>
                <w:szCs w:val="20"/>
                <w:color w:val="auto"/>
              </w:rPr>
            </w:pPr>
            <w:r>
              <w:rPr>
                <w:rFonts w:ascii="Arial" w:cs="Arial" w:eastAsia="Arial" w:hAnsi="Arial"/>
                <w:sz w:val="17"/>
                <w:szCs w:val="17"/>
                <w:color w:val="auto"/>
              </w:rPr>
              <w:t>346</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280" w:type="dxa"/>
            <w:vAlign w:val="bottom"/>
          </w:tcPr>
          <w:p>
            <w:pPr>
              <w:jc w:val="right"/>
              <w:ind w:right="75"/>
              <w:spacing w:after="0"/>
              <w:rPr>
                <w:sz w:val="20"/>
                <w:szCs w:val="20"/>
                <w:color w:val="auto"/>
              </w:rPr>
            </w:pPr>
            <w:r>
              <w:rPr>
                <w:rFonts w:ascii="Arial" w:cs="Arial" w:eastAsia="Arial" w:hAnsi="Arial"/>
                <w:sz w:val="17"/>
                <w:szCs w:val="17"/>
                <w:color w:val="auto"/>
              </w:rPr>
              <w:t>402</w:t>
            </w:r>
          </w:p>
        </w:tc>
      </w:tr>
      <w:tr>
        <w:trPr>
          <w:trHeight w:val="31"/>
        </w:trPr>
        <w:tc>
          <w:tcPr>
            <w:tcW w:w="79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r>
      <w:tr>
        <w:trPr>
          <w:trHeight w:val="250"/>
        </w:trPr>
        <w:tc>
          <w:tcPr>
            <w:tcW w:w="7920" w:type="dxa"/>
            <w:vAlign w:val="bottom"/>
            <w:tcBorders>
              <w:bottom w:val="single" w:sz="8" w:color="CCEEFF"/>
            </w:tcBorders>
            <w:shd w:val="clear" w:color="auto" w:fill="CCEEFF"/>
          </w:tcPr>
          <w:p>
            <w:pPr>
              <w:ind w:left="840"/>
              <w:spacing w:after="0"/>
              <w:rPr>
                <w:sz w:val="20"/>
                <w:szCs w:val="20"/>
                <w:color w:val="auto"/>
              </w:rPr>
            </w:pPr>
            <w:r>
              <w:rPr>
                <w:rFonts w:ascii="Arial" w:cs="Arial" w:eastAsia="Arial" w:hAnsi="Arial"/>
                <w:sz w:val="17"/>
                <w:szCs w:val="17"/>
                <w:color w:val="auto"/>
              </w:rPr>
              <w:t>Net cash provided by financing activities</w:t>
            </w:r>
          </w:p>
        </w:tc>
        <w:tc>
          <w:tcPr>
            <w:tcW w:w="2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75"/>
              <w:spacing w:after="0"/>
              <w:rPr>
                <w:sz w:val="20"/>
                <w:szCs w:val="20"/>
                <w:color w:val="auto"/>
              </w:rPr>
            </w:pPr>
            <w:r>
              <w:rPr>
                <w:rFonts w:ascii="Arial" w:cs="Arial" w:eastAsia="Arial" w:hAnsi="Arial"/>
                <w:sz w:val="17"/>
                <w:szCs w:val="17"/>
                <w:color w:val="auto"/>
              </w:rPr>
              <w:t>3,969</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75"/>
              <w:spacing w:after="0"/>
              <w:rPr>
                <w:sz w:val="20"/>
                <w:szCs w:val="20"/>
                <w:color w:val="auto"/>
              </w:rPr>
            </w:pPr>
            <w:r>
              <w:rPr>
                <w:rFonts w:ascii="Arial" w:cs="Arial" w:eastAsia="Arial" w:hAnsi="Arial"/>
                <w:sz w:val="17"/>
                <w:szCs w:val="17"/>
                <w:color w:val="auto"/>
              </w:rPr>
              <w:t>13,737</w:t>
            </w:r>
          </w:p>
        </w:tc>
      </w:tr>
      <w:tr>
        <w:trPr>
          <w:trHeight w:val="219"/>
        </w:trPr>
        <w:tc>
          <w:tcPr>
            <w:tcW w:w="7920" w:type="dxa"/>
            <w:vAlign w:val="bottom"/>
          </w:tcPr>
          <w:p>
            <w:pPr>
              <w:spacing w:after="0"/>
              <w:rPr>
                <w:sz w:val="20"/>
                <w:szCs w:val="20"/>
                <w:color w:val="auto"/>
              </w:rPr>
            </w:pPr>
            <w:r>
              <w:rPr>
                <w:rFonts w:ascii="Arial" w:cs="Arial" w:eastAsia="Arial" w:hAnsi="Arial"/>
                <w:sz w:val="17"/>
                <w:szCs w:val="17"/>
                <w:color w:val="auto"/>
              </w:rPr>
              <w:t>Effect of exchange rate changes on cash, cash equivalents and restricted cash</w:t>
            </w:r>
          </w:p>
        </w:tc>
        <w:tc>
          <w:tcPr>
            <w:tcW w:w="280" w:type="dxa"/>
            <w:vAlign w:val="bottom"/>
            <w:tcBorders>
              <w:top w:val="single" w:sz="8" w:color="auto"/>
            </w:tcBorders>
          </w:tcPr>
          <w:p>
            <w:pPr>
              <w:spacing w:after="0"/>
              <w:rPr>
                <w:sz w:val="19"/>
                <w:szCs w:val="19"/>
                <w:color w:val="auto"/>
              </w:rPr>
            </w:pPr>
          </w:p>
        </w:tc>
        <w:tc>
          <w:tcPr>
            <w:tcW w:w="1300" w:type="dxa"/>
            <w:vAlign w:val="bottom"/>
            <w:tcBorders>
              <w:top w:val="single" w:sz="8" w:color="auto"/>
            </w:tcBorders>
          </w:tcPr>
          <w:p>
            <w:pPr>
              <w:jc w:val="right"/>
              <w:ind w:right="35"/>
              <w:spacing w:after="0"/>
              <w:rPr>
                <w:sz w:val="20"/>
                <w:szCs w:val="20"/>
                <w:color w:val="auto"/>
              </w:rPr>
            </w:pPr>
            <w:r>
              <w:rPr>
                <w:rFonts w:ascii="Arial" w:cs="Arial" w:eastAsia="Arial" w:hAnsi="Arial"/>
                <w:sz w:val="17"/>
                <w:szCs w:val="17"/>
                <w:color w:val="auto"/>
              </w:rPr>
              <w:t>(148)</w:t>
            </w:r>
          </w:p>
        </w:tc>
        <w:tc>
          <w:tcPr>
            <w:tcW w:w="100" w:type="dxa"/>
            <w:vAlign w:val="bottom"/>
          </w:tcPr>
          <w:p>
            <w:pPr>
              <w:spacing w:after="0"/>
              <w:rPr>
                <w:sz w:val="19"/>
                <w:szCs w:val="19"/>
                <w:color w:val="auto"/>
              </w:rPr>
            </w:pPr>
          </w:p>
        </w:tc>
        <w:tc>
          <w:tcPr>
            <w:tcW w:w="300" w:type="dxa"/>
            <w:vAlign w:val="bottom"/>
            <w:tcBorders>
              <w:top w:val="single" w:sz="8" w:color="auto"/>
            </w:tcBorders>
          </w:tcPr>
          <w:p>
            <w:pPr>
              <w:spacing w:after="0"/>
              <w:rPr>
                <w:sz w:val="19"/>
                <w:szCs w:val="19"/>
                <w:color w:val="auto"/>
              </w:rPr>
            </w:pPr>
          </w:p>
        </w:tc>
        <w:tc>
          <w:tcPr>
            <w:tcW w:w="1280" w:type="dxa"/>
            <w:vAlign w:val="bottom"/>
            <w:tcBorders>
              <w:top w:val="single" w:sz="8" w:color="auto"/>
            </w:tcBorders>
          </w:tcPr>
          <w:p>
            <w:pPr>
              <w:jc w:val="right"/>
              <w:ind w:right="75"/>
              <w:spacing w:after="0"/>
              <w:rPr>
                <w:sz w:val="20"/>
                <w:szCs w:val="20"/>
                <w:color w:val="auto"/>
              </w:rPr>
            </w:pPr>
            <w:r>
              <w:rPr>
                <w:rFonts w:ascii="Arial" w:cs="Arial" w:eastAsia="Arial" w:hAnsi="Arial"/>
                <w:sz w:val="17"/>
                <w:szCs w:val="17"/>
                <w:color w:val="auto"/>
              </w:rPr>
              <w:t>43</w:t>
            </w:r>
          </w:p>
        </w:tc>
      </w:tr>
      <w:tr>
        <w:trPr>
          <w:trHeight w:val="31"/>
        </w:trPr>
        <w:tc>
          <w:tcPr>
            <w:tcW w:w="79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r>
      <w:tr>
        <w:trPr>
          <w:trHeight w:val="230"/>
        </w:trPr>
        <w:tc>
          <w:tcPr>
            <w:tcW w:w="79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7"/>
                <w:szCs w:val="17"/>
                <w:color w:val="auto"/>
              </w:rPr>
              <w:t>Net increase in cash, cash equivalents and restricted cash</w:t>
            </w:r>
          </w:p>
        </w:tc>
        <w:tc>
          <w:tcPr>
            <w:tcW w:w="28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jc w:val="right"/>
              <w:ind w:right="75"/>
              <w:spacing w:after="0"/>
              <w:rPr>
                <w:sz w:val="20"/>
                <w:szCs w:val="20"/>
                <w:color w:val="auto"/>
              </w:rPr>
            </w:pPr>
            <w:r>
              <w:rPr>
                <w:rFonts w:ascii="Arial" w:cs="Arial" w:eastAsia="Arial" w:hAnsi="Arial"/>
                <w:sz w:val="17"/>
                <w:szCs w:val="17"/>
                <w:color w:val="auto"/>
              </w:rPr>
              <w:t>7,801</w:t>
            </w:r>
          </w:p>
        </w:tc>
        <w:tc>
          <w:tcPr>
            <w:tcW w:w="10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280" w:type="dxa"/>
            <w:vAlign w:val="bottom"/>
            <w:tcBorders>
              <w:bottom w:val="single" w:sz="8" w:color="CCEEFF"/>
            </w:tcBorders>
            <w:shd w:val="clear" w:color="auto" w:fill="CCEEFF"/>
          </w:tcPr>
          <w:p>
            <w:pPr>
              <w:jc w:val="right"/>
              <w:ind w:right="75"/>
              <w:spacing w:after="0"/>
              <w:rPr>
                <w:sz w:val="20"/>
                <w:szCs w:val="20"/>
                <w:color w:val="auto"/>
              </w:rPr>
            </w:pPr>
            <w:r>
              <w:rPr>
                <w:rFonts w:ascii="Arial" w:cs="Arial" w:eastAsia="Arial" w:hAnsi="Arial"/>
                <w:sz w:val="17"/>
                <w:szCs w:val="17"/>
                <w:color w:val="auto"/>
              </w:rPr>
              <w:t>10,493</w:t>
            </w:r>
          </w:p>
        </w:tc>
      </w:tr>
      <w:tr>
        <w:trPr>
          <w:trHeight w:val="225"/>
        </w:trPr>
        <w:tc>
          <w:tcPr>
            <w:tcW w:w="7920" w:type="dxa"/>
            <w:vAlign w:val="bottom"/>
          </w:tcPr>
          <w:p>
            <w:pPr>
              <w:spacing w:after="0"/>
              <w:rPr>
                <w:sz w:val="20"/>
                <w:szCs w:val="20"/>
                <w:color w:val="auto"/>
              </w:rPr>
            </w:pPr>
            <w:r>
              <w:rPr>
                <w:rFonts w:ascii="Arial" w:cs="Arial" w:eastAsia="Arial" w:hAnsi="Arial"/>
                <w:sz w:val="17"/>
                <w:szCs w:val="17"/>
                <w:color w:val="auto"/>
              </w:rPr>
              <w:t>Cash, cash equivalents and restricted cash, beginning of period</w:t>
            </w:r>
          </w:p>
        </w:tc>
        <w:tc>
          <w:tcPr>
            <w:tcW w:w="280" w:type="dxa"/>
            <w:vAlign w:val="bottom"/>
          </w:tcPr>
          <w:p>
            <w:pPr>
              <w:spacing w:after="0"/>
              <w:rPr>
                <w:sz w:val="19"/>
                <w:szCs w:val="19"/>
                <w:color w:val="auto"/>
              </w:rPr>
            </w:pPr>
          </w:p>
        </w:tc>
        <w:tc>
          <w:tcPr>
            <w:tcW w:w="1300" w:type="dxa"/>
            <w:vAlign w:val="bottom"/>
          </w:tcPr>
          <w:p>
            <w:pPr>
              <w:jc w:val="right"/>
              <w:ind w:right="75"/>
              <w:spacing w:after="0"/>
              <w:rPr>
                <w:sz w:val="20"/>
                <w:szCs w:val="20"/>
                <w:color w:val="auto"/>
              </w:rPr>
            </w:pPr>
            <w:r>
              <w:rPr>
                <w:rFonts w:ascii="Arial" w:cs="Arial" w:eastAsia="Arial" w:hAnsi="Arial"/>
                <w:sz w:val="17"/>
                <w:szCs w:val="17"/>
                <w:color w:val="auto"/>
              </w:rPr>
              <w:t>59,128</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280" w:type="dxa"/>
            <w:vAlign w:val="bottom"/>
          </w:tcPr>
          <w:p>
            <w:pPr>
              <w:jc w:val="right"/>
              <w:ind w:right="75"/>
              <w:spacing w:after="0"/>
              <w:rPr>
                <w:sz w:val="20"/>
                <w:szCs w:val="20"/>
                <w:color w:val="auto"/>
              </w:rPr>
            </w:pPr>
            <w:r>
              <w:rPr>
                <w:rFonts w:ascii="Arial" w:cs="Arial" w:eastAsia="Arial" w:hAnsi="Arial"/>
                <w:sz w:val="17"/>
                <w:szCs w:val="17"/>
                <w:color w:val="auto"/>
              </w:rPr>
              <w:t>75,490</w:t>
            </w:r>
          </w:p>
        </w:tc>
      </w:tr>
      <w:tr>
        <w:trPr>
          <w:trHeight w:val="31"/>
        </w:trPr>
        <w:tc>
          <w:tcPr>
            <w:tcW w:w="79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r>
      <w:tr>
        <w:trPr>
          <w:trHeight w:val="219"/>
        </w:trPr>
        <w:tc>
          <w:tcPr>
            <w:tcW w:w="7920" w:type="dxa"/>
            <w:vAlign w:val="bottom"/>
            <w:shd w:val="clear" w:color="auto" w:fill="CCEEFF"/>
          </w:tcPr>
          <w:p>
            <w:pPr>
              <w:spacing w:after="0"/>
              <w:rPr>
                <w:sz w:val="20"/>
                <w:szCs w:val="20"/>
                <w:color w:val="auto"/>
              </w:rPr>
            </w:pPr>
            <w:r>
              <w:rPr>
                <w:rFonts w:ascii="Arial" w:cs="Arial" w:eastAsia="Arial" w:hAnsi="Arial"/>
                <w:sz w:val="17"/>
                <w:szCs w:val="17"/>
                <w:color w:val="auto"/>
              </w:rPr>
              <w:t>Cash, cash equivalents and restricted cash, end of period</w:t>
            </w:r>
          </w:p>
        </w:tc>
        <w:tc>
          <w:tcPr>
            <w:tcW w:w="280" w:type="dxa"/>
            <w:vAlign w:val="bottom"/>
            <w:shd w:val="clear" w:color="auto" w:fill="CCEEFF"/>
          </w:tcPr>
          <w:p>
            <w:pPr>
              <w:jc w:val="right"/>
              <w:ind w:right="95"/>
              <w:spacing w:after="0"/>
              <w:rPr>
                <w:sz w:val="20"/>
                <w:szCs w:val="20"/>
                <w:color w:val="auto"/>
              </w:rPr>
            </w:pPr>
            <w:r>
              <w:rPr>
                <w:rFonts w:ascii="Arial" w:cs="Arial" w:eastAsia="Arial" w:hAnsi="Arial"/>
                <w:sz w:val="17"/>
                <w:szCs w:val="17"/>
                <w:color w:val="auto"/>
                <w:w w:val="84"/>
              </w:rPr>
              <w:t>$</w:t>
            </w:r>
          </w:p>
        </w:tc>
        <w:tc>
          <w:tcPr>
            <w:tcW w:w="1300" w:type="dxa"/>
            <w:vAlign w:val="bottom"/>
            <w:shd w:val="clear" w:color="auto" w:fill="CCEEFF"/>
          </w:tcPr>
          <w:p>
            <w:pPr>
              <w:jc w:val="right"/>
              <w:ind w:right="75"/>
              <w:spacing w:after="0"/>
              <w:rPr>
                <w:sz w:val="20"/>
                <w:szCs w:val="20"/>
                <w:color w:val="auto"/>
              </w:rPr>
            </w:pPr>
            <w:r>
              <w:rPr>
                <w:rFonts w:ascii="Arial" w:cs="Arial" w:eastAsia="Arial" w:hAnsi="Arial"/>
                <w:sz w:val="17"/>
                <w:szCs w:val="17"/>
                <w:color w:val="auto"/>
              </w:rPr>
              <w:t>66,929</w:t>
            </w: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jc w:val="right"/>
              <w:ind w:right="115"/>
              <w:spacing w:after="0"/>
              <w:rPr>
                <w:sz w:val="20"/>
                <w:szCs w:val="20"/>
                <w:color w:val="auto"/>
              </w:rPr>
            </w:pPr>
            <w:r>
              <w:rPr>
                <w:rFonts w:ascii="Arial" w:cs="Arial" w:eastAsia="Arial" w:hAnsi="Arial"/>
                <w:sz w:val="17"/>
                <w:szCs w:val="17"/>
                <w:color w:val="auto"/>
                <w:w w:val="84"/>
              </w:rPr>
              <w:t>$</w:t>
            </w:r>
          </w:p>
        </w:tc>
        <w:tc>
          <w:tcPr>
            <w:tcW w:w="1280" w:type="dxa"/>
            <w:vAlign w:val="bottom"/>
            <w:shd w:val="clear" w:color="auto" w:fill="CCEEFF"/>
          </w:tcPr>
          <w:p>
            <w:pPr>
              <w:jc w:val="right"/>
              <w:ind w:right="75"/>
              <w:spacing w:after="0"/>
              <w:rPr>
                <w:sz w:val="20"/>
                <w:szCs w:val="20"/>
                <w:color w:val="auto"/>
              </w:rPr>
            </w:pPr>
            <w:r>
              <w:rPr>
                <w:rFonts w:ascii="Arial" w:cs="Arial" w:eastAsia="Arial" w:hAnsi="Arial"/>
                <w:sz w:val="17"/>
                <w:szCs w:val="17"/>
                <w:color w:val="auto"/>
              </w:rPr>
              <w:t>85,983</w:t>
            </w:r>
          </w:p>
        </w:tc>
      </w:tr>
      <w:tr>
        <w:trPr>
          <w:trHeight w:val="31"/>
        </w:trPr>
        <w:tc>
          <w:tcPr>
            <w:tcW w:w="7920" w:type="dxa"/>
            <w:vAlign w:val="bottom"/>
            <w:shd w:val="clear" w:color="auto" w:fill="CCEEFF"/>
          </w:tcPr>
          <w:p>
            <w:pPr>
              <w:spacing w:after="0"/>
              <w:rPr>
                <w:sz w:val="2"/>
                <w:szCs w:val="2"/>
                <w:color w:val="auto"/>
              </w:rPr>
            </w:pPr>
          </w:p>
        </w:tc>
        <w:tc>
          <w:tcPr>
            <w:tcW w:w="280" w:type="dxa"/>
            <w:vAlign w:val="bottom"/>
            <w:shd w:val="clear" w:color="auto" w:fill="CCEEFF"/>
          </w:tcPr>
          <w:p>
            <w:pPr>
              <w:spacing w:after="0"/>
              <w:rPr>
                <w:sz w:val="2"/>
                <w:szCs w:val="2"/>
                <w:color w:val="auto"/>
              </w:rPr>
            </w:pPr>
          </w:p>
        </w:tc>
        <w:tc>
          <w:tcPr>
            <w:tcW w:w="13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300" w:type="dxa"/>
            <w:vAlign w:val="bottom"/>
            <w:shd w:val="clear" w:color="auto" w:fill="CCEEFF"/>
          </w:tcPr>
          <w:p>
            <w:pPr>
              <w:spacing w:after="0"/>
              <w:rPr>
                <w:sz w:val="2"/>
                <w:szCs w:val="2"/>
                <w:color w:val="auto"/>
              </w:rPr>
            </w:pPr>
          </w:p>
        </w:tc>
        <w:tc>
          <w:tcPr>
            <w:tcW w:w="1280" w:type="dxa"/>
            <w:vAlign w:val="bottom"/>
            <w:shd w:val="clear" w:color="auto" w:fill="CCEEFF"/>
          </w:tcPr>
          <w:p>
            <w:pPr>
              <w:spacing w:after="0"/>
              <w:rPr>
                <w:sz w:val="2"/>
                <w:szCs w:val="2"/>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5" w:lineRule="exact"/>
        <w:rPr>
          <w:sz w:val="20"/>
          <w:szCs w:val="20"/>
          <w:color w:val="auto"/>
        </w:rPr>
      </w:pPr>
    </w:p>
    <w:tbl>
      <w:tblPr>
        <w:tblLayout w:type="fixed"/>
        <w:tblInd w:w="0" w:type="dxa"/>
        <w:tblCellMar>
          <w:top w:w="0" w:type="dxa"/>
          <w:left w:w="0" w:type="dxa"/>
          <w:bottom w:w="0" w:type="dxa"/>
          <w:right w:w="0" w:type="dxa"/>
        </w:tblCellMar>
      </w:tblPr>
      <w:tr>
        <w:trPr>
          <w:trHeight w:val="220"/>
        </w:trPr>
        <w:tc>
          <w:tcPr>
            <w:tcW w:w="79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620" w:type="dxa"/>
            <w:vAlign w:val="bottom"/>
            <w:gridSpan w:val="3"/>
          </w:tcPr>
          <w:p>
            <w:pPr>
              <w:ind w:left="1140"/>
              <w:spacing w:after="0"/>
              <w:rPr>
                <w:sz w:val="20"/>
                <w:szCs w:val="20"/>
                <w:color w:val="auto"/>
              </w:rPr>
            </w:pPr>
            <w:r>
              <w:rPr>
                <w:rFonts w:ascii="Arial" w:cs="Arial" w:eastAsia="Arial" w:hAnsi="Arial"/>
                <w:sz w:val="17"/>
                <w:szCs w:val="17"/>
                <w:b w:val="1"/>
                <w:bCs w:val="1"/>
                <w:color w:val="auto"/>
                <w:w w:val="95"/>
              </w:rPr>
              <w:t>As of:</w:t>
            </w:r>
          </w:p>
        </w:tc>
        <w:tc>
          <w:tcPr>
            <w:tcW w:w="1360" w:type="dxa"/>
            <w:vAlign w:val="bottom"/>
          </w:tcPr>
          <w:p>
            <w:pPr>
              <w:spacing w:after="0"/>
              <w:rPr>
                <w:sz w:val="19"/>
                <w:szCs w:val="19"/>
                <w:color w:val="auto"/>
              </w:rPr>
            </w:pPr>
          </w:p>
        </w:tc>
      </w:tr>
      <w:tr>
        <w:trPr>
          <w:trHeight w:val="31"/>
        </w:trPr>
        <w:tc>
          <w:tcPr>
            <w:tcW w:w="792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gridSpan w:val="2"/>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01"/>
        </w:trPr>
        <w:tc>
          <w:tcPr>
            <w:tcW w:w="79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400" w:type="dxa"/>
            <w:vAlign w:val="bottom"/>
            <w:gridSpan w:val="2"/>
          </w:tcPr>
          <w:p>
            <w:pPr>
              <w:jc w:val="center"/>
              <w:ind w:right="400"/>
              <w:spacing w:after="0"/>
              <w:rPr>
                <w:sz w:val="20"/>
                <w:szCs w:val="20"/>
                <w:color w:val="auto"/>
              </w:rPr>
            </w:pPr>
            <w:r>
              <w:rPr>
                <w:rFonts w:ascii="Arial" w:cs="Arial" w:eastAsia="Arial" w:hAnsi="Arial"/>
                <w:sz w:val="17"/>
                <w:szCs w:val="17"/>
                <w:b w:val="1"/>
                <w:bCs w:val="1"/>
                <w:color w:val="auto"/>
                <w:w w:val="88"/>
              </w:rPr>
              <w:t>June 30,</w:t>
            </w:r>
          </w:p>
        </w:tc>
        <w:tc>
          <w:tcPr>
            <w:tcW w:w="220" w:type="dxa"/>
            <w:vAlign w:val="bottom"/>
          </w:tcPr>
          <w:p>
            <w:pPr>
              <w:spacing w:after="0"/>
              <w:rPr>
                <w:sz w:val="17"/>
                <w:szCs w:val="17"/>
                <w:color w:val="auto"/>
              </w:rPr>
            </w:pPr>
          </w:p>
        </w:tc>
        <w:tc>
          <w:tcPr>
            <w:tcW w:w="1360" w:type="dxa"/>
            <w:vAlign w:val="bottom"/>
          </w:tcPr>
          <w:p>
            <w:pPr>
              <w:jc w:val="center"/>
              <w:ind w:right="135"/>
              <w:spacing w:after="0"/>
              <w:rPr>
                <w:sz w:val="20"/>
                <w:szCs w:val="20"/>
                <w:color w:val="auto"/>
              </w:rPr>
            </w:pPr>
            <w:r>
              <w:rPr>
                <w:rFonts w:ascii="Arial" w:cs="Arial" w:eastAsia="Arial" w:hAnsi="Arial"/>
                <w:sz w:val="17"/>
                <w:szCs w:val="17"/>
                <w:b w:val="1"/>
                <w:bCs w:val="1"/>
                <w:color w:val="auto"/>
                <w:w w:val="88"/>
              </w:rPr>
              <w:t>December 31,</w:t>
            </w:r>
          </w:p>
        </w:tc>
      </w:tr>
      <w:tr>
        <w:trPr>
          <w:trHeight w:val="220"/>
        </w:trPr>
        <w:tc>
          <w:tcPr>
            <w:tcW w:w="79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300" w:type="dxa"/>
            <w:vAlign w:val="bottom"/>
          </w:tcPr>
          <w:p>
            <w:pPr>
              <w:jc w:val="center"/>
              <w:ind w:right="195"/>
              <w:spacing w:after="0"/>
              <w:rPr>
                <w:sz w:val="20"/>
                <w:szCs w:val="20"/>
                <w:color w:val="auto"/>
              </w:rPr>
            </w:pPr>
            <w:r>
              <w:rPr>
                <w:rFonts w:ascii="Arial" w:cs="Arial" w:eastAsia="Arial" w:hAnsi="Arial"/>
                <w:sz w:val="17"/>
                <w:szCs w:val="17"/>
                <w:b w:val="1"/>
                <w:bCs w:val="1"/>
                <w:color w:val="auto"/>
                <w:w w:val="89"/>
              </w:rPr>
              <w:t>2020</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360" w:type="dxa"/>
            <w:vAlign w:val="bottom"/>
          </w:tcPr>
          <w:p>
            <w:pPr>
              <w:jc w:val="center"/>
              <w:ind w:right="135"/>
              <w:spacing w:after="0"/>
              <w:rPr>
                <w:sz w:val="20"/>
                <w:szCs w:val="20"/>
                <w:color w:val="auto"/>
              </w:rPr>
            </w:pPr>
            <w:r>
              <w:rPr>
                <w:rFonts w:ascii="Arial" w:cs="Arial" w:eastAsia="Arial" w:hAnsi="Arial"/>
                <w:sz w:val="17"/>
                <w:szCs w:val="17"/>
                <w:b w:val="1"/>
                <w:bCs w:val="1"/>
                <w:color w:val="auto"/>
                <w:w w:val="89"/>
              </w:rPr>
              <w:t>2019</w:t>
            </w:r>
          </w:p>
        </w:tc>
      </w:tr>
      <w:tr>
        <w:trPr>
          <w:trHeight w:val="31"/>
        </w:trPr>
        <w:tc>
          <w:tcPr>
            <w:tcW w:w="79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16"/>
        </w:trPr>
        <w:tc>
          <w:tcPr>
            <w:tcW w:w="79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7"/>
                <w:szCs w:val="17"/>
                <w:color w:val="auto"/>
              </w:rPr>
              <w:t>Reconciliation of cash, cash equivalents and restricted cash</w:t>
            </w:r>
          </w:p>
        </w:tc>
        <w:tc>
          <w:tcPr>
            <w:tcW w:w="280" w:type="dxa"/>
            <w:vAlign w:val="bottom"/>
            <w:tcBorders>
              <w:bottom w:val="single" w:sz="8" w:color="CCEEFF"/>
            </w:tcBorders>
            <w:shd w:val="clear" w:color="auto" w:fill="CCEEFF"/>
          </w:tcPr>
          <w:p>
            <w:pPr>
              <w:spacing w:after="0"/>
              <w:rPr>
                <w:sz w:val="18"/>
                <w:szCs w:val="18"/>
                <w:color w:val="auto"/>
              </w:rPr>
            </w:pPr>
          </w:p>
        </w:tc>
        <w:tc>
          <w:tcPr>
            <w:tcW w:w="130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CCEEFF"/>
            </w:tcBorders>
            <w:shd w:val="clear" w:color="auto" w:fill="CCEEFF"/>
          </w:tcPr>
          <w:p>
            <w:pPr>
              <w:spacing w:after="0"/>
              <w:rPr>
                <w:sz w:val="18"/>
                <w:szCs w:val="18"/>
                <w:color w:val="auto"/>
              </w:rPr>
            </w:pPr>
          </w:p>
        </w:tc>
        <w:tc>
          <w:tcPr>
            <w:tcW w:w="1360" w:type="dxa"/>
            <w:vAlign w:val="bottom"/>
            <w:tcBorders>
              <w:bottom w:val="single" w:sz="8" w:color="CCEEFF"/>
            </w:tcBorders>
            <w:shd w:val="clear" w:color="auto" w:fill="CCEEFF"/>
          </w:tcPr>
          <w:p>
            <w:pPr>
              <w:spacing w:after="0"/>
              <w:rPr>
                <w:sz w:val="18"/>
                <w:szCs w:val="18"/>
                <w:color w:val="auto"/>
              </w:rPr>
            </w:pPr>
          </w:p>
        </w:tc>
      </w:tr>
      <w:tr>
        <w:trPr>
          <w:trHeight w:val="225"/>
        </w:trPr>
        <w:tc>
          <w:tcPr>
            <w:tcW w:w="7920" w:type="dxa"/>
            <w:vAlign w:val="bottom"/>
          </w:tcPr>
          <w:p>
            <w:pPr>
              <w:ind w:left="100"/>
              <w:spacing w:after="0"/>
              <w:rPr>
                <w:sz w:val="20"/>
                <w:szCs w:val="20"/>
                <w:color w:val="auto"/>
              </w:rPr>
            </w:pPr>
            <w:r>
              <w:rPr>
                <w:rFonts w:ascii="Arial" w:cs="Arial" w:eastAsia="Arial" w:hAnsi="Arial"/>
                <w:sz w:val="17"/>
                <w:szCs w:val="17"/>
                <w:color w:val="auto"/>
              </w:rPr>
              <w:t>Cash and cash equivalents</w:t>
            </w:r>
          </w:p>
        </w:tc>
        <w:tc>
          <w:tcPr>
            <w:tcW w:w="280" w:type="dxa"/>
            <w:vAlign w:val="bottom"/>
          </w:tcPr>
          <w:p>
            <w:pPr>
              <w:jc w:val="right"/>
              <w:ind w:right="95"/>
              <w:spacing w:after="0"/>
              <w:rPr>
                <w:sz w:val="20"/>
                <w:szCs w:val="20"/>
                <w:color w:val="auto"/>
              </w:rPr>
            </w:pPr>
            <w:r>
              <w:rPr>
                <w:rFonts w:ascii="Arial" w:cs="Arial" w:eastAsia="Arial" w:hAnsi="Arial"/>
                <w:sz w:val="17"/>
                <w:szCs w:val="17"/>
                <w:color w:val="auto"/>
                <w:w w:val="84"/>
              </w:rPr>
              <w:t>$</w:t>
            </w:r>
          </w:p>
        </w:tc>
        <w:tc>
          <w:tcPr>
            <w:tcW w:w="1300" w:type="dxa"/>
            <w:vAlign w:val="bottom"/>
          </w:tcPr>
          <w:p>
            <w:pPr>
              <w:ind w:left="680"/>
              <w:spacing w:after="0"/>
              <w:rPr>
                <w:sz w:val="20"/>
                <w:szCs w:val="20"/>
                <w:color w:val="auto"/>
              </w:rPr>
            </w:pPr>
            <w:r>
              <w:rPr>
                <w:rFonts w:ascii="Arial" w:cs="Arial" w:eastAsia="Arial" w:hAnsi="Arial"/>
                <w:sz w:val="17"/>
                <w:szCs w:val="17"/>
                <w:color w:val="auto"/>
              </w:rPr>
              <w:t>12,070</w:t>
            </w:r>
          </w:p>
        </w:tc>
        <w:tc>
          <w:tcPr>
            <w:tcW w:w="100" w:type="dxa"/>
            <w:vAlign w:val="bottom"/>
          </w:tcPr>
          <w:p>
            <w:pPr>
              <w:spacing w:after="0"/>
              <w:rPr>
                <w:sz w:val="19"/>
                <w:szCs w:val="19"/>
                <w:color w:val="auto"/>
              </w:rPr>
            </w:pPr>
          </w:p>
        </w:tc>
        <w:tc>
          <w:tcPr>
            <w:tcW w:w="220" w:type="dxa"/>
            <w:vAlign w:val="bottom"/>
          </w:tcPr>
          <w:p>
            <w:pPr>
              <w:jc w:val="right"/>
              <w:ind w:right="35"/>
              <w:spacing w:after="0"/>
              <w:rPr>
                <w:sz w:val="20"/>
                <w:szCs w:val="20"/>
                <w:color w:val="auto"/>
              </w:rPr>
            </w:pPr>
            <w:r>
              <w:rPr>
                <w:rFonts w:ascii="Arial" w:cs="Arial" w:eastAsia="Arial" w:hAnsi="Arial"/>
                <w:sz w:val="17"/>
                <w:szCs w:val="17"/>
                <w:color w:val="auto"/>
                <w:w w:val="84"/>
              </w:rPr>
              <w:t>$</w:t>
            </w:r>
          </w:p>
        </w:tc>
        <w:tc>
          <w:tcPr>
            <w:tcW w:w="1360" w:type="dxa"/>
            <w:vAlign w:val="bottom"/>
          </w:tcPr>
          <w:p>
            <w:pPr>
              <w:jc w:val="right"/>
              <w:ind w:right="75"/>
              <w:spacing w:after="0"/>
              <w:rPr>
                <w:sz w:val="20"/>
                <w:szCs w:val="20"/>
                <w:color w:val="auto"/>
              </w:rPr>
            </w:pPr>
            <w:r>
              <w:rPr>
                <w:rFonts w:ascii="Arial" w:cs="Arial" w:eastAsia="Arial" w:hAnsi="Arial"/>
                <w:sz w:val="17"/>
                <w:szCs w:val="17"/>
                <w:color w:val="auto"/>
              </w:rPr>
              <w:t>7,606</w:t>
            </w:r>
          </w:p>
        </w:tc>
      </w:tr>
      <w:tr>
        <w:trPr>
          <w:trHeight w:val="31"/>
        </w:trPr>
        <w:tc>
          <w:tcPr>
            <w:tcW w:w="79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6"/>
        </w:trPr>
        <w:tc>
          <w:tcPr>
            <w:tcW w:w="7920" w:type="dxa"/>
            <w:vAlign w:val="bottom"/>
            <w:tcBorders>
              <w:bottom w:val="single" w:sz="8" w:color="CCEEFF"/>
            </w:tcBorders>
            <w:shd w:val="clear" w:color="auto" w:fill="CCEEFF"/>
          </w:tcPr>
          <w:p>
            <w:pPr>
              <w:ind w:left="100"/>
              <w:spacing w:after="0"/>
              <w:rPr>
                <w:sz w:val="20"/>
                <w:szCs w:val="20"/>
                <w:color w:val="auto"/>
              </w:rPr>
            </w:pPr>
            <w:r>
              <w:rPr>
                <w:rFonts w:ascii="Arial" w:cs="Arial" w:eastAsia="Arial" w:hAnsi="Arial"/>
                <w:sz w:val="17"/>
                <w:szCs w:val="17"/>
                <w:color w:val="auto"/>
              </w:rPr>
              <w:t>Restricted cash (See Note 4 for further discussion on restrictions)</w:t>
            </w:r>
          </w:p>
        </w:tc>
        <w:tc>
          <w:tcPr>
            <w:tcW w:w="2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ind w:left="680"/>
              <w:spacing w:after="0"/>
              <w:rPr>
                <w:sz w:val="20"/>
                <w:szCs w:val="20"/>
                <w:color w:val="auto"/>
              </w:rPr>
            </w:pPr>
            <w:r>
              <w:rPr>
                <w:rFonts w:ascii="Arial" w:cs="Arial" w:eastAsia="Arial" w:hAnsi="Arial"/>
                <w:sz w:val="17"/>
                <w:szCs w:val="17"/>
                <w:color w:val="auto"/>
              </w:rPr>
              <w:t>54,859</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1360" w:type="dxa"/>
            <w:vAlign w:val="bottom"/>
            <w:tcBorders>
              <w:bottom w:val="single" w:sz="8" w:color="CCEEFF"/>
            </w:tcBorders>
            <w:shd w:val="clear" w:color="auto" w:fill="CCEEFF"/>
          </w:tcPr>
          <w:p>
            <w:pPr>
              <w:jc w:val="right"/>
              <w:ind w:right="75"/>
              <w:spacing w:after="0"/>
              <w:rPr>
                <w:sz w:val="20"/>
                <w:szCs w:val="20"/>
                <w:color w:val="auto"/>
              </w:rPr>
            </w:pPr>
            <w:r>
              <w:rPr>
                <w:rFonts w:ascii="Arial" w:cs="Arial" w:eastAsia="Arial" w:hAnsi="Arial"/>
                <w:sz w:val="17"/>
                <w:szCs w:val="17"/>
                <w:color w:val="auto"/>
              </w:rPr>
              <w:t>51,522</w:t>
            </w:r>
          </w:p>
        </w:tc>
      </w:tr>
      <w:tr>
        <w:trPr>
          <w:trHeight w:val="219"/>
        </w:trPr>
        <w:tc>
          <w:tcPr>
            <w:tcW w:w="7920" w:type="dxa"/>
            <w:vAlign w:val="bottom"/>
          </w:tcPr>
          <w:p>
            <w:pPr>
              <w:spacing w:after="0"/>
              <w:rPr>
                <w:sz w:val="20"/>
                <w:szCs w:val="20"/>
                <w:color w:val="auto"/>
              </w:rPr>
            </w:pPr>
            <w:r>
              <w:rPr>
                <w:rFonts w:ascii="Arial" w:cs="Arial" w:eastAsia="Arial" w:hAnsi="Arial"/>
                <w:sz w:val="17"/>
                <w:szCs w:val="17"/>
                <w:color w:val="auto"/>
              </w:rPr>
              <w:t>Total cash, cash equivalents and restricted cash shown in the statement of cash flows</w:t>
            </w:r>
          </w:p>
        </w:tc>
        <w:tc>
          <w:tcPr>
            <w:tcW w:w="280" w:type="dxa"/>
            <w:vAlign w:val="bottom"/>
            <w:tcBorders>
              <w:top w:val="single" w:sz="8" w:color="auto"/>
            </w:tcBorders>
          </w:tcPr>
          <w:p>
            <w:pPr>
              <w:jc w:val="right"/>
              <w:ind w:right="95"/>
              <w:spacing w:after="0"/>
              <w:rPr>
                <w:sz w:val="20"/>
                <w:szCs w:val="20"/>
                <w:color w:val="auto"/>
              </w:rPr>
            </w:pPr>
            <w:r>
              <w:rPr>
                <w:rFonts w:ascii="Arial" w:cs="Arial" w:eastAsia="Arial" w:hAnsi="Arial"/>
                <w:sz w:val="17"/>
                <w:szCs w:val="17"/>
                <w:color w:val="auto"/>
                <w:w w:val="84"/>
              </w:rPr>
              <w:t>$</w:t>
            </w:r>
          </w:p>
        </w:tc>
        <w:tc>
          <w:tcPr>
            <w:tcW w:w="1300" w:type="dxa"/>
            <w:vAlign w:val="bottom"/>
            <w:tcBorders>
              <w:top w:val="single" w:sz="8" w:color="auto"/>
            </w:tcBorders>
          </w:tcPr>
          <w:p>
            <w:pPr>
              <w:ind w:left="680"/>
              <w:spacing w:after="0"/>
              <w:rPr>
                <w:sz w:val="20"/>
                <w:szCs w:val="20"/>
                <w:color w:val="auto"/>
              </w:rPr>
            </w:pPr>
            <w:r>
              <w:rPr>
                <w:rFonts w:ascii="Arial" w:cs="Arial" w:eastAsia="Arial" w:hAnsi="Arial"/>
                <w:sz w:val="17"/>
                <w:szCs w:val="17"/>
                <w:color w:val="auto"/>
              </w:rPr>
              <w:t>66,929</w:t>
            </w:r>
          </w:p>
        </w:tc>
        <w:tc>
          <w:tcPr>
            <w:tcW w:w="100" w:type="dxa"/>
            <w:vAlign w:val="bottom"/>
          </w:tcPr>
          <w:p>
            <w:pPr>
              <w:spacing w:after="0"/>
              <w:rPr>
                <w:sz w:val="19"/>
                <w:szCs w:val="19"/>
                <w:color w:val="auto"/>
              </w:rPr>
            </w:pPr>
          </w:p>
        </w:tc>
        <w:tc>
          <w:tcPr>
            <w:tcW w:w="220" w:type="dxa"/>
            <w:vAlign w:val="bottom"/>
            <w:tcBorders>
              <w:top w:val="single" w:sz="8" w:color="auto"/>
            </w:tcBorders>
          </w:tcPr>
          <w:p>
            <w:pPr>
              <w:jc w:val="right"/>
              <w:ind w:right="35"/>
              <w:spacing w:after="0"/>
              <w:rPr>
                <w:sz w:val="20"/>
                <w:szCs w:val="20"/>
                <w:color w:val="auto"/>
              </w:rPr>
            </w:pPr>
            <w:r>
              <w:rPr>
                <w:rFonts w:ascii="Arial" w:cs="Arial" w:eastAsia="Arial" w:hAnsi="Arial"/>
                <w:sz w:val="17"/>
                <w:szCs w:val="17"/>
                <w:color w:val="auto"/>
                <w:w w:val="84"/>
              </w:rPr>
              <w:t>$</w:t>
            </w:r>
          </w:p>
        </w:tc>
        <w:tc>
          <w:tcPr>
            <w:tcW w:w="1360" w:type="dxa"/>
            <w:vAlign w:val="bottom"/>
            <w:tcBorders>
              <w:top w:val="single" w:sz="8" w:color="auto"/>
            </w:tcBorders>
          </w:tcPr>
          <w:p>
            <w:pPr>
              <w:jc w:val="right"/>
              <w:ind w:right="75"/>
              <w:spacing w:after="0"/>
              <w:rPr>
                <w:sz w:val="20"/>
                <w:szCs w:val="20"/>
                <w:color w:val="auto"/>
              </w:rPr>
            </w:pPr>
            <w:r>
              <w:rPr>
                <w:rFonts w:ascii="Arial" w:cs="Arial" w:eastAsia="Arial" w:hAnsi="Arial"/>
                <w:sz w:val="17"/>
                <w:szCs w:val="17"/>
                <w:color w:val="auto"/>
              </w:rPr>
              <w:t>59,128</w:t>
            </w:r>
          </w:p>
        </w:tc>
      </w:tr>
      <w:tr>
        <w:trPr>
          <w:trHeight w:val="1026"/>
        </w:trPr>
        <w:tc>
          <w:tcPr>
            <w:tcW w:w="79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980" w:type="dxa"/>
            <w:vAlign w:val="bottom"/>
            <w:gridSpan w:val="4"/>
          </w:tcPr>
          <w:p>
            <w:pPr>
              <w:ind w:left="680"/>
              <w:spacing w:after="0"/>
              <w:rPr>
                <w:sz w:val="20"/>
                <w:szCs w:val="20"/>
                <w:color w:val="auto"/>
              </w:rPr>
            </w:pPr>
            <w:r>
              <w:rPr>
                <w:rFonts w:ascii="Arial" w:cs="Arial" w:eastAsia="Arial" w:hAnsi="Arial"/>
                <w:sz w:val="17"/>
                <w:szCs w:val="17"/>
                <w:b w:val="1"/>
                <w:bCs w:val="1"/>
                <w:color w:val="auto"/>
              </w:rPr>
              <w:t>Six Months Ended</w:t>
            </w:r>
          </w:p>
        </w:tc>
      </w:tr>
      <w:tr>
        <w:trPr>
          <w:trHeight w:val="31"/>
        </w:trPr>
        <w:tc>
          <w:tcPr>
            <w:tcW w:w="792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19"/>
        </w:trPr>
        <w:tc>
          <w:tcPr>
            <w:tcW w:w="79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400" w:type="dxa"/>
            <w:vAlign w:val="bottom"/>
            <w:gridSpan w:val="2"/>
          </w:tcPr>
          <w:p>
            <w:pPr>
              <w:jc w:val="center"/>
              <w:ind w:right="400"/>
              <w:spacing w:after="0"/>
              <w:rPr>
                <w:sz w:val="20"/>
                <w:szCs w:val="20"/>
                <w:color w:val="auto"/>
              </w:rPr>
            </w:pPr>
            <w:r>
              <w:rPr>
                <w:rFonts w:ascii="Arial" w:cs="Arial" w:eastAsia="Arial" w:hAnsi="Arial"/>
                <w:sz w:val="17"/>
                <w:szCs w:val="17"/>
                <w:b w:val="1"/>
                <w:bCs w:val="1"/>
                <w:color w:val="auto"/>
                <w:w w:val="88"/>
              </w:rPr>
              <w:t>June 30,</w:t>
            </w:r>
          </w:p>
        </w:tc>
        <w:tc>
          <w:tcPr>
            <w:tcW w:w="220" w:type="dxa"/>
            <w:vAlign w:val="bottom"/>
          </w:tcPr>
          <w:p>
            <w:pPr>
              <w:spacing w:after="0"/>
              <w:rPr>
                <w:sz w:val="19"/>
                <w:szCs w:val="19"/>
                <w:color w:val="auto"/>
              </w:rPr>
            </w:pPr>
          </w:p>
        </w:tc>
        <w:tc>
          <w:tcPr>
            <w:tcW w:w="1360" w:type="dxa"/>
            <w:vAlign w:val="bottom"/>
          </w:tcPr>
          <w:p>
            <w:pPr>
              <w:jc w:val="center"/>
              <w:ind w:right="135"/>
              <w:spacing w:after="0"/>
              <w:rPr>
                <w:sz w:val="20"/>
                <w:szCs w:val="20"/>
                <w:color w:val="auto"/>
              </w:rPr>
            </w:pPr>
            <w:r>
              <w:rPr>
                <w:rFonts w:ascii="Arial" w:cs="Arial" w:eastAsia="Arial" w:hAnsi="Arial"/>
                <w:sz w:val="17"/>
                <w:szCs w:val="17"/>
                <w:b w:val="1"/>
                <w:bCs w:val="1"/>
                <w:color w:val="auto"/>
                <w:w w:val="91"/>
              </w:rPr>
              <w:t>June 30,</w:t>
            </w:r>
          </w:p>
        </w:tc>
      </w:tr>
    </w:tbl>
    <w:p>
      <w:pPr>
        <w:sectPr>
          <w:pgSz w:w="11900" w:h="16914" w:orient="portrait"/>
          <w:cols w:equalWidth="0" w:num="1">
            <w:col w:w="11180"/>
          </w:cols>
          <w:pgMar w:left="360" w:top="949" w:right="359" w:bottom="0" w:gutter="0" w:footer="0" w:header="0"/>
        </w:sectPr>
      </w:pPr>
    </w:p>
    <w:bookmarkStart w:id="7" w:name="page8"/>
    <w:bookmarkEnd w:id="7"/>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0"/>
        </w:trPr>
        <w:tc>
          <w:tcPr>
            <w:tcW w:w="79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220" w:type="dxa"/>
            <w:vAlign w:val="bottom"/>
          </w:tcPr>
          <w:p>
            <w:pPr>
              <w:jc w:val="right"/>
              <w:ind w:right="535"/>
              <w:spacing w:after="0"/>
              <w:rPr>
                <w:sz w:val="20"/>
                <w:szCs w:val="20"/>
                <w:color w:val="auto"/>
              </w:rPr>
            </w:pPr>
            <w:r>
              <w:rPr>
                <w:rFonts w:ascii="Arial" w:cs="Arial" w:eastAsia="Arial" w:hAnsi="Arial"/>
                <w:sz w:val="17"/>
                <w:szCs w:val="17"/>
                <w:b w:val="1"/>
                <w:bCs w:val="1"/>
                <w:color w:val="auto"/>
              </w:rPr>
              <w:t>2020</w:t>
            </w:r>
          </w:p>
        </w:tc>
        <w:tc>
          <w:tcPr>
            <w:tcW w:w="1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220" w:type="dxa"/>
            <w:vAlign w:val="bottom"/>
          </w:tcPr>
          <w:p>
            <w:pPr>
              <w:jc w:val="right"/>
              <w:ind w:right="535"/>
              <w:spacing w:after="0"/>
              <w:rPr>
                <w:sz w:val="20"/>
                <w:szCs w:val="20"/>
                <w:color w:val="auto"/>
              </w:rPr>
            </w:pPr>
            <w:r>
              <w:rPr>
                <w:rFonts w:ascii="Arial" w:cs="Arial" w:eastAsia="Arial" w:hAnsi="Arial"/>
                <w:sz w:val="17"/>
                <w:szCs w:val="17"/>
                <w:b w:val="1"/>
                <w:bCs w:val="1"/>
                <w:color w:val="auto"/>
              </w:rPr>
              <w:t>2019</w:t>
            </w:r>
          </w:p>
        </w:tc>
      </w:tr>
      <w:tr>
        <w:trPr>
          <w:trHeight w:val="31"/>
        </w:trPr>
        <w:tc>
          <w:tcPr>
            <w:tcW w:w="79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30"/>
        </w:trPr>
        <w:tc>
          <w:tcPr>
            <w:tcW w:w="79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7"/>
                <w:szCs w:val="17"/>
                <w:color w:val="auto"/>
              </w:rPr>
              <w:t>Supplemental disclosure of cash flow information:</w:t>
            </w:r>
          </w:p>
        </w:tc>
        <w:tc>
          <w:tcPr>
            <w:tcW w:w="36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shd w:val="clear" w:color="auto" w:fill="CCEEFF"/>
          </w:tcPr>
          <w:p>
            <w:pPr>
              <w:spacing w:after="0"/>
              <w:rPr>
                <w:sz w:val="20"/>
                <w:szCs w:val="20"/>
                <w:color w:val="auto"/>
              </w:rPr>
            </w:pPr>
          </w:p>
        </w:tc>
      </w:tr>
      <w:tr>
        <w:trPr>
          <w:trHeight w:val="225"/>
        </w:trPr>
        <w:tc>
          <w:tcPr>
            <w:tcW w:w="7920" w:type="dxa"/>
            <w:vAlign w:val="bottom"/>
          </w:tcPr>
          <w:p>
            <w:pPr>
              <w:ind w:left="200"/>
              <w:spacing w:after="0"/>
              <w:rPr>
                <w:sz w:val="20"/>
                <w:szCs w:val="20"/>
                <w:color w:val="auto"/>
              </w:rPr>
            </w:pPr>
            <w:r>
              <w:rPr>
                <w:rFonts w:ascii="Arial" w:cs="Arial" w:eastAsia="Arial" w:hAnsi="Arial"/>
                <w:sz w:val="17"/>
                <w:szCs w:val="17"/>
                <w:color w:val="auto"/>
              </w:rPr>
              <w:t>Cash paid for interest</w:t>
            </w:r>
          </w:p>
        </w:tc>
        <w:tc>
          <w:tcPr>
            <w:tcW w:w="360" w:type="dxa"/>
            <w:vAlign w:val="bottom"/>
          </w:tcPr>
          <w:p>
            <w:pPr>
              <w:jc w:val="right"/>
              <w:ind w:right="175"/>
              <w:spacing w:after="0"/>
              <w:rPr>
                <w:sz w:val="20"/>
                <w:szCs w:val="20"/>
                <w:color w:val="auto"/>
              </w:rPr>
            </w:pPr>
            <w:r>
              <w:rPr>
                <w:rFonts w:ascii="Arial" w:cs="Arial" w:eastAsia="Arial" w:hAnsi="Arial"/>
                <w:sz w:val="17"/>
                <w:szCs w:val="17"/>
                <w:color w:val="auto"/>
                <w:w w:val="84"/>
              </w:rPr>
              <w:t>$</w:t>
            </w:r>
          </w:p>
        </w:tc>
        <w:tc>
          <w:tcPr>
            <w:tcW w:w="1220" w:type="dxa"/>
            <w:vAlign w:val="bottom"/>
          </w:tcPr>
          <w:p>
            <w:pPr>
              <w:jc w:val="right"/>
              <w:ind w:right="75"/>
              <w:spacing w:after="0"/>
              <w:rPr>
                <w:sz w:val="20"/>
                <w:szCs w:val="20"/>
                <w:color w:val="auto"/>
              </w:rPr>
            </w:pPr>
            <w:r>
              <w:rPr>
                <w:rFonts w:ascii="Arial" w:cs="Arial" w:eastAsia="Arial" w:hAnsi="Arial"/>
                <w:sz w:val="17"/>
                <w:szCs w:val="17"/>
                <w:color w:val="auto"/>
              </w:rPr>
              <w:t>5,971</w:t>
            </w:r>
          </w:p>
        </w:tc>
        <w:tc>
          <w:tcPr>
            <w:tcW w:w="100" w:type="dxa"/>
            <w:vAlign w:val="bottom"/>
          </w:tcPr>
          <w:p>
            <w:pPr>
              <w:spacing w:after="0"/>
              <w:rPr>
                <w:sz w:val="19"/>
                <w:szCs w:val="19"/>
                <w:color w:val="auto"/>
              </w:rPr>
            </w:pPr>
          </w:p>
        </w:tc>
        <w:tc>
          <w:tcPr>
            <w:tcW w:w="360" w:type="dxa"/>
            <w:vAlign w:val="bottom"/>
          </w:tcPr>
          <w:p>
            <w:pPr>
              <w:jc w:val="right"/>
              <w:ind w:right="175"/>
              <w:spacing w:after="0"/>
              <w:rPr>
                <w:sz w:val="20"/>
                <w:szCs w:val="20"/>
                <w:color w:val="auto"/>
              </w:rPr>
            </w:pPr>
            <w:r>
              <w:rPr>
                <w:rFonts w:ascii="Arial" w:cs="Arial" w:eastAsia="Arial" w:hAnsi="Arial"/>
                <w:sz w:val="17"/>
                <w:szCs w:val="17"/>
                <w:color w:val="auto"/>
                <w:w w:val="84"/>
              </w:rPr>
              <w:t>$</w:t>
            </w:r>
          </w:p>
        </w:tc>
        <w:tc>
          <w:tcPr>
            <w:tcW w:w="1220" w:type="dxa"/>
            <w:vAlign w:val="bottom"/>
          </w:tcPr>
          <w:p>
            <w:pPr>
              <w:jc w:val="right"/>
              <w:ind w:right="75"/>
              <w:spacing w:after="0"/>
              <w:rPr>
                <w:sz w:val="20"/>
                <w:szCs w:val="20"/>
                <w:color w:val="auto"/>
              </w:rPr>
            </w:pPr>
            <w:r>
              <w:rPr>
                <w:rFonts w:ascii="Arial" w:cs="Arial" w:eastAsia="Arial" w:hAnsi="Arial"/>
                <w:sz w:val="17"/>
                <w:szCs w:val="17"/>
                <w:color w:val="auto"/>
              </w:rPr>
              <w:t>12,882</w:t>
            </w:r>
          </w:p>
        </w:tc>
      </w:tr>
      <w:tr>
        <w:trPr>
          <w:trHeight w:val="31"/>
        </w:trPr>
        <w:tc>
          <w:tcPr>
            <w:tcW w:w="79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6"/>
        </w:trPr>
        <w:tc>
          <w:tcPr>
            <w:tcW w:w="7920" w:type="dxa"/>
            <w:vAlign w:val="bottom"/>
            <w:shd w:val="clear" w:color="auto" w:fill="CCEEFF"/>
          </w:tcPr>
          <w:p>
            <w:pPr>
              <w:spacing w:after="0"/>
              <w:rPr>
                <w:sz w:val="22"/>
                <w:szCs w:val="22"/>
                <w:color w:val="auto"/>
              </w:rPr>
            </w:pPr>
          </w:p>
        </w:tc>
        <w:tc>
          <w:tcPr>
            <w:tcW w:w="360" w:type="dxa"/>
            <w:vAlign w:val="bottom"/>
            <w:shd w:val="clear" w:color="auto" w:fill="CCEEFF"/>
          </w:tcPr>
          <w:p>
            <w:pPr>
              <w:spacing w:after="0"/>
              <w:rPr>
                <w:sz w:val="22"/>
                <w:szCs w:val="22"/>
                <w:color w:val="auto"/>
              </w:rPr>
            </w:pPr>
          </w:p>
        </w:tc>
        <w:tc>
          <w:tcPr>
            <w:tcW w:w="12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360" w:type="dxa"/>
            <w:vAlign w:val="bottom"/>
            <w:shd w:val="clear" w:color="auto" w:fill="CCEEFF"/>
          </w:tcPr>
          <w:p>
            <w:pPr>
              <w:spacing w:after="0"/>
              <w:rPr>
                <w:sz w:val="22"/>
                <w:szCs w:val="22"/>
                <w:color w:val="auto"/>
              </w:rPr>
            </w:pPr>
          </w:p>
        </w:tc>
        <w:tc>
          <w:tcPr>
            <w:tcW w:w="1220" w:type="dxa"/>
            <w:vAlign w:val="bottom"/>
            <w:shd w:val="clear" w:color="auto" w:fill="CCEEFF"/>
          </w:tcPr>
          <w:p>
            <w:pPr>
              <w:spacing w:after="0"/>
              <w:rPr>
                <w:sz w:val="22"/>
                <w:szCs w:val="22"/>
                <w:color w:val="auto"/>
              </w:rPr>
            </w:pPr>
          </w:p>
        </w:tc>
      </w:tr>
      <w:tr>
        <w:trPr>
          <w:trHeight w:val="226"/>
        </w:trPr>
        <w:tc>
          <w:tcPr>
            <w:tcW w:w="7920" w:type="dxa"/>
            <w:vAlign w:val="bottom"/>
          </w:tcPr>
          <w:p>
            <w:pPr>
              <w:spacing w:after="0"/>
              <w:rPr>
                <w:sz w:val="20"/>
                <w:szCs w:val="20"/>
                <w:color w:val="auto"/>
              </w:rPr>
            </w:pPr>
            <w:r>
              <w:rPr>
                <w:rFonts w:ascii="Arial" w:cs="Arial" w:eastAsia="Arial" w:hAnsi="Arial"/>
                <w:sz w:val="17"/>
                <w:szCs w:val="17"/>
                <w:color w:val="auto"/>
              </w:rPr>
              <w:t>Supplemental disclosure of non-cash financing and investing activities:</w:t>
            </w:r>
          </w:p>
        </w:tc>
        <w:tc>
          <w:tcPr>
            <w:tcW w:w="36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220" w:type="dxa"/>
            <w:vAlign w:val="bottom"/>
          </w:tcPr>
          <w:p>
            <w:pPr>
              <w:spacing w:after="0"/>
              <w:rPr>
                <w:sz w:val="19"/>
                <w:szCs w:val="19"/>
                <w:color w:val="auto"/>
              </w:rPr>
            </w:pPr>
          </w:p>
        </w:tc>
      </w:tr>
      <w:tr>
        <w:trPr>
          <w:trHeight w:val="31"/>
        </w:trPr>
        <w:tc>
          <w:tcPr>
            <w:tcW w:w="79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37"/>
        </w:trPr>
        <w:tc>
          <w:tcPr>
            <w:tcW w:w="792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7"/>
                <w:szCs w:val="17"/>
                <w:color w:val="auto"/>
              </w:rPr>
              <w:t>Increase in capitalized accrued interest for second-generation network costs</w:t>
            </w:r>
          </w:p>
        </w:tc>
        <w:tc>
          <w:tcPr>
            <w:tcW w:w="360" w:type="dxa"/>
            <w:vAlign w:val="bottom"/>
            <w:tcBorders>
              <w:bottom w:val="single" w:sz="8" w:color="CCEEFF"/>
            </w:tcBorders>
            <w:shd w:val="clear" w:color="auto" w:fill="CCEEFF"/>
          </w:tcPr>
          <w:p>
            <w:pPr>
              <w:jc w:val="right"/>
              <w:ind w:right="175"/>
              <w:spacing w:after="0"/>
              <w:rPr>
                <w:sz w:val="20"/>
                <w:szCs w:val="20"/>
                <w:color w:val="auto"/>
              </w:rPr>
            </w:pPr>
            <w:r>
              <w:rPr>
                <w:rFonts w:ascii="Arial" w:cs="Arial" w:eastAsia="Arial" w:hAnsi="Arial"/>
                <w:sz w:val="17"/>
                <w:szCs w:val="17"/>
                <w:color w:val="auto"/>
                <w:w w:val="84"/>
              </w:rPr>
              <w:t>$</w:t>
            </w:r>
          </w:p>
        </w:tc>
        <w:tc>
          <w:tcPr>
            <w:tcW w:w="1220" w:type="dxa"/>
            <w:vAlign w:val="bottom"/>
            <w:tcBorders>
              <w:bottom w:val="single" w:sz="8" w:color="CCEEFF"/>
            </w:tcBorders>
            <w:shd w:val="clear" w:color="auto" w:fill="CCEEFF"/>
          </w:tcPr>
          <w:p>
            <w:pPr>
              <w:jc w:val="right"/>
              <w:ind w:right="75"/>
              <w:spacing w:after="0"/>
              <w:rPr>
                <w:sz w:val="20"/>
                <w:szCs w:val="20"/>
                <w:color w:val="auto"/>
              </w:rPr>
            </w:pPr>
            <w:r>
              <w:rPr>
                <w:rFonts w:ascii="Arial" w:cs="Arial" w:eastAsia="Arial" w:hAnsi="Arial"/>
                <w:sz w:val="17"/>
                <w:szCs w:val="17"/>
                <w:color w:val="auto"/>
              </w:rPr>
              <w:t>792</w:t>
            </w:r>
          </w:p>
        </w:tc>
        <w:tc>
          <w:tcPr>
            <w:tcW w:w="10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jc w:val="right"/>
              <w:ind w:right="175"/>
              <w:spacing w:after="0"/>
              <w:rPr>
                <w:sz w:val="20"/>
                <w:szCs w:val="20"/>
                <w:color w:val="auto"/>
              </w:rPr>
            </w:pPr>
            <w:r>
              <w:rPr>
                <w:rFonts w:ascii="Arial" w:cs="Arial" w:eastAsia="Arial" w:hAnsi="Arial"/>
                <w:sz w:val="17"/>
                <w:szCs w:val="17"/>
                <w:color w:val="auto"/>
                <w:w w:val="84"/>
              </w:rPr>
              <w:t>$</w:t>
            </w:r>
          </w:p>
        </w:tc>
        <w:tc>
          <w:tcPr>
            <w:tcW w:w="1220" w:type="dxa"/>
            <w:vAlign w:val="bottom"/>
            <w:tcBorders>
              <w:bottom w:val="single" w:sz="8" w:color="CCEEFF"/>
            </w:tcBorders>
            <w:shd w:val="clear" w:color="auto" w:fill="CCEEFF"/>
          </w:tcPr>
          <w:p>
            <w:pPr>
              <w:jc w:val="right"/>
              <w:ind w:right="75"/>
              <w:spacing w:after="0"/>
              <w:rPr>
                <w:sz w:val="20"/>
                <w:szCs w:val="20"/>
                <w:color w:val="auto"/>
              </w:rPr>
            </w:pPr>
            <w:r>
              <w:rPr>
                <w:rFonts w:ascii="Arial" w:cs="Arial" w:eastAsia="Arial" w:hAnsi="Arial"/>
                <w:sz w:val="17"/>
                <w:szCs w:val="17"/>
                <w:color w:val="auto"/>
              </w:rPr>
              <w:t>208</w:t>
            </w:r>
          </w:p>
        </w:tc>
      </w:tr>
      <w:tr>
        <w:trPr>
          <w:trHeight w:val="226"/>
        </w:trPr>
        <w:tc>
          <w:tcPr>
            <w:tcW w:w="7920" w:type="dxa"/>
            <w:vAlign w:val="bottom"/>
          </w:tcPr>
          <w:p>
            <w:pPr>
              <w:ind w:left="200"/>
              <w:spacing w:after="0"/>
              <w:rPr>
                <w:sz w:val="20"/>
                <w:szCs w:val="20"/>
                <w:color w:val="auto"/>
              </w:rPr>
            </w:pPr>
            <w:r>
              <w:rPr>
                <w:rFonts w:ascii="Arial" w:cs="Arial" w:eastAsia="Arial" w:hAnsi="Arial"/>
                <w:sz w:val="17"/>
                <w:szCs w:val="17"/>
                <w:color w:val="auto"/>
              </w:rPr>
              <w:t>Capitalized accretion of debt discount and amortization of prepaid financing costs</w:t>
            </w:r>
          </w:p>
        </w:tc>
        <w:tc>
          <w:tcPr>
            <w:tcW w:w="360" w:type="dxa"/>
            <w:vAlign w:val="bottom"/>
          </w:tcPr>
          <w:p>
            <w:pPr>
              <w:spacing w:after="0"/>
              <w:rPr>
                <w:sz w:val="19"/>
                <w:szCs w:val="19"/>
                <w:color w:val="auto"/>
              </w:rPr>
            </w:pPr>
          </w:p>
        </w:tc>
        <w:tc>
          <w:tcPr>
            <w:tcW w:w="1220" w:type="dxa"/>
            <w:vAlign w:val="bottom"/>
          </w:tcPr>
          <w:p>
            <w:pPr>
              <w:jc w:val="right"/>
              <w:ind w:right="75"/>
              <w:spacing w:after="0"/>
              <w:rPr>
                <w:sz w:val="20"/>
                <w:szCs w:val="20"/>
                <w:color w:val="auto"/>
              </w:rPr>
            </w:pPr>
            <w:r>
              <w:rPr>
                <w:rFonts w:ascii="Arial" w:cs="Arial" w:eastAsia="Arial" w:hAnsi="Arial"/>
                <w:sz w:val="17"/>
                <w:szCs w:val="17"/>
                <w:color w:val="auto"/>
              </w:rPr>
              <w:t>223</w:t>
            </w:r>
          </w:p>
        </w:tc>
        <w:tc>
          <w:tcPr>
            <w:tcW w:w="1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220" w:type="dxa"/>
            <w:vAlign w:val="bottom"/>
          </w:tcPr>
          <w:p>
            <w:pPr>
              <w:jc w:val="right"/>
              <w:ind w:right="75"/>
              <w:spacing w:after="0"/>
              <w:rPr>
                <w:sz w:val="20"/>
                <w:szCs w:val="20"/>
                <w:color w:val="auto"/>
              </w:rPr>
            </w:pPr>
            <w:r>
              <w:rPr>
                <w:rFonts w:ascii="Arial" w:cs="Arial" w:eastAsia="Arial" w:hAnsi="Arial"/>
                <w:sz w:val="17"/>
                <w:szCs w:val="17"/>
                <w:color w:val="auto"/>
              </w:rPr>
              <w:t>165</w:t>
            </w:r>
          </w:p>
        </w:tc>
      </w:tr>
      <w:tr>
        <w:trPr>
          <w:trHeight w:val="31"/>
        </w:trPr>
        <w:tc>
          <w:tcPr>
            <w:tcW w:w="79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37"/>
        </w:trPr>
        <w:tc>
          <w:tcPr>
            <w:tcW w:w="792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7"/>
                <w:szCs w:val="17"/>
                <w:color w:val="auto"/>
              </w:rPr>
              <w:t>Principal amount of Loan Agreement with Thermo converted into common stock</w:t>
            </w:r>
          </w:p>
        </w:tc>
        <w:tc>
          <w:tcPr>
            <w:tcW w:w="36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shd w:val="clear" w:color="auto" w:fill="CCEEFF"/>
          </w:tcPr>
          <w:p>
            <w:pPr>
              <w:jc w:val="right"/>
              <w:ind w:right="75"/>
              <w:spacing w:after="0"/>
              <w:rPr>
                <w:sz w:val="20"/>
                <w:szCs w:val="20"/>
                <w:color w:val="auto"/>
              </w:rPr>
            </w:pPr>
            <w:r>
              <w:rPr>
                <w:rFonts w:ascii="Arial" w:cs="Arial" w:eastAsia="Arial" w:hAnsi="Arial"/>
                <w:sz w:val="17"/>
                <w:szCs w:val="17"/>
                <w:color w:val="auto"/>
              </w:rPr>
              <w:t>137,366</w:t>
            </w:r>
          </w:p>
        </w:tc>
        <w:tc>
          <w:tcPr>
            <w:tcW w:w="10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shd w:val="clear" w:color="auto" w:fill="CCEEFF"/>
          </w:tcPr>
          <w:p>
            <w:pPr>
              <w:jc w:val="right"/>
              <w:ind w:right="75"/>
              <w:spacing w:after="0"/>
              <w:rPr>
                <w:sz w:val="20"/>
                <w:szCs w:val="20"/>
                <w:color w:val="auto"/>
              </w:rPr>
            </w:pPr>
            <w:r>
              <w:rPr>
                <w:rFonts w:ascii="Arial" w:cs="Arial" w:eastAsia="Arial" w:hAnsi="Arial"/>
                <w:sz w:val="17"/>
                <w:szCs w:val="17"/>
                <w:color w:val="auto"/>
              </w:rPr>
              <w:t>—</w:t>
            </w:r>
          </w:p>
        </w:tc>
      </w:tr>
      <w:tr>
        <w:trPr>
          <w:trHeight w:val="225"/>
        </w:trPr>
        <w:tc>
          <w:tcPr>
            <w:tcW w:w="7920" w:type="dxa"/>
            <w:vAlign w:val="bottom"/>
          </w:tcPr>
          <w:p>
            <w:pPr>
              <w:ind w:left="200"/>
              <w:spacing w:after="0"/>
              <w:rPr>
                <w:sz w:val="20"/>
                <w:szCs w:val="20"/>
                <w:color w:val="auto"/>
              </w:rPr>
            </w:pPr>
            <w:r>
              <w:rPr>
                <w:rFonts w:ascii="Arial" w:cs="Arial" w:eastAsia="Arial" w:hAnsi="Arial"/>
                <w:sz w:val="17"/>
                <w:szCs w:val="17"/>
                <w:color w:val="auto"/>
              </w:rPr>
              <w:t>Reduction of debt discount and issuance costs due to conversion of Loan Agreement with Thermo</w:t>
            </w:r>
          </w:p>
        </w:tc>
        <w:tc>
          <w:tcPr>
            <w:tcW w:w="360" w:type="dxa"/>
            <w:vAlign w:val="bottom"/>
          </w:tcPr>
          <w:p>
            <w:pPr>
              <w:spacing w:after="0"/>
              <w:rPr>
                <w:sz w:val="19"/>
                <w:szCs w:val="19"/>
                <w:color w:val="auto"/>
              </w:rPr>
            </w:pPr>
          </w:p>
        </w:tc>
        <w:tc>
          <w:tcPr>
            <w:tcW w:w="1220" w:type="dxa"/>
            <w:vAlign w:val="bottom"/>
          </w:tcPr>
          <w:p>
            <w:pPr>
              <w:jc w:val="right"/>
              <w:ind w:right="75"/>
              <w:spacing w:after="0"/>
              <w:rPr>
                <w:sz w:val="20"/>
                <w:szCs w:val="20"/>
                <w:color w:val="auto"/>
              </w:rPr>
            </w:pPr>
            <w:r>
              <w:rPr>
                <w:rFonts w:ascii="Arial" w:cs="Arial" w:eastAsia="Arial" w:hAnsi="Arial"/>
                <w:sz w:val="17"/>
                <w:szCs w:val="17"/>
                <w:color w:val="auto"/>
              </w:rPr>
              <w:t>17,963</w:t>
            </w:r>
          </w:p>
        </w:tc>
        <w:tc>
          <w:tcPr>
            <w:tcW w:w="1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220" w:type="dxa"/>
            <w:vAlign w:val="bottom"/>
          </w:tcPr>
          <w:p>
            <w:pPr>
              <w:jc w:val="right"/>
              <w:ind w:right="75"/>
              <w:spacing w:after="0"/>
              <w:rPr>
                <w:sz w:val="20"/>
                <w:szCs w:val="20"/>
                <w:color w:val="auto"/>
              </w:rPr>
            </w:pPr>
            <w:r>
              <w:rPr>
                <w:rFonts w:ascii="Arial" w:cs="Arial" w:eastAsia="Arial" w:hAnsi="Arial"/>
                <w:sz w:val="17"/>
                <w:szCs w:val="17"/>
                <w:color w:val="auto"/>
              </w:rPr>
              <w:t>—</w:t>
            </w:r>
          </w:p>
        </w:tc>
      </w:tr>
      <w:tr>
        <w:trPr>
          <w:trHeight w:val="31"/>
        </w:trPr>
        <w:tc>
          <w:tcPr>
            <w:tcW w:w="79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37"/>
        </w:trPr>
        <w:tc>
          <w:tcPr>
            <w:tcW w:w="792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7"/>
                <w:szCs w:val="17"/>
                <w:color w:val="auto"/>
              </w:rPr>
              <w:t>Fair value of common stock issued upon conversion of Loan Agreement with Thermo</w:t>
            </w:r>
          </w:p>
        </w:tc>
        <w:tc>
          <w:tcPr>
            <w:tcW w:w="36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shd w:val="clear" w:color="auto" w:fill="CCEEFF"/>
          </w:tcPr>
          <w:p>
            <w:pPr>
              <w:jc w:val="right"/>
              <w:ind w:right="75"/>
              <w:spacing w:after="0"/>
              <w:rPr>
                <w:sz w:val="20"/>
                <w:szCs w:val="20"/>
                <w:color w:val="auto"/>
              </w:rPr>
            </w:pPr>
            <w:r>
              <w:rPr>
                <w:rFonts w:ascii="Arial" w:cs="Arial" w:eastAsia="Arial" w:hAnsi="Arial"/>
                <w:sz w:val="17"/>
                <w:szCs w:val="17"/>
                <w:color w:val="auto"/>
              </w:rPr>
              <w:t>84,059</w:t>
            </w:r>
          </w:p>
        </w:tc>
        <w:tc>
          <w:tcPr>
            <w:tcW w:w="10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shd w:val="clear" w:color="auto" w:fill="CCEEFF"/>
          </w:tcPr>
          <w:p>
            <w:pPr>
              <w:jc w:val="right"/>
              <w:ind w:right="75"/>
              <w:spacing w:after="0"/>
              <w:rPr>
                <w:sz w:val="20"/>
                <w:szCs w:val="20"/>
                <w:color w:val="auto"/>
              </w:rPr>
            </w:pPr>
            <w:r>
              <w:rPr>
                <w:rFonts w:ascii="Arial" w:cs="Arial" w:eastAsia="Arial" w:hAnsi="Arial"/>
                <w:sz w:val="17"/>
                <w:szCs w:val="17"/>
                <w:color w:val="auto"/>
              </w:rPr>
              <w:t>—</w:t>
            </w:r>
          </w:p>
        </w:tc>
      </w:tr>
      <w:tr>
        <w:trPr>
          <w:trHeight w:val="226"/>
        </w:trPr>
        <w:tc>
          <w:tcPr>
            <w:tcW w:w="7920" w:type="dxa"/>
            <w:vAlign w:val="bottom"/>
          </w:tcPr>
          <w:p>
            <w:pPr>
              <w:ind w:left="200"/>
              <w:spacing w:after="0"/>
              <w:rPr>
                <w:sz w:val="20"/>
                <w:szCs w:val="20"/>
                <w:color w:val="auto"/>
              </w:rPr>
            </w:pPr>
            <w:r>
              <w:rPr>
                <w:rFonts w:ascii="Arial" w:cs="Arial" w:eastAsia="Arial" w:hAnsi="Arial"/>
                <w:sz w:val="17"/>
                <w:szCs w:val="17"/>
                <w:color w:val="auto"/>
              </w:rPr>
              <w:t>Reduction in derivative liability due to conversion of Loan Agreement with Thermo</w:t>
            </w:r>
          </w:p>
        </w:tc>
        <w:tc>
          <w:tcPr>
            <w:tcW w:w="360" w:type="dxa"/>
            <w:vAlign w:val="bottom"/>
          </w:tcPr>
          <w:p>
            <w:pPr>
              <w:spacing w:after="0"/>
              <w:rPr>
                <w:sz w:val="19"/>
                <w:szCs w:val="19"/>
                <w:color w:val="auto"/>
              </w:rPr>
            </w:pPr>
          </w:p>
        </w:tc>
        <w:tc>
          <w:tcPr>
            <w:tcW w:w="1220" w:type="dxa"/>
            <w:vAlign w:val="bottom"/>
          </w:tcPr>
          <w:p>
            <w:pPr>
              <w:jc w:val="right"/>
              <w:ind w:right="75"/>
              <w:spacing w:after="0"/>
              <w:rPr>
                <w:sz w:val="20"/>
                <w:szCs w:val="20"/>
                <w:color w:val="auto"/>
              </w:rPr>
            </w:pPr>
            <w:r>
              <w:rPr>
                <w:rFonts w:ascii="Arial" w:cs="Arial" w:eastAsia="Arial" w:hAnsi="Arial"/>
                <w:sz w:val="17"/>
                <w:szCs w:val="17"/>
                <w:color w:val="auto"/>
              </w:rPr>
              <w:t>1,058</w:t>
            </w:r>
          </w:p>
        </w:tc>
        <w:tc>
          <w:tcPr>
            <w:tcW w:w="1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220" w:type="dxa"/>
            <w:vAlign w:val="bottom"/>
          </w:tcPr>
          <w:p>
            <w:pPr>
              <w:jc w:val="right"/>
              <w:ind w:right="75"/>
              <w:spacing w:after="0"/>
              <w:rPr>
                <w:sz w:val="20"/>
                <w:szCs w:val="20"/>
                <w:color w:val="auto"/>
              </w:rPr>
            </w:pPr>
            <w:r>
              <w:rPr>
                <w:rFonts w:ascii="Arial" w:cs="Arial" w:eastAsia="Arial" w:hAnsi="Arial"/>
                <w:sz w:val="17"/>
                <w:szCs w:val="17"/>
                <w:color w:val="auto"/>
              </w:rPr>
              <w:t>—</w:t>
            </w:r>
          </w:p>
        </w:tc>
      </w:tr>
    </w:tbl>
    <w:p>
      <w:pPr>
        <w:spacing w:after="0" w:line="152"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See accompanying notes to unaudited interim condensed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83185</wp:posOffset>
            </wp:positionV>
            <wp:extent cx="7132320" cy="171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80"/>
          </w:cols>
          <w:pgMar w:left="360" w:top="118" w:right="359" w:bottom="1440" w:gutter="0" w:footer="0" w:header="0"/>
        </w:sectPr>
      </w:pPr>
    </w:p>
    <w:bookmarkStart w:id="8" w:name="page9"/>
    <w:bookmarkEnd w:id="8"/>
    <w:p>
      <w:pPr>
        <w:jc w:val="center"/>
        <w:ind w:right="80"/>
        <w:spacing w:after="0"/>
        <w:rPr>
          <w:sz w:val="20"/>
          <w:szCs w:val="20"/>
          <w:color w:val="auto"/>
        </w:rPr>
      </w:pPr>
      <w:r>
        <w:rPr>
          <w:rFonts w:ascii="Arial" w:cs="Arial" w:eastAsia="Arial" w:hAnsi="Arial"/>
          <w:sz w:val="18"/>
          <w:szCs w:val="18"/>
          <w:b w:val="1"/>
          <w:bCs w:val="1"/>
          <w:color w:val="auto"/>
        </w:rPr>
        <w:t>GLOBALSTAR, INC.</w:t>
      </w:r>
    </w:p>
    <w:p>
      <w:pPr>
        <w:spacing w:after="0" w:line="6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UNAUDITED INTERIM CONDENSED CONSOLIDATED FINANCIAL STATEMENTS</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BASIS OF PRESENTATION</w:t>
      </w:r>
    </w:p>
    <w:p>
      <w:pPr>
        <w:spacing w:after="0" w:line="256" w:lineRule="exact"/>
        <w:rPr>
          <w:sz w:val="20"/>
          <w:szCs w:val="20"/>
          <w:color w:val="auto"/>
        </w:rPr>
      </w:pPr>
    </w:p>
    <w:p>
      <w:pPr>
        <w:jc w:val="both"/>
        <w:ind w:firstLine="243"/>
        <w:spacing w:after="0" w:line="259" w:lineRule="auto"/>
        <w:rPr>
          <w:sz w:val="20"/>
          <w:szCs w:val="20"/>
          <w:color w:val="auto"/>
        </w:rPr>
      </w:pPr>
      <w:r>
        <w:rPr>
          <w:rFonts w:ascii="Arial" w:cs="Arial" w:eastAsia="Arial" w:hAnsi="Arial"/>
          <w:sz w:val="18"/>
          <w:szCs w:val="18"/>
          <w:color w:val="auto"/>
        </w:rPr>
        <w:t>Globalstar, Inc. (“Globalstar” or the “Company”) provides Mobile Satellite Services (“MSS”) including voice and data communications services through its global satellite network. Thermo Companies, through commonly controlled affiliates, (collectively, “Thermo”) is the principal owner and largest stockholder of Globalstar. The Company’s Executive Chairman of the Board controls Thermo. Two other members of the Company's Board of Directors are also directors, officers or minority equity owners of various Thermo entities.</w:t>
      </w:r>
    </w:p>
    <w:p>
      <w:pPr>
        <w:spacing w:after="0" w:line="214" w:lineRule="exact"/>
        <w:rPr>
          <w:sz w:val="20"/>
          <w:szCs w:val="20"/>
          <w:color w:val="auto"/>
        </w:rPr>
      </w:pPr>
    </w:p>
    <w:p>
      <w:pPr>
        <w:jc w:val="both"/>
        <w:ind w:firstLine="243"/>
        <w:spacing w:after="0" w:line="293" w:lineRule="auto"/>
        <w:rPr>
          <w:sz w:val="20"/>
          <w:szCs w:val="20"/>
          <w:color w:val="auto"/>
        </w:rPr>
      </w:pPr>
      <w:r>
        <w:rPr>
          <w:rFonts w:ascii="Arial" w:cs="Arial" w:eastAsia="Arial" w:hAnsi="Arial"/>
          <w:sz w:val="16"/>
          <w:szCs w:val="16"/>
          <w:color w:val="auto"/>
        </w:rPr>
        <w:t>The Company has prepared the accompanying unaudited interim condensed consolidated financial statements in accordance with generally accepted accounting principles in the United States of America (“U.S. GAAP”) for interim financial information. Certain information and footnote disclosures normally included in financial statements have been condensed or omitted pursuant to the rules and regulations of the Securities and Exchange Commission (the “SEC”); however, management believes the disclosures made are adequate to make the information presented not misleading. These financial statements and notes should be read in conjunction with the consolidated financial statements and notes thereto included in the Globalstar Annual Report on Form 10-K for the year ended December 31, 2019, as filed with the SEC on February 28, 2020 (the “2019 Annual Report”).</w:t>
      </w:r>
    </w:p>
    <w:p>
      <w:pPr>
        <w:spacing w:after="0" w:line="191" w:lineRule="exact"/>
        <w:rPr>
          <w:sz w:val="20"/>
          <w:szCs w:val="20"/>
          <w:color w:val="auto"/>
        </w:rPr>
      </w:pPr>
    </w:p>
    <w:p>
      <w:pPr>
        <w:jc w:val="both"/>
        <w:ind w:firstLine="243"/>
        <w:spacing w:after="0" w:line="273" w:lineRule="auto"/>
        <w:rPr>
          <w:sz w:val="20"/>
          <w:szCs w:val="20"/>
          <w:color w:val="auto"/>
        </w:rPr>
      </w:pPr>
      <w:r>
        <w:rPr>
          <w:rFonts w:ascii="Arial" w:cs="Arial" w:eastAsia="Arial" w:hAnsi="Arial"/>
          <w:sz w:val="17"/>
          <w:szCs w:val="17"/>
          <w:color w:val="auto"/>
        </w:rPr>
        <w:t>The preparation of condensed consolidated financial statements in conformity with U.S. GAAP requires management to make estimates and assumptions that affect the reported amounts of assets and liabilities and disclosure of contingent assets and liabilities at the date of the financial statements and the reported amounts of revenues and expenses during the reporting period. Actual results could differ from estimates. The Company evaluates estimates on an ongoing basis. Significant estimates include the value of derivative instruments, the allowance for doubtful accounts, the net realizable value of inventory, the useful life and value of property and equipment, the value of stock-based compensation and income taxes. The Company has made certain reclassifications to prior period condensed consolidated financial statements to conform to current period presentation.</w:t>
      </w:r>
    </w:p>
    <w:p>
      <w:pPr>
        <w:spacing w:after="0" w:line="205" w:lineRule="exact"/>
        <w:rPr>
          <w:sz w:val="20"/>
          <w:szCs w:val="20"/>
          <w:color w:val="auto"/>
        </w:rPr>
      </w:pPr>
    </w:p>
    <w:p>
      <w:pPr>
        <w:jc w:val="both"/>
        <w:ind w:firstLine="243"/>
        <w:spacing w:after="0" w:line="273" w:lineRule="auto"/>
        <w:rPr>
          <w:sz w:val="20"/>
          <w:szCs w:val="20"/>
          <w:color w:val="auto"/>
        </w:rPr>
      </w:pPr>
      <w:r>
        <w:rPr>
          <w:rFonts w:ascii="Arial" w:cs="Arial" w:eastAsia="Arial" w:hAnsi="Arial"/>
          <w:sz w:val="17"/>
          <w:szCs w:val="17"/>
          <w:color w:val="auto"/>
        </w:rPr>
        <w:t>These unaudited interim condensed consolidated financial statements include the accounts of Globalstar and all its subsidiaries. All significant intercompany transactions and balances have been eliminated in the consolidation. In the opinion of management, the information included herein includes all adjustments, consisting of normal recurring adjustments, that are necessary for a fair presentation of the Company’s condensed consolidated statements of operations, condensed consolidated balance sheets, condensed consolidated statements of stockholders' equity and condensed consolidated statements of cash flows for the periods presented. The results of operations for the three and six months ended June 30, 2020 are not necessarily indicative of the results that may be expected for the full year or any future period.</w:t>
      </w:r>
    </w:p>
    <w:p>
      <w:pPr>
        <w:spacing w:after="0" w:line="20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Recent Developments: COVID-19</w:t>
      </w:r>
    </w:p>
    <w:p>
      <w:pPr>
        <w:spacing w:after="0" w:line="252" w:lineRule="exact"/>
        <w:rPr>
          <w:sz w:val="20"/>
          <w:szCs w:val="20"/>
          <w:color w:val="auto"/>
        </w:rPr>
      </w:pPr>
    </w:p>
    <w:p>
      <w:pPr>
        <w:jc w:val="both"/>
        <w:ind w:firstLine="243"/>
        <w:spacing w:after="0" w:line="257" w:lineRule="auto"/>
        <w:rPr>
          <w:sz w:val="20"/>
          <w:szCs w:val="20"/>
          <w:color w:val="auto"/>
        </w:rPr>
      </w:pPr>
      <w:r>
        <w:rPr>
          <w:rFonts w:ascii="Arial" w:cs="Arial" w:eastAsia="Arial" w:hAnsi="Arial"/>
          <w:sz w:val="18"/>
          <w:szCs w:val="18"/>
          <w:color w:val="auto"/>
        </w:rPr>
        <w:t>In March 2020, the World Health Organization declared the outbreak of a novel coronavirus (“COVID-19”) a global pandemic. Various levels of governmental agencies and authorities have taken measures to reduce the spread of COVID-19, including “stay at home” orders, social distancing and closures of non-essential businesses. These measures, as well as the pandemic itself, have significantly impacted economic conditions around the world and created uncertainties in the economy. In recent months, some governmental agencies have partially lifted restrictions, but significant economic uncertainties remain.</w:t>
      </w:r>
    </w:p>
    <w:p>
      <w:pPr>
        <w:spacing w:after="0" w:line="215" w:lineRule="exact"/>
        <w:rPr>
          <w:sz w:val="20"/>
          <w:szCs w:val="20"/>
          <w:color w:val="auto"/>
        </w:rPr>
      </w:pPr>
    </w:p>
    <w:p>
      <w:pPr>
        <w:jc w:val="both"/>
        <w:ind w:firstLine="243"/>
        <w:spacing w:after="0" w:line="289" w:lineRule="auto"/>
        <w:rPr>
          <w:sz w:val="20"/>
          <w:szCs w:val="20"/>
          <w:color w:val="auto"/>
        </w:rPr>
      </w:pPr>
      <w:r>
        <w:rPr>
          <w:rFonts w:ascii="Arial" w:cs="Arial" w:eastAsia="Arial" w:hAnsi="Arial"/>
          <w:sz w:val="16"/>
          <w:szCs w:val="16"/>
          <w:color w:val="auto"/>
        </w:rPr>
        <w:t>The Company performed a detailed analysis of its financial statements, liquidity position and business operations to assess the impact caused by COVID-19 for the period ended June 30, 2020 and through the release date of these condensed consolidated financial statements. Among other effects, the Company has accommodated certain pricing concessions requested by customers and experienced lower demand for its products and services, particularly from its retail customers and those that operate in the oil and gas market. While the full extent and duration of the impact is unknown, the Company expects a continuation of this lower demand at least until these industries fully recover. Additionally, the Company began and expects to continue to operate with a remote workforce, manage a supply chain sourcing predominantly from China, and engage with international regulators remotely to advance the terrestrial spectrum authorization process. There are a number of uncertainties that could impact the Company's future results of operations, including the effectiveness of COVID-19 mitigation measures; the duration of the pandemic; global economic conditions; changes to the Company's operations; changes in consumer confidence, behaviors and spending; work from home trends; and the sustainability of supply chains.</w:t>
      </w:r>
    </w:p>
    <w:p>
      <w:pPr>
        <w:spacing w:after="0" w:line="200" w:lineRule="exact"/>
        <w:rPr>
          <w:sz w:val="20"/>
          <w:szCs w:val="20"/>
          <w:color w:val="auto"/>
        </w:rPr>
      </w:pPr>
    </w:p>
    <w:p>
      <w:pPr>
        <w:spacing w:after="0" w:line="200" w:lineRule="exact"/>
        <w:rPr>
          <w:sz w:val="20"/>
          <w:szCs w:val="20"/>
          <w:color w:val="auto"/>
        </w:rPr>
      </w:pPr>
    </w:p>
    <w:p>
      <w:pPr>
        <w:spacing w:after="0" w:line="34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45" w:right="339" w:bottom="1440" w:gutter="0" w:footer="0" w:header="0"/>
        </w:sectPr>
      </w:pPr>
    </w:p>
    <w:bookmarkStart w:id="9" w:name="page10"/>
    <w:bookmarkEnd w:id="9"/>
    <w:p>
      <w:pPr>
        <w:jc w:val="both"/>
        <w:ind w:firstLine="243"/>
        <w:spacing w:after="0" w:line="273" w:lineRule="auto"/>
        <w:rPr>
          <w:sz w:val="20"/>
          <w:szCs w:val="20"/>
          <w:color w:val="auto"/>
        </w:rPr>
      </w:pPr>
      <w:r>
        <w:rPr>
          <w:rFonts w:ascii="Arial" w:cs="Arial" w:eastAsia="Arial" w:hAnsi="Arial"/>
          <w:sz w:val="17"/>
          <w:szCs w:val="17"/>
          <w:color w:val="auto"/>
        </w:rPr>
        <w:t>In accordance with the Company's accounting policies disclosed in its 2019 Annual Report, the Company reviews the carrying value of long-lived assets, intangible assets and inventory when circumstances warrant an assessment in order to evaluate whether indicators of impairment exist. The Company updated its internal projections as part of this assessment to reflect the reduction in cash flows from operations that it currently expects will result from COVID-19. The Company expects these reductions to be temporary; therefore, no indicator of impairment was identified. For inventory, the carrying value of inventory on hand was lower than its expected net realizable value; accordingly, no impairment was necessary. For accounts receivable, the Company increased its loss rate for certain receivables as discussed in more detail in Note 3: Credit Losses.</w:t>
      </w:r>
    </w:p>
    <w:p>
      <w:pPr>
        <w:spacing w:after="0" w:line="205" w:lineRule="exact"/>
        <w:rPr>
          <w:sz w:val="20"/>
          <w:szCs w:val="20"/>
          <w:color w:val="auto"/>
        </w:rPr>
      </w:pPr>
    </w:p>
    <w:p>
      <w:pPr>
        <w:jc w:val="both"/>
        <w:ind w:firstLine="243"/>
        <w:spacing w:after="0" w:line="255" w:lineRule="auto"/>
        <w:rPr>
          <w:sz w:val="20"/>
          <w:szCs w:val="20"/>
          <w:color w:val="auto"/>
        </w:rPr>
      </w:pPr>
      <w:r>
        <w:rPr>
          <w:rFonts w:ascii="Arial" w:cs="Arial" w:eastAsia="Arial" w:hAnsi="Arial"/>
          <w:sz w:val="18"/>
          <w:szCs w:val="18"/>
          <w:color w:val="auto"/>
        </w:rPr>
        <w:t>Revised internal projections have also been evaluated in light of financial covenant requirements in the Company's facility agreements. The Company continues to monitor its ability to remain in compliance with financial covenants over the next twelve months. See Note 4: Long-Term Debt and Other Financing Arrangements and Risk Factors: "The effect of an epidemic or pandemic, including the current COVID-19 pandemic, could have an adverse impact on our operations and the operations of our customers and may have a material adverse impact on our financial condition and results of operations" for further discussion. If the Company is able to remain in compliance, its sources of liquidity are expected to be sufficient to cover its obligations over the next twelve months.</w:t>
      </w:r>
    </w:p>
    <w:p>
      <w:pPr>
        <w:spacing w:after="0" w:line="219" w:lineRule="exact"/>
        <w:rPr>
          <w:sz w:val="20"/>
          <w:szCs w:val="20"/>
          <w:color w:val="auto"/>
        </w:rPr>
      </w:pPr>
    </w:p>
    <w:p>
      <w:pPr>
        <w:jc w:val="both"/>
        <w:ind w:firstLine="243"/>
        <w:spacing w:after="0" w:line="259" w:lineRule="auto"/>
        <w:rPr>
          <w:sz w:val="20"/>
          <w:szCs w:val="20"/>
          <w:color w:val="auto"/>
        </w:rPr>
      </w:pPr>
      <w:r>
        <w:rPr>
          <w:rFonts w:ascii="Arial" w:cs="Arial" w:eastAsia="Arial" w:hAnsi="Arial"/>
          <w:sz w:val="18"/>
          <w:szCs w:val="18"/>
          <w:color w:val="auto"/>
        </w:rPr>
        <w:t>This liquidity assessment considers relief granted to the Company under the Coronavirus Aid, Relief, and Economic Security Act (the "CARES" Act), including a $5.0 million loan the Company received in April 2020 under the payroll protection program, which the Company expects to be forgiven, and the deferral of the payment of certain payroll taxes. Additionally, the Company evaluated tax law changes pursuant to the CARES Act and revised its net operating loss carryforwards and other estimates, as necessary.</w:t>
      </w:r>
    </w:p>
    <w:p>
      <w:pPr>
        <w:spacing w:after="0" w:line="214" w:lineRule="exact"/>
        <w:rPr>
          <w:sz w:val="20"/>
          <w:szCs w:val="20"/>
          <w:color w:val="auto"/>
        </w:rPr>
      </w:pPr>
    </w:p>
    <w:p>
      <w:pPr>
        <w:jc w:val="both"/>
        <w:ind w:firstLine="162"/>
        <w:spacing w:after="0" w:line="277" w:lineRule="auto"/>
        <w:rPr>
          <w:sz w:val="20"/>
          <w:szCs w:val="20"/>
          <w:color w:val="auto"/>
        </w:rPr>
      </w:pPr>
      <w:r>
        <w:rPr>
          <w:rFonts w:ascii="Arial" w:cs="Arial" w:eastAsia="Arial" w:hAnsi="Arial"/>
          <w:sz w:val="18"/>
          <w:szCs w:val="18"/>
          <w:color w:val="auto"/>
        </w:rPr>
        <w:t>As previously stated, the full impact of COVID-19 on the Company's condensed consolidated financial statements is uncertain at this time and the Company will continue to reassess the impact at each reporting period.</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Recently Issued Accounting Pronouncements</w:t>
      </w:r>
    </w:p>
    <w:p>
      <w:pPr>
        <w:spacing w:after="0" w:line="252" w:lineRule="exact"/>
        <w:rPr>
          <w:sz w:val="20"/>
          <w:szCs w:val="20"/>
          <w:color w:val="auto"/>
        </w:rPr>
      </w:pPr>
    </w:p>
    <w:p>
      <w:pPr>
        <w:jc w:val="both"/>
        <w:ind w:firstLine="243"/>
        <w:spacing w:after="0" w:line="275" w:lineRule="auto"/>
        <w:rPr>
          <w:sz w:val="20"/>
          <w:szCs w:val="20"/>
          <w:color w:val="auto"/>
        </w:rPr>
      </w:pPr>
      <w:r>
        <w:rPr>
          <w:rFonts w:ascii="Arial" w:cs="Arial" w:eastAsia="Arial" w:hAnsi="Arial"/>
          <w:sz w:val="17"/>
          <w:szCs w:val="17"/>
          <w:color w:val="auto"/>
        </w:rPr>
        <w:t xml:space="preserve">In August 2018, the Financial Accounting Standards Board ("FASB") issued Accounting Standards Update ("ASU") No. 2018-14, </w:t>
      </w:r>
      <w:r>
        <w:rPr>
          <w:rFonts w:ascii="Arial" w:cs="Arial" w:eastAsia="Arial" w:hAnsi="Arial"/>
          <w:sz w:val="17"/>
          <w:szCs w:val="17"/>
          <w:i w:val="1"/>
          <w:iCs w:val="1"/>
          <w:color w:val="auto"/>
        </w:rPr>
        <w:t>Compensation -</w:t>
      </w:r>
      <w:r>
        <w:rPr>
          <w:rFonts w:ascii="Arial" w:cs="Arial" w:eastAsia="Arial" w:hAnsi="Arial"/>
          <w:sz w:val="17"/>
          <w:szCs w:val="17"/>
          <w:color w:val="auto"/>
        </w:rPr>
        <w:t xml:space="preserve"> </w:t>
      </w:r>
      <w:r>
        <w:rPr>
          <w:rFonts w:ascii="Arial" w:cs="Arial" w:eastAsia="Arial" w:hAnsi="Arial"/>
          <w:sz w:val="17"/>
          <w:szCs w:val="17"/>
          <w:i w:val="1"/>
          <w:iCs w:val="1"/>
          <w:color w:val="auto"/>
        </w:rPr>
        <w:t>Retirement Benefits - Defined Benefit Plans - General Disclosure Framework - Changes to the Disclosure Requirements for Defined Benefit Plans</w:t>
      </w:r>
      <w:r>
        <w:rPr>
          <w:rFonts w:ascii="Arial" w:cs="Arial" w:eastAsia="Arial" w:hAnsi="Arial"/>
          <w:sz w:val="17"/>
          <w:szCs w:val="17"/>
          <w:color w:val="auto"/>
        </w:rPr>
        <w:t>. As part</w:t>
      </w:r>
      <w:r>
        <w:rPr>
          <w:rFonts w:ascii="Arial" w:cs="Arial" w:eastAsia="Arial" w:hAnsi="Arial"/>
          <w:sz w:val="17"/>
          <w:szCs w:val="17"/>
          <w:i w:val="1"/>
          <w:iCs w:val="1"/>
          <w:color w:val="auto"/>
        </w:rPr>
        <w:t xml:space="preserve"> </w:t>
      </w:r>
      <w:r>
        <w:rPr>
          <w:rFonts w:ascii="Arial" w:cs="Arial" w:eastAsia="Arial" w:hAnsi="Arial"/>
          <w:sz w:val="17"/>
          <w:szCs w:val="17"/>
          <w:color w:val="auto"/>
        </w:rPr>
        <w:t>of the FASB's disclosure framework project, it has changed the disclosure requirements for defined pension and other post-retirement benefit plans as outlined in ASU No. 2018-14. This ASU is effective for public entities for annual periods beginning after December 15, 2020. This ASU adds certain narrative disclosures and removes other disclosures as outlined in ASU No. 2018-14 related to the defined benefit plan.</w:t>
      </w:r>
    </w:p>
    <w:p>
      <w:pPr>
        <w:spacing w:after="0" w:line="203" w:lineRule="exact"/>
        <w:rPr>
          <w:sz w:val="20"/>
          <w:szCs w:val="20"/>
          <w:color w:val="auto"/>
        </w:rPr>
      </w:pPr>
    </w:p>
    <w:p>
      <w:pPr>
        <w:jc w:val="both"/>
        <w:ind w:firstLine="243"/>
        <w:spacing w:after="0" w:line="257" w:lineRule="auto"/>
        <w:rPr>
          <w:sz w:val="20"/>
          <w:szCs w:val="20"/>
          <w:color w:val="auto"/>
        </w:rPr>
      </w:pPr>
      <w:r>
        <w:rPr>
          <w:rFonts w:ascii="Arial" w:cs="Arial" w:eastAsia="Arial" w:hAnsi="Arial"/>
          <w:sz w:val="18"/>
          <w:szCs w:val="18"/>
          <w:color w:val="auto"/>
        </w:rPr>
        <w:t xml:space="preserve">In December 2019, the FASB issued ASU No. 2019-12: </w:t>
      </w:r>
      <w:r>
        <w:rPr>
          <w:rFonts w:ascii="Arial" w:cs="Arial" w:eastAsia="Arial" w:hAnsi="Arial"/>
          <w:sz w:val="18"/>
          <w:szCs w:val="18"/>
          <w:i w:val="1"/>
          <w:iCs w:val="1"/>
          <w:color w:val="auto"/>
        </w:rPr>
        <w:t>Income Taxes (Topic 740): Simplifying the Accounting for Income Taxes</w:t>
      </w:r>
      <w:r>
        <w:rPr>
          <w:rFonts w:ascii="Arial" w:cs="Arial" w:eastAsia="Arial" w:hAnsi="Arial"/>
          <w:sz w:val="18"/>
          <w:szCs w:val="18"/>
          <w:color w:val="auto"/>
        </w:rPr>
        <w:t>. ASU No. 2019-12 amends the accounting treatment for income taxes by simplifying and clarifying certain aspects of the existing guidance. This ASU is effective for public entities for annual and interim periods beginning after December 15, 2020. Early adoption is permitted as of the beginning of any interim or annual reporting period. The Company has not yet determined the impact this standard will have on its condensed consolidated financial statements and related disclosures.</w:t>
      </w: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Recently Adopted Accounting Pronouncements</w:t>
      </w:r>
    </w:p>
    <w:p>
      <w:pPr>
        <w:spacing w:after="0" w:line="252" w:lineRule="exact"/>
        <w:rPr>
          <w:sz w:val="20"/>
          <w:szCs w:val="20"/>
          <w:color w:val="auto"/>
        </w:rPr>
      </w:pPr>
    </w:p>
    <w:p>
      <w:pPr>
        <w:jc w:val="both"/>
        <w:ind w:firstLine="243"/>
        <w:spacing w:after="0" w:line="272" w:lineRule="auto"/>
        <w:rPr>
          <w:sz w:val="20"/>
          <w:szCs w:val="20"/>
          <w:color w:val="auto"/>
        </w:rPr>
      </w:pPr>
      <w:r>
        <w:rPr>
          <w:rFonts w:ascii="Arial" w:cs="Arial" w:eastAsia="Arial" w:hAnsi="Arial"/>
          <w:sz w:val="17"/>
          <w:szCs w:val="17"/>
          <w:color w:val="auto"/>
        </w:rPr>
        <w:t xml:space="preserve">In June 2016, the FASB issued ASU No. 2016-13, </w:t>
      </w:r>
      <w:r>
        <w:rPr>
          <w:rFonts w:ascii="Arial" w:cs="Arial" w:eastAsia="Arial" w:hAnsi="Arial"/>
          <w:sz w:val="17"/>
          <w:szCs w:val="17"/>
          <w:i w:val="1"/>
          <w:iCs w:val="1"/>
          <w:color w:val="auto"/>
        </w:rPr>
        <w:t>Credit Losses, Measurement of Credit Losses on Financial Instruments</w:t>
      </w:r>
      <w:r>
        <w:rPr>
          <w:rFonts w:ascii="Arial" w:cs="Arial" w:eastAsia="Arial" w:hAnsi="Arial"/>
          <w:sz w:val="17"/>
          <w:szCs w:val="17"/>
          <w:color w:val="auto"/>
        </w:rPr>
        <w:t>. ASU No. 2016-13, as amended, significantly changes how entities will measure credit losses for most financial assets and certain other instruments that are not measured at fair value through net income. The standard replaced the incurred loss approach with an expected loss model for instruments measured at amortized cost. Entities are required to apply the standard’s provisions as a cumulative-effect adjustment to retained earnings as of the beginning of the first reporting period in which the guidance is effective. This ASU became effective for public entities for annual and interim periods beginning after December 15, 2019. The Company adopted this standard when it became effective on January 1, 2020. See Note 3: Credit Losses for a discussion of the impact to the Company's condensed consolidated financial statements and required disclosures.</w:t>
      </w:r>
    </w:p>
    <w:p>
      <w:pPr>
        <w:spacing w:after="0" w:line="204" w:lineRule="exact"/>
        <w:rPr>
          <w:sz w:val="20"/>
          <w:szCs w:val="20"/>
          <w:color w:val="auto"/>
        </w:rPr>
      </w:pPr>
    </w:p>
    <w:p>
      <w:pPr>
        <w:jc w:val="both"/>
        <w:ind w:firstLine="243"/>
        <w:spacing w:after="0" w:line="273" w:lineRule="auto"/>
        <w:rPr>
          <w:sz w:val="20"/>
          <w:szCs w:val="20"/>
          <w:color w:val="auto"/>
        </w:rPr>
      </w:pPr>
      <w:r>
        <w:rPr>
          <w:rFonts w:ascii="Arial" w:cs="Arial" w:eastAsia="Arial" w:hAnsi="Arial"/>
          <w:sz w:val="17"/>
          <w:szCs w:val="17"/>
          <w:color w:val="auto"/>
        </w:rPr>
        <w:t xml:space="preserve">In August 2018, the FASB issued ASU No. 2018-13, </w:t>
      </w:r>
      <w:r>
        <w:rPr>
          <w:rFonts w:ascii="Arial" w:cs="Arial" w:eastAsia="Arial" w:hAnsi="Arial"/>
          <w:sz w:val="17"/>
          <w:szCs w:val="17"/>
          <w:i w:val="1"/>
          <w:iCs w:val="1"/>
          <w:color w:val="auto"/>
        </w:rPr>
        <w:t>Fair Value Measurement Disclosure Framework - Changes to the Disclosure Requirements for</w:t>
      </w:r>
      <w:r>
        <w:rPr>
          <w:rFonts w:ascii="Arial" w:cs="Arial" w:eastAsia="Arial" w:hAnsi="Arial"/>
          <w:sz w:val="17"/>
          <w:szCs w:val="17"/>
          <w:color w:val="auto"/>
        </w:rPr>
        <w:t xml:space="preserve"> </w:t>
      </w:r>
      <w:r>
        <w:rPr>
          <w:rFonts w:ascii="Arial" w:cs="Arial" w:eastAsia="Arial" w:hAnsi="Arial"/>
          <w:sz w:val="17"/>
          <w:szCs w:val="17"/>
          <w:i w:val="1"/>
          <w:iCs w:val="1"/>
          <w:color w:val="auto"/>
        </w:rPr>
        <w:t>Fair Value Measurement</w:t>
      </w:r>
      <w:r>
        <w:rPr>
          <w:rFonts w:ascii="Arial" w:cs="Arial" w:eastAsia="Arial" w:hAnsi="Arial"/>
          <w:sz w:val="17"/>
          <w:szCs w:val="17"/>
          <w:color w:val="auto"/>
        </w:rPr>
        <w:t>. As part of the FASB's disclosure framework project, it has eliminated, amended and added disclosure requirements for fair value</w:t>
      </w:r>
      <w:r>
        <w:rPr>
          <w:rFonts w:ascii="Arial" w:cs="Arial" w:eastAsia="Arial" w:hAnsi="Arial"/>
          <w:sz w:val="17"/>
          <w:szCs w:val="17"/>
          <w:i w:val="1"/>
          <w:iCs w:val="1"/>
          <w:color w:val="auto"/>
        </w:rPr>
        <w:t xml:space="preserve"> </w:t>
      </w:r>
      <w:r>
        <w:rPr>
          <w:rFonts w:ascii="Arial" w:cs="Arial" w:eastAsia="Arial" w:hAnsi="Arial"/>
          <w:sz w:val="17"/>
          <w:szCs w:val="17"/>
          <w:color w:val="auto"/>
        </w:rPr>
        <w:t>measurements. Entities are no longer required to disclose the amount of, and reasons for, transfers between Level 1 and Level 2 of the fair value hierarchy, the policy of timing of transfers between levels of the fair value hierarchy and the valuation processes for Level 3 fair value measurements. Public companies are required to disclose the range and weighted average used to develop significant unobservable inputs for Level 3 fair value measurements. This ASU is effective for public entities for annual and interim periods beginning after December 15, 2019. The</w:t>
      </w:r>
    </w:p>
    <w:p>
      <w:pPr>
        <w:spacing w:after="0" w:line="200" w:lineRule="exact"/>
        <w:rPr>
          <w:sz w:val="20"/>
          <w:szCs w:val="20"/>
          <w:color w:val="auto"/>
        </w:rPr>
      </w:pPr>
    </w:p>
    <w:p>
      <w:pPr>
        <w:spacing w:after="0" w:line="3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sectPr>
      </w:pPr>
    </w:p>
    <w:bookmarkStart w:id="10" w:name="page11"/>
    <w:bookmarkEnd w:id="10"/>
    <w:p>
      <w:pPr>
        <w:spacing w:after="0" w:line="277" w:lineRule="auto"/>
        <w:rPr>
          <w:sz w:val="20"/>
          <w:szCs w:val="20"/>
          <w:color w:val="auto"/>
        </w:rPr>
      </w:pPr>
      <w:r>
        <w:rPr>
          <w:rFonts w:ascii="Arial" w:cs="Arial" w:eastAsia="Arial" w:hAnsi="Arial"/>
          <w:sz w:val="18"/>
          <w:szCs w:val="18"/>
          <w:color w:val="auto"/>
        </w:rPr>
        <w:t>Company adopted this standard when it became effective on January 1, 2020. The adoption of this standard impacted certain of the Company's disclosures included in Note 6: Fair Value Measurements.</w:t>
      </w:r>
    </w:p>
    <w:p>
      <w:pPr>
        <w:spacing w:after="0" w:line="193" w:lineRule="exact"/>
        <w:rPr>
          <w:sz w:val="20"/>
          <w:szCs w:val="20"/>
          <w:color w:val="auto"/>
        </w:rPr>
      </w:pPr>
    </w:p>
    <w:p>
      <w:pPr>
        <w:ind w:right="9180" w:firstLine="8"/>
        <w:spacing w:after="0" w:line="641" w:lineRule="auto"/>
        <w:tabs>
          <w:tab w:leader="none" w:pos="180" w:val="left"/>
        </w:tabs>
        <w:numPr>
          <w:ilvl w:val="0"/>
          <w:numId w:val="3"/>
        </w:numPr>
        <w:rPr>
          <w:rFonts w:ascii="Arial" w:cs="Arial" w:eastAsia="Arial" w:hAnsi="Arial"/>
          <w:sz w:val="15"/>
          <w:szCs w:val="15"/>
          <w:b w:val="1"/>
          <w:bCs w:val="1"/>
          <w:color w:val="auto"/>
        </w:rPr>
      </w:pPr>
      <w:r>
        <w:rPr>
          <w:rFonts w:ascii="Arial" w:cs="Arial" w:eastAsia="Arial" w:hAnsi="Arial"/>
          <w:sz w:val="15"/>
          <w:szCs w:val="15"/>
          <w:b w:val="1"/>
          <w:bCs w:val="1"/>
          <w:color w:val="auto"/>
        </w:rPr>
        <w:t>REVENUE Disaggregation of Revenue</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discloses revenue disaggregated by type of product and service (amounts in thousands):</w:t>
      </w:r>
    </w:p>
    <w:p>
      <w:pPr>
        <w:spacing w:after="0" w:line="162" w:lineRule="exact"/>
        <w:rPr>
          <w:sz w:val="20"/>
          <w:szCs w:val="20"/>
          <w:color w:val="auto"/>
        </w:rPr>
      </w:pPr>
    </w:p>
    <w:tbl>
      <w:tblPr>
        <w:tblLayout w:type="fixed"/>
        <w:tblInd w:w="0" w:type="dxa"/>
        <w:tblCellMar>
          <w:top w:w="0" w:type="dxa"/>
          <w:left w:w="0" w:type="dxa"/>
          <w:bottom w:w="0" w:type="dxa"/>
          <w:right w:w="0" w:type="dxa"/>
        </w:tblCellMar>
      </w:tblPr>
      <w:tr>
        <w:trPr>
          <w:trHeight w:val="206"/>
        </w:trPr>
        <w:tc>
          <w:tcPr>
            <w:tcW w:w="32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3740" w:type="dxa"/>
            <w:vAlign w:val="bottom"/>
            <w:gridSpan w:val="5"/>
          </w:tcPr>
          <w:p>
            <w:pPr>
              <w:ind w:left="980"/>
              <w:spacing w:after="0"/>
              <w:rPr>
                <w:sz w:val="20"/>
                <w:szCs w:val="20"/>
                <w:color w:val="auto"/>
              </w:rPr>
            </w:pPr>
            <w:r>
              <w:rPr>
                <w:rFonts w:ascii="Arial" w:cs="Arial" w:eastAsia="Arial" w:hAnsi="Arial"/>
                <w:sz w:val="16"/>
                <w:szCs w:val="16"/>
                <w:color w:val="auto"/>
              </w:rPr>
              <w:t>Three Months Ended</w:t>
            </w:r>
          </w:p>
        </w:tc>
        <w:tc>
          <w:tcPr>
            <w:tcW w:w="300" w:type="dxa"/>
            <w:vAlign w:val="bottom"/>
          </w:tcPr>
          <w:p>
            <w:pPr>
              <w:spacing w:after="0"/>
              <w:rPr>
                <w:sz w:val="17"/>
                <w:szCs w:val="17"/>
                <w:color w:val="auto"/>
              </w:rPr>
            </w:pPr>
          </w:p>
        </w:tc>
        <w:tc>
          <w:tcPr>
            <w:tcW w:w="3640" w:type="dxa"/>
            <w:vAlign w:val="bottom"/>
            <w:gridSpan w:val="4"/>
          </w:tcPr>
          <w:p>
            <w:pPr>
              <w:jc w:val="right"/>
              <w:ind w:right="1279"/>
              <w:spacing w:after="0"/>
              <w:rPr>
                <w:sz w:val="20"/>
                <w:szCs w:val="20"/>
                <w:color w:val="auto"/>
              </w:rPr>
            </w:pPr>
            <w:r>
              <w:rPr>
                <w:rFonts w:ascii="Arial" w:cs="Arial" w:eastAsia="Arial" w:hAnsi="Arial"/>
                <w:sz w:val="16"/>
                <w:szCs w:val="16"/>
                <w:color w:val="auto"/>
              </w:rPr>
              <w:t>Six Months Ended</w:t>
            </w:r>
          </w:p>
        </w:tc>
      </w:tr>
      <w:tr>
        <w:trPr>
          <w:trHeight w:val="33"/>
        </w:trPr>
        <w:tc>
          <w:tcPr>
            <w:tcW w:w="326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720" w:type="dxa"/>
            <w:vAlign w:val="bottom"/>
            <w:tcBorders>
              <w:bottom w:val="single" w:sz="8" w:color="auto"/>
            </w:tcBorders>
            <w:gridSpan w:val="2"/>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720" w:type="dxa"/>
            <w:vAlign w:val="bottom"/>
            <w:tcBorders>
              <w:bottom w:val="single" w:sz="8" w:color="auto"/>
            </w:tcBorders>
            <w:gridSpan w:val="2"/>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r>
      <w:tr>
        <w:trPr>
          <w:trHeight w:val="217"/>
        </w:trPr>
        <w:tc>
          <w:tcPr>
            <w:tcW w:w="3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720" w:type="dxa"/>
            <w:vAlign w:val="bottom"/>
            <w:gridSpan w:val="2"/>
          </w:tcPr>
          <w:p>
            <w:pPr>
              <w:ind w:left="200"/>
              <w:spacing w:after="0"/>
              <w:rPr>
                <w:sz w:val="20"/>
                <w:szCs w:val="20"/>
                <w:color w:val="auto"/>
              </w:rPr>
            </w:pPr>
            <w:r>
              <w:rPr>
                <w:rFonts w:ascii="Arial" w:cs="Arial" w:eastAsia="Arial" w:hAnsi="Arial"/>
                <w:sz w:val="16"/>
                <w:szCs w:val="16"/>
                <w:color w:val="auto"/>
              </w:rPr>
              <w:t>June 30, 2020</w:t>
            </w:r>
          </w:p>
        </w:tc>
        <w:tc>
          <w:tcPr>
            <w:tcW w:w="300" w:type="dxa"/>
            <w:vAlign w:val="bottom"/>
          </w:tcPr>
          <w:p>
            <w:pPr>
              <w:spacing w:after="0"/>
              <w:rPr>
                <w:sz w:val="18"/>
                <w:szCs w:val="18"/>
                <w:color w:val="auto"/>
              </w:rPr>
            </w:pPr>
          </w:p>
        </w:tc>
        <w:tc>
          <w:tcPr>
            <w:tcW w:w="1720" w:type="dxa"/>
            <w:vAlign w:val="bottom"/>
            <w:gridSpan w:val="2"/>
          </w:tcPr>
          <w:p>
            <w:pPr>
              <w:ind w:left="200"/>
              <w:spacing w:after="0"/>
              <w:rPr>
                <w:sz w:val="20"/>
                <w:szCs w:val="20"/>
                <w:color w:val="auto"/>
              </w:rPr>
            </w:pPr>
            <w:r>
              <w:rPr>
                <w:rFonts w:ascii="Arial" w:cs="Arial" w:eastAsia="Arial" w:hAnsi="Arial"/>
                <w:sz w:val="16"/>
                <w:szCs w:val="16"/>
                <w:color w:val="auto"/>
              </w:rPr>
              <w:t>June 30, 2019</w:t>
            </w:r>
          </w:p>
        </w:tc>
        <w:tc>
          <w:tcPr>
            <w:tcW w:w="300" w:type="dxa"/>
            <w:vAlign w:val="bottom"/>
          </w:tcPr>
          <w:p>
            <w:pPr>
              <w:spacing w:after="0"/>
              <w:rPr>
                <w:sz w:val="18"/>
                <w:szCs w:val="18"/>
                <w:color w:val="auto"/>
              </w:rPr>
            </w:pPr>
          </w:p>
        </w:tc>
        <w:tc>
          <w:tcPr>
            <w:tcW w:w="1720" w:type="dxa"/>
            <w:vAlign w:val="bottom"/>
            <w:gridSpan w:val="2"/>
          </w:tcPr>
          <w:p>
            <w:pPr>
              <w:ind w:left="200"/>
              <w:spacing w:after="0"/>
              <w:rPr>
                <w:sz w:val="20"/>
                <w:szCs w:val="20"/>
                <w:color w:val="auto"/>
              </w:rPr>
            </w:pPr>
            <w:r>
              <w:rPr>
                <w:rFonts w:ascii="Arial" w:cs="Arial" w:eastAsia="Arial" w:hAnsi="Arial"/>
                <w:sz w:val="16"/>
                <w:szCs w:val="16"/>
                <w:color w:val="auto"/>
              </w:rPr>
              <w:t>June 30, 2020</w:t>
            </w:r>
          </w:p>
        </w:tc>
        <w:tc>
          <w:tcPr>
            <w:tcW w:w="300" w:type="dxa"/>
            <w:vAlign w:val="bottom"/>
          </w:tcPr>
          <w:p>
            <w:pPr>
              <w:spacing w:after="0"/>
              <w:rPr>
                <w:sz w:val="18"/>
                <w:szCs w:val="18"/>
                <w:color w:val="auto"/>
              </w:rPr>
            </w:pPr>
          </w:p>
        </w:tc>
        <w:tc>
          <w:tcPr>
            <w:tcW w:w="1620" w:type="dxa"/>
            <w:vAlign w:val="bottom"/>
          </w:tcPr>
          <w:p>
            <w:pPr>
              <w:jc w:val="right"/>
              <w:ind w:right="419"/>
              <w:spacing w:after="0"/>
              <w:rPr>
                <w:sz w:val="20"/>
                <w:szCs w:val="20"/>
                <w:color w:val="auto"/>
              </w:rPr>
            </w:pPr>
            <w:r>
              <w:rPr>
                <w:rFonts w:ascii="Arial" w:cs="Arial" w:eastAsia="Arial" w:hAnsi="Arial"/>
                <w:sz w:val="16"/>
                <w:szCs w:val="16"/>
                <w:color w:val="auto"/>
              </w:rPr>
              <w:t>June 30, 2019</w:t>
            </w:r>
          </w:p>
        </w:tc>
      </w:tr>
      <w:tr>
        <w:trPr>
          <w:trHeight w:val="33"/>
        </w:trPr>
        <w:tc>
          <w:tcPr>
            <w:tcW w:w="326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r>
      <w:tr>
        <w:trPr>
          <w:trHeight w:val="217"/>
        </w:trPr>
        <w:tc>
          <w:tcPr>
            <w:tcW w:w="32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Service revenue:</w:t>
            </w:r>
          </w:p>
        </w:tc>
        <w:tc>
          <w:tcPr>
            <w:tcW w:w="300" w:type="dxa"/>
            <w:vAlign w:val="bottom"/>
            <w:tcBorders>
              <w:bottom w:val="single" w:sz="8" w:color="CCEEFF"/>
            </w:tcBorders>
            <w:shd w:val="clear" w:color="auto" w:fill="CCEEFF"/>
          </w:tcPr>
          <w:p>
            <w:pPr>
              <w:spacing w:after="0"/>
              <w:rPr>
                <w:sz w:val="18"/>
                <w:szCs w:val="18"/>
                <w:color w:val="auto"/>
              </w:rPr>
            </w:pPr>
          </w:p>
        </w:tc>
        <w:tc>
          <w:tcPr>
            <w:tcW w:w="160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CCEEFF"/>
            </w:tcBorders>
            <w:shd w:val="clear" w:color="auto" w:fill="CCEEFF"/>
          </w:tcPr>
          <w:p>
            <w:pPr>
              <w:spacing w:after="0"/>
              <w:rPr>
                <w:sz w:val="18"/>
                <w:szCs w:val="18"/>
                <w:color w:val="auto"/>
              </w:rPr>
            </w:pPr>
          </w:p>
        </w:tc>
        <w:tc>
          <w:tcPr>
            <w:tcW w:w="300" w:type="dxa"/>
            <w:vAlign w:val="bottom"/>
            <w:tcBorders>
              <w:bottom w:val="single" w:sz="8" w:color="CCEEFF"/>
            </w:tcBorders>
            <w:shd w:val="clear" w:color="auto" w:fill="CCEEFF"/>
          </w:tcPr>
          <w:p>
            <w:pPr>
              <w:spacing w:after="0"/>
              <w:rPr>
                <w:sz w:val="18"/>
                <w:szCs w:val="18"/>
                <w:color w:val="auto"/>
              </w:rPr>
            </w:pPr>
          </w:p>
        </w:tc>
        <w:tc>
          <w:tcPr>
            <w:tcW w:w="160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CCEEFF"/>
            </w:tcBorders>
            <w:shd w:val="clear" w:color="auto" w:fill="CCEEFF"/>
          </w:tcPr>
          <w:p>
            <w:pPr>
              <w:spacing w:after="0"/>
              <w:rPr>
                <w:sz w:val="18"/>
                <w:szCs w:val="18"/>
                <w:color w:val="auto"/>
              </w:rPr>
            </w:pPr>
          </w:p>
        </w:tc>
        <w:tc>
          <w:tcPr>
            <w:tcW w:w="300" w:type="dxa"/>
            <w:vAlign w:val="bottom"/>
            <w:tcBorders>
              <w:bottom w:val="single" w:sz="8" w:color="CCEEFF"/>
            </w:tcBorders>
            <w:shd w:val="clear" w:color="auto" w:fill="CCEEFF"/>
          </w:tcPr>
          <w:p>
            <w:pPr>
              <w:spacing w:after="0"/>
              <w:rPr>
                <w:sz w:val="18"/>
                <w:szCs w:val="18"/>
                <w:color w:val="auto"/>
              </w:rPr>
            </w:pPr>
          </w:p>
        </w:tc>
        <w:tc>
          <w:tcPr>
            <w:tcW w:w="162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300" w:type="dxa"/>
            <w:vAlign w:val="bottom"/>
            <w:tcBorders>
              <w:bottom w:val="single" w:sz="8" w:color="CCEEFF"/>
            </w:tcBorders>
            <w:shd w:val="clear" w:color="auto" w:fill="CCEEFF"/>
          </w:tcPr>
          <w:p>
            <w:pPr>
              <w:spacing w:after="0"/>
              <w:rPr>
                <w:sz w:val="18"/>
                <w:szCs w:val="18"/>
                <w:color w:val="auto"/>
              </w:rPr>
            </w:pPr>
          </w:p>
        </w:tc>
        <w:tc>
          <w:tcPr>
            <w:tcW w:w="1620" w:type="dxa"/>
            <w:vAlign w:val="bottom"/>
            <w:tcBorders>
              <w:bottom w:val="single" w:sz="8" w:color="CCEEFF"/>
            </w:tcBorders>
            <w:shd w:val="clear" w:color="auto" w:fill="CCEEFF"/>
          </w:tcPr>
          <w:p>
            <w:pPr>
              <w:spacing w:after="0"/>
              <w:rPr>
                <w:sz w:val="18"/>
                <w:szCs w:val="18"/>
                <w:color w:val="auto"/>
              </w:rPr>
            </w:pPr>
          </w:p>
        </w:tc>
      </w:tr>
      <w:tr>
        <w:trPr>
          <w:trHeight w:val="223"/>
        </w:trPr>
        <w:tc>
          <w:tcPr>
            <w:tcW w:w="3260" w:type="dxa"/>
            <w:vAlign w:val="bottom"/>
          </w:tcPr>
          <w:p>
            <w:pPr>
              <w:ind w:left="120"/>
              <w:spacing w:after="0"/>
              <w:rPr>
                <w:sz w:val="20"/>
                <w:szCs w:val="20"/>
                <w:color w:val="auto"/>
              </w:rPr>
            </w:pPr>
            <w:r>
              <w:rPr>
                <w:rFonts w:ascii="Arial" w:cs="Arial" w:eastAsia="Arial" w:hAnsi="Arial"/>
                <w:sz w:val="16"/>
                <w:szCs w:val="16"/>
                <w:color w:val="auto"/>
              </w:rPr>
              <w:t>Duplex</w:t>
            </w:r>
          </w:p>
        </w:tc>
        <w:tc>
          <w:tcPr>
            <w:tcW w:w="300" w:type="dxa"/>
            <w:vAlign w:val="bottom"/>
          </w:tcPr>
          <w:p>
            <w:pPr>
              <w:jc w:val="right"/>
              <w:ind w:right="119"/>
              <w:spacing w:after="0"/>
              <w:rPr>
                <w:sz w:val="20"/>
                <w:szCs w:val="20"/>
                <w:color w:val="auto"/>
              </w:rPr>
            </w:pPr>
            <w:r>
              <w:rPr>
                <w:rFonts w:ascii="Arial" w:cs="Arial" w:eastAsia="Arial" w:hAnsi="Arial"/>
                <w:sz w:val="16"/>
                <w:szCs w:val="16"/>
                <w:color w:val="auto"/>
                <w:w w:val="89"/>
              </w:rPr>
              <w:t>$</w:t>
            </w:r>
          </w:p>
        </w:tc>
        <w:tc>
          <w:tcPr>
            <w:tcW w:w="1600" w:type="dxa"/>
            <w:vAlign w:val="bottom"/>
          </w:tcPr>
          <w:p>
            <w:pPr>
              <w:jc w:val="right"/>
              <w:ind w:right="59"/>
              <w:spacing w:after="0"/>
              <w:rPr>
                <w:sz w:val="20"/>
                <w:szCs w:val="20"/>
                <w:color w:val="auto"/>
              </w:rPr>
            </w:pPr>
            <w:r>
              <w:rPr>
                <w:rFonts w:ascii="Arial" w:cs="Arial" w:eastAsia="Arial" w:hAnsi="Arial"/>
                <w:sz w:val="16"/>
                <w:szCs w:val="16"/>
                <w:color w:val="auto"/>
              </w:rPr>
              <w:t>8,556</w:t>
            </w:r>
          </w:p>
        </w:tc>
        <w:tc>
          <w:tcPr>
            <w:tcW w:w="120" w:type="dxa"/>
            <w:vAlign w:val="bottom"/>
          </w:tcPr>
          <w:p>
            <w:pPr>
              <w:spacing w:after="0"/>
              <w:rPr>
                <w:sz w:val="19"/>
                <w:szCs w:val="19"/>
                <w:color w:val="auto"/>
              </w:rPr>
            </w:pPr>
          </w:p>
        </w:tc>
        <w:tc>
          <w:tcPr>
            <w:tcW w:w="300" w:type="dxa"/>
            <w:vAlign w:val="bottom"/>
          </w:tcPr>
          <w:p>
            <w:pPr>
              <w:jc w:val="right"/>
              <w:ind w:right="119"/>
              <w:spacing w:after="0"/>
              <w:rPr>
                <w:sz w:val="20"/>
                <w:szCs w:val="20"/>
                <w:color w:val="auto"/>
              </w:rPr>
            </w:pPr>
            <w:r>
              <w:rPr>
                <w:rFonts w:ascii="Arial" w:cs="Arial" w:eastAsia="Arial" w:hAnsi="Arial"/>
                <w:sz w:val="16"/>
                <w:szCs w:val="16"/>
                <w:color w:val="auto"/>
                <w:w w:val="89"/>
              </w:rPr>
              <w:t>$</w:t>
            </w:r>
          </w:p>
        </w:tc>
        <w:tc>
          <w:tcPr>
            <w:tcW w:w="1600" w:type="dxa"/>
            <w:vAlign w:val="bottom"/>
          </w:tcPr>
          <w:p>
            <w:pPr>
              <w:jc w:val="right"/>
              <w:ind w:right="59"/>
              <w:spacing w:after="0"/>
              <w:rPr>
                <w:sz w:val="20"/>
                <w:szCs w:val="20"/>
                <w:color w:val="auto"/>
              </w:rPr>
            </w:pPr>
            <w:r>
              <w:rPr>
                <w:rFonts w:ascii="Arial" w:cs="Arial" w:eastAsia="Arial" w:hAnsi="Arial"/>
                <w:sz w:val="16"/>
                <w:szCs w:val="16"/>
                <w:color w:val="auto"/>
              </w:rPr>
              <w:t>9,031</w:t>
            </w:r>
          </w:p>
        </w:tc>
        <w:tc>
          <w:tcPr>
            <w:tcW w:w="120" w:type="dxa"/>
            <w:vAlign w:val="bottom"/>
          </w:tcPr>
          <w:p>
            <w:pPr>
              <w:spacing w:after="0"/>
              <w:rPr>
                <w:sz w:val="19"/>
                <w:szCs w:val="19"/>
                <w:color w:val="auto"/>
              </w:rPr>
            </w:pPr>
          </w:p>
        </w:tc>
        <w:tc>
          <w:tcPr>
            <w:tcW w:w="300" w:type="dxa"/>
            <w:vAlign w:val="bottom"/>
          </w:tcPr>
          <w:p>
            <w:pPr>
              <w:jc w:val="right"/>
              <w:ind w:right="119"/>
              <w:spacing w:after="0"/>
              <w:rPr>
                <w:sz w:val="20"/>
                <w:szCs w:val="20"/>
                <w:color w:val="auto"/>
              </w:rPr>
            </w:pPr>
            <w:r>
              <w:rPr>
                <w:rFonts w:ascii="Arial" w:cs="Arial" w:eastAsia="Arial" w:hAnsi="Arial"/>
                <w:sz w:val="16"/>
                <w:szCs w:val="16"/>
                <w:color w:val="auto"/>
                <w:w w:val="89"/>
              </w:rPr>
              <w:t>$</w:t>
            </w:r>
          </w:p>
        </w:tc>
        <w:tc>
          <w:tcPr>
            <w:tcW w:w="1620" w:type="dxa"/>
            <w:vAlign w:val="bottom"/>
          </w:tcPr>
          <w:p>
            <w:pPr>
              <w:jc w:val="right"/>
              <w:ind w:right="79"/>
              <w:spacing w:after="0"/>
              <w:rPr>
                <w:sz w:val="20"/>
                <w:szCs w:val="20"/>
                <w:color w:val="auto"/>
              </w:rPr>
            </w:pPr>
            <w:r>
              <w:rPr>
                <w:rFonts w:ascii="Arial" w:cs="Arial" w:eastAsia="Arial" w:hAnsi="Arial"/>
                <w:sz w:val="16"/>
                <w:szCs w:val="16"/>
                <w:color w:val="auto"/>
              </w:rPr>
              <w:t>16,219</w:t>
            </w:r>
          </w:p>
        </w:tc>
        <w:tc>
          <w:tcPr>
            <w:tcW w:w="100" w:type="dxa"/>
            <w:vAlign w:val="bottom"/>
          </w:tcPr>
          <w:p>
            <w:pPr>
              <w:spacing w:after="0"/>
              <w:rPr>
                <w:sz w:val="19"/>
                <w:szCs w:val="19"/>
                <w:color w:val="auto"/>
              </w:rPr>
            </w:pPr>
          </w:p>
        </w:tc>
        <w:tc>
          <w:tcPr>
            <w:tcW w:w="300" w:type="dxa"/>
            <w:vAlign w:val="bottom"/>
          </w:tcPr>
          <w:p>
            <w:pPr>
              <w:jc w:val="right"/>
              <w:ind w:right="119"/>
              <w:spacing w:after="0"/>
              <w:rPr>
                <w:sz w:val="20"/>
                <w:szCs w:val="20"/>
                <w:color w:val="auto"/>
              </w:rPr>
            </w:pPr>
            <w:r>
              <w:rPr>
                <w:rFonts w:ascii="Arial" w:cs="Arial" w:eastAsia="Arial" w:hAnsi="Arial"/>
                <w:sz w:val="16"/>
                <w:szCs w:val="16"/>
                <w:color w:val="auto"/>
                <w:w w:val="89"/>
              </w:rPr>
              <w:t>$</w:t>
            </w:r>
          </w:p>
        </w:tc>
        <w:tc>
          <w:tcPr>
            <w:tcW w:w="1620" w:type="dxa"/>
            <w:vAlign w:val="bottom"/>
          </w:tcPr>
          <w:p>
            <w:pPr>
              <w:jc w:val="right"/>
              <w:ind w:right="59"/>
              <w:spacing w:after="0"/>
              <w:rPr>
                <w:sz w:val="20"/>
                <w:szCs w:val="20"/>
                <w:color w:val="auto"/>
              </w:rPr>
            </w:pPr>
            <w:r>
              <w:rPr>
                <w:rFonts w:ascii="Arial" w:cs="Arial" w:eastAsia="Arial" w:hAnsi="Arial"/>
                <w:sz w:val="16"/>
                <w:szCs w:val="16"/>
                <w:color w:val="auto"/>
              </w:rPr>
              <w:t>17,676</w:t>
            </w:r>
          </w:p>
        </w:tc>
      </w:tr>
      <w:tr>
        <w:trPr>
          <w:trHeight w:val="33"/>
        </w:trPr>
        <w:tc>
          <w:tcPr>
            <w:tcW w:w="32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20" w:type="dxa"/>
            <w:vAlign w:val="bottom"/>
          </w:tcPr>
          <w:p>
            <w:pPr>
              <w:spacing w:after="0"/>
              <w:rPr>
                <w:sz w:val="2"/>
                <w:szCs w:val="2"/>
                <w:color w:val="auto"/>
              </w:rPr>
            </w:pPr>
          </w:p>
        </w:tc>
      </w:tr>
      <w:tr>
        <w:trPr>
          <w:trHeight w:val="237"/>
        </w:trPr>
        <w:tc>
          <w:tcPr>
            <w:tcW w:w="326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6"/>
                <w:szCs w:val="16"/>
                <w:color w:val="auto"/>
              </w:rPr>
              <w:t>SPOT</w:t>
            </w:r>
          </w:p>
        </w:tc>
        <w:tc>
          <w:tcPr>
            <w:tcW w:w="300" w:type="dxa"/>
            <w:vAlign w:val="bottom"/>
            <w:tcBorders>
              <w:bottom w:val="single" w:sz="8" w:color="CCEEFF"/>
            </w:tcBorders>
            <w:shd w:val="clear" w:color="auto" w:fill="CCEEFF"/>
          </w:tcPr>
          <w:p>
            <w:pPr>
              <w:spacing w:after="0"/>
              <w:rPr>
                <w:sz w:val="20"/>
                <w:szCs w:val="20"/>
                <w:color w:val="auto"/>
              </w:rPr>
            </w:pPr>
          </w:p>
        </w:tc>
        <w:tc>
          <w:tcPr>
            <w:tcW w:w="160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11,579</w:t>
            </w:r>
          </w:p>
        </w:tc>
        <w:tc>
          <w:tcPr>
            <w:tcW w:w="12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60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12,619</w:t>
            </w:r>
          </w:p>
        </w:tc>
        <w:tc>
          <w:tcPr>
            <w:tcW w:w="12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62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23,702</w:t>
            </w:r>
          </w:p>
        </w:tc>
        <w:tc>
          <w:tcPr>
            <w:tcW w:w="10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62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25,714</w:t>
            </w:r>
          </w:p>
        </w:tc>
      </w:tr>
      <w:tr>
        <w:trPr>
          <w:trHeight w:val="224"/>
        </w:trPr>
        <w:tc>
          <w:tcPr>
            <w:tcW w:w="3260" w:type="dxa"/>
            <w:vAlign w:val="bottom"/>
          </w:tcPr>
          <w:p>
            <w:pPr>
              <w:ind w:left="120"/>
              <w:spacing w:after="0"/>
              <w:rPr>
                <w:sz w:val="20"/>
                <w:szCs w:val="20"/>
                <w:color w:val="auto"/>
              </w:rPr>
            </w:pPr>
            <w:r>
              <w:rPr>
                <w:rFonts w:ascii="Arial" w:cs="Arial" w:eastAsia="Arial" w:hAnsi="Arial"/>
                <w:sz w:val="16"/>
                <w:szCs w:val="16"/>
                <w:color w:val="auto"/>
              </w:rPr>
              <w:t>Commercial IoT</w:t>
            </w:r>
          </w:p>
        </w:tc>
        <w:tc>
          <w:tcPr>
            <w:tcW w:w="300" w:type="dxa"/>
            <w:vAlign w:val="bottom"/>
          </w:tcPr>
          <w:p>
            <w:pPr>
              <w:spacing w:after="0"/>
              <w:rPr>
                <w:sz w:val="19"/>
                <w:szCs w:val="19"/>
                <w:color w:val="auto"/>
              </w:rPr>
            </w:pPr>
          </w:p>
        </w:tc>
        <w:tc>
          <w:tcPr>
            <w:tcW w:w="1600" w:type="dxa"/>
            <w:vAlign w:val="bottom"/>
          </w:tcPr>
          <w:p>
            <w:pPr>
              <w:jc w:val="right"/>
              <w:ind w:right="59"/>
              <w:spacing w:after="0"/>
              <w:rPr>
                <w:sz w:val="20"/>
                <w:szCs w:val="20"/>
                <w:color w:val="auto"/>
              </w:rPr>
            </w:pPr>
            <w:r>
              <w:rPr>
                <w:rFonts w:ascii="Arial" w:cs="Arial" w:eastAsia="Arial" w:hAnsi="Arial"/>
                <w:sz w:val="16"/>
                <w:szCs w:val="16"/>
                <w:color w:val="auto"/>
              </w:rPr>
              <w:t>4,298</w:t>
            </w:r>
          </w:p>
        </w:tc>
        <w:tc>
          <w:tcPr>
            <w:tcW w:w="1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600" w:type="dxa"/>
            <w:vAlign w:val="bottom"/>
          </w:tcPr>
          <w:p>
            <w:pPr>
              <w:jc w:val="right"/>
              <w:ind w:right="59"/>
              <w:spacing w:after="0"/>
              <w:rPr>
                <w:sz w:val="20"/>
                <w:szCs w:val="20"/>
                <w:color w:val="auto"/>
              </w:rPr>
            </w:pPr>
            <w:r>
              <w:rPr>
                <w:rFonts w:ascii="Arial" w:cs="Arial" w:eastAsia="Arial" w:hAnsi="Arial"/>
                <w:sz w:val="16"/>
                <w:szCs w:val="16"/>
                <w:color w:val="auto"/>
              </w:rPr>
              <w:t>4,353</w:t>
            </w:r>
          </w:p>
        </w:tc>
        <w:tc>
          <w:tcPr>
            <w:tcW w:w="1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620" w:type="dxa"/>
            <w:vAlign w:val="bottom"/>
          </w:tcPr>
          <w:p>
            <w:pPr>
              <w:jc w:val="right"/>
              <w:ind w:right="79"/>
              <w:spacing w:after="0"/>
              <w:rPr>
                <w:sz w:val="20"/>
                <w:szCs w:val="20"/>
                <w:color w:val="auto"/>
              </w:rPr>
            </w:pPr>
            <w:r>
              <w:rPr>
                <w:rFonts w:ascii="Arial" w:cs="Arial" w:eastAsia="Arial" w:hAnsi="Arial"/>
                <w:sz w:val="16"/>
                <w:szCs w:val="16"/>
                <w:color w:val="auto"/>
              </w:rPr>
              <w:t>8,608</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620" w:type="dxa"/>
            <w:vAlign w:val="bottom"/>
          </w:tcPr>
          <w:p>
            <w:pPr>
              <w:jc w:val="right"/>
              <w:ind w:right="59"/>
              <w:spacing w:after="0"/>
              <w:rPr>
                <w:sz w:val="20"/>
                <w:szCs w:val="20"/>
                <w:color w:val="auto"/>
              </w:rPr>
            </w:pPr>
            <w:r>
              <w:rPr>
                <w:rFonts w:ascii="Arial" w:cs="Arial" w:eastAsia="Arial" w:hAnsi="Arial"/>
                <w:sz w:val="16"/>
                <w:szCs w:val="16"/>
                <w:color w:val="auto"/>
              </w:rPr>
              <w:t>8,051</w:t>
            </w:r>
          </w:p>
        </w:tc>
      </w:tr>
      <w:tr>
        <w:trPr>
          <w:trHeight w:val="33"/>
        </w:trPr>
        <w:tc>
          <w:tcPr>
            <w:tcW w:w="32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20" w:type="dxa"/>
            <w:vAlign w:val="bottom"/>
          </w:tcPr>
          <w:p>
            <w:pPr>
              <w:spacing w:after="0"/>
              <w:rPr>
                <w:sz w:val="2"/>
                <w:szCs w:val="2"/>
                <w:color w:val="auto"/>
              </w:rPr>
            </w:pPr>
          </w:p>
        </w:tc>
      </w:tr>
      <w:tr>
        <w:trPr>
          <w:trHeight w:val="237"/>
        </w:trPr>
        <w:tc>
          <w:tcPr>
            <w:tcW w:w="326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6"/>
                <w:szCs w:val="16"/>
                <w:color w:val="auto"/>
              </w:rPr>
              <w:t>IGO</w:t>
            </w:r>
          </w:p>
        </w:tc>
        <w:tc>
          <w:tcPr>
            <w:tcW w:w="300" w:type="dxa"/>
            <w:vAlign w:val="bottom"/>
            <w:tcBorders>
              <w:bottom w:val="single" w:sz="8" w:color="CCEEFF"/>
            </w:tcBorders>
            <w:shd w:val="clear" w:color="auto" w:fill="CCEEFF"/>
          </w:tcPr>
          <w:p>
            <w:pPr>
              <w:spacing w:after="0"/>
              <w:rPr>
                <w:sz w:val="20"/>
                <w:szCs w:val="20"/>
                <w:color w:val="auto"/>
              </w:rPr>
            </w:pPr>
          </w:p>
        </w:tc>
        <w:tc>
          <w:tcPr>
            <w:tcW w:w="160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109</w:t>
            </w:r>
          </w:p>
        </w:tc>
        <w:tc>
          <w:tcPr>
            <w:tcW w:w="12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60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179</w:t>
            </w:r>
          </w:p>
        </w:tc>
        <w:tc>
          <w:tcPr>
            <w:tcW w:w="12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62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200</w:t>
            </w:r>
          </w:p>
        </w:tc>
        <w:tc>
          <w:tcPr>
            <w:tcW w:w="10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62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345</w:t>
            </w:r>
          </w:p>
        </w:tc>
      </w:tr>
      <w:tr>
        <w:trPr>
          <w:trHeight w:val="223"/>
        </w:trPr>
        <w:tc>
          <w:tcPr>
            <w:tcW w:w="3260" w:type="dxa"/>
            <w:vAlign w:val="bottom"/>
          </w:tcPr>
          <w:p>
            <w:pPr>
              <w:ind w:left="120"/>
              <w:spacing w:after="0"/>
              <w:rPr>
                <w:sz w:val="20"/>
                <w:szCs w:val="20"/>
                <w:color w:val="auto"/>
              </w:rPr>
            </w:pPr>
            <w:r>
              <w:rPr>
                <w:rFonts w:ascii="Arial" w:cs="Arial" w:eastAsia="Arial" w:hAnsi="Arial"/>
                <w:sz w:val="16"/>
                <w:szCs w:val="16"/>
                <w:color w:val="auto"/>
              </w:rPr>
              <w:t>Engineering and other</w:t>
            </w:r>
          </w:p>
        </w:tc>
        <w:tc>
          <w:tcPr>
            <w:tcW w:w="300" w:type="dxa"/>
            <w:vAlign w:val="bottom"/>
          </w:tcPr>
          <w:p>
            <w:pPr>
              <w:spacing w:after="0"/>
              <w:rPr>
                <w:sz w:val="19"/>
                <w:szCs w:val="19"/>
                <w:color w:val="auto"/>
              </w:rPr>
            </w:pPr>
          </w:p>
        </w:tc>
        <w:tc>
          <w:tcPr>
            <w:tcW w:w="1600" w:type="dxa"/>
            <w:vAlign w:val="bottom"/>
          </w:tcPr>
          <w:p>
            <w:pPr>
              <w:jc w:val="right"/>
              <w:ind w:right="59"/>
              <w:spacing w:after="0"/>
              <w:rPr>
                <w:sz w:val="20"/>
                <w:szCs w:val="20"/>
                <w:color w:val="auto"/>
              </w:rPr>
            </w:pPr>
            <w:r>
              <w:rPr>
                <w:rFonts w:ascii="Arial" w:cs="Arial" w:eastAsia="Arial" w:hAnsi="Arial"/>
                <w:sz w:val="16"/>
                <w:szCs w:val="16"/>
                <w:color w:val="auto"/>
              </w:rPr>
              <w:t>2,548</w:t>
            </w:r>
          </w:p>
        </w:tc>
        <w:tc>
          <w:tcPr>
            <w:tcW w:w="1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600" w:type="dxa"/>
            <w:vAlign w:val="bottom"/>
          </w:tcPr>
          <w:p>
            <w:pPr>
              <w:jc w:val="right"/>
              <w:ind w:right="59"/>
              <w:spacing w:after="0"/>
              <w:rPr>
                <w:sz w:val="20"/>
                <w:szCs w:val="20"/>
                <w:color w:val="auto"/>
              </w:rPr>
            </w:pPr>
            <w:r>
              <w:rPr>
                <w:rFonts w:ascii="Arial" w:cs="Arial" w:eastAsia="Arial" w:hAnsi="Arial"/>
                <w:sz w:val="16"/>
                <w:szCs w:val="16"/>
                <w:color w:val="auto"/>
              </w:rPr>
              <w:t>518</w:t>
            </w:r>
          </w:p>
        </w:tc>
        <w:tc>
          <w:tcPr>
            <w:tcW w:w="1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620" w:type="dxa"/>
            <w:vAlign w:val="bottom"/>
          </w:tcPr>
          <w:p>
            <w:pPr>
              <w:jc w:val="right"/>
              <w:ind w:right="79"/>
              <w:spacing w:after="0"/>
              <w:rPr>
                <w:sz w:val="20"/>
                <w:szCs w:val="20"/>
                <w:color w:val="auto"/>
              </w:rPr>
            </w:pPr>
            <w:r>
              <w:rPr>
                <w:rFonts w:ascii="Arial" w:cs="Arial" w:eastAsia="Arial" w:hAnsi="Arial"/>
                <w:sz w:val="16"/>
                <w:szCs w:val="16"/>
                <w:color w:val="auto"/>
              </w:rPr>
              <w:t>7,296</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620" w:type="dxa"/>
            <w:vAlign w:val="bottom"/>
          </w:tcPr>
          <w:p>
            <w:pPr>
              <w:jc w:val="right"/>
              <w:ind w:right="59"/>
              <w:spacing w:after="0"/>
              <w:rPr>
                <w:sz w:val="20"/>
                <w:szCs w:val="20"/>
                <w:color w:val="auto"/>
              </w:rPr>
            </w:pPr>
            <w:r>
              <w:rPr>
                <w:rFonts w:ascii="Arial" w:cs="Arial" w:eastAsia="Arial" w:hAnsi="Arial"/>
                <w:sz w:val="16"/>
                <w:szCs w:val="16"/>
                <w:color w:val="auto"/>
              </w:rPr>
              <w:t>1,033</w:t>
            </w:r>
          </w:p>
        </w:tc>
      </w:tr>
      <w:tr>
        <w:trPr>
          <w:trHeight w:val="33"/>
        </w:trPr>
        <w:tc>
          <w:tcPr>
            <w:tcW w:w="326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r>
      <w:tr>
        <w:trPr>
          <w:trHeight w:val="230"/>
        </w:trPr>
        <w:tc>
          <w:tcPr>
            <w:tcW w:w="326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6"/>
                <w:szCs w:val="16"/>
                <w:color w:val="auto"/>
              </w:rPr>
              <w:t>Total service revenue</w:t>
            </w:r>
          </w:p>
        </w:tc>
        <w:tc>
          <w:tcPr>
            <w:tcW w:w="300" w:type="dxa"/>
            <w:vAlign w:val="bottom"/>
            <w:tcBorders>
              <w:bottom w:val="single" w:sz="8" w:color="CCEEFF"/>
            </w:tcBorders>
            <w:shd w:val="clear" w:color="auto" w:fill="CCEEFF"/>
          </w:tcPr>
          <w:p>
            <w:pPr>
              <w:spacing w:after="0"/>
              <w:rPr>
                <w:sz w:val="20"/>
                <w:szCs w:val="20"/>
                <w:color w:val="auto"/>
              </w:rPr>
            </w:pPr>
          </w:p>
        </w:tc>
        <w:tc>
          <w:tcPr>
            <w:tcW w:w="160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27,090</w:t>
            </w:r>
          </w:p>
        </w:tc>
        <w:tc>
          <w:tcPr>
            <w:tcW w:w="12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60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26,700</w:t>
            </w:r>
          </w:p>
        </w:tc>
        <w:tc>
          <w:tcPr>
            <w:tcW w:w="12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62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56,025</w:t>
            </w:r>
          </w:p>
        </w:tc>
        <w:tc>
          <w:tcPr>
            <w:tcW w:w="10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62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52,819</w:t>
            </w:r>
          </w:p>
        </w:tc>
      </w:tr>
      <w:tr>
        <w:trPr>
          <w:trHeight w:val="108"/>
        </w:trPr>
        <w:tc>
          <w:tcPr>
            <w:tcW w:w="3260" w:type="dxa"/>
            <w:vAlign w:val="bottom"/>
          </w:tcPr>
          <w:p>
            <w:pPr>
              <w:spacing w:after="0"/>
              <w:rPr>
                <w:sz w:val="9"/>
                <w:szCs w:val="9"/>
                <w:color w:val="auto"/>
              </w:rPr>
            </w:pPr>
          </w:p>
        </w:tc>
        <w:tc>
          <w:tcPr>
            <w:tcW w:w="300" w:type="dxa"/>
            <w:vAlign w:val="bottom"/>
          </w:tcPr>
          <w:p>
            <w:pPr>
              <w:spacing w:after="0"/>
              <w:rPr>
                <w:sz w:val="9"/>
                <w:szCs w:val="9"/>
                <w:color w:val="auto"/>
              </w:rPr>
            </w:pPr>
          </w:p>
        </w:tc>
        <w:tc>
          <w:tcPr>
            <w:tcW w:w="1600" w:type="dxa"/>
            <w:vAlign w:val="bottom"/>
          </w:tcPr>
          <w:p>
            <w:pPr>
              <w:spacing w:after="0"/>
              <w:rPr>
                <w:sz w:val="9"/>
                <w:szCs w:val="9"/>
                <w:color w:val="auto"/>
              </w:rPr>
            </w:pPr>
          </w:p>
        </w:tc>
        <w:tc>
          <w:tcPr>
            <w:tcW w:w="120" w:type="dxa"/>
            <w:vAlign w:val="bottom"/>
          </w:tcPr>
          <w:p>
            <w:pPr>
              <w:spacing w:after="0"/>
              <w:rPr>
                <w:sz w:val="9"/>
                <w:szCs w:val="9"/>
                <w:color w:val="auto"/>
              </w:rPr>
            </w:pPr>
          </w:p>
        </w:tc>
        <w:tc>
          <w:tcPr>
            <w:tcW w:w="300" w:type="dxa"/>
            <w:vAlign w:val="bottom"/>
          </w:tcPr>
          <w:p>
            <w:pPr>
              <w:spacing w:after="0"/>
              <w:rPr>
                <w:sz w:val="9"/>
                <w:szCs w:val="9"/>
                <w:color w:val="auto"/>
              </w:rPr>
            </w:pPr>
          </w:p>
        </w:tc>
        <w:tc>
          <w:tcPr>
            <w:tcW w:w="1600" w:type="dxa"/>
            <w:vAlign w:val="bottom"/>
          </w:tcPr>
          <w:p>
            <w:pPr>
              <w:spacing w:after="0"/>
              <w:rPr>
                <w:sz w:val="9"/>
                <w:szCs w:val="9"/>
                <w:color w:val="auto"/>
              </w:rPr>
            </w:pPr>
          </w:p>
        </w:tc>
        <w:tc>
          <w:tcPr>
            <w:tcW w:w="120" w:type="dxa"/>
            <w:vAlign w:val="bottom"/>
          </w:tcPr>
          <w:p>
            <w:pPr>
              <w:spacing w:after="0"/>
              <w:rPr>
                <w:sz w:val="9"/>
                <w:szCs w:val="9"/>
                <w:color w:val="auto"/>
              </w:rPr>
            </w:pPr>
          </w:p>
        </w:tc>
        <w:tc>
          <w:tcPr>
            <w:tcW w:w="300" w:type="dxa"/>
            <w:vAlign w:val="bottom"/>
          </w:tcPr>
          <w:p>
            <w:pPr>
              <w:spacing w:after="0"/>
              <w:rPr>
                <w:sz w:val="9"/>
                <w:szCs w:val="9"/>
                <w:color w:val="auto"/>
              </w:rPr>
            </w:pPr>
          </w:p>
        </w:tc>
        <w:tc>
          <w:tcPr>
            <w:tcW w:w="1620" w:type="dxa"/>
            <w:vAlign w:val="bottom"/>
          </w:tcPr>
          <w:p>
            <w:pPr>
              <w:spacing w:after="0"/>
              <w:rPr>
                <w:sz w:val="9"/>
                <w:szCs w:val="9"/>
                <w:color w:val="auto"/>
              </w:rPr>
            </w:pPr>
          </w:p>
        </w:tc>
        <w:tc>
          <w:tcPr>
            <w:tcW w:w="100" w:type="dxa"/>
            <w:vAlign w:val="bottom"/>
          </w:tcPr>
          <w:p>
            <w:pPr>
              <w:spacing w:after="0"/>
              <w:rPr>
                <w:sz w:val="9"/>
                <w:szCs w:val="9"/>
                <w:color w:val="auto"/>
              </w:rPr>
            </w:pPr>
          </w:p>
        </w:tc>
        <w:tc>
          <w:tcPr>
            <w:tcW w:w="300" w:type="dxa"/>
            <w:vAlign w:val="bottom"/>
          </w:tcPr>
          <w:p>
            <w:pPr>
              <w:spacing w:after="0"/>
              <w:rPr>
                <w:sz w:val="9"/>
                <w:szCs w:val="9"/>
                <w:color w:val="auto"/>
              </w:rPr>
            </w:pPr>
          </w:p>
        </w:tc>
        <w:tc>
          <w:tcPr>
            <w:tcW w:w="1620" w:type="dxa"/>
            <w:vAlign w:val="bottom"/>
          </w:tcPr>
          <w:p>
            <w:pPr>
              <w:spacing w:after="0"/>
              <w:rPr>
                <w:sz w:val="9"/>
                <w:szCs w:val="9"/>
                <w:color w:val="auto"/>
              </w:rPr>
            </w:pPr>
          </w:p>
        </w:tc>
      </w:tr>
      <w:tr>
        <w:trPr>
          <w:trHeight w:val="237"/>
        </w:trPr>
        <w:tc>
          <w:tcPr>
            <w:tcW w:w="32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Subscriber equipment sales:</w:t>
            </w:r>
          </w:p>
        </w:tc>
        <w:tc>
          <w:tcPr>
            <w:tcW w:w="300" w:type="dxa"/>
            <w:vAlign w:val="bottom"/>
            <w:tcBorders>
              <w:bottom w:val="single" w:sz="8" w:color="CCEEFF"/>
            </w:tcBorders>
            <w:shd w:val="clear" w:color="auto" w:fill="CCEEFF"/>
          </w:tcPr>
          <w:p>
            <w:pPr>
              <w:spacing w:after="0"/>
              <w:rPr>
                <w:sz w:val="20"/>
                <w:szCs w:val="20"/>
                <w:color w:val="auto"/>
              </w:rPr>
            </w:pPr>
          </w:p>
        </w:tc>
        <w:tc>
          <w:tcPr>
            <w:tcW w:w="16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6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6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620" w:type="dxa"/>
            <w:vAlign w:val="bottom"/>
            <w:tcBorders>
              <w:bottom w:val="single" w:sz="8" w:color="CCEEFF"/>
            </w:tcBorders>
            <w:shd w:val="clear" w:color="auto" w:fill="CCEEFF"/>
          </w:tcPr>
          <w:p>
            <w:pPr>
              <w:spacing w:after="0"/>
              <w:rPr>
                <w:sz w:val="20"/>
                <w:szCs w:val="20"/>
                <w:color w:val="auto"/>
              </w:rPr>
            </w:pPr>
          </w:p>
        </w:tc>
      </w:tr>
      <w:tr>
        <w:trPr>
          <w:trHeight w:val="223"/>
        </w:trPr>
        <w:tc>
          <w:tcPr>
            <w:tcW w:w="3260" w:type="dxa"/>
            <w:vAlign w:val="bottom"/>
          </w:tcPr>
          <w:p>
            <w:pPr>
              <w:ind w:left="120"/>
              <w:spacing w:after="0"/>
              <w:rPr>
                <w:sz w:val="20"/>
                <w:szCs w:val="20"/>
                <w:color w:val="auto"/>
              </w:rPr>
            </w:pPr>
            <w:r>
              <w:rPr>
                <w:rFonts w:ascii="Arial" w:cs="Arial" w:eastAsia="Arial" w:hAnsi="Arial"/>
                <w:sz w:val="16"/>
                <w:szCs w:val="16"/>
                <w:color w:val="auto"/>
              </w:rPr>
              <w:t>Duplex</w:t>
            </w:r>
          </w:p>
        </w:tc>
        <w:tc>
          <w:tcPr>
            <w:tcW w:w="300" w:type="dxa"/>
            <w:vAlign w:val="bottom"/>
          </w:tcPr>
          <w:p>
            <w:pPr>
              <w:jc w:val="right"/>
              <w:ind w:right="119"/>
              <w:spacing w:after="0"/>
              <w:rPr>
                <w:sz w:val="20"/>
                <w:szCs w:val="20"/>
                <w:color w:val="auto"/>
              </w:rPr>
            </w:pPr>
            <w:r>
              <w:rPr>
                <w:rFonts w:ascii="Arial" w:cs="Arial" w:eastAsia="Arial" w:hAnsi="Arial"/>
                <w:sz w:val="16"/>
                <w:szCs w:val="16"/>
                <w:color w:val="auto"/>
                <w:w w:val="89"/>
              </w:rPr>
              <w:t>$</w:t>
            </w:r>
          </w:p>
        </w:tc>
        <w:tc>
          <w:tcPr>
            <w:tcW w:w="1600" w:type="dxa"/>
            <w:vAlign w:val="bottom"/>
          </w:tcPr>
          <w:p>
            <w:pPr>
              <w:jc w:val="right"/>
              <w:ind w:right="59"/>
              <w:spacing w:after="0"/>
              <w:rPr>
                <w:sz w:val="20"/>
                <w:szCs w:val="20"/>
                <w:color w:val="auto"/>
              </w:rPr>
            </w:pPr>
            <w:r>
              <w:rPr>
                <w:rFonts w:ascii="Arial" w:cs="Arial" w:eastAsia="Arial" w:hAnsi="Arial"/>
                <w:sz w:val="16"/>
                <w:szCs w:val="16"/>
                <w:color w:val="auto"/>
              </w:rPr>
              <w:t>625</w:t>
            </w:r>
          </w:p>
        </w:tc>
        <w:tc>
          <w:tcPr>
            <w:tcW w:w="120" w:type="dxa"/>
            <w:vAlign w:val="bottom"/>
          </w:tcPr>
          <w:p>
            <w:pPr>
              <w:spacing w:after="0"/>
              <w:rPr>
                <w:sz w:val="19"/>
                <w:szCs w:val="19"/>
                <w:color w:val="auto"/>
              </w:rPr>
            </w:pPr>
          </w:p>
        </w:tc>
        <w:tc>
          <w:tcPr>
            <w:tcW w:w="300" w:type="dxa"/>
            <w:vAlign w:val="bottom"/>
          </w:tcPr>
          <w:p>
            <w:pPr>
              <w:jc w:val="right"/>
              <w:ind w:right="119"/>
              <w:spacing w:after="0"/>
              <w:rPr>
                <w:sz w:val="20"/>
                <w:szCs w:val="20"/>
                <w:color w:val="auto"/>
              </w:rPr>
            </w:pPr>
            <w:r>
              <w:rPr>
                <w:rFonts w:ascii="Arial" w:cs="Arial" w:eastAsia="Arial" w:hAnsi="Arial"/>
                <w:sz w:val="16"/>
                <w:szCs w:val="16"/>
                <w:color w:val="auto"/>
                <w:w w:val="89"/>
              </w:rPr>
              <w:t>$</w:t>
            </w:r>
          </w:p>
        </w:tc>
        <w:tc>
          <w:tcPr>
            <w:tcW w:w="1600" w:type="dxa"/>
            <w:vAlign w:val="bottom"/>
          </w:tcPr>
          <w:p>
            <w:pPr>
              <w:jc w:val="right"/>
              <w:ind w:right="59"/>
              <w:spacing w:after="0"/>
              <w:rPr>
                <w:sz w:val="20"/>
                <w:szCs w:val="20"/>
                <w:color w:val="auto"/>
              </w:rPr>
            </w:pPr>
            <w:r>
              <w:rPr>
                <w:rFonts w:ascii="Arial" w:cs="Arial" w:eastAsia="Arial" w:hAnsi="Arial"/>
                <w:sz w:val="16"/>
                <w:szCs w:val="16"/>
                <w:color w:val="auto"/>
              </w:rPr>
              <w:t>306</w:t>
            </w:r>
          </w:p>
        </w:tc>
        <w:tc>
          <w:tcPr>
            <w:tcW w:w="120" w:type="dxa"/>
            <w:vAlign w:val="bottom"/>
          </w:tcPr>
          <w:p>
            <w:pPr>
              <w:spacing w:after="0"/>
              <w:rPr>
                <w:sz w:val="19"/>
                <w:szCs w:val="19"/>
                <w:color w:val="auto"/>
              </w:rPr>
            </w:pPr>
          </w:p>
        </w:tc>
        <w:tc>
          <w:tcPr>
            <w:tcW w:w="300" w:type="dxa"/>
            <w:vAlign w:val="bottom"/>
          </w:tcPr>
          <w:p>
            <w:pPr>
              <w:jc w:val="right"/>
              <w:ind w:right="119"/>
              <w:spacing w:after="0"/>
              <w:rPr>
                <w:sz w:val="20"/>
                <w:szCs w:val="20"/>
                <w:color w:val="auto"/>
              </w:rPr>
            </w:pPr>
            <w:r>
              <w:rPr>
                <w:rFonts w:ascii="Arial" w:cs="Arial" w:eastAsia="Arial" w:hAnsi="Arial"/>
                <w:sz w:val="16"/>
                <w:szCs w:val="16"/>
                <w:color w:val="auto"/>
                <w:w w:val="89"/>
              </w:rPr>
              <w:t>$</w:t>
            </w:r>
          </w:p>
        </w:tc>
        <w:tc>
          <w:tcPr>
            <w:tcW w:w="1620" w:type="dxa"/>
            <w:vAlign w:val="bottom"/>
          </w:tcPr>
          <w:p>
            <w:pPr>
              <w:jc w:val="right"/>
              <w:ind w:right="79"/>
              <w:spacing w:after="0"/>
              <w:rPr>
                <w:sz w:val="20"/>
                <w:szCs w:val="20"/>
                <w:color w:val="auto"/>
              </w:rPr>
            </w:pPr>
            <w:r>
              <w:rPr>
                <w:rFonts w:ascii="Arial" w:cs="Arial" w:eastAsia="Arial" w:hAnsi="Arial"/>
                <w:sz w:val="16"/>
                <w:szCs w:val="16"/>
                <w:color w:val="auto"/>
              </w:rPr>
              <w:t>1,029</w:t>
            </w:r>
          </w:p>
        </w:tc>
        <w:tc>
          <w:tcPr>
            <w:tcW w:w="100" w:type="dxa"/>
            <w:vAlign w:val="bottom"/>
          </w:tcPr>
          <w:p>
            <w:pPr>
              <w:spacing w:after="0"/>
              <w:rPr>
                <w:sz w:val="19"/>
                <w:szCs w:val="19"/>
                <w:color w:val="auto"/>
              </w:rPr>
            </w:pPr>
          </w:p>
        </w:tc>
        <w:tc>
          <w:tcPr>
            <w:tcW w:w="300" w:type="dxa"/>
            <w:vAlign w:val="bottom"/>
          </w:tcPr>
          <w:p>
            <w:pPr>
              <w:jc w:val="right"/>
              <w:ind w:right="119"/>
              <w:spacing w:after="0"/>
              <w:rPr>
                <w:sz w:val="20"/>
                <w:szCs w:val="20"/>
                <w:color w:val="auto"/>
              </w:rPr>
            </w:pPr>
            <w:r>
              <w:rPr>
                <w:rFonts w:ascii="Arial" w:cs="Arial" w:eastAsia="Arial" w:hAnsi="Arial"/>
                <w:sz w:val="16"/>
                <w:szCs w:val="16"/>
                <w:color w:val="auto"/>
                <w:w w:val="89"/>
              </w:rPr>
              <w:t>$</w:t>
            </w:r>
          </w:p>
        </w:tc>
        <w:tc>
          <w:tcPr>
            <w:tcW w:w="1620" w:type="dxa"/>
            <w:vAlign w:val="bottom"/>
          </w:tcPr>
          <w:p>
            <w:pPr>
              <w:jc w:val="right"/>
              <w:ind w:right="59"/>
              <w:spacing w:after="0"/>
              <w:rPr>
                <w:sz w:val="20"/>
                <w:szCs w:val="20"/>
                <w:color w:val="auto"/>
              </w:rPr>
            </w:pPr>
            <w:r>
              <w:rPr>
                <w:rFonts w:ascii="Arial" w:cs="Arial" w:eastAsia="Arial" w:hAnsi="Arial"/>
                <w:sz w:val="16"/>
                <w:szCs w:val="16"/>
                <w:color w:val="auto"/>
              </w:rPr>
              <w:t>557</w:t>
            </w:r>
          </w:p>
        </w:tc>
      </w:tr>
      <w:tr>
        <w:trPr>
          <w:trHeight w:val="33"/>
        </w:trPr>
        <w:tc>
          <w:tcPr>
            <w:tcW w:w="32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20" w:type="dxa"/>
            <w:vAlign w:val="bottom"/>
          </w:tcPr>
          <w:p>
            <w:pPr>
              <w:spacing w:after="0"/>
              <w:rPr>
                <w:sz w:val="2"/>
                <w:szCs w:val="2"/>
                <w:color w:val="auto"/>
              </w:rPr>
            </w:pPr>
          </w:p>
        </w:tc>
      </w:tr>
      <w:tr>
        <w:trPr>
          <w:trHeight w:val="236"/>
        </w:trPr>
        <w:tc>
          <w:tcPr>
            <w:tcW w:w="326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6"/>
                <w:szCs w:val="16"/>
                <w:color w:val="auto"/>
              </w:rPr>
              <w:t>SPOT</w:t>
            </w:r>
          </w:p>
        </w:tc>
        <w:tc>
          <w:tcPr>
            <w:tcW w:w="300" w:type="dxa"/>
            <w:vAlign w:val="bottom"/>
            <w:tcBorders>
              <w:bottom w:val="single" w:sz="8" w:color="CCEEFF"/>
            </w:tcBorders>
            <w:shd w:val="clear" w:color="auto" w:fill="CCEEFF"/>
          </w:tcPr>
          <w:p>
            <w:pPr>
              <w:spacing w:after="0"/>
              <w:rPr>
                <w:sz w:val="20"/>
                <w:szCs w:val="20"/>
                <w:color w:val="auto"/>
              </w:rPr>
            </w:pPr>
          </w:p>
        </w:tc>
        <w:tc>
          <w:tcPr>
            <w:tcW w:w="160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1,695</w:t>
            </w:r>
          </w:p>
        </w:tc>
        <w:tc>
          <w:tcPr>
            <w:tcW w:w="12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60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2,186</w:t>
            </w:r>
          </w:p>
        </w:tc>
        <w:tc>
          <w:tcPr>
            <w:tcW w:w="12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62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3,102</w:t>
            </w:r>
          </w:p>
        </w:tc>
        <w:tc>
          <w:tcPr>
            <w:tcW w:w="10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62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3,777</w:t>
            </w:r>
          </w:p>
        </w:tc>
      </w:tr>
      <w:tr>
        <w:trPr>
          <w:trHeight w:val="224"/>
        </w:trPr>
        <w:tc>
          <w:tcPr>
            <w:tcW w:w="3260" w:type="dxa"/>
            <w:vAlign w:val="bottom"/>
          </w:tcPr>
          <w:p>
            <w:pPr>
              <w:ind w:left="120"/>
              <w:spacing w:after="0"/>
              <w:rPr>
                <w:sz w:val="20"/>
                <w:szCs w:val="20"/>
                <w:color w:val="auto"/>
              </w:rPr>
            </w:pPr>
            <w:r>
              <w:rPr>
                <w:rFonts w:ascii="Arial" w:cs="Arial" w:eastAsia="Arial" w:hAnsi="Arial"/>
                <w:sz w:val="16"/>
                <w:szCs w:val="16"/>
                <w:color w:val="auto"/>
              </w:rPr>
              <w:t>Commercial IoT</w:t>
            </w:r>
          </w:p>
        </w:tc>
        <w:tc>
          <w:tcPr>
            <w:tcW w:w="300" w:type="dxa"/>
            <w:vAlign w:val="bottom"/>
          </w:tcPr>
          <w:p>
            <w:pPr>
              <w:spacing w:after="0"/>
              <w:rPr>
                <w:sz w:val="19"/>
                <w:szCs w:val="19"/>
                <w:color w:val="auto"/>
              </w:rPr>
            </w:pPr>
          </w:p>
        </w:tc>
        <w:tc>
          <w:tcPr>
            <w:tcW w:w="1600" w:type="dxa"/>
            <w:vAlign w:val="bottom"/>
          </w:tcPr>
          <w:p>
            <w:pPr>
              <w:jc w:val="right"/>
              <w:ind w:right="59"/>
              <w:spacing w:after="0"/>
              <w:rPr>
                <w:sz w:val="20"/>
                <w:szCs w:val="20"/>
                <w:color w:val="auto"/>
              </w:rPr>
            </w:pPr>
            <w:r>
              <w:rPr>
                <w:rFonts w:ascii="Arial" w:cs="Arial" w:eastAsia="Arial" w:hAnsi="Arial"/>
                <w:sz w:val="16"/>
                <w:szCs w:val="16"/>
                <w:color w:val="auto"/>
              </w:rPr>
              <w:t>939</w:t>
            </w:r>
          </w:p>
        </w:tc>
        <w:tc>
          <w:tcPr>
            <w:tcW w:w="1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600" w:type="dxa"/>
            <w:vAlign w:val="bottom"/>
          </w:tcPr>
          <w:p>
            <w:pPr>
              <w:jc w:val="right"/>
              <w:ind w:right="59"/>
              <w:spacing w:after="0"/>
              <w:rPr>
                <w:sz w:val="20"/>
                <w:szCs w:val="20"/>
                <w:color w:val="auto"/>
              </w:rPr>
            </w:pPr>
            <w:r>
              <w:rPr>
                <w:rFonts w:ascii="Arial" w:cs="Arial" w:eastAsia="Arial" w:hAnsi="Arial"/>
                <w:sz w:val="16"/>
                <w:szCs w:val="16"/>
                <w:color w:val="auto"/>
              </w:rPr>
              <w:t>1,972</w:t>
            </w:r>
          </w:p>
        </w:tc>
        <w:tc>
          <w:tcPr>
            <w:tcW w:w="1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620" w:type="dxa"/>
            <w:vAlign w:val="bottom"/>
          </w:tcPr>
          <w:p>
            <w:pPr>
              <w:jc w:val="right"/>
              <w:ind w:right="79"/>
              <w:spacing w:after="0"/>
              <w:rPr>
                <w:sz w:val="20"/>
                <w:szCs w:val="20"/>
                <w:color w:val="auto"/>
              </w:rPr>
            </w:pPr>
            <w:r>
              <w:rPr>
                <w:rFonts w:ascii="Arial" w:cs="Arial" w:eastAsia="Arial" w:hAnsi="Arial"/>
                <w:sz w:val="16"/>
                <w:szCs w:val="16"/>
                <w:color w:val="auto"/>
              </w:rPr>
              <w:t>2,352</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620" w:type="dxa"/>
            <w:vAlign w:val="bottom"/>
          </w:tcPr>
          <w:p>
            <w:pPr>
              <w:jc w:val="right"/>
              <w:ind w:right="59"/>
              <w:spacing w:after="0"/>
              <w:rPr>
                <w:sz w:val="20"/>
                <w:szCs w:val="20"/>
                <w:color w:val="auto"/>
              </w:rPr>
            </w:pPr>
            <w:r>
              <w:rPr>
                <w:rFonts w:ascii="Arial" w:cs="Arial" w:eastAsia="Arial" w:hAnsi="Arial"/>
                <w:sz w:val="16"/>
                <w:szCs w:val="16"/>
                <w:color w:val="auto"/>
              </w:rPr>
              <w:t>4,044</w:t>
            </w:r>
          </w:p>
        </w:tc>
      </w:tr>
      <w:tr>
        <w:trPr>
          <w:trHeight w:val="33"/>
        </w:trPr>
        <w:tc>
          <w:tcPr>
            <w:tcW w:w="32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20" w:type="dxa"/>
            <w:vAlign w:val="bottom"/>
          </w:tcPr>
          <w:p>
            <w:pPr>
              <w:spacing w:after="0"/>
              <w:rPr>
                <w:sz w:val="2"/>
                <w:szCs w:val="2"/>
                <w:color w:val="auto"/>
              </w:rPr>
            </w:pPr>
          </w:p>
        </w:tc>
      </w:tr>
      <w:tr>
        <w:trPr>
          <w:trHeight w:val="257"/>
        </w:trPr>
        <w:tc>
          <w:tcPr>
            <w:tcW w:w="326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6"/>
                <w:szCs w:val="16"/>
                <w:color w:val="auto"/>
              </w:rPr>
              <w:t>Other</w:t>
            </w:r>
          </w:p>
        </w:tc>
        <w:tc>
          <w:tcPr>
            <w:tcW w:w="300" w:type="dxa"/>
            <w:vAlign w:val="bottom"/>
            <w:tcBorders>
              <w:bottom w:val="single" w:sz="8" w:color="CCEEFF"/>
            </w:tcBorders>
            <w:shd w:val="clear" w:color="auto" w:fill="CCEEFF"/>
          </w:tcPr>
          <w:p>
            <w:pPr>
              <w:spacing w:after="0"/>
              <w:rPr>
                <w:sz w:val="22"/>
                <w:szCs w:val="22"/>
                <w:color w:val="auto"/>
              </w:rPr>
            </w:pPr>
          </w:p>
        </w:tc>
        <w:tc>
          <w:tcPr>
            <w:tcW w:w="160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15</w:t>
            </w:r>
          </w:p>
        </w:tc>
        <w:tc>
          <w:tcPr>
            <w:tcW w:w="12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spacing w:after="0"/>
              <w:rPr>
                <w:sz w:val="22"/>
                <w:szCs w:val="22"/>
                <w:color w:val="auto"/>
              </w:rPr>
            </w:pPr>
          </w:p>
        </w:tc>
        <w:tc>
          <w:tcPr>
            <w:tcW w:w="160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27</w:t>
            </w:r>
          </w:p>
        </w:tc>
        <w:tc>
          <w:tcPr>
            <w:tcW w:w="12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spacing w:after="0"/>
              <w:rPr>
                <w:sz w:val="22"/>
                <w:szCs w:val="22"/>
                <w:color w:val="auto"/>
              </w:rPr>
            </w:pPr>
          </w:p>
        </w:tc>
        <w:tc>
          <w:tcPr>
            <w:tcW w:w="162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50</w:t>
            </w: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spacing w:after="0"/>
              <w:rPr>
                <w:sz w:val="22"/>
                <w:szCs w:val="22"/>
                <w:color w:val="auto"/>
              </w:rPr>
            </w:pPr>
          </w:p>
        </w:tc>
        <w:tc>
          <w:tcPr>
            <w:tcW w:w="162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72</w:t>
            </w:r>
          </w:p>
        </w:tc>
      </w:tr>
      <w:tr>
        <w:trPr>
          <w:trHeight w:val="217"/>
        </w:trPr>
        <w:tc>
          <w:tcPr>
            <w:tcW w:w="3260" w:type="dxa"/>
            <w:vAlign w:val="bottom"/>
          </w:tcPr>
          <w:p>
            <w:pPr>
              <w:ind w:left="220"/>
              <w:spacing w:after="0"/>
              <w:rPr>
                <w:sz w:val="20"/>
                <w:szCs w:val="20"/>
                <w:color w:val="auto"/>
              </w:rPr>
            </w:pPr>
            <w:r>
              <w:rPr>
                <w:rFonts w:ascii="Arial" w:cs="Arial" w:eastAsia="Arial" w:hAnsi="Arial"/>
                <w:sz w:val="16"/>
                <w:szCs w:val="16"/>
                <w:color w:val="auto"/>
              </w:rPr>
              <w:t>Total subscriber equipment sales</w:t>
            </w:r>
          </w:p>
        </w:tc>
        <w:tc>
          <w:tcPr>
            <w:tcW w:w="300" w:type="dxa"/>
            <w:vAlign w:val="bottom"/>
            <w:tcBorders>
              <w:top w:val="single" w:sz="8" w:color="auto"/>
            </w:tcBorders>
          </w:tcPr>
          <w:p>
            <w:pPr>
              <w:spacing w:after="0"/>
              <w:rPr>
                <w:sz w:val="18"/>
                <w:szCs w:val="18"/>
                <w:color w:val="auto"/>
              </w:rPr>
            </w:pPr>
          </w:p>
        </w:tc>
        <w:tc>
          <w:tcPr>
            <w:tcW w:w="1600" w:type="dxa"/>
            <w:vAlign w:val="bottom"/>
            <w:tcBorders>
              <w:top w:val="single" w:sz="8" w:color="auto"/>
            </w:tcBorders>
          </w:tcPr>
          <w:p>
            <w:pPr>
              <w:jc w:val="right"/>
              <w:ind w:right="59"/>
              <w:spacing w:after="0"/>
              <w:rPr>
                <w:sz w:val="20"/>
                <w:szCs w:val="20"/>
                <w:color w:val="auto"/>
              </w:rPr>
            </w:pPr>
            <w:r>
              <w:rPr>
                <w:rFonts w:ascii="Arial" w:cs="Arial" w:eastAsia="Arial" w:hAnsi="Arial"/>
                <w:sz w:val="16"/>
                <w:szCs w:val="16"/>
                <w:color w:val="auto"/>
              </w:rPr>
              <w:t>3,274</w:t>
            </w:r>
          </w:p>
        </w:tc>
        <w:tc>
          <w:tcPr>
            <w:tcW w:w="120" w:type="dxa"/>
            <w:vAlign w:val="bottom"/>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1600" w:type="dxa"/>
            <w:vAlign w:val="bottom"/>
            <w:tcBorders>
              <w:top w:val="single" w:sz="8" w:color="auto"/>
            </w:tcBorders>
          </w:tcPr>
          <w:p>
            <w:pPr>
              <w:jc w:val="right"/>
              <w:ind w:right="59"/>
              <w:spacing w:after="0"/>
              <w:rPr>
                <w:sz w:val="20"/>
                <w:szCs w:val="20"/>
                <w:color w:val="auto"/>
              </w:rPr>
            </w:pPr>
            <w:r>
              <w:rPr>
                <w:rFonts w:ascii="Arial" w:cs="Arial" w:eastAsia="Arial" w:hAnsi="Arial"/>
                <w:sz w:val="16"/>
                <w:szCs w:val="16"/>
                <w:color w:val="auto"/>
              </w:rPr>
              <w:t>4,491</w:t>
            </w:r>
          </w:p>
        </w:tc>
        <w:tc>
          <w:tcPr>
            <w:tcW w:w="120" w:type="dxa"/>
            <w:vAlign w:val="bottom"/>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1620" w:type="dxa"/>
            <w:vAlign w:val="bottom"/>
            <w:tcBorders>
              <w:top w:val="single" w:sz="8" w:color="auto"/>
            </w:tcBorders>
          </w:tcPr>
          <w:p>
            <w:pPr>
              <w:jc w:val="right"/>
              <w:ind w:right="79"/>
              <w:spacing w:after="0"/>
              <w:rPr>
                <w:sz w:val="20"/>
                <w:szCs w:val="20"/>
                <w:color w:val="auto"/>
              </w:rPr>
            </w:pPr>
            <w:r>
              <w:rPr>
                <w:rFonts w:ascii="Arial" w:cs="Arial" w:eastAsia="Arial" w:hAnsi="Arial"/>
                <w:sz w:val="16"/>
                <w:szCs w:val="16"/>
                <w:color w:val="auto"/>
              </w:rPr>
              <w:t>6,533</w:t>
            </w:r>
          </w:p>
        </w:tc>
        <w:tc>
          <w:tcPr>
            <w:tcW w:w="100" w:type="dxa"/>
            <w:vAlign w:val="bottom"/>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1620" w:type="dxa"/>
            <w:vAlign w:val="bottom"/>
            <w:tcBorders>
              <w:top w:val="single" w:sz="8" w:color="auto"/>
            </w:tcBorders>
          </w:tcPr>
          <w:p>
            <w:pPr>
              <w:jc w:val="right"/>
              <w:ind w:right="59"/>
              <w:spacing w:after="0"/>
              <w:rPr>
                <w:sz w:val="20"/>
                <w:szCs w:val="20"/>
                <w:color w:val="auto"/>
              </w:rPr>
            </w:pPr>
            <w:r>
              <w:rPr>
                <w:rFonts w:ascii="Arial" w:cs="Arial" w:eastAsia="Arial" w:hAnsi="Arial"/>
                <w:sz w:val="16"/>
                <w:szCs w:val="16"/>
                <w:color w:val="auto"/>
              </w:rPr>
              <w:t>8,450</w:t>
            </w:r>
          </w:p>
        </w:tc>
      </w:tr>
      <w:tr>
        <w:trPr>
          <w:trHeight w:val="33"/>
        </w:trPr>
        <w:tc>
          <w:tcPr>
            <w:tcW w:w="32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20" w:type="dxa"/>
            <w:vAlign w:val="bottom"/>
          </w:tcPr>
          <w:p>
            <w:pPr>
              <w:spacing w:after="0"/>
              <w:rPr>
                <w:sz w:val="2"/>
                <w:szCs w:val="2"/>
                <w:color w:val="auto"/>
              </w:rPr>
            </w:pPr>
          </w:p>
        </w:tc>
      </w:tr>
      <w:tr>
        <w:trPr>
          <w:trHeight w:val="108"/>
        </w:trPr>
        <w:tc>
          <w:tcPr>
            <w:tcW w:w="3260" w:type="dxa"/>
            <w:vAlign w:val="bottom"/>
            <w:shd w:val="clear" w:color="auto" w:fill="CCEEFF"/>
          </w:tcPr>
          <w:p>
            <w:pPr>
              <w:spacing w:after="0"/>
              <w:rPr>
                <w:sz w:val="9"/>
                <w:szCs w:val="9"/>
                <w:color w:val="auto"/>
              </w:rPr>
            </w:pPr>
          </w:p>
        </w:tc>
        <w:tc>
          <w:tcPr>
            <w:tcW w:w="300" w:type="dxa"/>
            <w:vAlign w:val="bottom"/>
            <w:tcBorders>
              <w:bottom w:val="single" w:sz="8" w:color="auto"/>
            </w:tcBorders>
            <w:shd w:val="clear" w:color="auto" w:fill="CCEEFF"/>
          </w:tcPr>
          <w:p>
            <w:pPr>
              <w:spacing w:after="0"/>
              <w:rPr>
                <w:sz w:val="9"/>
                <w:szCs w:val="9"/>
                <w:color w:val="auto"/>
              </w:rPr>
            </w:pPr>
          </w:p>
        </w:tc>
        <w:tc>
          <w:tcPr>
            <w:tcW w:w="1600" w:type="dxa"/>
            <w:vAlign w:val="bottom"/>
            <w:tcBorders>
              <w:bottom w:val="single" w:sz="8" w:color="auto"/>
            </w:tcBorders>
            <w:shd w:val="clear" w:color="auto" w:fill="CCEEFF"/>
          </w:tcPr>
          <w:p>
            <w:pPr>
              <w:spacing w:after="0"/>
              <w:rPr>
                <w:sz w:val="9"/>
                <w:szCs w:val="9"/>
                <w:color w:val="auto"/>
              </w:rPr>
            </w:pPr>
          </w:p>
        </w:tc>
        <w:tc>
          <w:tcPr>
            <w:tcW w:w="120" w:type="dxa"/>
            <w:vAlign w:val="bottom"/>
            <w:shd w:val="clear" w:color="auto" w:fill="CCEEFF"/>
          </w:tcPr>
          <w:p>
            <w:pPr>
              <w:spacing w:after="0"/>
              <w:rPr>
                <w:sz w:val="9"/>
                <w:szCs w:val="9"/>
                <w:color w:val="auto"/>
              </w:rPr>
            </w:pPr>
          </w:p>
        </w:tc>
        <w:tc>
          <w:tcPr>
            <w:tcW w:w="300" w:type="dxa"/>
            <w:vAlign w:val="bottom"/>
            <w:tcBorders>
              <w:bottom w:val="single" w:sz="8" w:color="auto"/>
            </w:tcBorders>
            <w:shd w:val="clear" w:color="auto" w:fill="CCEEFF"/>
          </w:tcPr>
          <w:p>
            <w:pPr>
              <w:spacing w:after="0"/>
              <w:rPr>
                <w:sz w:val="9"/>
                <w:szCs w:val="9"/>
                <w:color w:val="auto"/>
              </w:rPr>
            </w:pPr>
          </w:p>
        </w:tc>
        <w:tc>
          <w:tcPr>
            <w:tcW w:w="1600" w:type="dxa"/>
            <w:vAlign w:val="bottom"/>
            <w:tcBorders>
              <w:bottom w:val="single" w:sz="8" w:color="auto"/>
            </w:tcBorders>
            <w:shd w:val="clear" w:color="auto" w:fill="CCEEFF"/>
          </w:tcPr>
          <w:p>
            <w:pPr>
              <w:spacing w:after="0"/>
              <w:rPr>
                <w:sz w:val="9"/>
                <w:szCs w:val="9"/>
                <w:color w:val="auto"/>
              </w:rPr>
            </w:pPr>
          </w:p>
        </w:tc>
        <w:tc>
          <w:tcPr>
            <w:tcW w:w="120" w:type="dxa"/>
            <w:vAlign w:val="bottom"/>
            <w:shd w:val="clear" w:color="auto" w:fill="CCEEFF"/>
          </w:tcPr>
          <w:p>
            <w:pPr>
              <w:spacing w:after="0"/>
              <w:rPr>
                <w:sz w:val="9"/>
                <w:szCs w:val="9"/>
                <w:color w:val="auto"/>
              </w:rPr>
            </w:pPr>
          </w:p>
        </w:tc>
        <w:tc>
          <w:tcPr>
            <w:tcW w:w="300" w:type="dxa"/>
            <w:vAlign w:val="bottom"/>
            <w:tcBorders>
              <w:bottom w:val="single" w:sz="8" w:color="auto"/>
            </w:tcBorders>
            <w:shd w:val="clear" w:color="auto" w:fill="CCEEFF"/>
          </w:tcPr>
          <w:p>
            <w:pPr>
              <w:spacing w:after="0"/>
              <w:rPr>
                <w:sz w:val="9"/>
                <w:szCs w:val="9"/>
                <w:color w:val="auto"/>
              </w:rPr>
            </w:pPr>
          </w:p>
        </w:tc>
        <w:tc>
          <w:tcPr>
            <w:tcW w:w="1620" w:type="dxa"/>
            <w:vAlign w:val="bottom"/>
            <w:tcBorders>
              <w:bottom w:val="single" w:sz="8" w:color="auto"/>
            </w:tcBorders>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300" w:type="dxa"/>
            <w:vAlign w:val="bottom"/>
            <w:tcBorders>
              <w:bottom w:val="single" w:sz="8" w:color="auto"/>
            </w:tcBorders>
            <w:shd w:val="clear" w:color="auto" w:fill="CCEEFF"/>
          </w:tcPr>
          <w:p>
            <w:pPr>
              <w:spacing w:after="0"/>
              <w:rPr>
                <w:sz w:val="9"/>
                <w:szCs w:val="9"/>
                <w:color w:val="auto"/>
              </w:rPr>
            </w:pPr>
          </w:p>
        </w:tc>
        <w:tc>
          <w:tcPr>
            <w:tcW w:w="1620" w:type="dxa"/>
            <w:vAlign w:val="bottom"/>
            <w:tcBorders>
              <w:bottom w:val="single" w:sz="8" w:color="auto"/>
            </w:tcBorders>
            <w:shd w:val="clear" w:color="auto" w:fill="CCEEFF"/>
          </w:tcPr>
          <w:p>
            <w:pPr>
              <w:spacing w:after="0"/>
              <w:rPr>
                <w:sz w:val="9"/>
                <w:szCs w:val="9"/>
                <w:color w:val="auto"/>
              </w:rPr>
            </w:pPr>
          </w:p>
        </w:tc>
      </w:tr>
      <w:tr>
        <w:trPr>
          <w:trHeight w:val="247"/>
        </w:trPr>
        <w:tc>
          <w:tcPr>
            <w:tcW w:w="3260" w:type="dxa"/>
            <w:vAlign w:val="bottom"/>
          </w:tcPr>
          <w:p>
            <w:pPr>
              <w:ind w:left="20"/>
              <w:spacing w:after="0"/>
              <w:rPr>
                <w:sz w:val="20"/>
                <w:szCs w:val="20"/>
                <w:color w:val="auto"/>
              </w:rPr>
            </w:pPr>
            <w:r>
              <w:rPr>
                <w:rFonts w:ascii="Arial" w:cs="Arial" w:eastAsia="Arial" w:hAnsi="Arial"/>
                <w:sz w:val="16"/>
                <w:szCs w:val="16"/>
                <w:color w:val="auto"/>
              </w:rPr>
              <w:t>Total revenue</w:t>
            </w:r>
          </w:p>
        </w:tc>
        <w:tc>
          <w:tcPr>
            <w:tcW w:w="300" w:type="dxa"/>
            <w:vAlign w:val="bottom"/>
            <w:tcBorders>
              <w:bottom w:val="single" w:sz="8" w:color="auto"/>
            </w:tcBorders>
          </w:tcPr>
          <w:p>
            <w:pPr>
              <w:jc w:val="right"/>
              <w:ind w:right="119"/>
              <w:spacing w:after="0"/>
              <w:rPr>
                <w:sz w:val="20"/>
                <w:szCs w:val="20"/>
                <w:color w:val="auto"/>
              </w:rPr>
            </w:pPr>
            <w:r>
              <w:rPr>
                <w:rFonts w:ascii="Arial" w:cs="Arial" w:eastAsia="Arial" w:hAnsi="Arial"/>
                <w:sz w:val="16"/>
                <w:szCs w:val="16"/>
                <w:color w:val="auto"/>
                <w:w w:val="89"/>
              </w:rPr>
              <w:t>$</w:t>
            </w:r>
          </w:p>
        </w:tc>
        <w:tc>
          <w:tcPr>
            <w:tcW w:w="160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30,364</w:t>
            </w:r>
          </w:p>
        </w:tc>
        <w:tc>
          <w:tcPr>
            <w:tcW w:w="120" w:type="dxa"/>
            <w:vAlign w:val="bottom"/>
          </w:tcPr>
          <w:p>
            <w:pPr>
              <w:spacing w:after="0"/>
              <w:rPr>
                <w:sz w:val="21"/>
                <w:szCs w:val="21"/>
                <w:color w:val="auto"/>
              </w:rPr>
            </w:pPr>
          </w:p>
        </w:tc>
        <w:tc>
          <w:tcPr>
            <w:tcW w:w="300" w:type="dxa"/>
            <w:vAlign w:val="bottom"/>
            <w:tcBorders>
              <w:bottom w:val="single" w:sz="8" w:color="auto"/>
            </w:tcBorders>
          </w:tcPr>
          <w:p>
            <w:pPr>
              <w:jc w:val="right"/>
              <w:ind w:right="119"/>
              <w:spacing w:after="0"/>
              <w:rPr>
                <w:sz w:val="20"/>
                <w:szCs w:val="20"/>
                <w:color w:val="auto"/>
              </w:rPr>
            </w:pPr>
            <w:r>
              <w:rPr>
                <w:rFonts w:ascii="Arial" w:cs="Arial" w:eastAsia="Arial" w:hAnsi="Arial"/>
                <w:sz w:val="16"/>
                <w:szCs w:val="16"/>
                <w:color w:val="auto"/>
                <w:w w:val="89"/>
              </w:rPr>
              <w:t>$</w:t>
            </w:r>
          </w:p>
        </w:tc>
        <w:tc>
          <w:tcPr>
            <w:tcW w:w="160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31,191</w:t>
            </w:r>
          </w:p>
        </w:tc>
        <w:tc>
          <w:tcPr>
            <w:tcW w:w="120" w:type="dxa"/>
            <w:vAlign w:val="bottom"/>
          </w:tcPr>
          <w:p>
            <w:pPr>
              <w:spacing w:after="0"/>
              <w:rPr>
                <w:sz w:val="21"/>
                <w:szCs w:val="21"/>
                <w:color w:val="auto"/>
              </w:rPr>
            </w:pPr>
          </w:p>
        </w:tc>
        <w:tc>
          <w:tcPr>
            <w:tcW w:w="300" w:type="dxa"/>
            <w:vAlign w:val="bottom"/>
            <w:tcBorders>
              <w:bottom w:val="single" w:sz="8" w:color="auto"/>
            </w:tcBorders>
          </w:tcPr>
          <w:p>
            <w:pPr>
              <w:jc w:val="right"/>
              <w:ind w:right="119"/>
              <w:spacing w:after="0"/>
              <w:rPr>
                <w:sz w:val="20"/>
                <w:szCs w:val="20"/>
                <w:color w:val="auto"/>
              </w:rPr>
            </w:pPr>
            <w:r>
              <w:rPr>
                <w:rFonts w:ascii="Arial" w:cs="Arial" w:eastAsia="Arial" w:hAnsi="Arial"/>
                <w:sz w:val="16"/>
                <w:szCs w:val="16"/>
                <w:color w:val="auto"/>
                <w:w w:val="89"/>
              </w:rPr>
              <w:t>$</w:t>
            </w:r>
          </w:p>
        </w:tc>
        <w:tc>
          <w:tcPr>
            <w:tcW w:w="1620" w:type="dxa"/>
            <w:vAlign w:val="bottom"/>
            <w:tcBorders>
              <w:bottom w:val="single" w:sz="8" w:color="auto"/>
            </w:tcBorders>
          </w:tcPr>
          <w:p>
            <w:pPr>
              <w:jc w:val="right"/>
              <w:ind w:right="79"/>
              <w:spacing w:after="0"/>
              <w:rPr>
                <w:sz w:val="20"/>
                <w:szCs w:val="20"/>
                <w:color w:val="auto"/>
              </w:rPr>
            </w:pPr>
            <w:r>
              <w:rPr>
                <w:rFonts w:ascii="Arial" w:cs="Arial" w:eastAsia="Arial" w:hAnsi="Arial"/>
                <w:sz w:val="16"/>
                <w:szCs w:val="16"/>
                <w:color w:val="auto"/>
              </w:rPr>
              <w:t>62,558</w:t>
            </w:r>
          </w:p>
        </w:tc>
        <w:tc>
          <w:tcPr>
            <w:tcW w:w="100" w:type="dxa"/>
            <w:vAlign w:val="bottom"/>
          </w:tcPr>
          <w:p>
            <w:pPr>
              <w:spacing w:after="0"/>
              <w:rPr>
                <w:sz w:val="21"/>
                <w:szCs w:val="21"/>
                <w:color w:val="auto"/>
              </w:rPr>
            </w:pPr>
          </w:p>
        </w:tc>
        <w:tc>
          <w:tcPr>
            <w:tcW w:w="300" w:type="dxa"/>
            <w:vAlign w:val="bottom"/>
            <w:tcBorders>
              <w:bottom w:val="single" w:sz="8" w:color="auto"/>
            </w:tcBorders>
          </w:tcPr>
          <w:p>
            <w:pPr>
              <w:jc w:val="right"/>
              <w:ind w:right="119"/>
              <w:spacing w:after="0"/>
              <w:rPr>
                <w:sz w:val="20"/>
                <w:szCs w:val="20"/>
                <w:color w:val="auto"/>
              </w:rPr>
            </w:pPr>
            <w:r>
              <w:rPr>
                <w:rFonts w:ascii="Arial" w:cs="Arial" w:eastAsia="Arial" w:hAnsi="Arial"/>
                <w:sz w:val="16"/>
                <w:szCs w:val="16"/>
                <w:color w:val="auto"/>
                <w:w w:val="89"/>
              </w:rPr>
              <w:t>$</w:t>
            </w:r>
          </w:p>
        </w:tc>
        <w:tc>
          <w:tcPr>
            <w:tcW w:w="162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61,269</w:t>
            </w:r>
          </w:p>
        </w:tc>
      </w:tr>
      <w:tr>
        <w:trPr>
          <w:trHeight w:val="23"/>
        </w:trPr>
        <w:tc>
          <w:tcPr>
            <w:tcW w:w="326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r>
    </w:tbl>
    <w:p>
      <w:pPr>
        <w:spacing w:after="0" w:line="310" w:lineRule="exact"/>
        <w:rPr>
          <w:sz w:val="20"/>
          <w:szCs w:val="20"/>
          <w:color w:val="auto"/>
        </w:rPr>
      </w:pPr>
    </w:p>
    <w:p>
      <w:pPr>
        <w:jc w:val="both"/>
        <w:ind w:firstLine="243"/>
        <w:spacing w:after="0" w:line="286" w:lineRule="auto"/>
        <w:rPr>
          <w:sz w:val="20"/>
          <w:szCs w:val="20"/>
          <w:color w:val="auto"/>
        </w:rPr>
      </w:pPr>
      <w:r>
        <w:rPr>
          <w:rFonts w:ascii="Arial" w:cs="Arial" w:eastAsia="Arial" w:hAnsi="Arial"/>
          <w:sz w:val="17"/>
          <w:szCs w:val="17"/>
          <w:color w:val="auto"/>
        </w:rPr>
        <w:t>Engineering and other service revenue includes revenue generated primarily from certain governmental and engineering service contracts. During the three and six months ended June 30, 2020, the Company recognized $2.0 million and $6.0 million, respectively, in revenue related to the completion of certain milestones for non-recurring engineering services under the Terms Agreement described in its 2019 Annual Report.</w:t>
      </w:r>
    </w:p>
    <w:p>
      <w:pPr>
        <w:spacing w:after="0" w:line="200" w:lineRule="exact"/>
        <w:rPr>
          <w:sz w:val="20"/>
          <w:szCs w:val="20"/>
          <w:color w:val="auto"/>
        </w:rPr>
      </w:pPr>
    </w:p>
    <w:p>
      <w:pPr>
        <w:spacing w:after="0" w:line="200" w:lineRule="exact"/>
        <w:rPr>
          <w:sz w:val="20"/>
          <w:szCs w:val="20"/>
          <w:color w:val="auto"/>
        </w:rPr>
      </w:pPr>
    </w:p>
    <w:p>
      <w:pPr>
        <w:spacing w:after="0" w:line="34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sectPr>
      </w:pPr>
    </w:p>
    <w:bookmarkStart w:id="11" w:name="page12"/>
    <w:bookmarkEnd w:id="11"/>
    <w:p>
      <w:pPr>
        <w:jc w:val="both"/>
        <w:ind w:firstLine="243"/>
        <w:spacing w:after="0" w:line="263" w:lineRule="auto"/>
        <w:rPr>
          <w:sz w:val="20"/>
          <w:szCs w:val="20"/>
          <w:color w:val="auto"/>
        </w:rPr>
      </w:pPr>
      <w:r>
        <w:rPr>
          <w:rFonts w:ascii="Arial" w:cs="Arial" w:eastAsia="Arial" w:hAnsi="Arial"/>
          <w:sz w:val="18"/>
          <w:szCs w:val="18"/>
          <w:color w:val="auto"/>
        </w:rPr>
        <w:t>The Company attributes equipment revenue to various countries based on the location where equipment is sold. Service revenue is generally attributed to the various countries based on the Globalstar entity that holds the customer contract. The following table discloses revenue disaggregated by geographical market (amounts in thousands):</w:t>
      </w:r>
    </w:p>
    <w:p>
      <w:pPr>
        <w:spacing w:after="0" w:line="121" w:lineRule="exact"/>
        <w:rPr>
          <w:sz w:val="20"/>
          <w:szCs w:val="20"/>
          <w:color w:val="auto"/>
        </w:rPr>
      </w:pPr>
    </w:p>
    <w:tbl>
      <w:tblPr>
        <w:tblLayout w:type="fixed"/>
        <w:tblInd w:w="0" w:type="dxa"/>
        <w:tblCellMar>
          <w:top w:w="0" w:type="dxa"/>
          <w:left w:w="0" w:type="dxa"/>
          <w:bottom w:w="0" w:type="dxa"/>
          <w:right w:w="0" w:type="dxa"/>
        </w:tblCellMar>
      </w:tblPr>
      <w:tr>
        <w:trPr>
          <w:trHeight w:val="206"/>
        </w:trPr>
        <w:tc>
          <w:tcPr>
            <w:tcW w:w="32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3740" w:type="dxa"/>
            <w:vAlign w:val="bottom"/>
            <w:gridSpan w:val="5"/>
          </w:tcPr>
          <w:p>
            <w:pPr>
              <w:ind w:left="980"/>
              <w:spacing w:after="0"/>
              <w:rPr>
                <w:sz w:val="20"/>
                <w:szCs w:val="20"/>
                <w:color w:val="auto"/>
              </w:rPr>
            </w:pPr>
            <w:r>
              <w:rPr>
                <w:rFonts w:ascii="Arial" w:cs="Arial" w:eastAsia="Arial" w:hAnsi="Arial"/>
                <w:sz w:val="16"/>
                <w:szCs w:val="16"/>
                <w:color w:val="auto"/>
              </w:rPr>
              <w:t>Three Months Ended</w:t>
            </w:r>
          </w:p>
        </w:tc>
        <w:tc>
          <w:tcPr>
            <w:tcW w:w="300" w:type="dxa"/>
            <w:vAlign w:val="bottom"/>
          </w:tcPr>
          <w:p>
            <w:pPr>
              <w:spacing w:after="0"/>
              <w:rPr>
                <w:sz w:val="17"/>
                <w:szCs w:val="17"/>
                <w:color w:val="auto"/>
              </w:rPr>
            </w:pPr>
          </w:p>
        </w:tc>
        <w:tc>
          <w:tcPr>
            <w:tcW w:w="3640" w:type="dxa"/>
            <w:vAlign w:val="bottom"/>
            <w:gridSpan w:val="4"/>
          </w:tcPr>
          <w:p>
            <w:pPr>
              <w:jc w:val="right"/>
              <w:ind w:right="1279"/>
              <w:spacing w:after="0"/>
              <w:rPr>
                <w:sz w:val="20"/>
                <w:szCs w:val="20"/>
                <w:color w:val="auto"/>
              </w:rPr>
            </w:pPr>
            <w:r>
              <w:rPr>
                <w:rFonts w:ascii="Arial" w:cs="Arial" w:eastAsia="Arial" w:hAnsi="Arial"/>
                <w:sz w:val="16"/>
                <w:szCs w:val="16"/>
                <w:color w:val="auto"/>
              </w:rPr>
              <w:t>Six Months Ended</w:t>
            </w:r>
          </w:p>
        </w:tc>
      </w:tr>
      <w:tr>
        <w:trPr>
          <w:trHeight w:val="33"/>
        </w:trPr>
        <w:tc>
          <w:tcPr>
            <w:tcW w:w="324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720" w:type="dxa"/>
            <w:vAlign w:val="bottom"/>
            <w:tcBorders>
              <w:bottom w:val="single" w:sz="8" w:color="auto"/>
            </w:tcBorders>
            <w:gridSpan w:val="2"/>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720" w:type="dxa"/>
            <w:vAlign w:val="bottom"/>
            <w:tcBorders>
              <w:bottom w:val="single" w:sz="8" w:color="auto"/>
            </w:tcBorders>
            <w:gridSpan w:val="2"/>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r>
      <w:tr>
        <w:trPr>
          <w:trHeight w:val="217"/>
        </w:trPr>
        <w:tc>
          <w:tcPr>
            <w:tcW w:w="32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720" w:type="dxa"/>
            <w:vAlign w:val="bottom"/>
            <w:gridSpan w:val="2"/>
          </w:tcPr>
          <w:p>
            <w:pPr>
              <w:ind w:left="200"/>
              <w:spacing w:after="0"/>
              <w:rPr>
                <w:sz w:val="20"/>
                <w:szCs w:val="20"/>
                <w:color w:val="auto"/>
              </w:rPr>
            </w:pPr>
            <w:r>
              <w:rPr>
                <w:rFonts w:ascii="Arial" w:cs="Arial" w:eastAsia="Arial" w:hAnsi="Arial"/>
                <w:sz w:val="16"/>
                <w:szCs w:val="16"/>
                <w:color w:val="auto"/>
              </w:rPr>
              <w:t>June 30, 2020</w:t>
            </w:r>
          </w:p>
        </w:tc>
        <w:tc>
          <w:tcPr>
            <w:tcW w:w="300" w:type="dxa"/>
            <w:vAlign w:val="bottom"/>
          </w:tcPr>
          <w:p>
            <w:pPr>
              <w:spacing w:after="0"/>
              <w:rPr>
                <w:sz w:val="18"/>
                <w:szCs w:val="18"/>
                <w:color w:val="auto"/>
              </w:rPr>
            </w:pPr>
          </w:p>
        </w:tc>
        <w:tc>
          <w:tcPr>
            <w:tcW w:w="1720" w:type="dxa"/>
            <w:vAlign w:val="bottom"/>
            <w:gridSpan w:val="2"/>
          </w:tcPr>
          <w:p>
            <w:pPr>
              <w:ind w:left="200"/>
              <w:spacing w:after="0"/>
              <w:rPr>
                <w:sz w:val="20"/>
                <w:szCs w:val="20"/>
                <w:color w:val="auto"/>
              </w:rPr>
            </w:pPr>
            <w:r>
              <w:rPr>
                <w:rFonts w:ascii="Arial" w:cs="Arial" w:eastAsia="Arial" w:hAnsi="Arial"/>
                <w:sz w:val="16"/>
                <w:szCs w:val="16"/>
                <w:color w:val="auto"/>
              </w:rPr>
              <w:t>June 30, 2019</w:t>
            </w:r>
          </w:p>
        </w:tc>
        <w:tc>
          <w:tcPr>
            <w:tcW w:w="300" w:type="dxa"/>
            <w:vAlign w:val="bottom"/>
          </w:tcPr>
          <w:p>
            <w:pPr>
              <w:spacing w:after="0"/>
              <w:rPr>
                <w:sz w:val="18"/>
                <w:szCs w:val="18"/>
                <w:color w:val="auto"/>
              </w:rPr>
            </w:pPr>
          </w:p>
        </w:tc>
        <w:tc>
          <w:tcPr>
            <w:tcW w:w="1720" w:type="dxa"/>
            <w:vAlign w:val="bottom"/>
            <w:gridSpan w:val="2"/>
          </w:tcPr>
          <w:p>
            <w:pPr>
              <w:ind w:left="200"/>
              <w:spacing w:after="0"/>
              <w:rPr>
                <w:sz w:val="20"/>
                <w:szCs w:val="20"/>
                <w:color w:val="auto"/>
              </w:rPr>
            </w:pPr>
            <w:r>
              <w:rPr>
                <w:rFonts w:ascii="Arial" w:cs="Arial" w:eastAsia="Arial" w:hAnsi="Arial"/>
                <w:sz w:val="16"/>
                <w:szCs w:val="16"/>
                <w:color w:val="auto"/>
              </w:rPr>
              <w:t>June 30, 2020</w:t>
            </w:r>
          </w:p>
        </w:tc>
        <w:tc>
          <w:tcPr>
            <w:tcW w:w="300" w:type="dxa"/>
            <w:vAlign w:val="bottom"/>
          </w:tcPr>
          <w:p>
            <w:pPr>
              <w:spacing w:after="0"/>
              <w:rPr>
                <w:sz w:val="18"/>
                <w:szCs w:val="18"/>
                <w:color w:val="auto"/>
              </w:rPr>
            </w:pPr>
          </w:p>
        </w:tc>
        <w:tc>
          <w:tcPr>
            <w:tcW w:w="1620" w:type="dxa"/>
            <w:vAlign w:val="bottom"/>
          </w:tcPr>
          <w:p>
            <w:pPr>
              <w:jc w:val="right"/>
              <w:ind w:right="419"/>
              <w:spacing w:after="0"/>
              <w:rPr>
                <w:sz w:val="20"/>
                <w:szCs w:val="20"/>
                <w:color w:val="auto"/>
              </w:rPr>
            </w:pPr>
            <w:r>
              <w:rPr>
                <w:rFonts w:ascii="Arial" w:cs="Arial" w:eastAsia="Arial" w:hAnsi="Arial"/>
                <w:sz w:val="16"/>
                <w:szCs w:val="16"/>
                <w:color w:val="auto"/>
              </w:rPr>
              <w:t>June 30, 2019</w:t>
            </w:r>
          </w:p>
        </w:tc>
      </w:tr>
      <w:tr>
        <w:trPr>
          <w:trHeight w:val="33"/>
        </w:trPr>
        <w:tc>
          <w:tcPr>
            <w:tcW w:w="324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r>
      <w:tr>
        <w:trPr>
          <w:trHeight w:val="217"/>
        </w:trPr>
        <w:tc>
          <w:tcPr>
            <w:tcW w:w="3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Service revenue:</w:t>
            </w:r>
          </w:p>
        </w:tc>
        <w:tc>
          <w:tcPr>
            <w:tcW w:w="320" w:type="dxa"/>
            <w:vAlign w:val="bottom"/>
            <w:tcBorders>
              <w:bottom w:val="single" w:sz="8" w:color="CCEEFF"/>
            </w:tcBorders>
            <w:shd w:val="clear" w:color="auto" w:fill="CCEEFF"/>
          </w:tcPr>
          <w:p>
            <w:pPr>
              <w:spacing w:after="0"/>
              <w:rPr>
                <w:sz w:val="18"/>
                <w:szCs w:val="18"/>
                <w:color w:val="auto"/>
              </w:rPr>
            </w:pPr>
          </w:p>
        </w:tc>
        <w:tc>
          <w:tcPr>
            <w:tcW w:w="160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CCEEFF"/>
            </w:tcBorders>
            <w:shd w:val="clear" w:color="auto" w:fill="CCEEFF"/>
          </w:tcPr>
          <w:p>
            <w:pPr>
              <w:spacing w:after="0"/>
              <w:rPr>
                <w:sz w:val="18"/>
                <w:szCs w:val="18"/>
                <w:color w:val="auto"/>
              </w:rPr>
            </w:pPr>
          </w:p>
        </w:tc>
        <w:tc>
          <w:tcPr>
            <w:tcW w:w="300" w:type="dxa"/>
            <w:vAlign w:val="bottom"/>
            <w:tcBorders>
              <w:bottom w:val="single" w:sz="8" w:color="CCEEFF"/>
            </w:tcBorders>
            <w:shd w:val="clear" w:color="auto" w:fill="CCEEFF"/>
          </w:tcPr>
          <w:p>
            <w:pPr>
              <w:spacing w:after="0"/>
              <w:rPr>
                <w:sz w:val="18"/>
                <w:szCs w:val="18"/>
                <w:color w:val="auto"/>
              </w:rPr>
            </w:pPr>
          </w:p>
        </w:tc>
        <w:tc>
          <w:tcPr>
            <w:tcW w:w="160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CCEEFF"/>
            </w:tcBorders>
            <w:shd w:val="clear" w:color="auto" w:fill="CCEEFF"/>
          </w:tcPr>
          <w:p>
            <w:pPr>
              <w:spacing w:after="0"/>
              <w:rPr>
                <w:sz w:val="18"/>
                <w:szCs w:val="18"/>
                <w:color w:val="auto"/>
              </w:rPr>
            </w:pPr>
          </w:p>
        </w:tc>
        <w:tc>
          <w:tcPr>
            <w:tcW w:w="300" w:type="dxa"/>
            <w:vAlign w:val="bottom"/>
            <w:tcBorders>
              <w:bottom w:val="single" w:sz="8" w:color="CCEEFF"/>
            </w:tcBorders>
            <w:shd w:val="clear" w:color="auto" w:fill="CCEEFF"/>
          </w:tcPr>
          <w:p>
            <w:pPr>
              <w:spacing w:after="0"/>
              <w:rPr>
                <w:sz w:val="18"/>
                <w:szCs w:val="18"/>
                <w:color w:val="auto"/>
              </w:rPr>
            </w:pPr>
          </w:p>
        </w:tc>
        <w:tc>
          <w:tcPr>
            <w:tcW w:w="162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300" w:type="dxa"/>
            <w:vAlign w:val="bottom"/>
            <w:tcBorders>
              <w:bottom w:val="single" w:sz="8" w:color="CCEEFF"/>
            </w:tcBorders>
            <w:shd w:val="clear" w:color="auto" w:fill="CCEEFF"/>
          </w:tcPr>
          <w:p>
            <w:pPr>
              <w:spacing w:after="0"/>
              <w:rPr>
                <w:sz w:val="18"/>
                <w:szCs w:val="18"/>
                <w:color w:val="auto"/>
              </w:rPr>
            </w:pPr>
          </w:p>
        </w:tc>
        <w:tc>
          <w:tcPr>
            <w:tcW w:w="1620" w:type="dxa"/>
            <w:vAlign w:val="bottom"/>
            <w:tcBorders>
              <w:bottom w:val="single" w:sz="8" w:color="CCEEFF"/>
            </w:tcBorders>
            <w:shd w:val="clear" w:color="auto" w:fill="CCEEFF"/>
          </w:tcPr>
          <w:p>
            <w:pPr>
              <w:spacing w:after="0"/>
              <w:rPr>
                <w:sz w:val="18"/>
                <w:szCs w:val="18"/>
                <w:color w:val="auto"/>
              </w:rPr>
            </w:pPr>
          </w:p>
        </w:tc>
      </w:tr>
      <w:tr>
        <w:trPr>
          <w:trHeight w:val="223"/>
        </w:trPr>
        <w:tc>
          <w:tcPr>
            <w:tcW w:w="3240" w:type="dxa"/>
            <w:vAlign w:val="bottom"/>
          </w:tcPr>
          <w:p>
            <w:pPr>
              <w:ind w:left="120"/>
              <w:spacing w:after="0"/>
              <w:rPr>
                <w:sz w:val="20"/>
                <w:szCs w:val="20"/>
                <w:color w:val="auto"/>
              </w:rPr>
            </w:pPr>
            <w:r>
              <w:rPr>
                <w:rFonts w:ascii="Arial" w:cs="Arial" w:eastAsia="Arial" w:hAnsi="Arial"/>
                <w:sz w:val="16"/>
                <w:szCs w:val="16"/>
                <w:color w:val="auto"/>
              </w:rPr>
              <w:t>United States</w:t>
            </w:r>
          </w:p>
        </w:tc>
        <w:tc>
          <w:tcPr>
            <w:tcW w:w="320" w:type="dxa"/>
            <w:vAlign w:val="bottom"/>
          </w:tcPr>
          <w:p>
            <w:pPr>
              <w:jc w:val="right"/>
              <w:ind w:right="139"/>
              <w:spacing w:after="0"/>
              <w:rPr>
                <w:sz w:val="20"/>
                <w:szCs w:val="20"/>
                <w:color w:val="auto"/>
              </w:rPr>
            </w:pPr>
            <w:r>
              <w:rPr>
                <w:rFonts w:ascii="Arial" w:cs="Arial" w:eastAsia="Arial" w:hAnsi="Arial"/>
                <w:sz w:val="16"/>
                <w:szCs w:val="16"/>
                <w:color w:val="auto"/>
                <w:w w:val="89"/>
              </w:rPr>
              <w:t>$</w:t>
            </w:r>
          </w:p>
        </w:tc>
        <w:tc>
          <w:tcPr>
            <w:tcW w:w="1600" w:type="dxa"/>
            <w:vAlign w:val="bottom"/>
          </w:tcPr>
          <w:p>
            <w:pPr>
              <w:jc w:val="right"/>
              <w:ind w:right="59"/>
              <w:spacing w:after="0"/>
              <w:rPr>
                <w:sz w:val="20"/>
                <w:szCs w:val="20"/>
                <w:color w:val="auto"/>
              </w:rPr>
            </w:pPr>
            <w:r>
              <w:rPr>
                <w:rFonts w:ascii="Arial" w:cs="Arial" w:eastAsia="Arial" w:hAnsi="Arial"/>
                <w:sz w:val="16"/>
                <w:szCs w:val="16"/>
                <w:color w:val="auto"/>
              </w:rPr>
              <w:t>20,016</w:t>
            </w:r>
          </w:p>
        </w:tc>
        <w:tc>
          <w:tcPr>
            <w:tcW w:w="120" w:type="dxa"/>
            <w:vAlign w:val="bottom"/>
          </w:tcPr>
          <w:p>
            <w:pPr>
              <w:spacing w:after="0"/>
              <w:rPr>
                <w:sz w:val="19"/>
                <w:szCs w:val="19"/>
                <w:color w:val="auto"/>
              </w:rPr>
            </w:pPr>
          </w:p>
        </w:tc>
        <w:tc>
          <w:tcPr>
            <w:tcW w:w="300" w:type="dxa"/>
            <w:vAlign w:val="bottom"/>
          </w:tcPr>
          <w:p>
            <w:pPr>
              <w:jc w:val="right"/>
              <w:ind w:right="119"/>
              <w:spacing w:after="0"/>
              <w:rPr>
                <w:sz w:val="20"/>
                <w:szCs w:val="20"/>
                <w:color w:val="auto"/>
              </w:rPr>
            </w:pPr>
            <w:r>
              <w:rPr>
                <w:rFonts w:ascii="Arial" w:cs="Arial" w:eastAsia="Arial" w:hAnsi="Arial"/>
                <w:sz w:val="16"/>
                <w:szCs w:val="16"/>
                <w:color w:val="auto"/>
                <w:w w:val="89"/>
              </w:rPr>
              <w:t>$</w:t>
            </w:r>
          </w:p>
        </w:tc>
        <w:tc>
          <w:tcPr>
            <w:tcW w:w="1600" w:type="dxa"/>
            <w:vAlign w:val="bottom"/>
          </w:tcPr>
          <w:p>
            <w:pPr>
              <w:jc w:val="right"/>
              <w:ind w:right="59"/>
              <w:spacing w:after="0"/>
              <w:rPr>
                <w:sz w:val="20"/>
                <w:szCs w:val="20"/>
                <w:color w:val="auto"/>
              </w:rPr>
            </w:pPr>
            <w:r>
              <w:rPr>
                <w:rFonts w:ascii="Arial" w:cs="Arial" w:eastAsia="Arial" w:hAnsi="Arial"/>
                <w:sz w:val="16"/>
                <w:szCs w:val="16"/>
                <w:color w:val="auto"/>
              </w:rPr>
              <w:t>19,452</w:t>
            </w:r>
          </w:p>
        </w:tc>
        <w:tc>
          <w:tcPr>
            <w:tcW w:w="120" w:type="dxa"/>
            <w:vAlign w:val="bottom"/>
          </w:tcPr>
          <w:p>
            <w:pPr>
              <w:spacing w:after="0"/>
              <w:rPr>
                <w:sz w:val="19"/>
                <w:szCs w:val="19"/>
                <w:color w:val="auto"/>
              </w:rPr>
            </w:pPr>
          </w:p>
        </w:tc>
        <w:tc>
          <w:tcPr>
            <w:tcW w:w="300" w:type="dxa"/>
            <w:vAlign w:val="bottom"/>
          </w:tcPr>
          <w:p>
            <w:pPr>
              <w:jc w:val="right"/>
              <w:ind w:right="119"/>
              <w:spacing w:after="0"/>
              <w:rPr>
                <w:sz w:val="20"/>
                <w:szCs w:val="20"/>
                <w:color w:val="auto"/>
              </w:rPr>
            </w:pPr>
            <w:r>
              <w:rPr>
                <w:rFonts w:ascii="Arial" w:cs="Arial" w:eastAsia="Arial" w:hAnsi="Arial"/>
                <w:sz w:val="16"/>
                <w:szCs w:val="16"/>
                <w:color w:val="auto"/>
                <w:w w:val="89"/>
              </w:rPr>
              <w:t>$</w:t>
            </w:r>
          </w:p>
        </w:tc>
        <w:tc>
          <w:tcPr>
            <w:tcW w:w="1620" w:type="dxa"/>
            <w:vAlign w:val="bottom"/>
          </w:tcPr>
          <w:p>
            <w:pPr>
              <w:jc w:val="right"/>
              <w:ind w:right="79"/>
              <w:spacing w:after="0"/>
              <w:rPr>
                <w:sz w:val="20"/>
                <w:szCs w:val="20"/>
                <w:color w:val="auto"/>
              </w:rPr>
            </w:pPr>
            <w:r>
              <w:rPr>
                <w:rFonts w:ascii="Arial" w:cs="Arial" w:eastAsia="Arial" w:hAnsi="Arial"/>
                <w:sz w:val="16"/>
                <w:szCs w:val="16"/>
                <w:color w:val="auto"/>
              </w:rPr>
              <w:t>42,705</w:t>
            </w:r>
          </w:p>
        </w:tc>
        <w:tc>
          <w:tcPr>
            <w:tcW w:w="100" w:type="dxa"/>
            <w:vAlign w:val="bottom"/>
          </w:tcPr>
          <w:p>
            <w:pPr>
              <w:spacing w:after="0"/>
              <w:rPr>
                <w:sz w:val="19"/>
                <w:szCs w:val="19"/>
                <w:color w:val="auto"/>
              </w:rPr>
            </w:pPr>
          </w:p>
        </w:tc>
        <w:tc>
          <w:tcPr>
            <w:tcW w:w="300" w:type="dxa"/>
            <w:vAlign w:val="bottom"/>
          </w:tcPr>
          <w:p>
            <w:pPr>
              <w:jc w:val="right"/>
              <w:ind w:right="119"/>
              <w:spacing w:after="0"/>
              <w:rPr>
                <w:sz w:val="20"/>
                <w:szCs w:val="20"/>
                <w:color w:val="auto"/>
              </w:rPr>
            </w:pPr>
            <w:r>
              <w:rPr>
                <w:rFonts w:ascii="Arial" w:cs="Arial" w:eastAsia="Arial" w:hAnsi="Arial"/>
                <w:sz w:val="16"/>
                <w:szCs w:val="16"/>
                <w:color w:val="auto"/>
                <w:w w:val="89"/>
              </w:rPr>
              <w:t>$</w:t>
            </w:r>
          </w:p>
        </w:tc>
        <w:tc>
          <w:tcPr>
            <w:tcW w:w="1620" w:type="dxa"/>
            <w:vAlign w:val="bottom"/>
          </w:tcPr>
          <w:p>
            <w:pPr>
              <w:jc w:val="right"/>
              <w:ind w:right="59"/>
              <w:spacing w:after="0"/>
              <w:rPr>
                <w:sz w:val="20"/>
                <w:szCs w:val="20"/>
                <w:color w:val="auto"/>
              </w:rPr>
            </w:pPr>
            <w:r>
              <w:rPr>
                <w:rFonts w:ascii="Arial" w:cs="Arial" w:eastAsia="Arial" w:hAnsi="Arial"/>
                <w:sz w:val="16"/>
                <w:szCs w:val="16"/>
                <w:color w:val="auto"/>
              </w:rPr>
              <w:t>38,704</w:t>
            </w:r>
          </w:p>
        </w:tc>
      </w:tr>
      <w:tr>
        <w:trPr>
          <w:trHeight w:val="33"/>
        </w:trPr>
        <w:tc>
          <w:tcPr>
            <w:tcW w:w="3240" w:type="dxa"/>
            <w:vAlign w:val="bottom"/>
          </w:tcPr>
          <w:p>
            <w:pPr>
              <w:spacing w:after="0"/>
              <w:rPr>
                <w:sz w:val="2"/>
                <w:szCs w:val="2"/>
                <w:color w:val="auto"/>
              </w:rPr>
            </w:pPr>
          </w:p>
        </w:tc>
        <w:tc>
          <w:tcPr>
            <w:tcW w:w="32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20" w:type="dxa"/>
            <w:vAlign w:val="bottom"/>
          </w:tcPr>
          <w:p>
            <w:pPr>
              <w:spacing w:after="0"/>
              <w:rPr>
                <w:sz w:val="2"/>
                <w:szCs w:val="2"/>
                <w:color w:val="auto"/>
              </w:rPr>
            </w:pPr>
          </w:p>
        </w:tc>
      </w:tr>
      <w:tr>
        <w:trPr>
          <w:trHeight w:val="237"/>
        </w:trPr>
        <w:tc>
          <w:tcPr>
            <w:tcW w:w="324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6"/>
                <w:szCs w:val="16"/>
                <w:color w:val="auto"/>
              </w:rPr>
              <w:t>Canada</w:t>
            </w:r>
          </w:p>
        </w:tc>
        <w:tc>
          <w:tcPr>
            <w:tcW w:w="320" w:type="dxa"/>
            <w:vAlign w:val="bottom"/>
            <w:tcBorders>
              <w:bottom w:val="single" w:sz="8" w:color="CCEEFF"/>
            </w:tcBorders>
            <w:shd w:val="clear" w:color="auto" w:fill="CCEEFF"/>
          </w:tcPr>
          <w:p>
            <w:pPr>
              <w:spacing w:after="0"/>
              <w:rPr>
                <w:sz w:val="20"/>
                <w:szCs w:val="20"/>
                <w:color w:val="auto"/>
              </w:rPr>
            </w:pPr>
          </w:p>
        </w:tc>
        <w:tc>
          <w:tcPr>
            <w:tcW w:w="160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4,392</w:t>
            </w:r>
          </w:p>
        </w:tc>
        <w:tc>
          <w:tcPr>
            <w:tcW w:w="12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60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4,331</w:t>
            </w:r>
          </w:p>
        </w:tc>
        <w:tc>
          <w:tcPr>
            <w:tcW w:w="12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62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8,363</w:t>
            </w:r>
          </w:p>
        </w:tc>
        <w:tc>
          <w:tcPr>
            <w:tcW w:w="10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62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8,142</w:t>
            </w:r>
          </w:p>
        </w:tc>
      </w:tr>
      <w:tr>
        <w:trPr>
          <w:trHeight w:val="224"/>
        </w:trPr>
        <w:tc>
          <w:tcPr>
            <w:tcW w:w="3240" w:type="dxa"/>
            <w:vAlign w:val="bottom"/>
          </w:tcPr>
          <w:p>
            <w:pPr>
              <w:ind w:left="120"/>
              <w:spacing w:after="0"/>
              <w:rPr>
                <w:sz w:val="20"/>
                <w:szCs w:val="20"/>
                <w:color w:val="auto"/>
              </w:rPr>
            </w:pPr>
            <w:r>
              <w:rPr>
                <w:rFonts w:ascii="Arial" w:cs="Arial" w:eastAsia="Arial" w:hAnsi="Arial"/>
                <w:sz w:val="16"/>
                <w:szCs w:val="16"/>
                <w:color w:val="auto"/>
              </w:rPr>
              <w:t>Europe</w:t>
            </w:r>
          </w:p>
        </w:tc>
        <w:tc>
          <w:tcPr>
            <w:tcW w:w="320" w:type="dxa"/>
            <w:vAlign w:val="bottom"/>
          </w:tcPr>
          <w:p>
            <w:pPr>
              <w:spacing w:after="0"/>
              <w:rPr>
                <w:sz w:val="19"/>
                <w:szCs w:val="19"/>
                <w:color w:val="auto"/>
              </w:rPr>
            </w:pPr>
          </w:p>
        </w:tc>
        <w:tc>
          <w:tcPr>
            <w:tcW w:w="1600" w:type="dxa"/>
            <w:vAlign w:val="bottom"/>
          </w:tcPr>
          <w:p>
            <w:pPr>
              <w:jc w:val="right"/>
              <w:ind w:right="59"/>
              <w:spacing w:after="0"/>
              <w:rPr>
                <w:sz w:val="20"/>
                <w:szCs w:val="20"/>
                <w:color w:val="auto"/>
              </w:rPr>
            </w:pPr>
            <w:r>
              <w:rPr>
                <w:rFonts w:ascii="Arial" w:cs="Arial" w:eastAsia="Arial" w:hAnsi="Arial"/>
                <w:sz w:val="16"/>
                <w:szCs w:val="16"/>
                <w:color w:val="auto"/>
              </w:rPr>
              <w:t>1,791</w:t>
            </w:r>
          </w:p>
        </w:tc>
        <w:tc>
          <w:tcPr>
            <w:tcW w:w="1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600" w:type="dxa"/>
            <w:vAlign w:val="bottom"/>
          </w:tcPr>
          <w:p>
            <w:pPr>
              <w:jc w:val="right"/>
              <w:ind w:right="59"/>
              <w:spacing w:after="0"/>
              <w:rPr>
                <w:sz w:val="20"/>
                <w:szCs w:val="20"/>
                <w:color w:val="auto"/>
              </w:rPr>
            </w:pPr>
            <w:r>
              <w:rPr>
                <w:rFonts w:ascii="Arial" w:cs="Arial" w:eastAsia="Arial" w:hAnsi="Arial"/>
                <w:sz w:val="16"/>
                <w:szCs w:val="16"/>
                <w:color w:val="auto"/>
              </w:rPr>
              <w:t>2,212</w:t>
            </w:r>
          </w:p>
        </w:tc>
        <w:tc>
          <w:tcPr>
            <w:tcW w:w="1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620" w:type="dxa"/>
            <w:vAlign w:val="bottom"/>
          </w:tcPr>
          <w:p>
            <w:pPr>
              <w:jc w:val="right"/>
              <w:ind w:right="79"/>
              <w:spacing w:after="0"/>
              <w:rPr>
                <w:sz w:val="20"/>
                <w:szCs w:val="20"/>
                <w:color w:val="auto"/>
              </w:rPr>
            </w:pPr>
            <w:r>
              <w:rPr>
                <w:rFonts w:ascii="Arial" w:cs="Arial" w:eastAsia="Arial" w:hAnsi="Arial"/>
                <w:sz w:val="16"/>
                <w:szCs w:val="16"/>
                <w:color w:val="auto"/>
              </w:rPr>
              <w:t>3,152</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620" w:type="dxa"/>
            <w:vAlign w:val="bottom"/>
          </w:tcPr>
          <w:p>
            <w:pPr>
              <w:jc w:val="right"/>
              <w:ind w:right="59"/>
              <w:spacing w:after="0"/>
              <w:rPr>
                <w:sz w:val="20"/>
                <w:szCs w:val="20"/>
                <w:color w:val="auto"/>
              </w:rPr>
            </w:pPr>
            <w:r>
              <w:rPr>
                <w:rFonts w:ascii="Arial" w:cs="Arial" w:eastAsia="Arial" w:hAnsi="Arial"/>
                <w:sz w:val="16"/>
                <w:szCs w:val="16"/>
                <w:color w:val="auto"/>
              </w:rPr>
              <w:t>4,334</w:t>
            </w:r>
          </w:p>
        </w:tc>
      </w:tr>
      <w:tr>
        <w:trPr>
          <w:trHeight w:val="33"/>
        </w:trPr>
        <w:tc>
          <w:tcPr>
            <w:tcW w:w="3240" w:type="dxa"/>
            <w:vAlign w:val="bottom"/>
          </w:tcPr>
          <w:p>
            <w:pPr>
              <w:spacing w:after="0"/>
              <w:rPr>
                <w:sz w:val="2"/>
                <w:szCs w:val="2"/>
                <w:color w:val="auto"/>
              </w:rPr>
            </w:pPr>
          </w:p>
        </w:tc>
        <w:tc>
          <w:tcPr>
            <w:tcW w:w="32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20" w:type="dxa"/>
            <w:vAlign w:val="bottom"/>
          </w:tcPr>
          <w:p>
            <w:pPr>
              <w:spacing w:after="0"/>
              <w:rPr>
                <w:sz w:val="2"/>
                <w:szCs w:val="2"/>
                <w:color w:val="auto"/>
              </w:rPr>
            </w:pPr>
          </w:p>
        </w:tc>
      </w:tr>
      <w:tr>
        <w:trPr>
          <w:trHeight w:val="237"/>
        </w:trPr>
        <w:tc>
          <w:tcPr>
            <w:tcW w:w="324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6"/>
                <w:szCs w:val="16"/>
                <w:color w:val="auto"/>
              </w:rPr>
              <w:t>Central and South America</w:t>
            </w:r>
          </w:p>
        </w:tc>
        <w:tc>
          <w:tcPr>
            <w:tcW w:w="320" w:type="dxa"/>
            <w:vAlign w:val="bottom"/>
            <w:tcBorders>
              <w:bottom w:val="single" w:sz="8" w:color="CCEEFF"/>
            </w:tcBorders>
            <w:shd w:val="clear" w:color="auto" w:fill="CCEEFF"/>
          </w:tcPr>
          <w:p>
            <w:pPr>
              <w:spacing w:after="0"/>
              <w:rPr>
                <w:sz w:val="20"/>
                <w:szCs w:val="20"/>
                <w:color w:val="auto"/>
              </w:rPr>
            </w:pPr>
          </w:p>
        </w:tc>
        <w:tc>
          <w:tcPr>
            <w:tcW w:w="160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669</w:t>
            </w:r>
          </w:p>
        </w:tc>
        <w:tc>
          <w:tcPr>
            <w:tcW w:w="12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60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570</w:t>
            </w:r>
          </w:p>
        </w:tc>
        <w:tc>
          <w:tcPr>
            <w:tcW w:w="12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62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1,379</w:t>
            </w:r>
          </w:p>
        </w:tc>
        <w:tc>
          <w:tcPr>
            <w:tcW w:w="10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62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1,134</w:t>
            </w:r>
          </w:p>
        </w:tc>
      </w:tr>
      <w:tr>
        <w:trPr>
          <w:trHeight w:val="223"/>
        </w:trPr>
        <w:tc>
          <w:tcPr>
            <w:tcW w:w="3240" w:type="dxa"/>
            <w:vAlign w:val="bottom"/>
          </w:tcPr>
          <w:p>
            <w:pPr>
              <w:ind w:left="120"/>
              <w:spacing w:after="0"/>
              <w:rPr>
                <w:sz w:val="20"/>
                <w:szCs w:val="20"/>
                <w:color w:val="auto"/>
              </w:rPr>
            </w:pPr>
            <w:r>
              <w:rPr>
                <w:rFonts w:ascii="Arial" w:cs="Arial" w:eastAsia="Arial" w:hAnsi="Arial"/>
                <w:sz w:val="16"/>
                <w:szCs w:val="16"/>
                <w:color w:val="auto"/>
              </w:rPr>
              <w:t>Others</w:t>
            </w:r>
          </w:p>
        </w:tc>
        <w:tc>
          <w:tcPr>
            <w:tcW w:w="320" w:type="dxa"/>
            <w:vAlign w:val="bottom"/>
          </w:tcPr>
          <w:p>
            <w:pPr>
              <w:spacing w:after="0"/>
              <w:rPr>
                <w:sz w:val="19"/>
                <w:szCs w:val="19"/>
                <w:color w:val="auto"/>
              </w:rPr>
            </w:pPr>
          </w:p>
        </w:tc>
        <w:tc>
          <w:tcPr>
            <w:tcW w:w="1600" w:type="dxa"/>
            <w:vAlign w:val="bottom"/>
          </w:tcPr>
          <w:p>
            <w:pPr>
              <w:jc w:val="right"/>
              <w:ind w:right="59"/>
              <w:spacing w:after="0"/>
              <w:rPr>
                <w:sz w:val="20"/>
                <w:szCs w:val="20"/>
                <w:color w:val="auto"/>
              </w:rPr>
            </w:pPr>
            <w:r>
              <w:rPr>
                <w:rFonts w:ascii="Arial" w:cs="Arial" w:eastAsia="Arial" w:hAnsi="Arial"/>
                <w:sz w:val="16"/>
                <w:szCs w:val="16"/>
                <w:color w:val="auto"/>
              </w:rPr>
              <w:t>222</w:t>
            </w:r>
          </w:p>
        </w:tc>
        <w:tc>
          <w:tcPr>
            <w:tcW w:w="1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600" w:type="dxa"/>
            <w:vAlign w:val="bottom"/>
          </w:tcPr>
          <w:p>
            <w:pPr>
              <w:jc w:val="right"/>
              <w:ind w:right="59"/>
              <w:spacing w:after="0"/>
              <w:rPr>
                <w:sz w:val="20"/>
                <w:szCs w:val="20"/>
                <w:color w:val="auto"/>
              </w:rPr>
            </w:pPr>
            <w:r>
              <w:rPr>
                <w:rFonts w:ascii="Arial" w:cs="Arial" w:eastAsia="Arial" w:hAnsi="Arial"/>
                <w:sz w:val="16"/>
                <w:szCs w:val="16"/>
                <w:color w:val="auto"/>
              </w:rPr>
              <w:t>135</w:t>
            </w:r>
          </w:p>
        </w:tc>
        <w:tc>
          <w:tcPr>
            <w:tcW w:w="1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620" w:type="dxa"/>
            <w:vAlign w:val="bottom"/>
          </w:tcPr>
          <w:p>
            <w:pPr>
              <w:jc w:val="right"/>
              <w:ind w:right="79"/>
              <w:spacing w:after="0"/>
              <w:rPr>
                <w:sz w:val="20"/>
                <w:szCs w:val="20"/>
                <w:color w:val="auto"/>
              </w:rPr>
            </w:pPr>
            <w:r>
              <w:rPr>
                <w:rFonts w:ascii="Arial" w:cs="Arial" w:eastAsia="Arial" w:hAnsi="Arial"/>
                <w:sz w:val="16"/>
                <w:szCs w:val="16"/>
                <w:color w:val="auto"/>
              </w:rPr>
              <w:t>426</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620" w:type="dxa"/>
            <w:vAlign w:val="bottom"/>
          </w:tcPr>
          <w:p>
            <w:pPr>
              <w:jc w:val="right"/>
              <w:ind w:right="59"/>
              <w:spacing w:after="0"/>
              <w:rPr>
                <w:sz w:val="20"/>
                <w:szCs w:val="20"/>
                <w:color w:val="auto"/>
              </w:rPr>
            </w:pPr>
            <w:r>
              <w:rPr>
                <w:rFonts w:ascii="Arial" w:cs="Arial" w:eastAsia="Arial" w:hAnsi="Arial"/>
                <w:sz w:val="16"/>
                <w:szCs w:val="16"/>
                <w:color w:val="auto"/>
              </w:rPr>
              <w:t>505</w:t>
            </w:r>
          </w:p>
        </w:tc>
      </w:tr>
      <w:tr>
        <w:trPr>
          <w:trHeight w:val="33"/>
        </w:trPr>
        <w:tc>
          <w:tcPr>
            <w:tcW w:w="324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r>
      <w:tr>
        <w:trPr>
          <w:trHeight w:val="230"/>
        </w:trPr>
        <w:tc>
          <w:tcPr>
            <w:tcW w:w="324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6"/>
                <w:szCs w:val="16"/>
                <w:color w:val="auto"/>
              </w:rPr>
              <w:t>Total service revenue</w:t>
            </w:r>
          </w:p>
        </w:tc>
        <w:tc>
          <w:tcPr>
            <w:tcW w:w="320" w:type="dxa"/>
            <w:vAlign w:val="bottom"/>
            <w:tcBorders>
              <w:bottom w:val="single" w:sz="8" w:color="CCEEFF"/>
            </w:tcBorders>
            <w:shd w:val="clear" w:color="auto" w:fill="CCEEFF"/>
          </w:tcPr>
          <w:p>
            <w:pPr>
              <w:spacing w:after="0"/>
              <w:rPr>
                <w:sz w:val="20"/>
                <w:szCs w:val="20"/>
                <w:color w:val="auto"/>
              </w:rPr>
            </w:pPr>
          </w:p>
        </w:tc>
        <w:tc>
          <w:tcPr>
            <w:tcW w:w="160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27,090</w:t>
            </w:r>
          </w:p>
        </w:tc>
        <w:tc>
          <w:tcPr>
            <w:tcW w:w="12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60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26,700</w:t>
            </w:r>
          </w:p>
        </w:tc>
        <w:tc>
          <w:tcPr>
            <w:tcW w:w="12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62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56,025</w:t>
            </w:r>
          </w:p>
        </w:tc>
        <w:tc>
          <w:tcPr>
            <w:tcW w:w="10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62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52,819</w:t>
            </w:r>
          </w:p>
        </w:tc>
      </w:tr>
      <w:tr>
        <w:trPr>
          <w:trHeight w:val="108"/>
        </w:trPr>
        <w:tc>
          <w:tcPr>
            <w:tcW w:w="3240" w:type="dxa"/>
            <w:vAlign w:val="bottom"/>
          </w:tcPr>
          <w:p>
            <w:pPr>
              <w:spacing w:after="0"/>
              <w:rPr>
                <w:sz w:val="9"/>
                <w:szCs w:val="9"/>
                <w:color w:val="auto"/>
              </w:rPr>
            </w:pPr>
          </w:p>
        </w:tc>
        <w:tc>
          <w:tcPr>
            <w:tcW w:w="320" w:type="dxa"/>
            <w:vAlign w:val="bottom"/>
          </w:tcPr>
          <w:p>
            <w:pPr>
              <w:spacing w:after="0"/>
              <w:rPr>
                <w:sz w:val="9"/>
                <w:szCs w:val="9"/>
                <w:color w:val="auto"/>
              </w:rPr>
            </w:pPr>
          </w:p>
        </w:tc>
        <w:tc>
          <w:tcPr>
            <w:tcW w:w="1600" w:type="dxa"/>
            <w:vAlign w:val="bottom"/>
          </w:tcPr>
          <w:p>
            <w:pPr>
              <w:spacing w:after="0"/>
              <w:rPr>
                <w:sz w:val="9"/>
                <w:szCs w:val="9"/>
                <w:color w:val="auto"/>
              </w:rPr>
            </w:pPr>
          </w:p>
        </w:tc>
        <w:tc>
          <w:tcPr>
            <w:tcW w:w="120" w:type="dxa"/>
            <w:vAlign w:val="bottom"/>
          </w:tcPr>
          <w:p>
            <w:pPr>
              <w:spacing w:after="0"/>
              <w:rPr>
                <w:sz w:val="9"/>
                <w:szCs w:val="9"/>
                <w:color w:val="auto"/>
              </w:rPr>
            </w:pPr>
          </w:p>
        </w:tc>
        <w:tc>
          <w:tcPr>
            <w:tcW w:w="300" w:type="dxa"/>
            <w:vAlign w:val="bottom"/>
          </w:tcPr>
          <w:p>
            <w:pPr>
              <w:spacing w:after="0"/>
              <w:rPr>
                <w:sz w:val="9"/>
                <w:szCs w:val="9"/>
                <w:color w:val="auto"/>
              </w:rPr>
            </w:pPr>
          </w:p>
        </w:tc>
        <w:tc>
          <w:tcPr>
            <w:tcW w:w="1600" w:type="dxa"/>
            <w:vAlign w:val="bottom"/>
          </w:tcPr>
          <w:p>
            <w:pPr>
              <w:spacing w:after="0"/>
              <w:rPr>
                <w:sz w:val="9"/>
                <w:szCs w:val="9"/>
                <w:color w:val="auto"/>
              </w:rPr>
            </w:pPr>
          </w:p>
        </w:tc>
        <w:tc>
          <w:tcPr>
            <w:tcW w:w="120" w:type="dxa"/>
            <w:vAlign w:val="bottom"/>
          </w:tcPr>
          <w:p>
            <w:pPr>
              <w:spacing w:after="0"/>
              <w:rPr>
                <w:sz w:val="9"/>
                <w:szCs w:val="9"/>
                <w:color w:val="auto"/>
              </w:rPr>
            </w:pPr>
          </w:p>
        </w:tc>
        <w:tc>
          <w:tcPr>
            <w:tcW w:w="300" w:type="dxa"/>
            <w:vAlign w:val="bottom"/>
          </w:tcPr>
          <w:p>
            <w:pPr>
              <w:spacing w:after="0"/>
              <w:rPr>
                <w:sz w:val="9"/>
                <w:szCs w:val="9"/>
                <w:color w:val="auto"/>
              </w:rPr>
            </w:pPr>
          </w:p>
        </w:tc>
        <w:tc>
          <w:tcPr>
            <w:tcW w:w="1620" w:type="dxa"/>
            <w:vAlign w:val="bottom"/>
          </w:tcPr>
          <w:p>
            <w:pPr>
              <w:spacing w:after="0"/>
              <w:rPr>
                <w:sz w:val="9"/>
                <w:szCs w:val="9"/>
                <w:color w:val="auto"/>
              </w:rPr>
            </w:pPr>
          </w:p>
        </w:tc>
        <w:tc>
          <w:tcPr>
            <w:tcW w:w="100" w:type="dxa"/>
            <w:vAlign w:val="bottom"/>
          </w:tcPr>
          <w:p>
            <w:pPr>
              <w:spacing w:after="0"/>
              <w:rPr>
                <w:sz w:val="9"/>
                <w:szCs w:val="9"/>
                <w:color w:val="auto"/>
              </w:rPr>
            </w:pPr>
          </w:p>
        </w:tc>
        <w:tc>
          <w:tcPr>
            <w:tcW w:w="300" w:type="dxa"/>
            <w:vAlign w:val="bottom"/>
          </w:tcPr>
          <w:p>
            <w:pPr>
              <w:spacing w:after="0"/>
              <w:rPr>
                <w:sz w:val="9"/>
                <w:szCs w:val="9"/>
                <w:color w:val="auto"/>
              </w:rPr>
            </w:pPr>
          </w:p>
        </w:tc>
        <w:tc>
          <w:tcPr>
            <w:tcW w:w="1620" w:type="dxa"/>
            <w:vAlign w:val="bottom"/>
          </w:tcPr>
          <w:p>
            <w:pPr>
              <w:spacing w:after="0"/>
              <w:rPr>
                <w:sz w:val="9"/>
                <w:szCs w:val="9"/>
                <w:color w:val="auto"/>
              </w:rPr>
            </w:pPr>
          </w:p>
        </w:tc>
      </w:tr>
      <w:tr>
        <w:trPr>
          <w:trHeight w:val="237"/>
        </w:trPr>
        <w:tc>
          <w:tcPr>
            <w:tcW w:w="3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Subscriber equipment sales:</w:t>
            </w:r>
          </w:p>
        </w:tc>
        <w:tc>
          <w:tcPr>
            <w:tcW w:w="320" w:type="dxa"/>
            <w:vAlign w:val="bottom"/>
            <w:tcBorders>
              <w:bottom w:val="single" w:sz="8" w:color="CCEEFF"/>
            </w:tcBorders>
            <w:shd w:val="clear" w:color="auto" w:fill="CCEEFF"/>
          </w:tcPr>
          <w:p>
            <w:pPr>
              <w:spacing w:after="0"/>
              <w:rPr>
                <w:sz w:val="20"/>
                <w:szCs w:val="20"/>
                <w:color w:val="auto"/>
              </w:rPr>
            </w:pPr>
          </w:p>
        </w:tc>
        <w:tc>
          <w:tcPr>
            <w:tcW w:w="16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6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6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620" w:type="dxa"/>
            <w:vAlign w:val="bottom"/>
            <w:tcBorders>
              <w:bottom w:val="single" w:sz="8" w:color="CCEEFF"/>
            </w:tcBorders>
            <w:shd w:val="clear" w:color="auto" w:fill="CCEEFF"/>
          </w:tcPr>
          <w:p>
            <w:pPr>
              <w:spacing w:after="0"/>
              <w:rPr>
                <w:sz w:val="20"/>
                <w:szCs w:val="20"/>
                <w:color w:val="auto"/>
              </w:rPr>
            </w:pPr>
          </w:p>
        </w:tc>
      </w:tr>
      <w:tr>
        <w:trPr>
          <w:trHeight w:val="223"/>
        </w:trPr>
        <w:tc>
          <w:tcPr>
            <w:tcW w:w="3240" w:type="dxa"/>
            <w:vAlign w:val="bottom"/>
          </w:tcPr>
          <w:p>
            <w:pPr>
              <w:ind w:left="120"/>
              <w:spacing w:after="0"/>
              <w:rPr>
                <w:sz w:val="20"/>
                <w:szCs w:val="20"/>
                <w:color w:val="auto"/>
              </w:rPr>
            </w:pPr>
            <w:r>
              <w:rPr>
                <w:rFonts w:ascii="Arial" w:cs="Arial" w:eastAsia="Arial" w:hAnsi="Arial"/>
                <w:sz w:val="16"/>
                <w:szCs w:val="16"/>
                <w:color w:val="auto"/>
              </w:rPr>
              <w:t>United States</w:t>
            </w:r>
          </w:p>
        </w:tc>
        <w:tc>
          <w:tcPr>
            <w:tcW w:w="320" w:type="dxa"/>
            <w:vAlign w:val="bottom"/>
          </w:tcPr>
          <w:p>
            <w:pPr>
              <w:jc w:val="right"/>
              <w:ind w:right="139"/>
              <w:spacing w:after="0"/>
              <w:rPr>
                <w:sz w:val="20"/>
                <w:szCs w:val="20"/>
                <w:color w:val="auto"/>
              </w:rPr>
            </w:pPr>
            <w:r>
              <w:rPr>
                <w:rFonts w:ascii="Arial" w:cs="Arial" w:eastAsia="Arial" w:hAnsi="Arial"/>
                <w:sz w:val="16"/>
                <w:szCs w:val="16"/>
                <w:color w:val="auto"/>
                <w:w w:val="89"/>
              </w:rPr>
              <w:t>$</w:t>
            </w:r>
          </w:p>
        </w:tc>
        <w:tc>
          <w:tcPr>
            <w:tcW w:w="1600" w:type="dxa"/>
            <w:vAlign w:val="bottom"/>
          </w:tcPr>
          <w:p>
            <w:pPr>
              <w:jc w:val="right"/>
              <w:ind w:right="59"/>
              <w:spacing w:after="0"/>
              <w:rPr>
                <w:sz w:val="20"/>
                <w:szCs w:val="20"/>
                <w:color w:val="auto"/>
              </w:rPr>
            </w:pPr>
            <w:r>
              <w:rPr>
                <w:rFonts w:ascii="Arial" w:cs="Arial" w:eastAsia="Arial" w:hAnsi="Arial"/>
                <w:sz w:val="16"/>
                <w:szCs w:val="16"/>
                <w:color w:val="auto"/>
              </w:rPr>
              <w:t>1,721</w:t>
            </w:r>
          </w:p>
        </w:tc>
        <w:tc>
          <w:tcPr>
            <w:tcW w:w="120" w:type="dxa"/>
            <w:vAlign w:val="bottom"/>
          </w:tcPr>
          <w:p>
            <w:pPr>
              <w:spacing w:after="0"/>
              <w:rPr>
                <w:sz w:val="19"/>
                <w:szCs w:val="19"/>
                <w:color w:val="auto"/>
              </w:rPr>
            </w:pPr>
          </w:p>
        </w:tc>
        <w:tc>
          <w:tcPr>
            <w:tcW w:w="300" w:type="dxa"/>
            <w:vAlign w:val="bottom"/>
          </w:tcPr>
          <w:p>
            <w:pPr>
              <w:jc w:val="right"/>
              <w:ind w:right="119"/>
              <w:spacing w:after="0"/>
              <w:rPr>
                <w:sz w:val="20"/>
                <w:szCs w:val="20"/>
                <w:color w:val="auto"/>
              </w:rPr>
            </w:pPr>
            <w:r>
              <w:rPr>
                <w:rFonts w:ascii="Arial" w:cs="Arial" w:eastAsia="Arial" w:hAnsi="Arial"/>
                <w:sz w:val="16"/>
                <w:szCs w:val="16"/>
                <w:color w:val="auto"/>
                <w:w w:val="89"/>
              </w:rPr>
              <w:t>$</w:t>
            </w:r>
          </w:p>
        </w:tc>
        <w:tc>
          <w:tcPr>
            <w:tcW w:w="1600" w:type="dxa"/>
            <w:vAlign w:val="bottom"/>
          </w:tcPr>
          <w:p>
            <w:pPr>
              <w:jc w:val="right"/>
              <w:ind w:right="59"/>
              <w:spacing w:after="0"/>
              <w:rPr>
                <w:sz w:val="20"/>
                <w:szCs w:val="20"/>
                <w:color w:val="auto"/>
              </w:rPr>
            </w:pPr>
            <w:r>
              <w:rPr>
                <w:rFonts w:ascii="Arial" w:cs="Arial" w:eastAsia="Arial" w:hAnsi="Arial"/>
                <w:sz w:val="16"/>
                <w:szCs w:val="16"/>
                <w:color w:val="auto"/>
              </w:rPr>
              <w:t>2,549</w:t>
            </w:r>
          </w:p>
        </w:tc>
        <w:tc>
          <w:tcPr>
            <w:tcW w:w="120" w:type="dxa"/>
            <w:vAlign w:val="bottom"/>
          </w:tcPr>
          <w:p>
            <w:pPr>
              <w:spacing w:after="0"/>
              <w:rPr>
                <w:sz w:val="19"/>
                <w:szCs w:val="19"/>
                <w:color w:val="auto"/>
              </w:rPr>
            </w:pPr>
          </w:p>
        </w:tc>
        <w:tc>
          <w:tcPr>
            <w:tcW w:w="300" w:type="dxa"/>
            <w:vAlign w:val="bottom"/>
          </w:tcPr>
          <w:p>
            <w:pPr>
              <w:jc w:val="right"/>
              <w:ind w:right="119"/>
              <w:spacing w:after="0"/>
              <w:rPr>
                <w:sz w:val="20"/>
                <w:szCs w:val="20"/>
                <w:color w:val="auto"/>
              </w:rPr>
            </w:pPr>
            <w:r>
              <w:rPr>
                <w:rFonts w:ascii="Arial" w:cs="Arial" w:eastAsia="Arial" w:hAnsi="Arial"/>
                <w:sz w:val="16"/>
                <w:szCs w:val="16"/>
                <w:color w:val="auto"/>
                <w:w w:val="89"/>
              </w:rPr>
              <w:t>$</w:t>
            </w:r>
          </w:p>
        </w:tc>
        <w:tc>
          <w:tcPr>
            <w:tcW w:w="1620" w:type="dxa"/>
            <w:vAlign w:val="bottom"/>
          </w:tcPr>
          <w:p>
            <w:pPr>
              <w:jc w:val="right"/>
              <w:ind w:right="79"/>
              <w:spacing w:after="0"/>
              <w:rPr>
                <w:sz w:val="20"/>
                <w:szCs w:val="20"/>
                <w:color w:val="auto"/>
              </w:rPr>
            </w:pPr>
            <w:r>
              <w:rPr>
                <w:rFonts w:ascii="Arial" w:cs="Arial" w:eastAsia="Arial" w:hAnsi="Arial"/>
                <w:sz w:val="16"/>
                <w:szCs w:val="16"/>
                <w:color w:val="auto"/>
              </w:rPr>
              <w:t>3,164</w:t>
            </w:r>
          </w:p>
        </w:tc>
        <w:tc>
          <w:tcPr>
            <w:tcW w:w="100" w:type="dxa"/>
            <w:vAlign w:val="bottom"/>
          </w:tcPr>
          <w:p>
            <w:pPr>
              <w:spacing w:after="0"/>
              <w:rPr>
                <w:sz w:val="19"/>
                <w:szCs w:val="19"/>
                <w:color w:val="auto"/>
              </w:rPr>
            </w:pPr>
          </w:p>
        </w:tc>
        <w:tc>
          <w:tcPr>
            <w:tcW w:w="300" w:type="dxa"/>
            <w:vAlign w:val="bottom"/>
          </w:tcPr>
          <w:p>
            <w:pPr>
              <w:jc w:val="right"/>
              <w:ind w:right="119"/>
              <w:spacing w:after="0"/>
              <w:rPr>
                <w:sz w:val="20"/>
                <w:szCs w:val="20"/>
                <w:color w:val="auto"/>
              </w:rPr>
            </w:pPr>
            <w:r>
              <w:rPr>
                <w:rFonts w:ascii="Arial" w:cs="Arial" w:eastAsia="Arial" w:hAnsi="Arial"/>
                <w:sz w:val="16"/>
                <w:szCs w:val="16"/>
                <w:color w:val="auto"/>
                <w:w w:val="89"/>
              </w:rPr>
              <w:t>$</w:t>
            </w:r>
          </w:p>
        </w:tc>
        <w:tc>
          <w:tcPr>
            <w:tcW w:w="1620" w:type="dxa"/>
            <w:vAlign w:val="bottom"/>
          </w:tcPr>
          <w:p>
            <w:pPr>
              <w:jc w:val="right"/>
              <w:ind w:right="59"/>
              <w:spacing w:after="0"/>
              <w:rPr>
                <w:sz w:val="20"/>
                <w:szCs w:val="20"/>
                <w:color w:val="auto"/>
              </w:rPr>
            </w:pPr>
            <w:r>
              <w:rPr>
                <w:rFonts w:ascii="Arial" w:cs="Arial" w:eastAsia="Arial" w:hAnsi="Arial"/>
                <w:sz w:val="16"/>
                <w:szCs w:val="16"/>
                <w:color w:val="auto"/>
              </w:rPr>
              <w:t>4,760</w:t>
            </w:r>
          </w:p>
        </w:tc>
      </w:tr>
      <w:tr>
        <w:trPr>
          <w:trHeight w:val="33"/>
        </w:trPr>
        <w:tc>
          <w:tcPr>
            <w:tcW w:w="3240" w:type="dxa"/>
            <w:vAlign w:val="bottom"/>
          </w:tcPr>
          <w:p>
            <w:pPr>
              <w:spacing w:after="0"/>
              <w:rPr>
                <w:sz w:val="2"/>
                <w:szCs w:val="2"/>
                <w:color w:val="auto"/>
              </w:rPr>
            </w:pPr>
          </w:p>
        </w:tc>
        <w:tc>
          <w:tcPr>
            <w:tcW w:w="32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20" w:type="dxa"/>
            <w:vAlign w:val="bottom"/>
          </w:tcPr>
          <w:p>
            <w:pPr>
              <w:spacing w:after="0"/>
              <w:rPr>
                <w:sz w:val="2"/>
                <w:szCs w:val="2"/>
                <w:color w:val="auto"/>
              </w:rPr>
            </w:pPr>
          </w:p>
        </w:tc>
      </w:tr>
      <w:tr>
        <w:trPr>
          <w:trHeight w:val="236"/>
        </w:trPr>
        <w:tc>
          <w:tcPr>
            <w:tcW w:w="324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6"/>
                <w:szCs w:val="16"/>
                <w:color w:val="auto"/>
              </w:rPr>
              <w:t>Canada</w:t>
            </w:r>
          </w:p>
        </w:tc>
        <w:tc>
          <w:tcPr>
            <w:tcW w:w="320" w:type="dxa"/>
            <w:vAlign w:val="bottom"/>
            <w:tcBorders>
              <w:bottom w:val="single" w:sz="8" w:color="CCEEFF"/>
            </w:tcBorders>
            <w:shd w:val="clear" w:color="auto" w:fill="CCEEFF"/>
          </w:tcPr>
          <w:p>
            <w:pPr>
              <w:spacing w:after="0"/>
              <w:rPr>
                <w:sz w:val="20"/>
                <w:szCs w:val="20"/>
                <w:color w:val="auto"/>
              </w:rPr>
            </w:pPr>
          </w:p>
        </w:tc>
        <w:tc>
          <w:tcPr>
            <w:tcW w:w="160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859</w:t>
            </w:r>
          </w:p>
        </w:tc>
        <w:tc>
          <w:tcPr>
            <w:tcW w:w="12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60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1,133</w:t>
            </w:r>
          </w:p>
        </w:tc>
        <w:tc>
          <w:tcPr>
            <w:tcW w:w="12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62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1,942</w:t>
            </w:r>
          </w:p>
        </w:tc>
        <w:tc>
          <w:tcPr>
            <w:tcW w:w="10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62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1,946</w:t>
            </w:r>
          </w:p>
        </w:tc>
      </w:tr>
      <w:tr>
        <w:trPr>
          <w:trHeight w:val="224"/>
        </w:trPr>
        <w:tc>
          <w:tcPr>
            <w:tcW w:w="3240" w:type="dxa"/>
            <w:vAlign w:val="bottom"/>
          </w:tcPr>
          <w:p>
            <w:pPr>
              <w:ind w:left="120"/>
              <w:spacing w:after="0"/>
              <w:rPr>
                <w:sz w:val="20"/>
                <w:szCs w:val="20"/>
                <w:color w:val="auto"/>
              </w:rPr>
            </w:pPr>
            <w:r>
              <w:rPr>
                <w:rFonts w:ascii="Arial" w:cs="Arial" w:eastAsia="Arial" w:hAnsi="Arial"/>
                <w:sz w:val="16"/>
                <w:szCs w:val="16"/>
                <w:color w:val="auto"/>
              </w:rPr>
              <w:t>Europe</w:t>
            </w:r>
          </w:p>
        </w:tc>
        <w:tc>
          <w:tcPr>
            <w:tcW w:w="320" w:type="dxa"/>
            <w:vAlign w:val="bottom"/>
          </w:tcPr>
          <w:p>
            <w:pPr>
              <w:spacing w:after="0"/>
              <w:rPr>
                <w:sz w:val="19"/>
                <w:szCs w:val="19"/>
                <w:color w:val="auto"/>
              </w:rPr>
            </w:pPr>
          </w:p>
        </w:tc>
        <w:tc>
          <w:tcPr>
            <w:tcW w:w="1600" w:type="dxa"/>
            <w:vAlign w:val="bottom"/>
          </w:tcPr>
          <w:p>
            <w:pPr>
              <w:jc w:val="right"/>
              <w:ind w:right="59"/>
              <w:spacing w:after="0"/>
              <w:rPr>
                <w:sz w:val="20"/>
                <w:szCs w:val="20"/>
                <w:color w:val="auto"/>
              </w:rPr>
            </w:pPr>
            <w:r>
              <w:rPr>
                <w:rFonts w:ascii="Arial" w:cs="Arial" w:eastAsia="Arial" w:hAnsi="Arial"/>
                <w:sz w:val="16"/>
                <w:szCs w:val="16"/>
                <w:color w:val="auto"/>
              </w:rPr>
              <w:t>376</w:t>
            </w:r>
          </w:p>
        </w:tc>
        <w:tc>
          <w:tcPr>
            <w:tcW w:w="1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600" w:type="dxa"/>
            <w:vAlign w:val="bottom"/>
          </w:tcPr>
          <w:p>
            <w:pPr>
              <w:jc w:val="right"/>
              <w:ind w:right="59"/>
              <w:spacing w:after="0"/>
              <w:rPr>
                <w:sz w:val="20"/>
                <w:szCs w:val="20"/>
                <w:color w:val="auto"/>
              </w:rPr>
            </w:pPr>
            <w:r>
              <w:rPr>
                <w:rFonts w:ascii="Arial" w:cs="Arial" w:eastAsia="Arial" w:hAnsi="Arial"/>
                <w:sz w:val="16"/>
                <w:szCs w:val="16"/>
                <w:color w:val="auto"/>
              </w:rPr>
              <w:t>440</w:t>
            </w:r>
          </w:p>
        </w:tc>
        <w:tc>
          <w:tcPr>
            <w:tcW w:w="1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620" w:type="dxa"/>
            <w:vAlign w:val="bottom"/>
          </w:tcPr>
          <w:p>
            <w:pPr>
              <w:jc w:val="right"/>
              <w:ind w:right="79"/>
              <w:spacing w:after="0"/>
              <w:rPr>
                <w:sz w:val="20"/>
                <w:szCs w:val="20"/>
                <w:color w:val="auto"/>
              </w:rPr>
            </w:pPr>
            <w:r>
              <w:rPr>
                <w:rFonts w:ascii="Arial" w:cs="Arial" w:eastAsia="Arial" w:hAnsi="Arial"/>
                <w:sz w:val="16"/>
                <w:szCs w:val="16"/>
                <w:color w:val="auto"/>
              </w:rPr>
              <w:t>870</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620" w:type="dxa"/>
            <w:vAlign w:val="bottom"/>
          </w:tcPr>
          <w:p>
            <w:pPr>
              <w:jc w:val="right"/>
              <w:ind w:right="59"/>
              <w:spacing w:after="0"/>
              <w:rPr>
                <w:sz w:val="20"/>
                <w:szCs w:val="20"/>
                <w:color w:val="auto"/>
              </w:rPr>
            </w:pPr>
            <w:r>
              <w:rPr>
                <w:rFonts w:ascii="Arial" w:cs="Arial" w:eastAsia="Arial" w:hAnsi="Arial"/>
                <w:sz w:val="16"/>
                <w:szCs w:val="16"/>
                <w:color w:val="auto"/>
              </w:rPr>
              <w:t>1,017</w:t>
            </w:r>
          </w:p>
        </w:tc>
      </w:tr>
      <w:tr>
        <w:trPr>
          <w:trHeight w:val="33"/>
        </w:trPr>
        <w:tc>
          <w:tcPr>
            <w:tcW w:w="3240" w:type="dxa"/>
            <w:vAlign w:val="bottom"/>
          </w:tcPr>
          <w:p>
            <w:pPr>
              <w:spacing w:after="0"/>
              <w:rPr>
                <w:sz w:val="2"/>
                <w:szCs w:val="2"/>
                <w:color w:val="auto"/>
              </w:rPr>
            </w:pPr>
          </w:p>
        </w:tc>
        <w:tc>
          <w:tcPr>
            <w:tcW w:w="32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20" w:type="dxa"/>
            <w:vAlign w:val="bottom"/>
          </w:tcPr>
          <w:p>
            <w:pPr>
              <w:spacing w:after="0"/>
              <w:rPr>
                <w:sz w:val="2"/>
                <w:szCs w:val="2"/>
                <w:color w:val="auto"/>
              </w:rPr>
            </w:pPr>
          </w:p>
        </w:tc>
      </w:tr>
      <w:tr>
        <w:trPr>
          <w:trHeight w:val="237"/>
        </w:trPr>
        <w:tc>
          <w:tcPr>
            <w:tcW w:w="324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6"/>
                <w:szCs w:val="16"/>
                <w:color w:val="auto"/>
              </w:rPr>
              <w:t>Central and South America</w:t>
            </w:r>
          </w:p>
        </w:tc>
        <w:tc>
          <w:tcPr>
            <w:tcW w:w="320" w:type="dxa"/>
            <w:vAlign w:val="bottom"/>
            <w:tcBorders>
              <w:bottom w:val="single" w:sz="8" w:color="CCEEFF"/>
            </w:tcBorders>
            <w:shd w:val="clear" w:color="auto" w:fill="CCEEFF"/>
          </w:tcPr>
          <w:p>
            <w:pPr>
              <w:spacing w:after="0"/>
              <w:rPr>
                <w:sz w:val="20"/>
                <w:szCs w:val="20"/>
                <w:color w:val="auto"/>
              </w:rPr>
            </w:pPr>
          </w:p>
        </w:tc>
        <w:tc>
          <w:tcPr>
            <w:tcW w:w="160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306</w:t>
            </w:r>
          </w:p>
        </w:tc>
        <w:tc>
          <w:tcPr>
            <w:tcW w:w="12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60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349</w:t>
            </w:r>
          </w:p>
        </w:tc>
        <w:tc>
          <w:tcPr>
            <w:tcW w:w="12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62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572</w:t>
            </w:r>
          </w:p>
        </w:tc>
        <w:tc>
          <w:tcPr>
            <w:tcW w:w="10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62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661</w:t>
            </w:r>
          </w:p>
        </w:tc>
      </w:tr>
      <w:tr>
        <w:trPr>
          <w:trHeight w:val="223"/>
        </w:trPr>
        <w:tc>
          <w:tcPr>
            <w:tcW w:w="3240" w:type="dxa"/>
            <w:vAlign w:val="bottom"/>
          </w:tcPr>
          <w:p>
            <w:pPr>
              <w:ind w:left="120"/>
              <w:spacing w:after="0"/>
              <w:rPr>
                <w:sz w:val="20"/>
                <w:szCs w:val="20"/>
                <w:color w:val="auto"/>
              </w:rPr>
            </w:pPr>
            <w:r>
              <w:rPr>
                <w:rFonts w:ascii="Arial" w:cs="Arial" w:eastAsia="Arial" w:hAnsi="Arial"/>
                <w:sz w:val="16"/>
                <w:szCs w:val="16"/>
                <w:color w:val="auto"/>
              </w:rPr>
              <w:t>Others</w:t>
            </w:r>
          </w:p>
        </w:tc>
        <w:tc>
          <w:tcPr>
            <w:tcW w:w="320" w:type="dxa"/>
            <w:vAlign w:val="bottom"/>
          </w:tcPr>
          <w:p>
            <w:pPr>
              <w:spacing w:after="0"/>
              <w:rPr>
                <w:sz w:val="19"/>
                <w:szCs w:val="19"/>
                <w:color w:val="auto"/>
              </w:rPr>
            </w:pPr>
          </w:p>
        </w:tc>
        <w:tc>
          <w:tcPr>
            <w:tcW w:w="1600" w:type="dxa"/>
            <w:vAlign w:val="bottom"/>
          </w:tcPr>
          <w:p>
            <w:pPr>
              <w:jc w:val="right"/>
              <w:ind w:right="59"/>
              <w:spacing w:after="0"/>
              <w:rPr>
                <w:sz w:val="20"/>
                <w:szCs w:val="20"/>
                <w:color w:val="auto"/>
              </w:rPr>
            </w:pPr>
            <w:r>
              <w:rPr>
                <w:rFonts w:ascii="Arial" w:cs="Arial" w:eastAsia="Arial" w:hAnsi="Arial"/>
                <w:sz w:val="16"/>
                <w:szCs w:val="16"/>
                <w:color w:val="auto"/>
              </w:rPr>
              <w:t>12</w:t>
            </w:r>
          </w:p>
        </w:tc>
        <w:tc>
          <w:tcPr>
            <w:tcW w:w="1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600" w:type="dxa"/>
            <w:vAlign w:val="bottom"/>
          </w:tcPr>
          <w:p>
            <w:pPr>
              <w:jc w:val="right"/>
              <w:ind w:right="59"/>
              <w:spacing w:after="0"/>
              <w:rPr>
                <w:sz w:val="20"/>
                <w:szCs w:val="20"/>
                <w:color w:val="auto"/>
              </w:rPr>
            </w:pPr>
            <w:r>
              <w:rPr>
                <w:rFonts w:ascii="Arial" w:cs="Arial" w:eastAsia="Arial" w:hAnsi="Arial"/>
                <w:sz w:val="16"/>
                <w:szCs w:val="16"/>
                <w:color w:val="auto"/>
              </w:rPr>
              <w:t>20</w:t>
            </w:r>
          </w:p>
        </w:tc>
        <w:tc>
          <w:tcPr>
            <w:tcW w:w="1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620" w:type="dxa"/>
            <w:vAlign w:val="bottom"/>
          </w:tcPr>
          <w:p>
            <w:pPr>
              <w:jc w:val="right"/>
              <w:ind w:right="39"/>
              <w:spacing w:after="0"/>
              <w:rPr>
                <w:sz w:val="20"/>
                <w:szCs w:val="20"/>
                <w:color w:val="auto"/>
              </w:rPr>
            </w:pPr>
            <w:r>
              <w:rPr>
                <w:rFonts w:ascii="Arial" w:cs="Arial" w:eastAsia="Arial" w:hAnsi="Arial"/>
                <w:sz w:val="16"/>
                <w:szCs w:val="16"/>
                <w:color w:val="auto"/>
              </w:rPr>
              <w:t>(15)</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620" w:type="dxa"/>
            <w:vAlign w:val="bottom"/>
          </w:tcPr>
          <w:p>
            <w:pPr>
              <w:jc w:val="right"/>
              <w:ind w:right="59"/>
              <w:spacing w:after="0"/>
              <w:rPr>
                <w:sz w:val="20"/>
                <w:szCs w:val="20"/>
                <w:color w:val="auto"/>
              </w:rPr>
            </w:pPr>
            <w:r>
              <w:rPr>
                <w:rFonts w:ascii="Arial" w:cs="Arial" w:eastAsia="Arial" w:hAnsi="Arial"/>
                <w:sz w:val="16"/>
                <w:szCs w:val="16"/>
                <w:color w:val="auto"/>
              </w:rPr>
              <w:t>66</w:t>
            </w:r>
          </w:p>
        </w:tc>
      </w:tr>
      <w:tr>
        <w:trPr>
          <w:trHeight w:val="33"/>
        </w:trPr>
        <w:tc>
          <w:tcPr>
            <w:tcW w:w="324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r>
      <w:tr>
        <w:trPr>
          <w:trHeight w:val="230"/>
        </w:trPr>
        <w:tc>
          <w:tcPr>
            <w:tcW w:w="324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6"/>
                <w:szCs w:val="16"/>
                <w:color w:val="auto"/>
              </w:rPr>
              <w:t>Total subscriber equipment sales</w:t>
            </w:r>
          </w:p>
        </w:tc>
        <w:tc>
          <w:tcPr>
            <w:tcW w:w="320" w:type="dxa"/>
            <w:vAlign w:val="bottom"/>
            <w:tcBorders>
              <w:bottom w:val="single" w:sz="8" w:color="CCEEFF"/>
            </w:tcBorders>
            <w:shd w:val="clear" w:color="auto" w:fill="CCEEFF"/>
          </w:tcPr>
          <w:p>
            <w:pPr>
              <w:spacing w:after="0"/>
              <w:rPr>
                <w:sz w:val="20"/>
                <w:szCs w:val="20"/>
                <w:color w:val="auto"/>
              </w:rPr>
            </w:pPr>
          </w:p>
        </w:tc>
        <w:tc>
          <w:tcPr>
            <w:tcW w:w="160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3,274</w:t>
            </w:r>
          </w:p>
        </w:tc>
        <w:tc>
          <w:tcPr>
            <w:tcW w:w="12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60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4,491</w:t>
            </w:r>
          </w:p>
        </w:tc>
        <w:tc>
          <w:tcPr>
            <w:tcW w:w="12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62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6,533</w:t>
            </w:r>
          </w:p>
        </w:tc>
        <w:tc>
          <w:tcPr>
            <w:tcW w:w="10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62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8,450</w:t>
            </w:r>
          </w:p>
        </w:tc>
      </w:tr>
      <w:tr>
        <w:trPr>
          <w:trHeight w:val="108"/>
        </w:trPr>
        <w:tc>
          <w:tcPr>
            <w:tcW w:w="3240" w:type="dxa"/>
            <w:vAlign w:val="bottom"/>
            <w:tcBorders>
              <w:bottom w:val="single" w:sz="8" w:color="CCEEFF"/>
            </w:tcBorders>
          </w:tcPr>
          <w:p>
            <w:pPr>
              <w:spacing w:after="0"/>
              <w:rPr>
                <w:sz w:val="9"/>
                <w:szCs w:val="9"/>
                <w:color w:val="auto"/>
              </w:rPr>
            </w:pPr>
          </w:p>
        </w:tc>
        <w:tc>
          <w:tcPr>
            <w:tcW w:w="320" w:type="dxa"/>
            <w:vAlign w:val="bottom"/>
            <w:tcBorders>
              <w:bottom w:val="single" w:sz="8" w:color="auto"/>
            </w:tcBorders>
          </w:tcPr>
          <w:p>
            <w:pPr>
              <w:spacing w:after="0"/>
              <w:rPr>
                <w:sz w:val="9"/>
                <w:szCs w:val="9"/>
                <w:color w:val="auto"/>
              </w:rPr>
            </w:pPr>
          </w:p>
        </w:tc>
        <w:tc>
          <w:tcPr>
            <w:tcW w:w="1600" w:type="dxa"/>
            <w:vAlign w:val="bottom"/>
            <w:tcBorders>
              <w:bottom w:val="single" w:sz="8" w:color="auto"/>
            </w:tcBorders>
          </w:tcPr>
          <w:p>
            <w:pPr>
              <w:spacing w:after="0"/>
              <w:rPr>
                <w:sz w:val="9"/>
                <w:szCs w:val="9"/>
                <w:color w:val="auto"/>
              </w:rPr>
            </w:pPr>
          </w:p>
        </w:tc>
        <w:tc>
          <w:tcPr>
            <w:tcW w:w="120" w:type="dxa"/>
            <w:vAlign w:val="bottom"/>
            <w:tcBorders>
              <w:bottom w:val="single" w:sz="8" w:color="CCEEFF"/>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1600" w:type="dxa"/>
            <w:vAlign w:val="bottom"/>
            <w:tcBorders>
              <w:bottom w:val="single" w:sz="8" w:color="auto"/>
            </w:tcBorders>
          </w:tcPr>
          <w:p>
            <w:pPr>
              <w:spacing w:after="0"/>
              <w:rPr>
                <w:sz w:val="9"/>
                <w:szCs w:val="9"/>
                <w:color w:val="auto"/>
              </w:rPr>
            </w:pPr>
          </w:p>
        </w:tc>
        <w:tc>
          <w:tcPr>
            <w:tcW w:w="120" w:type="dxa"/>
            <w:vAlign w:val="bottom"/>
            <w:tcBorders>
              <w:bottom w:val="single" w:sz="8" w:color="CCEEFF"/>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1620" w:type="dxa"/>
            <w:vAlign w:val="bottom"/>
            <w:tcBorders>
              <w:bottom w:val="single" w:sz="8" w:color="auto"/>
            </w:tcBorders>
          </w:tcPr>
          <w:p>
            <w:pPr>
              <w:spacing w:after="0"/>
              <w:rPr>
                <w:sz w:val="9"/>
                <w:szCs w:val="9"/>
                <w:color w:val="auto"/>
              </w:rPr>
            </w:pPr>
          </w:p>
        </w:tc>
        <w:tc>
          <w:tcPr>
            <w:tcW w:w="100" w:type="dxa"/>
            <w:vAlign w:val="bottom"/>
            <w:tcBorders>
              <w:bottom w:val="single" w:sz="8" w:color="CCEEFF"/>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1620" w:type="dxa"/>
            <w:vAlign w:val="bottom"/>
            <w:tcBorders>
              <w:bottom w:val="single" w:sz="8" w:color="auto"/>
            </w:tcBorders>
          </w:tcPr>
          <w:p>
            <w:pPr>
              <w:spacing w:after="0"/>
              <w:rPr>
                <w:sz w:val="9"/>
                <w:szCs w:val="9"/>
                <w:color w:val="auto"/>
              </w:rPr>
            </w:pPr>
          </w:p>
        </w:tc>
      </w:tr>
      <w:tr>
        <w:trPr>
          <w:trHeight w:val="272"/>
        </w:trPr>
        <w:tc>
          <w:tcPr>
            <w:tcW w:w="3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Total revenue</w:t>
            </w:r>
          </w:p>
        </w:tc>
        <w:tc>
          <w:tcPr>
            <w:tcW w:w="320" w:type="dxa"/>
            <w:vAlign w:val="bottom"/>
            <w:tcBorders>
              <w:bottom w:val="single" w:sz="8" w:color="auto"/>
            </w:tcBorders>
            <w:shd w:val="clear" w:color="auto" w:fill="CCEEFF"/>
          </w:tcPr>
          <w:p>
            <w:pPr>
              <w:jc w:val="right"/>
              <w:ind w:right="139"/>
              <w:spacing w:after="0"/>
              <w:rPr>
                <w:sz w:val="20"/>
                <w:szCs w:val="20"/>
                <w:color w:val="auto"/>
              </w:rPr>
            </w:pPr>
            <w:r>
              <w:rPr>
                <w:rFonts w:ascii="Arial" w:cs="Arial" w:eastAsia="Arial" w:hAnsi="Arial"/>
                <w:sz w:val="16"/>
                <w:szCs w:val="16"/>
                <w:color w:val="auto"/>
                <w:w w:val="89"/>
              </w:rPr>
              <w:t>$</w:t>
            </w:r>
          </w:p>
        </w:tc>
        <w:tc>
          <w:tcPr>
            <w:tcW w:w="1600" w:type="dxa"/>
            <w:vAlign w:val="bottom"/>
            <w:tcBorders>
              <w:bottom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color w:val="auto"/>
              </w:rPr>
              <w:t>30,364</w:t>
            </w:r>
          </w:p>
        </w:tc>
        <w:tc>
          <w:tcPr>
            <w:tcW w:w="12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auto"/>
            </w:tcBorders>
            <w:shd w:val="clear" w:color="auto" w:fill="CCEEFF"/>
          </w:tcPr>
          <w:p>
            <w:pPr>
              <w:jc w:val="right"/>
              <w:ind w:right="119"/>
              <w:spacing w:after="0"/>
              <w:rPr>
                <w:sz w:val="20"/>
                <w:szCs w:val="20"/>
                <w:color w:val="auto"/>
              </w:rPr>
            </w:pPr>
            <w:r>
              <w:rPr>
                <w:rFonts w:ascii="Arial" w:cs="Arial" w:eastAsia="Arial" w:hAnsi="Arial"/>
                <w:sz w:val="16"/>
                <w:szCs w:val="16"/>
                <w:color w:val="auto"/>
                <w:w w:val="89"/>
              </w:rPr>
              <w:t>$</w:t>
            </w:r>
          </w:p>
        </w:tc>
        <w:tc>
          <w:tcPr>
            <w:tcW w:w="1600" w:type="dxa"/>
            <w:vAlign w:val="bottom"/>
            <w:tcBorders>
              <w:bottom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color w:val="auto"/>
              </w:rPr>
              <w:t>31,191</w:t>
            </w:r>
          </w:p>
        </w:tc>
        <w:tc>
          <w:tcPr>
            <w:tcW w:w="12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auto"/>
            </w:tcBorders>
            <w:shd w:val="clear" w:color="auto" w:fill="CCEEFF"/>
          </w:tcPr>
          <w:p>
            <w:pPr>
              <w:jc w:val="right"/>
              <w:ind w:right="119"/>
              <w:spacing w:after="0"/>
              <w:rPr>
                <w:sz w:val="20"/>
                <w:szCs w:val="20"/>
                <w:color w:val="auto"/>
              </w:rPr>
            </w:pPr>
            <w:r>
              <w:rPr>
                <w:rFonts w:ascii="Arial" w:cs="Arial" w:eastAsia="Arial" w:hAnsi="Arial"/>
                <w:sz w:val="16"/>
                <w:szCs w:val="16"/>
                <w:color w:val="auto"/>
                <w:w w:val="89"/>
              </w:rPr>
              <w:t>$</w:t>
            </w:r>
          </w:p>
        </w:tc>
        <w:tc>
          <w:tcPr>
            <w:tcW w:w="1620" w:type="dxa"/>
            <w:vAlign w:val="bottom"/>
            <w:tcBorders>
              <w:bottom w:val="single" w:sz="8" w:color="auto"/>
            </w:tcBorders>
            <w:shd w:val="clear" w:color="auto" w:fill="CCEEFF"/>
          </w:tcPr>
          <w:p>
            <w:pPr>
              <w:jc w:val="right"/>
              <w:ind w:right="79"/>
              <w:spacing w:after="0"/>
              <w:rPr>
                <w:sz w:val="20"/>
                <w:szCs w:val="20"/>
                <w:color w:val="auto"/>
              </w:rPr>
            </w:pPr>
            <w:r>
              <w:rPr>
                <w:rFonts w:ascii="Arial" w:cs="Arial" w:eastAsia="Arial" w:hAnsi="Arial"/>
                <w:sz w:val="16"/>
                <w:szCs w:val="16"/>
                <w:color w:val="auto"/>
              </w:rPr>
              <w:t>62,558</w:t>
            </w:r>
          </w:p>
        </w:tc>
        <w:tc>
          <w:tcPr>
            <w:tcW w:w="10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auto"/>
            </w:tcBorders>
            <w:shd w:val="clear" w:color="auto" w:fill="CCEEFF"/>
          </w:tcPr>
          <w:p>
            <w:pPr>
              <w:jc w:val="right"/>
              <w:ind w:right="119"/>
              <w:spacing w:after="0"/>
              <w:rPr>
                <w:sz w:val="20"/>
                <w:szCs w:val="20"/>
                <w:color w:val="auto"/>
              </w:rPr>
            </w:pPr>
            <w:r>
              <w:rPr>
                <w:rFonts w:ascii="Arial" w:cs="Arial" w:eastAsia="Arial" w:hAnsi="Arial"/>
                <w:sz w:val="16"/>
                <w:szCs w:val="16"/>
                <w:color w:val="auto"/>
                <w:w w:val="89"/>
              </w:rPr>
              <w:t>$</w:t>
            </w:r>
          </w:p>
        </w:tc>
        <w:tc>
          <w:tcPr>
            <w:tcW w:w="1620" w:type="dxa"/>
            <w:vAlign w:val="bottom"/>
            <w:tcBorders>
              <w:bottom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color w:val="auto"/>
              </w:rPr>
              <w:t>61,269</w:t>
            </w:r>
          </w:p>
        </w:tc>
      </w:tr>
      <w:tr>
        <w:trPr>
          <w:trHeight w:val="20"/>
        </w:trPr>
        <w:tc>
          <w:tcPr>
            <w:tcW w:w="324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6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6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6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620" w:type="dxa"/>
            <w:vAlign w:val="bottom"/>
            <w:tcBorders>
              <w:top w:val="single" w:sz="8" w:color="CCEEFF"/>
              <w:bottom w:val="single" w:sz="8" w:color="auto"/>
            </w:tcBorders>
          </w:tcPr>
          <w:p>
            <w:pPr>
              <w:spacing w:after="0" w:line="20" w:lineRule="exact"/>
              <w:rPr>
                <w:sz w:val="1"/>
                <w:szCs w:val="1"/>
                <w:color w:val="auto"/>
              </w:rPr>
            </w:pPr>
          </w:p>
        </w:tc>
      </w:tr>
    </w:tbl>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Accounts Receivable</w:t>
      </w:r>
    </w:p>
    <w:p>
      <w:pPr>
        <w:spacing w:after="0" w:line="256" w:lineRule="exact"/>
        <w:rPr>
          <w:sz w:val="20"/>
          <w:szCs w:val="20"/>
          <w:color w:val="auto"/>
        </w:rPr>
      </w:pPr>
    </w:p>
    <w:p>
      <w:pPr>
        <w:jc w:val="both"/>
        <w:ind w:firstLine="243"/>
        <w:spacing w:after="0" w:line="286" w:lineRule="auto"/>
        <w:rPr>
          <w:sz w:val="20"/>
          <w:szCs w:val="20"/>
          <w:color w:val="auto"/>
        </w:rPr>
      </w:pPr>
      <w:r>
        <w:rPr>
          <w:rFonts w:ascii="Arial" w:cs="Arial" w:eastAsia="Arial" w:hAnsi="Arial"/>
          <w:sz w:val="17"/>
          <w:szCs w:val="17"/>
          <w:color w:val="auto"/>
        </w:rPr>
        <w:t>The Company has agreements with certain of its independent gateway operators ("IGOs") whereby the parties net settle outstanding payables and receivables between the respective entities on a periodic basis. As of June 30, 2020 and December 31, 2019, $6.3 million and $6.5 million, respectively, related to these agreements was included in accounts receivable on the Company’s condensed consolidated balance sheet.</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Contract Liabilities</w:t>
      </w:r>
    </w:p>
    <w:p>
      <w:pPr>
        <w:spacing w:after="0" w:line="256" w:lineRule="exact"/>
        <w:rPr>
          <w:sz w:val="20"/>
          <w:szCs w:val="20"/>
          <w:color w:val="auto"/>
        </w:rPr>
      </w:pPr>
    </w:p>
    <w:p>
      <w:pPr>
        <w:jc w:val="both"/>
        <w:ind w:firstLine="243"/>
        <w:spacing w:after="0" w:line="259" w:lineRule="auto"/>
        <w:rPr>
          <w:sz w:val="20"/>
          <w:szCs w:val="20"/>
          <w:color w:val="auto"/>
        </w:rPr>
      </w:pPr>
      <w:r>
        <w:rPr>
          <w:rFonts w:ascii="Arial" w:cs="Arial" w:eastAsia="Arial" w:hAnsi="Arial"/>
          <w:sz w:val="18"/>
          <w:szCs w:val="18"/>
          <w:color w:val="auto"/>
        </w:rPr>
        <w:t>Contract liabilities, which are included in deferred revenue on the Company’s condensed consolidated balance sheet, represent the Company’s obligation to transfer service or equipment to a customer from whom it has previously received consideration. The amount of revenue recognized during the six months ended June 30, 2020 and 2019 from performance obligations included in the contract liability balance at the beginning of each of the periods was $24.4 million and $21.4 million, respectively.</w:t>
      </w:r>
    </w:p>
    <w:p>
      <w:pPr>
        <w:spacing w:after="0" w:line="214" w:lineRule="exact"/>
        <w:rPr>
          <w:sz w:val="20"/>
          <w:szCs w:val="20"/>
          <w:color w:val="auto"/>
        </w:rPr>
      </w:pPr>
    </w:p>
    <w:p>
      <w:pPr>
        <w:jc w:val="both"/>
        <w:ind w:firstLine="243"/>
        <w:spacing w:after="0" w:line="263" w:lineRule="auto"/>
        <w:rPr>
          <w:sz w:val="20"/>
          <w:szCs w:val="20"/>
          <w:color w:val="auto"/>
        </w:rPr>
      </w:pPr>
      <w:r>
        <w:rPr>
          <w:rFonts w:ascii="Arial" w:cs="Arial" w:eastAsia="Arial" w:hAnsi="Arial"/>
          <w:sz w:val="18"/>
          <w:szCs w:val="18"/>
          <w:color w:val="auto"/>
        </w:rPr>
        <w:t>In general, the duration of the Company’s contracts is one year or less; however, from time to time, the Company offers multi-year contracts. As of June 30, 2020, the Company expects to recognize $27.0 million, or approximately 84%, of its remaining performance obligations during the next twelve months.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CREDIT LOSSES</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Adoption of ASU No. 2016-13 "Credit Losses"</w:t>
      </w:r>
    </w:p>
    <w:p>
      <w:pPr>
        <w:spacing w:after="0" w:line="256" w:lineRule="exact"/>
        <w:rPr>
          <w:sz w:val="20"/>
          <w:szCs w:val="20"/>
          <w:color w:val="auto"/>
        </w:rPr>
      </w:pPr>
    </w:p>
    <w:p>
      <w:pPr>
        <w:jc w:val="both"/>
        <w:ind w:firstLine="243"/>
        <w:spacing w:after="0" w:line="296" w:lineRule="auto"/>
        <w:rPr>
          <w:sz w:val="20"/>
          <w:szCs w:val="20"/>
          <w:color w:val="auto"/>
        </w:rPr>
      </w:pPr>
      <w:r>
        <w:rPr>
          <w:rFonts w:ascii="Arial" w:cs="Arial" w:eastAsia="Arial" w:hAnsi="Arial"/>
          <w:sz w:val="16"/>
          <w:szCs w:val="16"/>
          <w:color w:val="auto"/>
        </w:rPr>
        <w:t xml:space="preserve">On January 1, 2020, the Company adopted the provisions of ASU No. 2016-13, </w:t>
      </w:r>
      <w:r>
        <w:rPr>
          <w:rFonts w:ascii="Arial" w:cs="Arial" w:eastAsia="Arial" w:hAnsi="Arial"/>
          <w:sz w:val="16"/>
          <w:szCs w:val="16"/>
          <w:i w:val="1"/>
          <w:iCs w:val="1"/>
          <w:color w:val="auto"/>
        </w:rPr>
        <w:t>Credit Losses, Measurement of Credit Losses on Financial Instruments</w:t>
      </w:r>
      <w:r>
        <w:rPr>
          <w:rFonts w:ascii="Arial" w:cs="Arial" w:eastAsia="Arial" w:hAnsi="Arial"/>
          <w:sz w:val="16"/>
          <w:szCs w:val="16"/>
          <w:color w:val="auto"/>
        </w:rPr>
        <w:t>, and recognized the cumulative effect of initially applying the guidance as an adjustment to the opening balance of retained deficit. As a result of adopting ASU No. 2016-13, the Company recorded a net decrease to stockholders' equity of $1.7 million, which resulted in an increase to the opening retained deficit balance as of January 1, 2020. The most significant driver of this adjustment was the Company’s change in accounting policy related to expected losses (rather than incurred losses) from trade receivables applied to its portfolio based on historical and future performance.</w:t>
      </w:r>
    </w:p>
    <w:p>
      <w:pPr>
        <w:spacing w:after="0" w:line="94" w:lineRule="exact"/>
        <w:rPr>
          <w:sz w:val="20"/>
          <w:szCs w:val="20"/>
          <w:color w:val="auto"/>
        </w:rPr>
      </w:pPr>
    </w:p>
    <w:p>
      <w:pPr>
        <w:jc w:val="both"/>
        <w:ind w:firstLine="243"/>
        <w:spacing w:after="0" w:line="263" w:lineRule="auto"/>
        <w:rPr>
          <w:sz w:val="20"/>
          <w:szCs w:val="20"/>
          <w:color w:val="auto"/>
        </w:rPr>
      </w:pPr>
      <w:r>
        <w:rPr>
          <w:rFonts w:ascii="Arial" w:cs="Arial" w:eastAsia="Arial" w:hAnsi="Arial"/>
          <w:sz w:val="18"/>
          <w:szCs w:val="18"/>
          <w:color w:val="auto"/>
        </w:rPr>
        <w:t>Receivables are recorded when the right to consideration from the customer becomes unconditional, which is generally upon billing or upon satisfaction of a performance obligation, whichever is earlier. Accounts receivable are uncollateralized, without interest, and consist primarily of receivables from the sale of Globalstar services and equipment. For service customers,</w:t>
      </w:r>
    </w:p>
    <w:p>
      <w:pPr>
        <w:sectPr>
          <w:pgSz w:w="11900" w:h="16838" w:orient="portrait"/>
          <w:cols w:equalWidth="0" w:num="1">
            <w:col w:w="11240"/>
          </w:cols>
          <w:pgMar w:left="320" w:top="895" w:right="339" w:bottom="1440" w:gutter="0" w:footer="0" w:header="0"/>
        </w:sectPr>
      </w:pPr>
    </w:p>
    <w:p>
      <w:pPr>
        <w:spacing w:after="0" w:line="200" w:lineRule="exact"/>
        <w:rPr>
          <w:sz w:val="20"/>
          <w:szCs w:val="20"/>
          <w:color w:val="auto"/>
        </w:rPr>
      </w:pPr>
    </w:p>
    <w:p>
      <w:pPr>
        <w:spacing w:after="0" w:line="321"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120015</wp:posOffset>
            </wp:positionV>
            <wp:extent cx="7132320" cy="171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type w:val="continuous"/>
        </w:sectPr>
      </w:pPr>
    </w:p>
    <w:bookmarkStart w:id="12" w:name="page13"/>
    <w:bookmarkEnd w:id="12"/>
    <w:p>
      <w:pPr>
        <w:jc w:val="both"/>
        <w:ind w:right="20"/>
        <w:spacing w:after="0" w:line="277" w:lineRule="auto"/>
        <w:rPr>
          <w:sz w:val="20"/>
          <w:szCs w:val="20"/>
          <w:color w:val="auto"/>
        </w:rPr>
      </w:pPr>
      <w:r>
        <w:rPr>
          <w:rFonts w:ascii="Arial" w:cs="Arial" w:eastAsia="Arial" w:hAnsi="Arial"/>
          <w:sz w:val="18"/>
          <w:szCs w:val="18"/>
          <w:color w:val="auto"/>
        </w:rPr>
        <w:t>payment is generally due within thirty days of the invoice date and for equipment customers, payment is generally due within thirty to sixty days of the invoice date, or, for some customers, may be made in advance of shipment.</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Credit Losses</w:t>
      </w:r>
    </w:p>
    <w:p>
      <w:pPr>
        <w:spacing w:after="0" w:line="256" w:lineRule="exact"/>
        <w:rPr>
          <w:sz w:val="20"/>
          <w:szCs w:val="20"/>
          <w:color w:val="auto"/>
        </w:rPr>
      </w:pPr>
    </w:p>
    <w:p>
      <w:pPr>
        <w:jc w:val="both"/>
        <w:ind w:firstLine="243"/>
        <w:spacing w:after="0" w:line="287" w:lineRule="auto"/>
        <w:rPr>
          <w:sz w:val="20"/>
          <w:szCs w:val="20"/>
          <w:color w:val="auto"/>
        </w:rPr>
      </w:pPr>
      <w:r>
        <w:rPr>
          <w:rFonts w:ascii="Arial" w:cs="Arial" w:eastAsia="Arial" w:hAnsi="Arial"/>
          <w:sz w:val="16"/>
          <w:szCs w:val="16"/>
          <w:color w:val="auto"/>
        </w:rPr>
        <w:t>The Company performs ongoing credit evaluations of its customers and impairs receivable balances by recording specific allowances for bad debts based on factors such as supportable and reasonable current trends, the length of time the receivables are past due and historical collection experience. The Company believes that historical collection experience is the most reasonable basis for predicting future performance. The Company’s major portfolio of contract assets are customer receivables and, as such, historical delinquency percentages are generally consistent over time. The estimate of the allowance for credit losses is computed using aging schedules by type of revenue (service and subscriber equipment), by product (Duplex, SPOT and Commercial IoT) and by country. As discussed above, accounts receivable are considered past due in accordance with the contractual terms of the arrangements. The Company applies a loss rate to its portfolio of trade receivables based on past-due status and records an allowance for doubtful accounts, which represents the expected losses of those trade receivables over their estimated contractual life. The estimated life may vary by service and product type, but is generally less than one year. Allowances are generally recorded for all aging categories of outstanding receivables, including those in the current category (which is a change from legacy GAAP). Accounts receivable balances that are determined likely to be uncollectible are included in the allowance for doubtful accounts. After attempts to collect a receivable have failed, the receivable is written off against the allowance.</w:t>
      </w:r>
    </w:p>
    <w:p>
      <w:pPr>
        <w:spacing w:after="0" w:line="104" w:lineRule="exact"/>
        <w:rPr>
          <w:sz w:val="20"/>
          <w:szCs w:val="20"/>
          <w:color w:val="auto"/>
        </w:rPr>
      </w:pPr>
    </w:p>
    <w:p>
      <w:pPr>
        <w:jc w:val="both"/>
        <w:ind w:firstLine="243"/>
        <w:spacing w:after="0" w:line="296" w:lineRule="auto"/>
        <w:rPr>
          <w:sz w:val="20"/>
          <w:szCs w:val="20"/>
          <w:color w:val="auto"/>
        </w:rPr>
      </w:pPr>
      <w:r>
        <w:rPr>
          <w:rFonts w:ascii="Arial" w:cs="Arial" w:eastAsia="Arial" w:hAnsi="Arial"/>
          <w:sz w:val="16"/>
          <w:szCs w:val="16"/>
          <w:color w:val="auto"/>
        </w:rPr>
        <w:t>In March 2020, after the Company adopted ASU No. 2016-13, the World Health Organization declared the outbreak COVID-19 a global pandemic. COVID-19 has resulted in some disruption to the Company, primarily as it relates to the volume of equipment sales and uncertainties impacting the collection of certain outstanding receivables. Although the Company expects this disruption to be temporary, it has considered the potential impact of COVID-19 on its portfolio of trade receivables and has increased its loss rate for such receivables for the period ending June 30, 2020, where necessary. The Company will continue to reassess its sales and collections of receivables each reporting period to support its allowance across its portfolio.</w:t>
      </w:r>
    </w:p>
    <w:p>
      <w:pPr>
        <w:spacing w:after="0" w:line="80" w:lineRule="exact"/>
        <w:rPr>
          <w:sz w:val="20"/>
          <w:szCs w:val="20"/>
          <w:color w:val="auto"/>
        </w:rPr>
      </w:pPr>
    </w:p>
    <w:p>
      <w:pPr>
        <w:ind w:left="260"/>
        <w:spacing w:after="0"/>
        <w:rPr>
          <w:sz w:val="20"/>
          <w:szCs w:val="20"/>
          <w:color w:val="auto"/>
        </w:rPr>
      </w:pPr>
      <w:r>
        <w:rPr>
          <w:rFonts w:ascii="Arial" w:cs="Arial" w:eastAsia="Arial" w:hAnsi="Arial"/>
          <w:sz w:val="18"/>
          <w:szCs w:val="18"/>
          <w:color w:val="auto"/>
        </w:rPr>
        <w:t>The following is a summary of the activity in the allowance for doubtful accounts as of June 30, 2020 (in thousands):</w:t>
      </w:r>
    </w:p>
    <w:p>
      <w:pPr>
        <w:spacing w:after="0" w:line="199" w:lineRule="exact"/>
        <w:rPr>
          <w:sz w:val="20"/>
          <w:szCs w:val="20"/>
          <w:color w:val="auto"/>
        </w:rPr>
      </w:pPr>
    </w:p>
    <w:tbl>
      <w:tblPr>
        <w:tblLayout w:type="fixed"/>
        <w:tblInd w:w="20" w:type="dxa"/>
        <w:tblCellMar>
          <w:top w:w="0" w:type="dxa"/>
          <w:left w:w="0" w:type="dxa"/>
          <w:bottom w:w="0" w:type="dxa"/>
          <w:right w:w="0" w:type="dxa"/>
        </w:tblCellMar>
      </w:tblPr>
      <w:tr>
        <w:trPr>
          <w:trHeight w:val="270"/>
        </w:trPr>
        <w:tc>
          <w:tcPr>
            <w:tcW w:w="9380" w:type="dxa"/>
            <w:vAlign w:val="bottom"/>
            <w:shd w:val="clear" w:color="auto" w:fill="CCEEFF"/>
          </w:tcPr>
          <w:p>
            <w:pPr>
              <w:ind w:left="20"/>
              <w:spacing w:after="0"/>
              <w:rPr>
                <w:sz w:val="20"/>
                <w:szCs w:val="20"/>
                <w:color w:val="auto"/>
              </w:rPr>
            </w:pPr>
            <w:r>
              <w:rPr>
                <w:rFonts w:ascii="Arial" w:cs="Arial" w:eastAsia="Arial" w:hAnsi="Arial"/>
                <w:sz w:val="18"/>
                <w:szCs w:val="18"/>
                <w:color w:val="auto"/>
              </w:rPr>
              <w:t>Balance at beginning of period</w:t>
            </w:r>
          </w:p>
        </w:tc>
        <w:tc>
          <w:tcPr>
            <w:tcW w:w="700" w:type="dxa"/>
            <w:vAlign w:val="bottom"/>
            <w:shd w:val="clear" w:color="auto" w:fill="CCEEFF"/>
          </w:tcPr>
          <w:p>
            <w:pPr>
              <w:jc w:val="right"/>
              <w:ind w:right="490"/>
              <w:spacing w:after="0"/>
              <w:rPr>
                <w:sz w:val="20"/>
                <w:szCs w:val="20"/>
                <w:color w:val="auto"/>
              </w:rPr>
            </w:pPr>
            <w:r>
              <w:rPr>
                <w:rFonts w:ascii="Arial" w:cs="Arial" w:eastAsia="Arial" w:hAnsi="Arial"/>
                <w:sz w:val="18"/>
                <w:szCs w:val="18"/>
                <w:color w:val="auto"/>
                <w:w w:val="99"/>
              </w:rPr>
              <w:t>$</w:t>
            </w:r>
          </w:p>
        </w:tc>
        <w:tc>
          <w:tcPr>
            <w:tcW w:w="112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2,952</w:t>
            </w:r>
          </w:p>
        </w:tc>
      </w:tr>
      <w:tr>
        <w:trPr>
          <w:trHeight w:val="243"/>
        </w:trPr>
        <w:tc>
          <w:tcPr>
            <w:tcW w:w="9380" w:type="dxa"/>
            <w:vAlign w:val="bottom"/>
          </w:tcPr>
          <w:p>
            <w:pPr>
              <w:ind w:left="20"/>
              <w:spacing w:after="0"/>
              <w:rPr>
                <w:sz w:val="20"/>
                <w:szCs w:val="20"/>
                <w:color w:val="auto"/>
              </w:rPr>
            </w:pPr>
            <w:r>
              <w:rPr>
                <w:rFonts w:ascii="Arial" w:cs="Arial" w:eastAsia="Arial" w:hAnsi="Arial"/>
                <w:sz w:val="18"/>
                <w:szCs w:val="18"/>
                <w:color w:val="auto"/>
              </w:rPr>
              <w:t>Impact of adoption of ASU 2016-13</w:t>
            </w:r>
          </w:p>
        </w:tc>
        <w:tc>
          <w:tcPr>
            <w:tcW w:w="700" w:type="dxa"/>
            <w:vAlign w:val="bottom"/>
          </w:tcPr>
          <w:p>
            <w:pPr>
              <w:spacing w:after="0"/>
              <w:rPr>
                <w:sz w:val="21"/>
                <w:szCs w:val="21"/>
                <w:color w:val="auto"/>
              </w:rPr>
            </w:pPr>
          </w:p>
        </w:tc>
        <w:tc>
          <w:tcPr>
            <w:tcW w:w="1120" w:type="dxa"/>
            <w:vAlign w:val="bottom"/>
          </w:tcPr>
          <w:p>
            <w:pPr>
              <w:jc w:val="right"/>
              <w:ind w:right="50"/>
              <w:spacing w:after="0"/>
              <w:rPr>
                <w:sz w:val="20"/>
                <w:szCs w:val="20"/>
                <w:color w:val="auto"/>
              </w:rPr>
            </w:pPr>
            <w:r>
              <w:rPr>
                <w:rFonts w:ascii="Arial" w:cs="Arial" w:eastAsia="Arial" w:hAnsi="Arial"/>
                <w:sz w:val="18"/>
                <w:szCs w:val="18"/>
                <w:color w:val="auto"/>
              </w:rPr>
              <w:t>1,684</w:t>
            </w:r>
          </w:p>
        </w:tc>
      </w:tr>
      <w:tr>
        <w:trPr>
          <w:trHeight w:val="27"/>
        </w:trPr>
        <w:tc>
          <w:tcPr>
            <w:tcW w:w="9380" w:type="dxa"/>
            <w:vAlign w:val="bottom"/>
          </w:tcPr>
          <w:p>
            <w:pPr>
              <w:spacing w:after="0"/>
              <w:rPr>
                <w:sz w:val="2"/>
                <w:szCs w:val="2"/>
                <w:color w:val="auto"/>
              </w:rPr>
            </w:pPr>
          </w:p>
        </w:tc>
        <w:tc>
          <w:tcPr>
            <w:tcW w:w="70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93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Provision, net of recoveries</w:t>
            </w:r>
          </w:p>
        </w:tc>
        <w:tc>
          <w:tcPr>
            <w:tcW w:w="7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1,419</w:t>
            </w:r>
          </w:p>
        </w:tc>
      </w:tr>
      <w:tr>
        <w:trPr>
          <w:trHeight w:val="243"/>
        </w:trPr>
        <w:tc>
          <w:tcPr>
            <w:tcW w:w="9380" w:type="dxa"/>
            <w:vAlign w:val="bottom"/>
          </w:tcPr>
          <w:p>
            <w:pPr>
              <w:ind w:left="20"/>
              <w:spacing w:after="0"/>
              <w:rPr>
                <w:sz w:val="20"/>
                <w:szCs w:val="20"/>
                <w:color w:val="auto"/>
              </w:rPr>
            </w:pPr>
            <w:r>
              <w:rPr>
                <w:rFonts w:ascii="Arial" w:cs="Arial" w:eastAsia="Arial" w:hAnsi="Arial"/>
                <w:sz w:val="18"/>
                <w:szCs w:val="18"/>
                <w:color w:val="auto"/>
              </w:rPr>
              <w:t>Write-offs and other adjustments</w:t>
            </w:r>
          </w:p>
        </w:tc>
        <w:tc>
          <w:tcPr>
            <w:tcW w:w="70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(919)</w:t>
            </w:r>
          </w:p>
        </w:tc>
      </w:tr>
      <w:tr>
        <w:trPr>
          <w:trHeight w:val="27"/>
        </w:trPr>
        <w:tc>
          <w:tcPr>
            <w:tcW w:w="9380" w:type="dxa"/>
            <w:vAlign w:val="bottom"/>
            <w:tcBorders>
              <w:bottom w:val="single" w:sz="8" w:color="CCEEFF"/>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89"/>
        </w:trPr>
        <w:tc>
          <w:tcPr>
            <w:tcW w:w="93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Balance at end of period</w:t>
            </w:r>
          </w:p>
        </w:tc>
        <w:tc>
          <w:tcPr>
            <w:tcW w:w="700" w:type="dxa"/>
            <w:vAlign w:val="bottom"/>
            <w:tcBorders>
              <w:bottom w:val="single" w:sz="8" w:color="auto"/>
            </w:tcBorders>
            <w:shd w:val="clear" w:color="auto" w:fill="CCEEFF"/>
          </w:tcPr>
          <w:p>
            <w:pPr>
              <w:jc w:val="right"/>
              <w:ind w:right="49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rPr>
              <w:t>5,136</w:t>
            </w:r>
          </w:p>
        </w:tc>
      </w:tr>
      <w:tr>
        <w:trPr>
          <w:trHeight w:val="20"/>
        </w:trPr>
        <w:tc>
          <w:tcPr>
            <w:tcW w:w="9380" w:type="dxa"/>
            <w:vAlign w:val="bottom"/>
            <w:tcBorders>
              <w:top w:val="single" w:sz="8" w:color="CCEEFF"/>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27" w:lineRule="exact"/>
        <w:rPr>
          <w:sz w:val="20"/>
          <w:szCs w:val="20"/>
          <w:color w:val="auto"/>
        </w:rPr>
      </w:pPr>
    </w:p>
    <w:p>
      <w:pPr>
        <w:ind w:left="260" w:right="5580" w:hanging="252"/>
        <w:spacing w:after="0" w:line="344" w:lineRule="auto"/>
        <w:tabs>
          <w:tab w:leader="none" w:pos="197" w:val="left"/>
        </w:tabs>
        <w:numPr>
          <w:ilvl w:val="0"/>
          <w:numId w:val="4"/>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LONG-TERM DEBT AND OTHER FINANCING ARRANGEMENTS </w:t>
      </w:r>
      <w:r>
        <w:rPr>
          <w:rFonts w:ascii="Arial" w:cs="Arial" w:eastAsia="Arial" w:hAnsi="Arial"/>
          <w:sz w:val="18"/>
          <w:szCs w:val="18"/>
          <w:color w:val="auto"/>
        </w:rPr>
        <w:t>Long-term debt consists of the following (in thousands):</w:t>
      </w:r>
    </w:p>
    <w:p>
      <w:pPr>
        <w:spacing w:after="0" w:line="36" w:lineRule="exact"/>
        <w:rPr>
          <w:sz w:val="20"/>
          <w:szCs w:val="20"/>
          <w:color w:val="auto"/>
        </w:rPr>
      </w:pPr>
    </w:p>
    <w:tbl>
      <w:tblPr>
        <w:tblLayout w:type="fixed"/>
        <w:tblInd w:w="40" w:type="dxa"/>
        <w:tblCellMar>
          <w:top w:w="0" w:type="dxa"/>
          <w:left w:w="0" w:type="dxa"/>
          <w:bottom w:w="0" w:type="dxa"/>
          <w:right w:w="0" w:type="dxa"/>
        </w:tblCellMar>
      </w:tblPr>
      <w:tr>
        <w:trPr>
          <w:trHeight w:val="206"/>
        </w:trPr>
        <w:tc>
          <w:tcPr>
            <w:tcW w:w="34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80" w:type="dxa"/>
            <w:vAlign w:val="bottom"/>
            <w:gridSpan w:val="2"/>
          </w:tcPr>
          <w:p>
            <w:pPr>
              <w:jc w:val="center"/>
              <w:ind w:right="200"/>
              <w:spacing w:after="0"/>
              <w:rPr>
                <w:sz w:val="20"/>
                <w:szCs w:val="20"/>
                <w:color w:val="auto"/>
              </w:rPr>
            </w:pPr>
            <w:r>
              <w:rPr>
                <w:rFonts w:ascii="Arial" w:cs="Arial" w:eastAsia="Arial" w:hAnsi="Arial"/>
                <w:sz w:val="16"/>
                <w:szCs w:val="16"/>
                <w:color w:val="auto"/>
                <w:w w:val="88"/>
              </w:rPr>
              <w:t>June 30, 2020</w:t>
            </w:r>
          </w:p>
        </w:tc>
        <w:tc>
          <w:tcPr>
            <w:tcW w:w="2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420" w:type="dxa"/>
            <w:vAlign w:val="bottom"/>
            <w:gridSpan w:val="4"/>
          </w:tcPr>
          <w:p>
            <w:pPr>
              <w:ind w:left="120"/>
              <w:spacing w:after="0"/>
              <w:rPr>
                <w:sz w:val="20"/>
                <w:szCs w:val="20"/>
                <w:color w:val="auto"/>
              </w:rPr>
            </w:pPr>
            <w:r>
              <w:rPr>
                <w:rFonts w:ascii="Arial" w:cs="Arial" w:eastAsia="Arial" w:hAnsi="Arial"/>
                <w:sz w:val="16"/>
                <w:szCs w:val="16"/>
                <w:color w:val="auto"/>
                <w:w w:val="91"/>
              </w:rPr>
              <w:t>December 31, 2019</w:t>
            </w:r>
          </w:p>
        </w:tc>
        <w:tc>
          <w:tcPr>
            <w:tcW w:w="220" w:type="dxa"/>
            <w:vAlign w:val="bottom"/>
          </w:tcPr>
          <w:p>
            <w:pPr>
              <w:spacing w:after="0"/>
              <w:rPr>
                <w:sz w:val="17"/>
                <w:szCs w:val="17"/>
                <w:color w:val="auto"/>
              </w:rPr>
            </w:pPr>
          </w:p>
        </w:tc>
        <w:tc>
          <w:tcPr>
            <w:tcW w:w="1020" w:type="dxa"/>
            <w:vAlign w:val="bottom"/>
          </w:tcPr>
          <w:p>
            <w:pPr>
              <w:spacing w:after="0"/>
              <w:rPr>
                <w:sz w:val="17"/>
                <w:szCs w:val="17"/>
                <w:color w:val="auto"/>
              </w:rPr>
            </w:pPr>
          </w:p>
        </w:tc>
      </w:tr>
      <w:tr>
        <w:trPr>
          <w:trHeight w:val="33"/>
        </w:trPr>
        <w:tc>
          <w:tcPr>
            <w:tcW w:w="342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gridSpan w:val="2"/>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gridSpan w:val="2"/>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13"/>
        </w:trPr>
        <w:tc>
          <w:tcPr>
            <w:tcW w:w="34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80" w:type="dxa"/>
            <w:vAlign w:val="bottom"/>
            <w:gridSpan w:val="2"/>
          </w:tcPr>
          <w:p>
            <w:pPr>
              <w:jc w:val="center"/>
              <w:ind w:right="220"/>
              <w:spacing w:after="0"/>
              <w:rPr>
                <w:sz w:val="20"/>
                <w:szCs w:val="20"/>
                <w:color w:val="auto"/>
              </w:rPr>
            </w:pPr>
            <w:r>
              <w:rPr>
                <w:rFonts w:ascii="Arial" w:cs="Arial" w:eastAsia="Arial" w:hAnsi="Arial"/>
                <w:sz w:val="16"/>
                <w:szCs w:val="16"/>
                <w:color w:val="auto"/>
                <w:w w:val="92"/>
              </w:rPr>
              <w:t>Unamortized</w:t>
            </w: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80" w:type="dxa"/>
            <w:vAlign w:val="bottom"/>
            <w:gridSpan w:val="2"/>
          </w:tcPr>
          <w:p>
            <w:pPr>
              <w:jc w:val="center"/>
              <w:ind w:right="240"/>
              <w:spacing w:after="0"/>
              <w:rPr>
                <w:sz w:val="20"/>
                <w:szCs w:val="20"/>
                <w:color w:val="auto"/>
              </w:rPr>
            </w:pPr>
            <w:r>
              <w:rPr>
                <w:rFonts w:ascii="Arial" w:cs="Arial" w:eastAsia="Arial" w:hAnsi="Arial"/>
                <w:sz w:val="16"/>
                <w:szCs w:val="16"/>
                <w:color w:val="auto"/>
                <w:w w:val="94"/>
              </w:rPr>
              <w:t>Unamortized</w:t>
            </w: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r>
      <w:tr>
        <w:trPr>
          <w:trHeight w:val="203"/>
        </w:trPr>
        <w:tc>
          <w:tcPr>
            <w:tcW w:w="34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80" w:type="dxa"/>
            <w:vAlign w:val="bottom"/>
            <w:gridSpan w:val="2"/>
          </w:tcPr>
          <w:p>
            <w:pPr>
              <w:jc w:val="center"/>
              <w:ind w:right="240"/>
              <w:spacing w:after="0"/>
              <w:rPr>
                <w:sz w:val="20"/>
                <w:szCs w:val="20"/>
                <w:color w:val="auto"/>
              </w:rPr>
            </w:pPr>
            <w:r>
              <w:rPr>
                <w:rFonts w:ascii="Arial" w:cs="Arial" w:eastAsia="Arial" w:hAnsi="Arial"/>
                <w:sz w:val="16"/>
                <w:szCs w:val="16"/>
                <w:color w:val="auto"/>
                <w:w w:val="92"/>
              </w:rPr>
              <w:t>Discount and</w:t>
            </w:r>
          </w:p>
        </w:tc>
        <w:tc>
          <w:tcPr>
            <w:tcW w:w="2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80" w:type="dxa"/>
            <w:vAlign w:val="bottom"/>
            <w:gridSpan w:val="2"/>
          </w:tcPr>
          <w:p>
            <w:pPr>
              <w:jc w:val="center"/>
              <w:ind w:right="240"/>
              <w:spacing w:after="0"/>
              <w:rPr>
                <w:sz w:val="20"/>
                <w:szCs w:val="20"/>
                <w:color w:val="auto"/>
              </w:rPr>
            </w:pPr>
            <w:r>
              <w:rPr>
                <w:rFonts w:ascii="Arial" w:cs="Arial" w:eastAsia="Arial" w:hAnsi="Arial"/>
                <w:sz w:val="16"/>
                <w:szCs w:val="16"/>
                <w:color w:val="auto"/>
                <w:w w:val="92"/>
              </w:rPr>
              <w:t>Discount and</w:t>
            </w:r>
          </w:p>
        </w:tc>
        <w:tc>
          <w:tcPr>
            <w:tcW w:w="220" w:type="dxa"/>
            <w:vAlign w:val="bottom"/>
          </w:tcPr>
          <w:p>
            <w:pPr>
              <w:spacing w:after="0"/>
              <w:rPr>
                <w:sz w:val="17"/>
                <w:szCs w:val="17"/>
                <w:color w:val="auto"/>
              </w:rPr>
            </w:pPr>
          </w:p>
        </w:tc>
        <w:tc>
          <w:tcPr>
            <w:tcW w:w="1020" w:type="dxa"/>
            <w:vAlign w:val="bottom"/>
          </w:tcPr>
          <w:p>
            <w:pPr>
              <w:spacing w:after="0"/>
              <w:rPr>
                <w:sz w:val="17"/>
                <w:szCs w:val="17"/>
                <w:color w:val="auto"/>
              </w:rPr>
            </w:pPr>
          </w:p>
        </w:tc>
      </w:tr>
      <w:tr>
        <w:trPr>
          <w:trHeight w:val="203"/>
        </w:trPr>
        <w:tc>
          <w:tcPr>
            <w:tcW w:w="34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100" w:type="dxa"/>
            <w:vAlign w:val="bottom"/>
            <w:gridSpan w:val="2"/>
          </w:tcPr>
          <w:p>
            <w:pPr>
              <w:jc w:val="center"/>
              <w:ind w:right="320"/>
              <w:spacing w:after="0"/>
              <w:rPr>
                <w:sz w:val="20"/>
                <w:szCs w:val="20"/>
                <w:color w:val="auto"/>
              </w:rPr>
            </w:pPr>
            <w:r>
              <w:rPr>
                <w:rFonts w:ascii="Arial" w:cs="Arial" w:eastAsia="Arial" w:hAnsi="Arial"/>
                <w:sz w:val="16"/>
                <w:szCs w:val="16"/>
                <w:color w:val="auto"/>
                <w:w w:val="94"/>
              </w:rPr>
              <w:t>Principal</w:t>
            </w:r>
          </w:p>
        </w:tc>
        <w:tc>
          <w:tcPr>
            <w:tcW w:w="120" w:type="dxa"/>
            <w:vAlign w:val="bottom"/>
          </w:tcPr>
          <w:p>
            <w:pPr>
              <w:spacing w:after="0"/>
              <w:rPr>
                <w:sz w:val="17"/>
                <w:szCs w:val="17"/>
                <w:color w:val="auto"/>
              </w:rPr>
            </w:pPr>
          </w:p>
        </w:tc>
        <w:tc>
          <w:tcPr>
            <w:tcW w:w="1180" w:type="dxa"/>
            <w:vAlign w:val="bottom"/>
            <w:gridSpan w:val="2"/>
          </w:tcPr>
          <w:p>
            <w:pPr>
              <w:jc w:val="center"/>
              <w:ind w:right="240"/>
              <w:spacing w:after="0"/>
              <w:rPr>
                <w:sz w:val="20"/>
                <w:szCs w:val="20"/>
                <w:color w:val="auto"/>
              </w:rPr>
            </w:pPr>
            <w:r>
              <w:rPr>
                <w:rFonts w:ascii="Arial" w:cs="Arial" w:eastAsia="Arial" w:hAnsi="Arial"/>
                <w:sz w:val="16"/>
                <w:szCs w:val="16"/>
                <w:color w:val="auto"/>
                <w:w w:val="93"/>
              </w:rPr>
              <w:t>Deferred</w:t>
            </w:r>
          </w:p>
        </w:tc>
        <w:tc>
          <w:tcPr>
            <w:tcW w:w="220" w:type="dxa"/>
            <w:vAlign w:val="bottom"/>
          </w:tcPr>
          <w:p>
            <w:pPr>
              <w:spacing w:after="0"/>
              <w:rPr>
                <w:sz w:val="17"/>
                <w:szCs w:val="17"/>
                <w:color w:val="auto"/>
              </w:rPr>
            </w:pPr>
          </w:p>
        </w:tc>
        <w:tc>
          <w:tcPr>
            <w:tcW w:w="1120" w:type="dxa"/>
            <w:vAlign w:val="bottom"/>
            <w:gridSpan w:val="2"/>
          </w:tcPr>
          <w:p>
            <w:pPr>
              <w:jc w:val="center"/>
              <w:ind w:right="340"/>
              <w:spacing w:after="0"/>
              <w:rPr>
                <w:sz w:val="20"/>
                <w:szCs w:val="20"/>
                <w:color w:val="auto"/>
              </w:rPr>
            </w:pPr>
            <w:r>
              <w:rPr>
                <w:rFonts w:ascii="Arial" w:cs="Arial" w:eastAsia="Arial" w:hAnsi="Arial"/>
                <w:sz w:val="16"/>
                <w:szCs w:val="16"/>
                <w:color w:val="auto"/>
                <w:w w:val="95"/>
              </w:rPr>
              <w:t>Carrying</w:t>
            </w:r>
          </w:p>
        </w:tc>
        <w:tc>
          <w:tcPr>
            <w:tcW w:w="200" w:type="dxa"/>
            <w:vAlign w:val="bottom"/>
          </w:tcPr>
          <w:p>
            <w:pPr>
              <w:spacing w:after="0"/>
              <w:rPr>
                <w:sz w:val="17"/>
                <w:szCs w:val="17"/>
                <w:color w:val="auto"/>
              </w:rPr>
            </w:pPr>
          </w:p>
        </w:tc>
        <w:tc>
          <w:tcPr>
            <w:tcW w:w="960" w:type="dxa"/>
            <w:vAlign w:val="bottom"/>
          </w:tcPr>
          <w:p>
            <w:pPr>
              <w:jc w:val="right"/>
              <w:ind w:right="199"/>
              <w:spacing w:after="0"/>
              <w:rPr>
                <w:sz w:val="20"/>
                <w:szCs w:val="20"/>
                <w:color w:val="auto"/>
              </w:rPr>
            </w:pPr>
            <w:r>
              <w:rPr>
                <w:rFonts w:ascii="Arial" w:cs="Arial" w:eastAsia="Arial" w:hAnsi="Arial"/>
                <w:sz w:val="16"/>
                <w:szCs w:val="16"/>
                <w:color w:val="auto"/>
              </w:rPr>
              <w:t>Principal</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80" w:type="dxa"/>
            <w:vAlign w:val="bottom"/>
            <w:gridSpan w:val="2"/>
          </w:tcPr>
          <w:p>
            <w:pPr>
              <w:jc w:val="center"/>
              <w:ind w:right="240"/>
              <w:spacing w:after="0"/>
              <w:rPr>
                <w:sz w:val="20"/>
                <w:szCs w:val="20"/>
                <w:color w:val="auto"/>
              </w:rPr>
            </w:pPr>
            <w:r>
              <w:rPr>
                <w:rFonts w:ascii="Arial" w:cs="Arial" w:eastAsia="Arial" w:hAnsi="Arial"/>
                <w:sz w:val="16"/>
                <w:szCs w:val="16"/>
                <w:color w:val="auto"/>
                <w:w w:val="93"/>
              </w:rPr>
              <w:t>Deferred</w:t>
            </w:r>
          </w:p>
        </w:tc>
        <w:tc>
          <w:tcPr>
            <w:tcW w:w="220" w:type="dxa"/>
            <w:vAlign w:val="bottom"/>
          </w:tcPr>
          <w:p>
            <w:pPr>
              <w:spacing w:after="0"/>
              <w:rPr>
                <w:sz w:val="17"/>
                <w:szCs w:val="17"/>
                <w:color w:val="auto"/>
              </w:rPr>
            </w:pPr>
          </w:p>
        </w:tc>
        <w:tc>
          <w:tcPr>
            <w:tcW w:w="1020" w:type="dxa"/>
            <w:vAlign w:val="bottom"/>
          </w:tcPr>
          <w:p>
            <w:pPr>
              <w:jc w:val="right"/>
              <w:ind w:right="259"/>
              <w:spacing w:after="0"/>
              <w:rPr>
                <w:sz w:val="20"/>
                <w:szCs w:val="20"/>
                <w:color w:val="auto"/>
              </w:rPr>
            </w:pPr>
            <w:r>
              <w:rPr>
                <w:rFonts w:ascii="Arial" w:cs="Arial" w:eastAsia="Arial" w:hAnsi="Arial"/>
                <w:sz w:val="16"/>
                <w:szCs w:val="16"/>
                <w:color w:val="auto"/>
              </w:rPr>
              <w:t>Carrying</w:t>
            </w:r>
          </w:p>
        </w:tc>
      </w:tr>
      <w:tr>
        <w:trPr>
          <w:trHeight w:val="206"/>
        </w:trPr>
        <w:tc>
          <w:tcPr>
            <w:tcW w:w="34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100" w:type="dxa"/>
            <w:vAlign w:val="bottom"/>
            <w:gridSpan w:val="2"/>
          </w:tcPr>
          <w:p>
            <w:pPr>
              <w:jc w:val="center"/>
              <w:ind w:right="320"/>
              <w:spacing w:after="0"/>
              <w:rPr>
                <w:sz w:val="20"/>
                <w:szCs w:val="20"/>
                <w:color w:val="auto"/>
              </w:rPr>
            </w:pPr>
            <w:r>
              <w:rPr>
                <w:rFonts w:ascii="Arial" w:cs="Arial" w:eastAsia="Arial" w:hAnsi="Arial"/>
                <w:sz w:val="16"/>
                <w:szCs w:val="16"/>
                <w:color w:val="auto"/>
                <w:w w:val="97"/>
              </w:rPr>
              <w:t>Amount</w:t>
            </w:r>
          </w:p>
        </w:tc>
        <w:tc>
          <w:tcPr>
            <w:tcW w:w="1300" w:type="dxa"/>
            <w:vAlign w:val="bottom"/>
            <w:gridSpan w:val="3"/>
          </w:tcPr>
          <w:p>
            <w:pPr>
              <w:jc w:val="center"/>
              <w:ind w:right="120"/>
              <w:spacing w:after="0"/>
              <w:rPr>
                <w:sz w:val="20"/>
                <w:szCs w:val="20"/>
                <w:color w:val="auto"/>
              </w:rPr>
            </w:pPr>
            <w:r>
              <w:rPr>
                <w:rFonts w:ascii="Arial" w:cs="Arial" w:eastAsia="Arial" w:hAnsi="Arial"/>
                <w:sz w:val="16"/>
                <w:szCs w:val="16"/>
                <w:color w:val="auto"/>
                <w:w w:val="92"/>
              </w:rPr>
              <w:t>Financing Costs</w:t>
            </w:r>
          </w:p>
        </w:tc>
        <w:tc>
          <w:tcPr>
            <w:tcW w:w="220" w:type="dxa"/>
            <w:vAlign w:val="bottom"/>
          </w:tcPr>
          <w:p>
            <w:pPr>
              <w:spacing w:after="0"/>
              <w:rPr>
                <w:sz w:val="17"/>
                <w:szCs w:val="17"/>
                <w:color w:val="auto"/>
              </w:rPr>
            </w:pPr>
          </w:p>
        </w:tc>
        <w:tc>
          <w:tcPr>
            <w:tcW w:w="1120" w:type="dxa"/>
            <w:vAlign w:val="bottom"/>
            <w:gridSpan w:val="2"/>
          </w:tcPr>
          <w:p>
            <w:pPr>
              <w:jc w:val="center"/>
              <w:ind w:right="320"/>
              <w:spacing w:after="0"/>
              <w:rPr>
                <w:sz w:val="20"/>
                <w:szCs w:val="20"/>
                <w:color w:val="auto"/>
              </w:rPr>
            </w:pPr>
            <w:r>
              <w:rPr>
                <w:rFonts w:ascii="Arial" w:cs="Arial" w:eastAsia="Arial" w:hAnsi="Arial"/>
                <w:sz w:val="16"/>
                <w:szCs w:val="16"/>
                <w:color w:val="auto"/>
                <w:w w:val="87"/>
              </w:rPr>
              <w:t>Value</w:t>
            </w:r>
          </w:p>
        </w:tc>
        <w:tc>
          <w:tcPr>
            <w:tcW w:w="200" w:type="dxa"/>
            <w:vAlign w:val="bottom"/>
          </w:tcPr>
          <w:p>
            <w:pPr>
              <w:spacing w:after="0"/>
              <w:rPr>
                <w:sz w:val="17"/>
                <w:szCs w:val="17"/>
                <w:color w:val="auto"/>
              </w:rPr>
            </w:pPr>
          </w:p>
        </w:tc>
        <w:tc>
          <w:tcPr>
            <w:tcW w:w="960" w:type="dxa"/>
            <w:vAlign w:val="bottom"/>
          </w:tcPr>
          <w:p>
            <w:pPr>
              <w:jc w:val="right"/>
              <w:ind w:right="239"/>
              <w:spacing w:after="0"/>
              <w:rPr>
                <w:sz w:val="20"/>
                <w:szCs w:val="20"/>
                <w:color w:val="auto"/>
              </w:rPr>
            </w:pPr>
            <w:r>
              <w:rPr>
                <w:rFonts w:ascii="Arial" w:cs="Arial" w:eastAsia="Arial" w:hAnsi="Arial"/>
                <w:sz w:val="16"/>
                <w:szCs w:val="16"/>
                <w:color w:val="auto"/>
              </w:rPr>
              <w:t>Amount</w:t>
            </w:r>
          </w:p>
        </w:tc>
        <w:tc>
          <w:tcPr>
            <w:tcW w:w="120" w:type="dxa"/>
            <w:vAlign w:val="bottom"/>
          </w:tcPr>
          <w:p>
            <w:pPr>
              <w:spacing w:after="0"/>
              <w:rPr>
                <w:sz w:val="17"/>
                <w:szCs w:val="17"/>
                <w:color w:val="auto"/>
              </w:rPr>
            </w:pPr>
          </w:p>
        </w:tc>
        <w:tc>
          <w:tcPr>
            <w:tcW w:w="1300" w:type="dxa"/>
            <w:vAlign w:val="bottom"/>
            <w:gridSpan w:val="3"/>
          </w:tcPr>
          <w:p>
            <w:pPr>
              <w:jc w:val="center"/>
              <w:ind w:right="120"/>
              <w:spacing w:after="0"/>
              <w:rPr>
                <w:sz w:val="20"/>
                <w:szCs w:val="20"/>
                <w:color w:val="auto"/>
              </w:rPr>
            </w:pPr>
            <w:r>
              <w:rPr>
                <w:rFonts w:ascii="Arial" w:cs="Arial" w:eastAsia="Arial" w:hAnsi="Arial"/>
                <w:sz w:val="16"/>
                <w:szCs w:val="16"/>
                <w:color w:val="auto"/>
                <w:w w:val="92"/>
              </w:rPr>
              <w:t>Financing Costs</w:t>
            </w:r>
          </w:p>
        </w:tc>
        <w:tc>
          <w:tcPr>
            <w:tcW w:w="220" w:type="dxa"/>
            <w:vAlign w:val="bottom"/>
          </w:tcPr>
          <w:p>
            <w:pPr>
              <w:spacing w:after="0"/>
              <w:rPr>
                <w:sz w:val="17"/>
                <w:szCs w:val="17"/>
                <w:color w:val="auto"/>
              </w:rPr>
            </w:pPr>
          </w:p>
        </w:tc>
        <w:tc>
          <w:tcPr>
            <w:tcW w:w="1020" w:type="dxa"/>
            <w:vAlign w:val="bottom"/>
          </w:tcPr>
          <w:p>
            <w:pPr>
              <w:jc w:val="right"/>
              <w:ind w:right="359"/>
              <w:spacing w:after="0"/>
              <w:rPr>
                <w:sz w:val="20"/>
                <w:szCs w:val="20"/>
                <w:color w:val="auto"/>
              </w:rPr>
            </w:pPr>
            <w:r>
              <w:rPr>
                <w:rFonts w:ascii="Arial" w:cs="Arial" w:eastAsia="Arial" w:hAnsi="Arial"/>
                <w:sz w:val="16"/>
                <w:szCs w:val="16"/>
                <w:color w:val="auto"/>
              </w:rPr>
              <w:t>Value</w:t>
            </w:r>
          </w:p>
        </w:tc>
      </w:tr>
      <w:tr>
        <w:trPr>
          <w:trHeight w:val="33"/>
        </w:trPr>
        <w:tc>
          <w:tcPr>
            <w:tcW w:w="34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30"/>
        </w:trPr>
        <w:tc>
          <w:tcPr>
            <w:tcW w:w="34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6"/>
                <w:szCs w:val="16"/>
                <w:color w:val="auto"/>
              </w:rPr>
              <w:t>Facility Agreement</w:t>
            </w:r>
          </w:p>
        </w:tc>
        <w:tc>
          <w:tcPr>
            <w:tcW w:w="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100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190,084</w:t>
            </w:r>
          </w:p>
        </w:tc>
        <w:tc>
          <w:tcPr>
            <w:tcW w:w="1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8,290</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w w:val="89"/>
              </w:rPr>
              <w:t>$</w:t>
            </w:r>
          </w:p>
        </w:tc>
        <w:tc>
          <w:tcPr>
            <w:tcW w:w="102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181,794</w:t>
            </w: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190,361</w:t>
            </w:r>
          </w:p>
        </w:tc>
        <w:tc>
          <w:tcPr>
            <w:tcW w:w="240" w:type="dxa"/>
            <w:vAlign w:val="bottom"/>
            <w:tcBorders>
              <w:bottom w:val="single" w:sz="8" w:color="CCEEFF"/>
            </w:tcBorders>
            <w:gridSpan w:val="2"/>
            <w:shd w:val="clear" w:color="auto" w:fill="CCEEFF"/>
          </w:tcPr>
          <w:p>
            <w:pPr>
              <w:ind w:left="120"/>
              <w:spacing w:after="0"/>
              <w:rPr>
                <w:sz w:val="20"/>
                <w:szCs w:val="20"/>
                <w:color w:val="auto"/>
              </w:rPr>
            </w:pPr>
            <w:r>
              <w:rPr>
                <w:rFonts w:ascii="Arial" w:cs="Arial" w:eastAsia="Arial" w:hAnsi="Arial"/>
                <w:sz w:val="16"/>
                <w:szCs w:val="16"/>
                <w:color w:val="auto"/>
              </w:rPr>
              <w:t>$</w:t>
            </w:r>
          </w:p>
        </w:tc>
        <w:tc>
          <w:tcPr>
            <w:tcW w:w="108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10,185</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w w:val="89"/>
              </w:rPr>
              <w:t>$</w:t>
            </w:r>
          </w:p>
        </w:tc>
        <w:tc>
          <w:tcPr>
            <w:tcW w:w="102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180,176</w:t>
            </w:r>
          </w:p>
        </w:tc>
      </w:tr>
      <w:tr>
        <w:trPr>
          <w:trHeight w:val="223"/>
        </w:trPr>
        <w:tc>
          <w:tcPr>
            <w:tcW w:w="3420" w:type="dxa"/>
            <w:vAlign w:val="bottom"/>
          </w:tcPr>
          <w:p>
            <w:pPr>
              <w:spacing w:after="0"/>
              <w:rPr>
                <w:sz w:val="20"/>
                <w:szCs w:val="20"/>
                <w:color w:val="auto"/>
              </w:rPr>
            </w:pPr>
            <w:r>
              <w:rPr>
                <w:rFonts w:ascii="Arial" w:cs="Arial" w:eastAsia="Arial" w:hAnsi="Arial"/>
                <w:sz w:val="16"/>
                <w:szCs w:val="16"/>
                <w:color w:val="auto"/>
              </w:rPr>
              <w:t>Second Lien Term Loan Facility</w:t>
            </w:r>
          </w:p>
        </w:tc>
        <w:tc>
          <w:tcPr>
            <w:tcW w:w="200" w:type="dxa"/>
            <w:vAlign w:val="bottom"/>
          </w:tcPr>
          <w:p>
            <w:pPr>
              <w:spacing w:after="0"/>
              <w:rPr>
                <w:sz w:val="19"/>
                <w:szCs w:val="19"/>
                <w:color w:val="auto"/>
              </w:rPr>
            </w:pPr>
          </w:p>
        </w:tc>
        <w:tc>
          <w:tcPr>
            <w:tcW w:w="1000" w:type="dxa"/>
            <w:vAlign w:val="bottom"/>
          </w:tcPr>
          <w:p>
            <w:pPr>
              <w:jc w:val="right"/>
              <w:ind w:right="79"/>
              <w:spacing w:after="0"/>
              <w:rPr>
                <w:sz w:val="20"/>
                <w:szCs w:val="20"/>
                <w:color w:val="auto"/>
              </w:rPr>
            </w:pPr>
            <w:r>
              <w:rPr>
                <w:rFonts w:ascii="Arial" w:cs="Arial" w:eastAsia="Arial" w:hAnsi="Arial"/>
                <w:sz w:val="16"/>
                <w:szCs w:val="16"/>
                <w:color w:val="auto"/>
              </w:rPr>
              <w:t>215,476</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34,371</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20" w:type="dxa"/>
            <w:vAlign w:val="bottom"/>
          </w:tcPr>
          <w:p>
            <w:pPr>
              <w:jc w:val="right"/>
              <w:ind w:right="79"/>
              <w:spacing w:after="0"/>
              <w:rPr>
                <w:sz w:val="20"/>
                <w:szCs w:val="20"/>
                <w:color w:val="auto"/>
              </w:rPr>
            </w:pPr>
            <w:r>
              <w:rPr>
                <w:rFonts w:ascii="Arial" w:cs="Arial" w:eastAsia="Arial" w:hAnsi="Arial"/>
                <w:sz w:val="16"/>
                <w:szCs w:val="16"/>
                <w:color w:val="auto"/>
              </w:rPr>
              <w:t>181,105</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60" w:type="dxa"/>
            <w:vAlign w:val="bottom"/>
          </w:tcPr>
          <w:p>
            <w:pPr>
              <w:jc w:val="right"/>
              <w:ind w:right="59"/>
              <w:spacing w:after="0"/>
              <w:rPr>
                <w:sz w:val="20"/>
                <w:szCs w:val="20"/>
                <w:color w:val="auto"/>
              </w:rPr>
            </w:pPr>
            <w:r>
              <w:rPr>
                <w:rFonts w:ascii="Arial" w:cs="Arial" w:eastAsia="Arial" w:hAnsi="Arial"/>
                <w:sz w:val="16"/>
                <w:szCs w:val="16"/>
                <w:color w:val="auto"/>
              </w:rPr>
              <w:t>201,495</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35,448</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20" w:type="dxa"/>
            <w:vAlign w:val="bottom"/>
          </w:tcPr>
          <w:p>
            <w:pPr>
              <w:jc w:val="right"/>
              <w:ind w:right="59"/>
              <w:spacing w:after="0"/>
              <w:rPr>
                <w:sz w:val="20"/>
                <w:szCs w:val="20"/>
                <w:color w:val="auto"/>
              </w:rPr>
            </w:pPr>
            <w:r>
              <w:rPr>
                <w:rFonts w:ascii="Arial" w:cs="Arial" w:eastAsia="Arial" w:hAnsi="Arial"/>
                <w:sz w:val="16"/>
                <w:szCs w:val="16"/>
                <w:color w:val="auto"/>
              </w:rPr>
              <w:t>166,047</w:t>
            </w:r>
          </w:p>
        </w:tc>
      </w:tr>
      <w:tr>
        <w:trPr>
          <w:trHeight w:val="33"/>
        </w:trPr>
        <w:tc>
          <w:tcPr>
            <w:tcW w:w="34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36"/>
        </w:trPr>
        <w:tc>
          <w:tcPr>
            <w:tcW w:w="34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6"/>
                <w:szCs w:val="16"/>
                <w:color w:val="auto"/>
              </w:rPr>
              <w:t>Loan Agreement with Thermo</w:t>
            </w:r>
          </w:p>
        </w:tc>
        <w:tc>
          <w:tcPr>
            <w:tcW w:w="200" w:type="dxa"/>
            <w:vAlign w:val="bottom"/>
            <w:tcBorders>
              <w:bottom w:val="single" w:sz="8" w:color="CCEEFF"/>
            </w:tcBorders>
            <w:shd w:val="clear" w:color="auto" w:fill="CCEEFF"/>
          </w:tcPr>
          <w:p>
            <w:pPr>
              <w:spacing w:after="0"/>
              <w:rPr>
                <w:sz w:val="20"/>
                <w:szCs w:val="20"/>
                <w:color w:val="auto"/>
              </w:rPr>
            </w:pPr>
          </w:p>
        </w:tc>
        <w:tc>
          <w:tcPr>
            <w:tcW w:w="110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CEEFF"/>
            </w:tcBorders>
            <w:shd w:val="clear" w:color="auto" w:fill="CCEEFF"/>
          </w:tcPr>
          <w:p>
            <w:pPr>
              <w:spacing w:after="0"/>
              <w:rPr>
                <w:sz w:val="20"/>
                <w:szCs w:val="20"/>
                <w:color w:val="auto"/>
              </w:rPr>
            </w:pPr>
          </w:p>
        </w:tc>
        <w:tc>
          <w:tcPr>
            <w:tcW w:w="96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135,105</w:t>
            </w:r>
          </w:p>
        </w:tc>
        <w:tc>
          <w:tcPr>
            <w:tcW w:w="1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18,562</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116,543</w:t>
            </w:r>
          </w:p>
        </w:tc>
      </w:tr>
      <w:tr>
        <w:trPr>
          <w:trHeight w:val="254"/>
        </w:trPr>
        <w:tc>
          <w:tcPr>
            <w:tcW w:w="3420" w:type="dxa"/>
            <w:vAlign w:val="bottom"/>
          </w:tcPr>
          <w:p>
            <w:pPr>
              <w:spacing w:after="0"/>
              <w:rPr>
                <w:sz w:val="20"/>
                <w:szCs w:val="20"/>
                <w:color w:val="auto"/>
              </w:rPr>
            </w:pPr>
            <w:r>
              <w:rPr>
                <w:rFonts w:ascii="Arial" w:cs="Arial" w:eastAsia="Arial" w:hAnsi="Arial"/>
                <w:sz w:val="16"/>
                <w:szCs w:val="16"/>
                <w:color w:val="auto"/>
              </w:rPr>
              <w:t>8.00% Convertible Senior Notes Issued in 2013</w:t>
            </w:r>
          </w:p>
        </w:tc>
        <w:tc>
          <w:tcPr>
            <w:tcW w:w="200" w:type="dxa"/>
            <w:vAlign w:val="bottom"/>
          </w:tcPr>
          <w:p>
            <w:pPr>
              <w:spacing w:after="0"/>
              <w:rPr>
                <w:sz w:val="22"/>
                <w:szCs w:val="22"/>
                <w:color w:val="auto"/>
              </w:rPr>
            </w:pPr>
          </w:p>
        </w:tc>
        <w:tc>
          <w:tcPr>
            <w:tcW w:w="1000" w:type="dxa"/>
            <w:vAlign w:val="bottom"/>
          </w:tcPr>
          <w:p>
            <w:pPr>
              <w:jc w:val="right"/>
              <w:ind w:right="79"/>
              <w:spacing w:after="0"/>
              <w:rPr>
                <w:sz w:val="20"/>
                <w:szCs w:val="20"/>
                <w:color w:val="auto"/>
              </w:rPr>
            </w:pPr>
            <w:r>
              <w:rPr>
                <w:rFonts w:ascii="Arial" w:cs="Arial" w:eastAsia="Arial" w:hAnsi="Arial"/>
                <w:sz w:val="16"/>
                <w:szCs w:val="16"/>
                <w:color w:val="auto"/>
              </w:rPr>
              <w:t>1,396</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80" w:type="dxa"/>
            <w:vAlign w:val="bottom"/>
            <w:gridSpan w:val="2"/>
          </w:tcPr>
          <w:p>
            <w:pPr>
              <w:jc w:val="right"/>
              <w:ind w:right="2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2"/>
                <w:szCs w:val="22"/>
                <w:color w:val="auto"/>
              </w:rPr>
            </w:pPr>
          </w:p>
        </w:tc>
        <w:tc>
          <w:tcPr>
            <w:tcW w:w="1020" w:type="dxa"/>
            <w:vAlign w:val="bottom"/>
          </w:tcPr>
          <w:p>
            <w:pPr>
              <w:jc w:val="right"/>
              <w:ind w:right="79"/>
              <w:spacing w:after="0"/>
              <w:rPr>
                <w:sz w:val="20"/>
                <w:szCs w:val="20"/>
                <w:color w:val="auto"/>
              </w:rPr>
            </w:pPr>
            <w:r>
              <w:rPr>
                <w:rFonts w:ascii="Arial" w:cs="Arial" w:eastAsia="Arial" w:hAnsi="Arial"/>
                <w:sz w:val="16"/>
                <w:szCs w:val="16"/>
                <w:color w:val="auto"/>
              </w:rPr>
              <w:t>1,396</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60" w:type="dxa"/>
            <w:vAlign w:val="bottom"/>
          </w:tcPr>
          <w:p>
            <w:pPr>
              <w:jc w:val="right"/>
              <w:ind w:right="59"/>
              <w:spacing w:after="0"/>
              <w:rPr>
                <w:sz w:val="20"/>
                <w:szCs w:val="20"/>
                <w:color w:val="auto"/>
              </w:rPr>
            </w:pPr>
            <w:r>
              <w:rPr>
                <w:rFonts w:ascii="Arial" w:cs="Arial" w:eastAsia="Arial" w:hAnsi="Arial"/>
                <w:sz w:val="16"/>
                <w:szCs w:val="16"/>
                <w:color w:val="auto"/>
              </w:rPr>
              <w:t>1,410</w:t>
            </w: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80" w:type="dxa"/>
            <w:vAlign w:val="bottom"/>
            <w:gridSpan w:val="2"/>
          </w:tcPr>
          <w:p>
            <w:pPr>
              <w:jc w:val="right"/>
              <w:ind w:right="2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2"/>
                <w:szCs w:val="22"/>
                <w:color w:val="auto"/>
              </w:rPr>
            </w:pPr>
          </w:p>
        </w:tc>
        <w:tc>
          <w:tcPr>
            <w:tcW w:w="1020" w:type="dxa"/>
            <w:vAlign w:val="bottom"/>
          </w:tcPr>
          <w:p>
            <w:pPr>
              <w:jc w:val="right"/>
              <w:ind w:right="59"/>
              <w:spacing w:after="0"/>
              <w:rPr>
                <w:sz w:val="20"/>
                <w:szCs w:val="20"/>
                <w:color w:val="auto"/>
              </w:rPr>
            </w:pPr>
            <w:r>
              <w:rPr>
                <w:rFonts w:ascii="Arial" w:cs="Arial" w:eastAsia="Arial" w:hAnsi="Arial"/>
                <w:sz w:val="16"/>
                <w:szCs w:val="16"/>
                <w:color w:val="auto"/>
              </w:rPr>
              <w:t>1,410</w:t>
            </w:r>
          </w:p>
        </w:tc>
      </w:tr>
      <w:tr>
        <w:trPr>
          <w:trHeight w:val="259"/>
        </w:trPr>
        <w:tc>
          <w:tcPr>
            <w:tcW w:w="34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6"/>
                <w:szCs w:val="16"/>
                <w:color w:val="auto"/>
              </w:rPr>
              <w:t>Payroll Protection Program Loan</w:t>
            </w:r>
          </w:p>
        </w:tc>
        <w:tc>
          <w:tcPr>
            <w:tcW w:w="200" w:type="dxa"/>
            <w:vAlign w:val="bottom"/>
            <w:tcBorders>
              <w:bottom w:val="single" w:sz="8" w:color="CCEEFF"/>
            </w:tcBorders>
            <w:shd w:val="clear" w:color="auto" w:fill="CCEEFF"/>
          </w:tcPr>
          <w:p>
            <w:pPr>
              <w:spacing w:after="0"/>
              <w:rPr>
                <w:sz w:val="22"/>
                <w:szCs w:val="22"/>
                <w:color w:val="auto"/>
              </w:rPr>
            </w:pPr>
          </w:p>
        </w:tc>
        <w:tc>
          <w:tcPr>
            <w:tcW w:w="100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4,973</w:t>
            </w:r>
          </w:p>
        </w:tc>
        <w:tc>
          <w:tcPr>
            <w:tcW w:w="1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35</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4,938</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w:t>
            </w:r>
          </w:p>
        </w:tc>
      </w:tr>
      <w:tr>
        <w:trPr>
          <w:trHeight w:val="217"/>
        </w:trPr>
        <w:tc>
          <w:tcPr>
            <w:tcW w:w="3420" w:type="dxa"/>
            <w:vAlign w:val="bottom"/>
          </w:tcPr>
          <w:p>
            <w:pPr>
              <w:spacing w:after="0"/>
              <w:rPr>
                <w:sz w:val="20"/>
                <w:szCs w:val="20"/>
                <w:color w:val="auto"/>
              </w:rPr>
            </w:pPr>
            <w:r>
              <w:rPr>
                <w:rFonts w:ascii="Arial" w:cs="Arial" w:eastAsia="Arial" w:hAnsi="Arial"/>
                <w:sz w:val="16"/>
                <w:szCs w:val="16"/>
                <w:color w:val="auto"/>
              </w:rPr>
              <w:t>Total Debt</w:t>
            </w:r>
          </w:p>
        </w:tc>
        <w:tc>
          <w:tcPr>
            <w:tcW w:w="20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jc w:val="right"/>
              <w:ind w:right="79"/>
              <w:spacing w:after="0"/>
              <w:rPr>
                <w:sz w:val="20"/>
                <w:szCs w:val="20"/>
                <w:color w:val="auto"/>
              </w:rPr>
            </w:pPr>
            <w:r>
              <w:rPr>
                <w:rFonts w:ascii="Arial" w:cs="Arial" w:eastAsia="Arial" w:hAnsi="Arial"/>
                <w:sz w:val="16"/>
                <w:szCs w:val="16"/>
                <w:color w:val="auto"/>
              </w:rPr>
              <w:t>411,929</w:t>
            </w:r>
          </w:p>
        </w:tc>
        <w:tc>
          <w:tcPr>
            <w:tcW w:w="10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jc w:val="right"/>
              <w:ind w:right="79"/>
              <w:spacing w:after="0"/>
              <w:rPr>
                <w:sz w:val="20"/>
                <w:szCs w:val="20"/>
                <w:color w:val="auto"/>
              </w:rPr>
            </w:pPr>
            <w:r>
              <w:rPr>
                <w:rFonts w:ascii="Arial" w:cs="Arial" w:eastAsia="Arial" w:hAnsi="Arial"/>
                <w:sz w:val="16"/>
                <w:szCs w:val="16"/>
                <w:color w:val="auto"/>
              </w:rPr>
              <w:t>42,696</w:t>
            </w:r>
          </w:p>
        </w:tc>
        <w:tc>
          <w:tcPr>
            <w:tcW w:w="10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jc w:val="right"/>
              <w:ind w:right="79"/>
              <w:spacing w:after="0"/>
              <w:rPr>
                <w:sz w:val="20"/>
                <w:szCs w:val="20"/>
                <w:color w:val="auto"/>
              </w:rPr>
            </w:pPr>
            <w:r>
              <w:rPr>
                <w:rFonts w:ascii="Arial" w:cs="Arial" w:eastAsia="Arial" w:hAnsi="Arial"/>
                <w:sz w:val="16"/>
                <w:szCs w:val="16"/>
                <w:color w:val="auto"/>
              </w:rPr>
              <w:t>369,233</w:t>
            </w:r>
          </w:p>
        </w:tc>
        <w:tc>
          <w:tcPr>
            <w:tcW w:w="10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jc w:val="right"/>
              <w:ind w:right="59"/>
              <w:spacing w:after="0"/>
              <w:rPr>
                <w:sz w:val="20"/>
                <w:szCs w:val="20"/>
                <w:color w:val="auto"/>
              </w:rPr>
            </w:pPr>
            <w:r>
              <w:rPr>
                <w:rFonts w:ascii="Arial" w:cs="Arial" w:eastAsia="Arial" w:hAnsi="Arial"/>
                <w:sz w:val="16"/>
                <w:szCs w:val="16"/>
                <w:color w:val="auto"/>
              </w:rPr>
              <w:t>528,371</w:t>
            </w:r>
          </w:p>
        </w:tc>
        <w:tc>
          <w:tcPr>
            <w:tcW w:w="12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jc w:val="right"/>
              <w:ind w:right="79"/>
              <w:spacing w:after="0"/>
              <w:rPr>
                <w:sz w:val="20"/>
                <w:szCs w:val="20"/>
                <w:color w:val="auto"/>
              </w:rPr>
            </w:pPr>
            <w:r>
              <w:rPr>
                <w:rFonts w:ascii="Arial" w:cs="Arial" w:eastAsia="Arial" w:hAnsi="Arial"/>
                <w:sz w:val="16"/>
                <w:szCs w:val="16"/>
                <w:color w:val="auto"/>
              </w:rPr>
              <w:t>64,195</w:t>
            </w:r>
          </w:p>
        </w:tc>
        <w:tc>
          <w:tcPr>
            <w:tcW w:w="10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jc w:val="right"/>
              <w:ind w:right="59"/>
              <w:spacing w:after="0"/>
              <w:rPr>
                <w:sz w:val="20"/>
                <w:szCs w:val="20"/>
                <w:color w:val="auto"/>
              </w:rPr>
            </w:pPr>
            <w:r>
              <w:rPr>
                <w:rFonts w:ascii="Arial" w:cs="Arial" w:eastAsia="Arial" w:hAnsi="Arial"/>
                <w:sz w:val="16"/>
                <w:szCs w:val="16"/>
                <w:color w:val="auto"/>
              </w:rPr>
              <w:t>464,176</w:t>
            </w:r>
          </w:p>
        </w:tc>
      </w:tr>
      <w:tr>
        <w:trPr>
          <w:trHeight w:val="33"/>
        </w:trPr>
        <w:tc>
          <w:tcPr>
            <w:tcW w:w="34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57"/>
        </w:trPr>
        <w:tc>
          <w:tcPr>
            <w:tcW w:w="34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6"/>
                <w:szCs w:val="16"/>
                <w:color w:val="auto"/>
              </w:rPr>
              <w:t>Less: Current Portion</w:t>
            </w:r>
          </w:p>
        </w:tc>
        <w:tc>
          <w:tcPr>
            <w:tcW w:w="200" w:type="dxa"/>
            <w:vAlign w:val="bottom"/>
            <w:tcBorders>
              <w:bottom w:val="single" w:sz="8" w:color="CCEEFF"/>
            </w:tcBorders>
            <w:shd w:val="clear" w:color="auto" w:fill="CCEEFF"/>
          </w:tcPr>
          <w:p>
            <w:pPr>
              <w:spacing w:after="0"/>
              <w:rPr>
                <w:sz w:val="22"/>
                <w:szCs w:val="22"/>
                <w:color w:val="auto"/>
              </w:rPr>
            </w:pPr>
          </w:p>
        </w:tc>
        <w:tc>
          <w:tcPr>
            <w:tcW w:w="100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45,000</w:t>
            </w:r>
          </w:p>
        </w:tc>
        <w:tc>
          <w:tcPr>
            <w:tcW w:w="1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45,000</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w:t>
            </w:r>
          </w:p>
        </w:tc>
      </w:tr>
      <w:tr>
        <w:trPr>
          <w:trHeight w:val="247"/>
        </w:trPr>
        <w:tc>
          <w:tcPr>
            <w:tcW w:w="3420" w:type="dxa"/>
            <w:vAlign w:val="bottom"/>
          </w:tcPr>
          <w:p>
            <w:pPr>
              <w:spacing w:after="0"/>
              <w:rPr>
                <w:sz w:val="20"/>
                <w:szCs w:val="20"/>
                <w:color w:val="auto"/>
              </w:rPr>
            </w:pPr>
            <w:r>
              <w:rPr>
                <w:rFonts w:ascii="Arial" w:cs="Arial" w:eastAsia="Arial" w:hAnsi="Arial"/>
                <w:sz w:val="16"/>
                <w:szCs w:val="16"/>
                <w:color w:val="auto"/>
              </w:rPr>
              <w:t>Long-Term Debt</w:t>
            </w:r>
          </w:p>
        </w:tc>
        <w:tc>
          <w:tcPr>
            <w:tcW w:w="20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w w:val="89"/>
              </w:rPr>
              <w:t>$</w:t>
            </w:r>
          </w:p>
        </w:tc>
        <w:tc>
          <w:tcPr>
            <w:tcW w:w="1000" w:type="dxa"/>
            <w:vAlign w:val="bottom"/>
            <w:tcBorders>
              <w:top w:val="single" w:sz="8" w:color="auto"/>
              <w:bottom w:val="single" w:sz="8" w:color="auto"/>
            </w:tcBorders>
          </w:tcPr>
          <w:p>
            <w:pPr>
              <w:jc w:val="right"/>
              <w:ind w:right="79"/>
              <w:spacing w:after="0"/>
              <w:rPr>
                <w:sz w:val="20"/>
                <w:szCs w:val="20"/>
                <w:color w:val="auto"/>
              </w:rPr>
            </w:pPr>
            <w:r>
              <w:rPr>
                <w:rFonts w:ascii="Arial" w:cs="Arial" w:eastAsia="Arial" w:hAnsi="Arial"/>
                <w:sz w:val="16"/>
                <w:szCs w:val="16"/>
                <w:color w:val="auto"/>
              </w:rPr>
              <w:t>366,929</w:t>
            </w:r>
          </w:p>
        </w:tc>
        <w:tc>
          <w:tcPr>
            <w:tcW w:w="100" w:type="dxa"/>
            <w:vAlign w:val="bottom"/>
          </w:tcPr>
          <w:p>
            <w:pPr>
              <w:spacing w:after="0"/>
              <w:rPr>
                <w:sz w:val="21"/>
                <w:szCs w:val="21"/>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tcBorders>
              <w:top w:val="single" w:sz="8" w:color="auto"/>
              <w:bottom w:val="single" w:sz="8" w:color="auto"/>
            </w:tcBorders>
          </w:tcPr>
          <w:p>
            <w:pPr>
              <w:jc w:val="right"/>
              <w:ind w:right="79"/>
              <w:spacing w:after="0"/>
              <w:rPr>
                <w:sz w:val="20"/>
                <w:szCs w:val="20"/>
                <w:color w:val="auto"/>
              </w:rPr>
            </w:pPr>
            <w:r>
              <w:rPr>
                <w:rFonts w:ascii="Arial" w:cs="Arial" w:eastAsia="Arial" w:hAnsi="Arial"/>
                <w:sz w:val="16"/>
                <w:szCs w:val="16"/>
                <w:color w:val="auto"/>
              </w:rPr>
              <w:t>42,696</w:t>
            </w:r>
          </w:p>
        </w:tc>
        <w:tc>
          <w:tcPr>
            <w:tcW w:w="100" w:type="dxa"/>
            <w:vAlign w:val="bottom"/>
          </w:tcPr>
          <w:p>
            <w:pPr>
              <w:spacing w:after="0"/>
              <w:rPr>
                <w:sz w:val="21"/>
                <w:szCs w:val="21"/>
                <w:color w:val="auto"/>
              </w:rPr>
            </w:pPr>
          </w:p>
        </w:tc>
        <w:tc>
          <w:tcPr>
            <w:tcW w:w="220" w:type="dxa"/>
            <w:vAlign w:val="bottom"/>
            <w:tcBorders>
              <w:top w:val="single" w:sz="8" w:color="auto"/>
              <w:bottom w:val="single" w:sz="8" w:color="auto"/>
            </w:tcBorders>
          </w:tcPr>
          <w:p>
            <w:pPr>
              <w:jc w:val="right"/>
              <w:ind w:right="39"/>
              <w:spacing w:after="0"/>
              <w:rPr>
                <w:sz w:val="20"/>
                <w:szCs w:val="20"/>
                <w:color w:val="auto"/>
              </w:rPr>
            </w:pPr>
            <w:r>
              <w:rPr>
                <w:rFonts w:ascii="Arial" w:cs="Arial" w:eastAsia="Arial" w:hAnsi="Arial"/>
                <w:sz w:val="16"/>
                <w:szCs w:val="16"/>
                <w:color w:val="auto"/>
                <w:w w:val="89"/>
              </w:rPr>
              <w:t>$</w:t>
            </w:r>
          </w:p>
        </w:tc>
        <w:tc>
          <w:tcPr>
            <w:tcW w:w="1020" w:type="dxa"/>
            <w:vAlign w:val="bottom"/>
            <w:tcBorders>
              <w:top w:val="single" w:sz="8" w:color="auto"/>
              <w:bottom w:val="single" w:sz="8" w:color="auto"/>
            </w:tcBorders>
          </w:tcPr>
          <w:p>
            <w:pPr>
              <w:jc w:val="right"/>
              <w:ind w:right="79"/>
              <w:spacing w:after="0"/>
              <w:rPr>
                <w:sz w:val="20"/>
                <w:szCs w:val="20"/>
                <w:color w:val="auto"/>
              </w:rPr>
            </w:pPr>
            <w:r>
              <w:rPr>
                <w:rFonts w:ascii="Arial" w:cs="Arial" w:eastAsia="Arial" w:hAnsi="Arial"/>
                <w:sz w:val="16"/>
                <w:szCs w:val="16"/>
                <w:color w:val="auto"/>
              </w:rPr>
              <w:t>324,233</w:t>
            </w:r>
          </w:p>
        </w:tc>
        <w:tc>
          <w:tcPr>
            <w:tcW w:w="100" w:type="dxa"/>
            <w:vAlign w:val="bottom"/>
          </w:tcPr>
          <w:p>
            <w:pPr>
              <w:spacing w:after="0"/>
              <w:rPr>
                <w:sz w:val="21"/>
                <w:szCs w:val="21"/>
                <w:color w:val="auto"/>
              </w:rPr>
            </w:pPr>
          </w:p>
        </w:tc>
        <w:tc>
          <w:tcPr>
            <w:tcW w:w="20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w w:val="89"/>
              </w:rPr>
              <w:t>$</w:t>
            </w:r>
          </w:p>
        </w:tc>
        <w:tc>
          <w:tcPr>
            <w:tcW w:w="960" w:type="dxa"/>
            <w:vAlign w:val="bottom"/>
            <w:tcBorders>
              <w:top w:val="single" w:sz="8" w:color="auto"/>
              <w:bottom w:val="single" w:sz="8" w:color="auto"/>
            </w:tcBorders>
          </w:tcPr>
          <w:p>
            <w:pPr>
              <w:jc w:val="right"/>
              <w:ind w:right="59"/>
              <w:spacing w:after="0"/>
              <w:rPr>
                <w:sz w:val="20"/>
                <w:szCs w:val="20"/>
                <w:color w:val="auto"/>
              </w:rPr>
            </w:pPr>
            <w:r>
              <w:rPr>
                <w:rFonts w:ascii="Arial" w:cs="Arial" w:eastAsia="Arial" w:hAnsi="Arial"/>
                <w:sz w:val="16"/>
                <w:szCs w:val="16"/>
                <w:color w:val="auto"/>
              </w:rPr>
              <w:t>528,371</w:t>
            </w:r>
          </w:p>
        </w:tc>
        <w:tc>
          <w:tcPr>
            <w:tcW w:w="120" w:type="dxa"/>
            <w:vAlign w:val="bottom"/>
          </w:tcPr>
          <w:p>
            <w:pPr>
              <w:spacing w:after="0"/>
              <w:rPr>
                <w:sz w:val="21"/>
                <w:szCs w:val="21"/>
                <w:color w:val="auto"/>
              </w:rPr>
            </w:pPr>
          </w:p>
        </w:tc>
        <w:tc>
          <w:tcPr>
            <w:tcW w:w="120" w:type="dxa"/>
            <w:vAlign w:val="bottom"/>
            <w:tcBorders>
              <w:top w:val="single" w:sz="8" w:color="auto"/>
              <w:bottom w:val="single" w:sz="8" w:color="auto"/>
            </w:tcBorders>
          </w:tcPr>
          <w:p>
            <w:pPr>
              <w:spacing w:after="0"/>
              <w:rPr>
                <w:sz w:val="20"/>
                <w:szCs w:val="20"/>
                <w:color w:val="auto"/>
              </w:rPr>
            </w:pPr>
            <w:r>
              <w:rPr>
                <w:rFonts w:ascii="Arial" w:cs="Arial" w:eastAsia="Arial" w:hAnsi="Arial"/>
                <w:sz w:val="16"/>
                <w:szCs w:val="16"/>
                <w:color w:val="auto"/>
              </w:rPr>
              <w:t>$</w:t>
            </w:r>
          </w:p>
        </w:tc>
        <w:tc>
          <w:tcPr>
            <w:tcW w:w="1080" w:type="dxa"/>
            <w:vAlign w:val="bottom"/>
            <w:tcBorders>
              <w:top w:val="single" w:sz="8" w:color="auto"/>
              <w:bottom w:val="single" w:sz="8" w:color="auto"/>
            </w:tcBorders>
          </w:tcPr>
          <w:p>
            <w:pPr>
              <w:jc w:val="right"/>
              <w:ind w:right="79"/>
              <w:spacing w:after="0"/>
              <w:rPr>
                <w:sz w:val="20"/>
                <w:szCs w:val="20"/>
                <w:color w:val="auto"/>
              </w:rPr>
            </w:pPr>
            <w:r>
              <w:rPr>
                <w:rFonts w:ascii="Arial" w:cs="Arial" w:eastAsia="Arial" w:hAnsi="Arial"/>
                <w:sz w:val="16"/>
                <w:szCs w:val="16"/>
                <w:color w:val="auto"/>
              </w:rPr>
              <w:t>64,195</w:t>
            </w:r>
          </w:p>
        </w:tc>
        <w:tc>
          <w:tcPr>
            <w:tcW w:w="100" w:type="dxa"/>
            <w:vAlign w:val="bottom"/>
          </w:tcPr>
          <w:p>
            <w:pPr>
              <w:spacing w:after="0"/>
              <w:rPr>
                <w:sz w:val="21"/>
                <w:szCs w:val="21"/>
                <w:color w:val="auto"/>
              </w:rPr>
            </w:pPr>
          </w:p>
        </w:tc>
        <w:tc>
          <w:tcPr>
            <w:tcW w:w="220" w:type="dxa"/>
            <w:vAlign w:val="bottom"/>
            <w:tcBorders>
              <w:top w:val="single" w:sz="8" w:color="auto"/>
              <w:bottom w:val="single" w:sz="8" w:color="auto"/>
            </w:tcBorders>
          </w:tcPr>
          <w:p>
            <w:pPr>
              <w:jc w:val="right"/>
              <w:ind w:right="39"/>
              <w:spacing w:after="0"/>
              <w:rPr>
                <w:sz w:val="20"/>
                <w:szCs w:val="20"/>
                <w:color w:val="auto"/>
              </w:rPr>
            </w:pPr>
            <w:r>
              <w:rPr>
                <w:rFonts w:ascii="Arial" w:cs="Arial" w:eastAsia="Arial" w:hAnsi="Arial"/>
                <w:sz w:val="16"/>
                <w:szCs w:val="16"/>
                <w:color w:val="auto"/>
                <w:w w:val="89"/>
              </w:rPr>
              <w:t>$</w:t>
            </w:r>
          </w:p>
        </w:tc>
        <w:tc>
          <w:tcPr>
            <w:tcW w:w="1020" w:type="dxa"/>
            <w:vAlign w:val="bottom"/>
            <w:tcBorders>
              <w:top w:val="single" w:sz="8" w:color="auto"/>
              <w:bottom w:val="single" w:sz="8" w:color="auto"/>
            </w:tcBorders>
          </w:tcPr>
          <w:p>
            <w:pPr>
              <w:jc w:val="right"/>
              <w:ind w:right="59"/>
              <w:spacing w:after="0"/>
              <w:rPr>
                <w:sz w:val="20"/>
                <w:szCs w:val="20"/>
                <w:color w:val="auto"/>
              </w:rPr>
            </w:pPr>
            <w:r>
              <w:rPr>
                <w:rFonts w:ascii="Arial" w:cs="Arial" w:eastAsia="Arial" w:hAnsi="Arial"/>
                <w:sz w:val="16"/>
                <w:szCs w:val="16"/>
                <w:color w:val="auto"/>
              </w:rPr>
              <w:t>464,176</w:t>
            </w:r>
          </w:p>
        </w:tc>
      </w:tr>
      <w:tr>
        <w:trPr>
          <w:trHeight w:val="23"/>
        </w:trPr>
        <w:tc>
          <w:tcPr>
            <w:tcW w:w="342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bl>
    <w:p>
      <w:pPr>
        <w:spacing w:after="0" w:line="323" w:lineRule="exact"/>
        <w:rPr>
          <w:sz w:val="20"/>
          <w:szCs w:val="20"/>
          <w:color w:val="auto"/>
        </w:rPr>
      </w:pPr>
    </w:p>
    <w:p>
      <w:pPr>
        <w:jc w:val="both"/>
        <w:ind w:firstLine="243"/>
        <w:spacing w:after="0" w:line="277" w:lineRule="auto"/>
        <w:rPr>
          <w:sz w:val="20"/>
          <w:szCs w:val="20"/>
          <w:color w:val="auto"/>
        </w:rPr>
      </w:pPr>
      <w:r>
        <w:rPr>
          <w:rFonts w:ascii="Arial" w:cs="Arial" w:eastAsia="Arial" w:hAnsi="Arial"/>
          <w:sz w:val="18"/>
          <w:szCs w:val="18"/>
          <w:color w:val="auto"/>
        </w:rPr>
        <w:t>The principal amounts shown above include payment of in-kind interest, as applicable. The carrying value is net of deferred financing costs and any discounts to the loan amounts at issuance, including accretion, as further described below. The current</w:t>
      </w:r>
    </w:p>
    <w:p>
      <w:pPr>
        <w:spacing w:after="0" w:line="200" w:lineRule="exact"/>
        <w:rPr>
          <w:sz w:val="20"/>
          <w:szCs w:val="20"/>
          <w:color w:val="auto"/>
        </w:rPr>
      </w:pPr>
    </w:p>
    <w:p>
      <w:pPr>
        <w:spacing w:after="0" w:line="3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sectPr>
      </w:pPr>
    </w:p>
    <w:bookmarkStart w:id="13" w:name="page14"/>
    <w:bookmarkEnd w:id="13"/>
    <w:p>
      <w:pPr>
        <w:spacing w:after="0"/>
        <w:rPr>
          <w:sz w:val="20"/>
          <w:szCs w:val="20"/>
          <w:color w:val="auto"/>
        </w:rPr>
      </w:pPr>
      <w:r>
        <w:rPr>
          <w:rFonts w:ascii="Arial" w:cs="Arial" w:eastAsia="Arial" w:hAnsi="Arial"/>
          <w:sz w:val="17"/>
          <w:szCs w:val="17"/>
          <w:color w:val="auto"/>
        </w:rPr>
        <w:t>portion of long-term debt represents the scheduled principal repayment under the Facility Agreement due within one year of the balance sheet date.</w:t>
      </w: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First Lien Facility Agreement</w:t>
      </w:r>
    </w:p>
    <w:p>
      <w:pPr>
        <w:spacing w:after="0" w:line="252" w:lineRule="exact"/>
        <w:rPr>
          <w:sz w:val="20"/>
          <w:szCs w:val="20"/>
          <w:color w:val="auto"/>
        </w:rPr>
      </w:pPr>
    </w:p>
    <w:p>
      <w:pPr>
        <w:jc w:val="both"/>
        <w:ind w:firstLine="243"/>
        <w:spacing w:after="0" w:line="263" w:lineRule="auto"/>
        <w:rPr>
          <w:sz w:val="20"/>
          <w:szCs w:val="20"/>
          <w:color w:val="auto"/>
        </w:rPr>
      </w:pPr>
      <w:r>
        <w:rPr>
          <w:rFonts w:ascii="Arial" w:cs="Arial" w:eastAsia="Arial" w:hAnsi="Arial"/>
          <w:sz w:val="18"/>
          <w:szCs w:val="18"/>
          <w:color w:val="auto"/>
        </w:rPr>
        <w:t>In 2009, the Company entered into the Facility Agreement with a syndicate of bank lenders, including BNP Paribas, Société Générale, Natixis, Crédit Agricole Corporate and Investment Bank and Crédit Industriel et Commercial, as arrangers, and BNP Paribas, as the security agent. The Facility Agreement was amended and restated in July 2013, August 2015, June 2017 and November 2019.</w:t>
      </w:r>
    </w:p>
    <w:p>
      <w:pPr>
        <w:spacing w:after="0" w:line="211" w:lineRule="exact"/>
        <w:rPr>
          <w:sz w:val="20"/>
          <w:szCs w:val="20"/>
          <w:color w:val="auto"/>
        </w:rPr>
      </w:pPr>
    </w:p>
    <w:p>
      <w:pPr>
        <w:jc w:val="both"/>
        <w:ind w:firstLine="243"/>
        <w:spacing w:after="0" w:line="263" w:lineRule="auto"/>
        <w:rPr>
          <w:sz w:val="20"/>
          <w:szCs w:val="20"/>
          <w:color w:val="auto"/>
        </w:rPr>
      </w:pPr>
      <w:r>
        <w:rPr>
          <w:rFonts w:ascii="Arial" w:cs="Arial" w:eastAsia="Arial" w:hAnsi="Arial"/>
          <w:sz w:val="18"/>
          <w:szCs w:val="18"/>
          <w:color w:val="auto"/>
        </w:rPr>
        <w:t>The Facility Agreement is scheduled to mature in December 2022. Indebtedness under the Facility Agreement bears interest at a floating rate of LIBOR plus a margin that increases by 0.5% each year to a maximum rate of LIBOR plus 5.75%. The current interest rate is LIBOR plus 4.75%. Interest on the Facility Agreement is payable semi-annually in arrears on June 30 and December 31 of each calendar year.</w:t>
      </w:r>
    </w:p>
    <w:p>
      <w:pPr>
        <w:spacing w:after="0" w:line="211" w:lineRule="exact"/>
        <w:rPr>
          <w:sz w:val="20"/>
          <w:szCs w:val="20"/>
          <w:color w:val="auto"/>
        </w:rPr>
      </w:pPr>
    </w:p>
    <w:p>
      <w:pPr>
        <w:jc w:val="both"/>
        <w:ind w:right="20" w:firstLine="243"/>
        <w:spacing w:after="0" w:line="308" w:lineRule="auto"/>
        <w:rPr>
          <w:sz w:val="20"/>
          <w:szCs w:val="20"/>
          <w:color w:val="auto"/>
        </w:rPr>
      </w:pPr>
      <w:r>
        <w:rPr>
          <w:rFonts w:ascii="Arial" w:cs="Arial" w:eastAsia="Arial" w:hAnsi="Arial"/>
          <w:sz w:val="17"/>
          <w:szCs w:val="17"/>
          <w:color w:val="auto"/>
        </w:rPr>
        <w:t>As previously discussed, the Company received a loan under the CARES Act in April 2020. Due to restrictions limiting the Company's ability to incur indebtedness, the execution of this loan required a waiver under the Facility Agreement, which was approved by the Company's senior lenders.</w:t>
      </w:r>
    </w:p>
    <w:p>
      <w:pPr>
        <w:spacing w:after="0" w:line="173" w:lineRule="exact"/>
        <w:rPr>
          <w:sz w:val="20"/>
          <w:szCs w:val="20"/>
          <w:color w:val="auto"/>
        </w:rPr>
      </w:pPr>
    </w:p>
    <w:p>
      <w:pPr>
        <w:jc w:val="both"/>
        <w:ind w:firstLine="243"/>
        <w:spacing w:after="0" w:line="254" w:lineRule="auto"/>
        <w:rPr>
          <w:sz w:val="20"/>
          <w:szCs w:val="20"/>
          <w:color w:val="auto"/>
        </w:rPr>
      </w:pPr>
      <w:r>
        <w:rPr>
          <w:rFonts w:ascii="Arial" w:cs="Arial" w:eastAsia="Arial" w:hAnsi="Arial"/>
          <w:sz w:val="18"/>
          <w:szCs w:val="18"/>
          <w:color w:val="auto"/>
        </w:rPr>
        <w:t>In calculating compliance with the financial covenants of the Facility Agreement, the Company may include certain cash funds contributed to the Company from the issuance of the Company's common stock and/or subordinated indebtedness. These funds are referred to as “Equity Cure Contributions” and may be used to achieve compliance with financial covenants through maturity. If the Company violates any financial covenants and is unable to obtain a sufficient Equity Cure Contribution or obtain a waiver, it would be in default under the Facility Agreement and payment of the indebtedness could be accelerated. The acceleration of the Company's indebtedness under one agreement may permit acceleration of indebtedness under other agreements that contain cross-acceleration provisions. As of June 30, 2020, the Company was in compliance with respect to the covenants of the Facility Agreement. The Company continues to monitor the impact of COVID-19 on its results of operations and liquidity relative to compliance with financial covenants over the next twelve months.</w:t>
      </w:r>
    </w:p>
    <w:p>
      <w:pPr>
        <w:spacing w:after="0" w:line="219" w:lineRule="exact"/>
        <w:rPr>
          <w:sz w:val="20"/>
          <w:szCs w:val="20"/>
          <w:color w:val="auto"/>
        </w:rPr>
      </w:pPr>
    </w:p>
    <w:p>
      <w:pPr>
        <w:jc w:val="both"/>
        <w:ind w:firstLine="243"/>
        <w:spacing w:after="0" w:line="257" w:lineRule="auto"/>
        <w:rPr>
          <w:sz w:val="20"/>
          <w:szCs w:val="20"/>
          <w:color w:val="auto"/>
        </w:rPr>
      </w:pPr>
      <w:r>
        <w:rPr>
          <w:rFonts w:ascii="Arial" w:cs="Arial" w:eastAsia="Arial" w:hAnsi="Arial"/>
          <w:sz w:val="18"/>
          <w:szCs w:val="18"/>
          <w:color w:val="auto"/>
        </w:rPr>
        <w:t>The Facility Agreement also requires the Company to maintain a debt service reserve account, which is pledged to secure all of the Company's obligations under the Facility Agreement. The required balance in the debt service reserve account is fixed and must equal at least $50.9 million. As of June 30, 2020, the balance in the debt service reserve account was $51.2 million and is classified as non-current restricted cash on the Company's condensed consolidated balance sheet as it will be used towards the final scheduled payment due upon maturity of the Facility Agreement in December 2022.</w:t>
      </w:r>
    </w:p>
    <w:p>
      <w:pPr>
        <w:spacing w:after="0" w:line="215" w:lineRule="exact"/>
        <w:rPr>
          <w:sz w:val="20"/>
          <w:szCs w:val="20"/>
          <w:color w:val="auto"/>
        </w:rPr>
      </w:pPr>
    </w:p>
    <w:p>
      <w:pPr>
        <w:jc w:val="both"/>
        <w:ind w:firstLine="243"/>
        <w:spacing w:after="0" w:line="290" w:lineRule="auto"/>
        <w:rPr>
          <w:sz w:val="20"/>
          <w:szCs w:val="20"/>
          <w:color w:val="auto"/>
        </w:rPr>
      </w:pPr>
      <w:r>
        <w:rPr>
          <w:rFonts w:ascii="Arial" w:cs="Arial" w:eastAsia="Arial" w:hAnsi="Arial"/>
          <w:sz w:val="16"/>
          <w:szCs w:val="16"/>
          <w:color w:val="auto"/>
        </w:rPr>
        <w:t>The amended and restated Facility Agreement includes a requirement that the Company raise no less than $45.0 million of equity prior to March 31, 2021 via the cash exercise of outstanding warrants or the sale of other equity, the proceeds of which are required to be applied towards the principal payment due on June 30, 2021 and then, if applicable, to the next scheduled principal payments. The Company currently expects to fulfill this requirement with proceeds from the exercise of all the remaining warrants issued to the Second Lien Term Loan Facility lenders in November 2019; however, it may be required to find alternative sources of equity capital if the Company's share price does not exceed the warrants' exercise price of $0.38 per share. In December 2019, the Company received proceeds of $3.6 million from the exercise of a portion of warrants issued to the Second Lien Term Loan Facility Agreement lenders, which is retained in the equity proceeds account under the Facility Agreement and recorded in current restricted cash on the Company's condensed consolidated balance sheet as of June 30, 2020 and may be used to fulfill a portion of the $45.0 million requirement discussed above.</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Second Lien Facility Agreement</w:t>
      </w:r>
    </w:p>
    <w:p>
      <w:pPr>
        <w:spacing w:after="0" w:line="252" w:lineRule="exact"/>
        <w:rPr>
          <w:sz w:val="20"/>
          <w:szCs w:val="20"/>
          <w:color w:val="auto"/>
        </w:rPr>
      </w:pPr>
    </w:p>
    <w:p>
      <w:pPr>
        <w:jc w:val="both"/>
        <w:ind w:firstLine="243"/>
        <w:spacing w:after="0" w:line="259" w:lineRule="auto"/>
        <w:rPr>
          <w:sz w:val="20"/>
          <w:szCs w:val="20"/>
          <w:color w:val="auto"/>
        </w:rPr>
      </w:pPr>
      <w:r>
        <w:rPr>
          <w:rFonts w:ascii="Arial" w:cs="Arial" w:eastAsia="Arial" w:hAnsi="Arial"/>
          <w:sz w:val="18"/>
          <w:szCs w:val="18"/>
          <w:color w:val="auto"/>
        </w:rPr>
        <w:t>In November 2019, the Company entered into a $199.0 million Second Lien Term Loan Facility with Thermo, EchoStar Corporation and certain other unaffiliated lenders. The Second Lien Term Loan Facility is scheduled to mature in November 2025. The loans under the Second Lien Term Loan Facility bear interest at a blended rate of 13.5% per annum to be paid in kind (or in cash at the option of the Company, subject to restrictions in the Facility Agreement).</w:t>
      </w:r>
    </w:p>
    <w:p>
      <w:pPr>
        <w:spacing w:after="0" w:line="214" w:lineRule="exact"/>
        <w:rPr>
          <w:sz w:val="20"/>
          <w:szCs w:val="20"/>
          <w:color w:val="auto"/>
        </w:rPr>
      </w:pPr>
    </w:p>
    <w:p>
      <w:pPr>
        <w:jc w:val="both"/>
        <w:ind w:firstLine="243"/>
        <w:spacing w:after="0" w:line="263" w:lineRule="auto"/>
        <w:rPr>
          <w:sz w:val="20"/>
          <w:szCs w:val="20"/>
          <w:color w:val="auto"/>
        </w:rPr>
      </w:pPr>
      <w:r>
        <w:rPr>
          <w:rFonts w:ascii="Arial" w:cs="Arial" w:eastAsia="Arial" w:hAnsi="Arial"/>
          <w:sz w:val="18"/>
          <w:szCs w:val="18"/>
          <w:color w:val="auto"/>
        </w:rPr>
        <w:t>As additional consideration for the loan, the Company issued the lenders warrants to purchase 124.5 million shares of voting common stock at an exercise price of $0.38 per share. These warrants expire on March 31, 2021. As of June 30, 2020, approximately 115.0 million warrants remain outstanding.</w:t>
      </w:r>
    </w:p>
    <w:p>
      <w:pPr>
        <w:spacing w:after="0" w:line="200" w:lineRule="exact"/>
        <w:rPr>
          <w:sz w:val="20"/>
          <w:szCs w:val="20"/>
          <w:color w:val="auto"/>
        </w:rPr>
      </w:pPr>
    </w:p>
    <w:p>
      <w:pPr>
        <w:spacing w:after="0" w:line="32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sectPr>
      </w:pPr>
    </w:p>
    <w:bookmarkStart w:id="14" w:name="page15"/>
    <w:bookmarkEnd w:id="14"/>
    <w:p>
      <w:pPr>
        <w:jc w:val="both"/>
        <w:ind w:firstLine="243"/>
        <w:spacing w:after="0" w:line="286" w:lineRule="auto"/>
        <w:rPr>
          <w:sz w:val="20"/>
          <w:szCs w:val="20"/>
          <w:color w:val="auto"/>
        </w:rPr>
      </w:pPr>
      <w:r>
        <w:rPr>
          <w:rFonts w:ascii="Arial" w:cs="Arial" w:eastAsia="Arial" w:hAnsi="Arial"/>
          <w:sz w:val="17"/>
          <w:szCs w:val="17"/>
          <w:color w:val="auto"/>
        </w:rPr>
        <w:t>As previously discussed, the Company received a loan under the CARES Act in April 2020. Due to restrictions limiting the Company's ability to incur indebtedness, the execution of this loan required a waiver under the Second Lien Term Loan Facility, which was approved by the Company's second lien lenders. As of June 30, 2020, the Company was in compliance with the covenants of the Second Lien Term Loan Facility.</w:t>
      </w:r>
    </w:p>
    <w:p>
      <w:pPr>
        <w:spacing w:after="0" w:line="192" w:lineRule="exact"/>
        <w:rPr>
          <w:sz w:val="20"/>
          <w:szCs w:val="20"/>
          <w:color w:val="auto"/>
        </w:rPr>
      </w:pPr>
    </w:p>
    <w:p>
      <w:pPr>
        <w:jc w:val="both"/>
        <w:ind w:right="20" w:firstLine="243"/>
        <w:spacing w:after="0" w:line="277" w:lineRule="auto"/>
        <w:rPr>
          <w:sz w:val="20"/>
          <w:szCs w:val="20"/>
          <w:color w:val="auto"/>
        </w:rPr>
      </w:pPr>
      <w:r>
        <w:rPr>
          <w:rFonts w:ascii="Arial" w:cs="Arial" w:eastAsia="Arial" w:hAnsi="Arial"/>
          <w:sz w:val="18"/>
          <w:szCs w:val="18"/>
          <w:color w:val="auto"/>
        </w:rPr>
        <w:t>Refer to Note 5: Derivatives and Note 6: Fair Value Measurements for further discussion on the compound embedded derivative bifurcated from the Second Lien Term Loan Facility Agreement.</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Thermo Loan Agreement</w:t>
      </w:r>
    </w:p>
    <w:p>
      <w:pPr>
        <w:spacing w:after="0" w:line="252" w:lineRule="exact"/>
        <w:rPr>
          <w:sz w:val="20"/>
          <w:szCs w:val="20"/>
          <w:color w:val="auto"/>
        </w:rPr>
      </w:pPr>
    </w:p>
    <w:p>
      <w:pPr>
        <w:jc w:val="both"/>
        <w:ind w:firstLine="243"/>
        <w:spacing w:after="0" w:line="257" w:lineRule="auto"/>
        <w:rPr>
          <w:sz w:val="20"/>
          <w:szCs w:val="20"/>
          <w:color w:val="auto"/>
        </w:rPr>
      </w:pPr>
      <w:r>
        <w:rPr>
          <w:rFonts w:ascii="Arial" w:cs="Arial" w:eastAsia="Arial" w:hAnsi="Arial"/>
          <w:sz w:val="18"/>
          <w:szCs w:val="18"/>
          <w:color w:val="auto"/>
        </w:rPr>
        <w:t>In connection with the amendment and restatement of the Facility Agreement in July 2013, the Company amended and restated its loan agreement with Thermo (the “Loan Agreement”). All obligations of the Company to Thermo under the Loan Agreement were subordinated to the Company’s obligations under the Facility Agreement and the Second Lien Term Loan Facility. The Loan Agreement was convertible into shares of common stock at a conversion price of $0.69 (as adjusted) per share of common stock and accrued interest at 12% per annum, which was capitalized and added to the outstanding principal in lieu of cash payments.</w:t>
      </w:r>
    </w:p>
    <w:p>
      <w:pPr>
        <w:spacing w:after="0" w:line="215" w:lineRule="exact"/>
        <w:rPr>
          <w:sz w:val="20"/>
          <w:szCs w:val="20"/>
          <w:color w:val="auto"/>
        </w:rPr>
      </w:pPr>
    </w:p>
    <w:p>
      <w:pPr>
        <w:jc w:val="both"/>
        <w:ind w:firstLine="243"/>
        <w:spacing w:after="0" w:line="257" w:lineRule="auto"/>
        <w:rPr>
          <w:sz w:val="20"/>
          <w:szCs w:val="20"/>
          <w:color w:val="auto"/>
        </w:rPr>
      </w:pPr>
      <w:r>
        <w:rPr>
          <w:rFonts w:ascii="Arial" w:cs="Arial" w:eastAsia="Arial" w:hAnsi="Arial"/>
          <w:sz w:val="18"/>
          <w:szCs w:val="18"/>
          <w:color w:val="auto"/>
        </w:rPr>
        <w:t>On February 19, 2020, Thermo converted the entire principal balance outstanding under the Loan Agreement, which totaled $137.4 million and included accrued interest since inception of $93.9 million. This conversion resulted in the issuance of 200.1 million shares of common stock. In accordance with applicable accounting guidance for debt extinguishment with related parties, upon conversion, the remaining debt discount was written off and recorded as a contribution to capital though equity and the associated derivative liability was marked to market at the conversion date and then extinguished through equity as a contribution to capital.</w:t>
      </w:r>
    </w:p>
    <w:p>
      <w:pPr>
        <w:spacing w:after="0" w:line="215" w:lineRule="exact"/>
        <w:rPr>
          <w:sz w:val="20"/>
          <w:szCs w:val="20"/>
          <w:color w:val="auto"/>
        </w:rPr>
      </w:pPr>
    </w:p>
    <w:p>
      <w:pPr>
        <w:jc w:val="both"/>
        <w:ind w:right="20" w:firstLine="243"/>
        <w:spacing w:after="0" w:line="277" w:lineRule="auto"/>
        <w:rPr>
          <w:sz w:val="20"/>
          <w:szCs w:val="20"/>
          <w:color w:val="auto"/>
        </w:rPr>
      </w:pPr>
      <w:r>
        <w:rPr>
          <w:rFonts w:ascii="Arial" w:cs="Arial" w:eastAsia="Arial" w:hAnsi="Arial"/>
          <w:sz w:val="18"/>
          <w:szCs w:val="18"/>
          <w:color w:val="auto"/>
        </w:rPr>
        <w:t>Refer to Note 5: Derivatives and Note 6: Fair Value Measurements for further discussion on the compound embedded derivative bifurcated from the Loan Agreement with Thermo.</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8.00% Convertible Senior Notes Issued in 2013</w:t>
      </w:r>
    </w:p>
    <w:p>
      <w:pPr>
        <w:spacing w:after="0" w:line="225" w:lineRule="exact"/>
        <w:rPr>
          <w:sz w:val="20"/>
          <w:szCs w:val="20"/>
          <w:color w:val="auto"/>
        </w:rPr>
      </w:pPr>
    </w:p>
    <w:p>
      <w:pPr>
        <w:jc w:val="both"/>
        <w:ind w:firstLine="243"/>
        <w:spacing w:after="0" w:line="273" w:lineRule="auto"/>
        <w:rPr>
          <w:sz w:val="20"/>
          <w:szCs w:val="20"/>
          <w:color w:val="auto"/>
        </w:rPr>
      </w:pPr>
      <w:r>
        <w:rPr>
          <w:rFonts w:ascii="Arial" w:cs="Arial" w:eastAsia="Arial" w:hAnsi="Arial"/>
          <w:sz w:val="17"/>
          <w:szCs w:val="17"/>
          <w:color w:val="auto"/>
        </w:rPr>
        <w:t>In May 2013, the Company issued $54.6 million aggregate principal amount of its 2013 8.00% Notes. The 2013 8.00% Notes are convertible into shares of common stock at a conversion price of $0.69 per share of common stock, as adjusted pursuant to the terms of the Fourth Supplemental Indenture between the Company and U.S. Bank National Association, as Trustee (the “Indenture”). The 2013 8.00% Notes are senior unsecured debt obligations that will mature on April 1, 2028, subject to various call and put features, and bear interest at a rate of 8.00% per annum. Interest is paid in cash at a rate of 5.75% and in additional notes at a rate of 2.25%. Since issuance, $55.4 million of principal amount of the 2013 8.00% Notes have been converted resulting in the issuance of 98.6 million shares of Globalstar common stock.</w:t>
      </w:r>
    </w:p>
    <w:p>
      <w:pPr>
        <w:spacing w:after="0" w:line="205" w:lineRule="exact"/>
        <w:rPr>
          <w:sz w:val="20"/>
          <w:szCs w:val="20"/>
          <w:color w:val="auto"/>
        </w:rPr>
      </w:pPr>
    </w:p>
    <w:p>
      <w:pPr>
        <w:jc w:val="both"/>
        <w:ind w:firstLine="243"/>
        <w:spacing w:after="0" w:line="254" w:lineRule="auto"/>
        <w:rPr>
          <w:sz w:val="20"/>
          <w:szCs w:val="20"/>
          <w:color w:val="auto"/>
        </w:rPr>
      </w:pPr>
      <w:r>
        <w:rPr>
          <w:rFonts w:ascii="Arial" w:cs="Arial" w:eastAsia="Arial" w:hAnsi="Arial"/>
          <w:sz w:val="18"/>
          <w:szCs w:val="18"/>
          <w:color w:val="auto"/>
        </w:rPr>
        <w:t>The Company may redeem the 2013 8.00% Notes, with the prior approval of the majority lenders under the Facility Agreement and the Second Lien Term Loan Facility, in whole or in part at a price equal to the principal amount of the 2013 8.00% Notes to be redeemed plus all accrued and unpaid interest thereon. A holder of the 2013 8.00% Notes has the right to require the Company to purchase some or all of the 2013 8.00% Notes held by it on April 1, 2023, or at any time if there is a Fundamental Change (as defined in the Indenture), at a price equal to the principal amount of the 2013 8.00% Notes to be purchased plus accrued and unpaid interest. A holder may convert its 2013 8.00% Notes at its option at any time prior to April 1, 2028, into shares of common stock (or cash, at the option of the Company and subject to the consent of its lenders under the Facility Agreement and Second Lien Term Loan Facility).</w:t>
      </w:r>
    </w:p>
    <w:p>
      <w:pPr>
        <w:spacing w:after="0" w:line="222" w:lineRule="exact"/>
        <w:rPr>
          <w:sz w:val="20"/>
          <w:szCs w:val="20"/>
          <w:color w:val="auto"/>
        </w:rPr>
      </w:pPr>
    </w:p>
    <w:p>
      <w:pPr>
        <w:jc w:val="both"/>
        <w:ind w:firstLine="243"/>
        <w:spacing w:after="0" w:line="277" w:lineRule="auto"/>
        <w:rPr>
          <w:sz w:val="20"/>
          <w:szCs w:val="20"/>
          <w:color w:val="auto"/>
        </w:rPr>
      </w:pPr>
      <w:r>
        <w:rPr>
          <w:rFonts w:ascii="Arial" w:cs="Arial" w:eastAsia="Arial" w:hAnsi="Arial"/>
          <w:sz w:val="18"/>
          <w:szCs w:val="18"/>
          <w:color w:val="auto"/>
        </w:rPr>
        <w:t>The Indenture provides for customary events of default. As of June 30, 2020, the Company was in compliance with respect to the terms of the 2013 8.00% Notes and the Indenture.</w:t>
      </w:r>
    </w:p>
    <w:p>
      <w:pPr>
        <w:spacing w:after="0" w:line="200" w:lineRule="exact"/>
        <w:rPr>
          <w:sz w:val="20"/>
          <w:szCs w:val="20"/>
          <w:color w:val="auto"/>
        </w:rPr>
      </w:pPr>
    </w:p>
    <w:p>
      <w:pPr>
        <w:spacing w:after="0" w:line="3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38" w:right="339" w:bottom="1440" w:gutter="0" w:footer="0" w:header="0"/>
        </w:sectPr>
      </w:pPr>
    </w:p>
    <w:bookmarkStart w:id="15" w:name="page16"/>
    <w:bookmarkEnd w:id="15"/>
    <w:p>
      <w:pPr>
        <w:jc w:val="both"/>
        <w:ind w:right="20" w:firstLine="243"/>
        <w:spacing w:after="0" w:line="277" w:lineRule="auto"/>
        <w:rPr>
          <w:sz w:val="20"/>
          <w:szCs w:val="20"/>
          <w:color w:val="auto"/>
        </w:rPr>
      </w:pPr>
      <w:r>
        <w:rPr>
          <w:rFonts w:ascii="Arial" w:cs="Arial" w:eastAsia="Arial" w:hAnsi="Arial"/>
          <w:sz w:val="18"/>
          <w:szCs w:val="18"/>
          <w:color w:val="auto"/>
        </w:rPr>
        <w:t>Refer to Note 5: Derivatives and Note 6: Fair Value Measurements for further discussion on the compound embedded derivative bifurcated from the 2013 8.00% Notes.</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Payroll Protection Program Loan</w:t>
      </w:r>
    </w:p>
    <w:p>
      <w:pPr>
        <w:spacing w:after="0" w:line="252" w:lineRule="exact"/>
        <w:rPr>
          <w:sz w:val="20"/>
          <w:szCs w:val="20"/>
          <w:color w:val="auto"/>
        </w:rPr>
      </w:pPr>
    </w:p>
    <w:p>
      <w:pPr>
        <w:jc w:val="both"/>
        <w:ind w:firstLine="243"/>
        <w:spacing w:after="0" w:line="284" w:lineRule="auto"/>
        <w:rPr>
          <w:sz w:val="20"/>
          <w:szCs w:val="20"/>
          <w:color w:val="auto"/>
        </w:rPr>
      </w:pPr>
      <w:r>
        <w:rPr>
          <w:rFonts w:ascii="Arial" w:cs="Arial" w:eastAsia="Arial" w:hAnsi="Arial"/>
          <w:sz w:val="16"/>
          <w:szCs w:val="16"/>
          <w:color w:val="auto"/>
        </w:rPr>
        <w:t>In April 2020, the Company sought relief under the CARES Act and received a $5.0 million loan under the Payroll Protection Program ("PPP"). This loan (the "PPP Loan") is an unsecured debt obligation and is scheduled to mature in April 2022. As permitted under the CARES Act, the Company expects to apply for loan forgiveness, inclusive of both principal and accrued interest, in accordance with the terms of the CARES Act, based on payroll and other allowable costs incurred since disbursement of the PPP Loan. Any amount not forgiven by the Small Business Administration (the "SBA") is subject to an interest rate of 1.00% per annum commencing on the date of the PPP Loan. Uncertainties exist around if and when the PPP Loan will be repaid. Principal and interest payments due under the PPP Loan are generally deferred until the review and approval of any forgiveness is made by the SBA, subject to the</w:t>
      </w:r>
    </w:p>
    <w:p>
      <w:pPr>
        <w:spacing w:after="0" w:line="4" w:lineRule="exact"/>
        <w:rPr>
          <w:sz w:val="20"/>
          <w:szCs w:val="20"/>
          <w:color w:val="auto"/>
        </w:rPr>
      </w:pPr>
    </w:p>
    <w:p>
      <w:pPr>
        <w:jc w:val="both"/>
        <w:ind w:firstLine="8"/>
        <w:spacing w:after="0" w:line="277" w:lineRule="auto"/>
        <w:tabs>
          <w:tab w:leader="none" w:pos="361" w:val="left"/>
        </w:tabs>
        <w:numPr>
          <w:ilvl w:val="0"/>
          <w:numId w:val="5"/>
        </w:numPr>
        <w:rPr>
          <w:rFonts w:ascii="Arial" w:cs="Arial" w:eastAsia="Arial" w:hAnsi="Arial"/>
          <w:sz w:val="17"/>
          <w:szCs w:val="17"/>
          <w:color w:val="auto"/>
        </w:rPr>
      </w:pPr>
      <w:r>
        <w:rPr>
          <w:rFonts w:ascii="Arial" w:cs="Arial" w:eastAsia="Arial" w:hAnsi="Arial"/>
          <w:sz w:val="17"/>
          <w:szCs w:val="17"/>
          <w:color w:val="auto"/>
        </w:rPr>
        <w:t>rules. Furthermore, the Company's first and second lien lenders would require the Company to accelerate the repayment of any portion of the loan amount that is not forgiven. As the deferral period allowed under the CARES Act is greater than twelve months from the balance sheet date, the loan is classified as long-term debt as of June 30, 2020.</w:t>
      </w:r>
    </w:p>
    <w:p>
      <w:pPr>
        <w:spacing w:after="0" w:line="200" w:lineRule="exact"/>
        <w:rPr>
          <w:sz w:val="20"/>
          <w:szCs w:val="20"/>
          <w:color w:val="auto"/>
        </w:rPr>
      </w:pPr>
    </w:p>
    <w:p>
      <w:pPr>
        <w:jc w:val="both"/>
        <w:ind w:firstLine="243"/>
        <w:spacing w:after="0" w:line="259" w:lineRule="auto"/>
        <w:rPr>
          <w:sz w:val="20"/>
          <w:szCs w:val="20"/>
          <w:color w:val="auto"/>
        </w:rPr>
      </w:pPr>
      <w:r>
        <w:rPr>
          <w:rFonts w:ascii="Arial" w:cs="Arial" w:eastAsia="Arial" w:hAnsi="Arial"/>
          <w:sz w:val="18"/>
          <w:szCs w:val="18"/>
          <w:color w:val="auto"/>
        </w:rPr>
        <w:t>The Company evaluated the applicable accounting guidance relative to the PPP Loan and accounted for the proceeds of the PPP Loan as debt under ASC 470. As previously discussed, the Company expects the PPP Loan to be forgiven, but cannot provide assurance of such forgiveness until it has been approved by the Company's lender and the SBA. Any portion of the PPP Loan that is forgiven will be recorded in the Company's condensed consolidated statement of operations as a gain on extinguishment of debt in the period of forgiveness.</w:t>
      </w:r>
    </w:p>
    <w:p>
      <w:pPr>
        <w:spacing w:after="0" w:line="2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DERIVATIVES</w:t>
      </w:r>
    </w:p>
    <w:p>
      <w:pPr>
        <w:spacing w:after="0" w:line="256" w:lineRule="exact"/>
        <w:rPr>
          <w:sz w:val="20"/>
          <w:szCs w:val="20"/>
          <w:color w:val="auto"/>
        </w:rPr>
      </w:pPr>
    </w:p>
    <w:p>
      <w:pPr>
        <w:jc w:val="both"/>
        <w:ind w:firstLine="243"/>
        <w:spacing w:after="0" w:line="263" w:lineRule="auto"/>
        <w:rPr>
          <w:sz w:val="20"/>
          <w:szCs w:val="20"/>
          <w:color w:val="auto"/>
        </w:rPr>
      </w:pPr>
      <w:r>
        <w:rPr>
          <w:rFonts w:ascii="Arial" w:cs="Arial" w:eastAsia="Arial" w:hAnsi="Arial"/>
          <w:sz w:val="18"/>
          <w:szCs w:val="18"/>
          <w:color w:val="auto"/>
        </w:rPr>
        <w:t>In connection with certain existing borrowing arrangements, the Company was required to record derivative instruments on its condensed consolidated balance sheets. None of these derivative instruments are designated as a hedge. The following table discloses the fair values of the derivative instruments on the Company’s condensed consolidated balance sheets (in thousands):</w:t>
      </w:r>
    </w:p>
    <w:p>
      <w:pPr>
        <w:spacing w:after="0" w:line="35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0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820" w:type="dxa"/>
            <w:vAlign w:val="bottom"/>
            <w:gridSpan w:val="2"/>
          </w:tcPr>
          <w:p>
            <w:pPr>
              <w:ind w:left="200"/>
              <w:spacing w:after="0"/>
              <w:rPr>
                <w:sz w:val="20"/>
                <w:szCs w:val="20"/>
                <w:color w:val="auto"/>
              </w:rPr>
            </w:pPr>
            <w:r>
              <w:rPr>
                <w:rFonts w:ascii="Arial" w:cs="Arial" w:eastAsia="Arial" w:hAnsi="Arial"/>
                <w:sz w:val="18"/>
                <w:szCs w:val="18"/>
                <w:color w:val="auto"/>
              </w:rPr>
              <w:t>June 30, 2020</w:t>
            </w:r>
          </w:p>
        </w:tc>
        <w:tc>
          <w:tcPr>
            <w:tcW w:w="200" w:type="dxa"/>
            <w:vAlign w:val="bottom"/>
          </w:tcPr>
          <w:p>
            <w:pPr>
              <w:spacing w:after="0"/>
              <w:rPr>
                <w:sz w:val="20"/>
                <w:szCs w:val="20"/>
                <w:color w:val="auto"/>
              </w:rPr>
            </w:pPr>
          </w:p>
        </w:tc>
        <w:tc>
          <w:tcPr>
            <w:tcW w:w="1820" w:type="dxa"/>
            <w:vAlign w:val="bottom"/>
          </w:tcPr>
          <w:p>
            <w:pPr>
              <w:jc w:val="right"/>
              <w:ind w:right="210"/>
              <w:spacing w:after="0"/>
              <w:rPr>
                <w:sz w:val="20"/>
                <w:szCs w:val="20"/>
                <w:color w:val="auto"/>
              </w:rPr>
            </w:pPr>
            <w:r>
              <w:rPr>
                <w:rFonts w:ascii="Arial" w:cs="Arial" w:eastAsia="Arial" w:hAnsi="Arial"/>
                <w:sz w:val="18"/>
                <w:szCs w:val="18"/>
                <w:color w:val="auto"/>
                <w:w w:val="94"/>
              </w:rPr>
              <w:t>December 31, 2019</w:t>
            </w:r>
          </w:p>
        </w:tc>
        <w:tc>
          <w:tcPr>
            <w:tcW w:w="0" w:type="dxa"/>
            <w:vAlign w:val="bottom"/>
          </w:tcPr>
          <w:p>
            <w:pPr>
              <w:spacing w:after="0"/>
              <w:rPr>
                <w:sz w:val="1"/>
                <w:szCs w:val="1"/>
                <w:color w:val="auto"/>
              </w:rPr>
            </w:pPr>
          </w:p>
        </w:tc>
      </w:tr>
      <w:tr>
        <w:trPr>
          <w:trHeight w:val="27"/>
        </w:trPr>
        <w:tc>
          <w:tcPr>
            <w:tcW w:w="7080" w:type="dxa"/>
            <w:vAlign w:val="bottom"/>
            <w:vMerge w:val="restart"/>
          </w:tcPr>
          <w:p>
            <w:pPr>
              <w:ind w:left="20"/>
              <w:spacing w:after="0"/>
              <w:rPr>
                <w:sz w:val="20"/>
                <w:szCs w:val="20"/>
                <w:color w:val="auto"/>
              </w:rPr>
            </w:pPr>
            <w:r>
              <w:rPr>
                <w:rFonts w:ascii="Arial" w:cs="Arial" w:eastAsia="Arial" w:hAnsi="Arial"/>
                <w:sz w:val="18"/>
                <w:szCs w:val="18"/>
                <w:color w:val="auto"/>
              </w:rPr>
              <w:t>Derivative liabilities:</w:t>
            </w:r>
          </w:p>
        </w:tc>
        <w:tc>
          <w:tcPr>
            <w:tcW w:w="300" w:type="dxa"/>
            <w:vAlign w:val="bottom"/>
            <w:tcBorders>
              <w:bottom w:val="single" w:sz="8" w:color="auto"/>
            </w:tcBorders>
          </w:tcPr>
          <w:p>
            <w:pPr>
              <w:spacing w:after="0"/>
              <w:rPr>
                <w:sz w:val="2"/>
                <w:szCs w:val="2"/>
                <w:color w:val="auto"/>
              </w:rPr>
            </w:pPr>
          </w:p>
        </w:tc>
        <w:tc>
          <w:tcPr>
            <w:tcW w:w="17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8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6"/>
        </w:trPr>
        <w:tc>
          <w:tcPr>
            <w:tcW w:w="7080" w:type="dxa"/>
            <w:vAlign w:val="bottom"/>
            <w:vMerge w:val="continue"/>
          </w:tcPr>
          <w:p>
            <w:pPr>
              <w:spacing w:after="0"/>
              <w:rPr>
                <w:sz w:val="20"/>
                <w:szCs w:val="20"/>
                <w:color w:val="auto"/>
              </w:rPr>
            </w:pPr>
          </w:p>
        </w:tc>
        <w:tc>
          <w:tcPr>
            <w:tcW w:w="300" w:type="dxa"/>
            <w:vAlign w:val="bottom"/>
          </w:tcPr>
          <w:p>
            <w:pPr>
              <w:spacing w:after="0"/>
              <w:rPr>
                <w:sz w:val="20"/>
                <w:szCs w:val="20"/>
                <w:color w:val="auto"/>
              </w:rPr>
            </w:pPr>
          </w:p>
        </w:tc>
        <w:tc>
          <w:tcPr>
            <w:tcW w:w="17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8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7080" w:type="dxa"/>
            <w:vAlign w:val="bottom"/>
          </w:tcPr>
          <w:p>
            <w:pPr>
              <w:spacing w:after="0"/>
              <w:rPr>
                <w:sz w:val="2"/>
                <w:szCs w:val="2"/>
                <w:color w:val="auto"/>
              </w:rPr>
            </w:pPr>
          </w:p>
        </w:tc>
        <w:tc>
          <w:tcPr>
            <w:tcW w:w="300" w:type="dxa"/>
            <w:vAlign w:val="bottom"/>
          </w:tcPr>
          <w:p>
            <w:pPr>
              <w:spacing w:after="0"/>
              <w:rPr>
                <w:sz w:val="2"/>
                <w:szCs w:val="2"/>
                <w:color w:val="auto"/>
              </w:rPr>
            </w:pPr>
          </w:p>
        </w:tc>
        <w:tc>
          <w:tcPr>
            <w:tcW w:w="1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8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7080" w:type="dxa"/>
            <w:vAlign w:val="bottom"/>
            <w:shd w:val="clear" w:color="auto" w:fill="CCEEFF"/>
          </w:tcPr>
          <w:p>
            <w:pPr>
              <w:ind w:left="140"/>
              <w:spacing w:after="0"/>
              <w:rPr>
                <w:sz w:val="20"/>
                <w:szCs w:val="20"/>
                <w:color w:val="auto"/>
              </w:rPr>
            </w:pPr>
            <w:r>
              <w:rPr>
                <w:rFonts w:ascii="Arial" w:cs="Arial" w:eastAsia="Arial" w:hAnsi="Arial"/>
                <w:sz w:val="18"/>
                <w:szCs w:val="18"/>
                <w:color w:val="auto"/>
              </w:rPr>
              <w:t>Compound embedded derivative with the 2013 8.00% Notes</w:t>
            </w:r>
          </w:p>
        </w:tc>
        <w:tc>
          <w:tcPr>
            <w:tcW w:w="30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7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(255)</w:t>
            </w:r>
          </w:p>
        </w:tc>
        <w:tc>
          <w:tcPr>
            <w:tcW w:w="100" w:type="dxa"/>
            <w:vAlign w:val="bottom"/>
            <w:shd w:val="clear" w:color="auto" w:fill="CCEEFF"/>
          </w:tcPr>
          <w:p>
            <w:pPr>
              <w:spacing w:after="0"/>
              <w:rPr>
                <w:sz w:val="23"/>
                <w:szCs w:val="23"/>
                <w:color w:val="auto"/>
              </w:rPr>
            </w:pP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8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(522)</w:t>
            </w:r>
          </w:p>
        </w:tc>
        <w:tc>
          <w:tcPr>
            <w:tcW w:w="0" w:type="dxa"/>
            <w:vAlign w:val="bottom"/>
          </w:tcPr>
          <w:p>
            <w:pPr>
              <w:spacing w:after="0"/>
              <w:rPr>
                <w:sz w:val="1"/>
                <w:szCs w:val="1"/>
                <w:color w:val="auto"/>
              </w:rPr>
            </w:pPr>
          </w:p>
        </w:tc>
      </w:tr>
      <w:tr>
        <w:trPr>
          <w:trHeight w:val="243"/>
        </w:trPr>
        <w:tc>
          <w:tcPr>
            <w:tcW w:w="7080" w:type="dxa"/>
            <w:vAlign w:val="bottom"/>
          </w:tcPr>
          <w:p>
            <w:pPr>
              <w:ind w:left="120"/>
              <w:spacing w:after="0"/>
              <w:rPr>
                <w:sz w:val="20"/>
                <w:szCs w:val="20"/>
                <w:color w:val="auto"/>
              </w:rPr>
            </w:pPr>
            <w:r>
              <w:rPr>
                <w:rFonts w:ascii="Arial" w:cs="Arial" w:eastAsia="Arial" w:hAnsi="Arial"/>
                <w:sz w:val="18"/>
                <w:szCs w:val="18"/>
                <w:color w:val="auto"/>
              </w:rPr>
              <w:t>Compound embedded derivative with the Loan Agreement with Thermo</w:t>
            </w:r>
          </w:p>
        </w:tc>
        <w:tc>
          <w:tcPr>
            <w:tcW w:w="300" w:type="dxa"/>
            <w:vAlign w:val="bottom"/>
          </w:tcPr>
          <w:p>
            <w:pPr>
              <w:spacing w:after="0"/>
              <w:rPr>
                <w:sz w:val="21"/>
                <w:szCs w:val="21"/>
                <w:color w:val="auto"/>
              </w:rPr>
            </w:pPr>
          </w:p>
        </w:tc>
        <w:tc>
          <w:tcPr>
            <w:tcW w:w="1820" w:type="dxa"/>
            <w:vAlign w:val="bottom"/>
            <w:gridSpan w:val="2"/>
          </w:tcPr>
          <w:p>
            <w:pPr>
              <w:ind w:left="138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1820" w:type="dxa"/>
            <w:vAlign w:val="bottom"/>
          </w:tcPr>
          <w:p>
            <w:pPr>
              <w:jc w:val="right"/>
              <w:ind w:right="30"/>
              <w:spacing w:after="0"/>
              <w:rPr>
                <w:sz w:val="20"/>
                <w:szCs w:val="20"/>
                <w:color w:val="auto"/>
              </w:rPr>
            </w:pPr>
            <w:r>
              <w:rPr>
                <w:rFonts w:ascii="Arial" w:cs="Arial" w:eastAsia="Arial" w:hAnsi="Arial"/>
                <w:sz w:val="18"/>
                <w:szCs w:val="18"/>
                <w:color w:val="auto"/>
              </w:rPr>
              <w:t>(1,270)</w:t>
            </w:r>
          </w:p>
        </w:tc>
        <w:tc>
          <w:tcPr>
            <w:tcW w:w="0" w:type="dxa"/>
            <w:vAlign w:val="bottom"/>
          </w:tcPr>
          <w:p>
            <w:pPr>
              <w:spacing w:after="0"/>
              <w:rPr>
                <w:sz w:val="1"/>
                <w:szCs w:val="1"/>
                <w:color w:val="auto"/>
              </w:rPr>
            </w:pPr>
          </w:p>
        </w:tc>
      </w:tr>
      <w:tr>
        <w:trPr>
          <w:trHeight w:val="27"/>
        </w:trPr>
        <w:tc>
          <w:tcPr>
            <w:tcW w:w="7080" w:type="dxa"/>
            <w:vAlign w:val="bottom"/>
          </w:tcPr>
          <w:p>
            <w:pPr>
              <w:spacing w:after="0"/>
              <w:rPr>
                <w:sz w:val="2"/>
                <w:szCs w:val="2"/>
                <w:color w:val="auto"/>
              </w:rPr>
            </w:pPr>
          </w:p>
        </w:tc>
        <w:tc>
          <w:tcPr>
            <w:tcW w:w="300" w:type="dxa"/>
            <w:vAlign w:val="bottom"/>
          </w:tcPr>
          <w:p>
            <w:pPr>
              <w:spacing w:after="0"/>
              <w:rPr>
                <w:sz w:val="2"/>
                <w:szCs w:val="2"/>
                <w:color w:val="auto"/>
              </w:rPr>
            </w:pPr>
          </w:p>
        </w:tc>
        <w:tc>
          <w:tcPr>
            <w:tcW w:w="1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8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708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rPr>
              <w:t>Compound embedded derivative with the Second Lien Term Loan Facility</w:t>
            </w:r>
          </w:p>
        </w:tc>
        <w:tc>
          <w:tcPr>
            <w:tcW w:w="300" w:type="dxa"/>
            <w:vAlign w:val="bottom"/>
            <w:tcBorders>
              <w:bottom w:val="single" w:sz="8" w:color="CCEEFF"/>
            </w:tcBorders>
            <w:shd w:val="clear" w:color="auto" w:fill="CCEEFF"/>
          </w:tcPr>
          <w:p>
            <w:pPr>
              <w:spacing w:after="0"/>
              <w:rPr>
                <w:sz w:val="23"/>
                <w:szCs w:val="23"/>
                <w:color w:val="auto"/>
              </w:rPr>
            </w:pPr>
          </w:p>
        </w:tc>
        <w:tc>
          <w:tcPr>
            <w:tcW w:w="17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(2,140)</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8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(2,000)</w:t>
            </w:r>
          </w:p>
        </w:tc>
        <w:tc>
          <w:tcPr>
            <w:tcW w:w="0" w:type="dxa"/>
            <w:vAlign w:val="bottom"/>
          </w:tcPr>
          <w:p>
            <w:pPr>
              <w:spacing w:after="0"/>
              <w:rPr>
                <w:sz w:val="1"/>
                <w:szCs w:val="1"/>
                <w:color w:val="auto"/>
              </w:rPr>
            </w:pPr>
          </w:p>
        </w:tc>
      </w:tr>
      <w:tr>
        <w:trPr>
          <w:trHeight w:val="263"/>
        </w:trPr>
        <w:tc>
          <w:tcPr>
            <w:tcW w:w="7080" w:type="dxa"/>
            <w:vAlign w:val="bottom"/>
          </w:tcPr>
          <w:p>
            <w:pPr>
              <w:ind w:left="380"/>
              <w:spacing w:after="0"/>
              <w:rPr>
                <w:sz w:val="20"/>
                <w:szCs w:val="20"/>
                <w:color w:val="auto"/>
              </w:rPr>
            </w:pPr>
            <w:r>
              <w:rPr>
                <w:rFonts w:ascii="Arial" w:cs="Arial" w:eastAsia="Arial" w:hAnsi="Arial"/>
                <w:sz w:val="18"/>
                <w:szCs w:val="18"/>
                <w:color w:val="auto"/>
              </w:rPr>
              <w:t>Total derivative liabilities</w:t>
            </w:r>
          </w:p>
        </w:tc>
        <w:tc>
          <w:tcPr>
            <w:tcW w:w="30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color w:val="auto"/>
                <w:w w:val="99"/>
              </w:rPr>
              <w:t>$</w:t>
            </w:r>
          </w:p>
        </w:tc>
        <w:tc>
          <w:tcPr>
            <w:tcW w:w="17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(2,395)</w:t>
            </w:r>
          </w:p>
        </w:tc>
        <w:tc>
          <w:tcPr>
            <w:tcW w:w="100" w:type="dxa"/>
            <w:vAlign w:val="bottom"/>
          </w:tcPr>
          <w:p>
            <w:pPr>
              <w:spacing w:after="0"/>
              <w:rPr>
                <w:sz w:val="22"/>
                <w:szCs w:val="22"/>
                <w:color w:val="auto"/>
              </w:rPr>
            </w:pP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18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(3,792)</w:t>
            </w:r>
          </w:p>
        </w:tc>
        <w:tc>
          <w:tcPr>
            <w:tcW w:w="0" w:type="dxa"/>
            <w:vAlign w:val="bottom"/>
          </w:tcPr>
          <w:p>
            <w:pPr>
              <w:spacing w:after="0"/>
              <w:rPr>
                <w:sz w:val="1"/>
                <w:szCs w:val="1"/>
                <w:color w:val="auto"/>
              </w:rPr>
            </w:pPr>
          </w:p>
        </w:tc>
      </w:tr>
      <w:tr>
        <w:trPr>
          <w:trHeight w:val="20"/>
        </w:trPr>
        <w:tc>
          <w:tcPr>
            <w:tcW w:w="708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8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310" w:lineRule="exact"/>
        <w:rPr>
          <w:sz w:val="20"/>
          <w:szCs w:val="20"/>
          <w:color w:val="auto"/>
        </w:rPr>
      </w:pPr>
    </w:p>
    <w:p>
      <w:pPr>
        <w:jc w:val="both"/>
        <w:ind w:firstLine="289"/>
        <w:spacing w:after="0" w:line="277" w:lineRule="auto"/>
        <w:rPr>
          <w:sz w:val="20"/>
          <w:szCs w:val="20"/>
          <w:color w:val="auto"/>
        </w:rPr>
      </w:pPr>
      <w:r>
        <w:rPr>
          <w:rFonts w:ascii="Arial" w:cs="Arial" w:eastAsia="Arial" w:hAnsi="Arial"/>
          <w:sz w:val="18"/>
          <w:szCs w:val="18"/>
          <w:color w:val="auto"/>
        </w:rPr>
        <w:t>The following table discloses the changes in value recorded as derivative gain (loss) in the Company’s condensed consolidated statement of operations (in thousands):</w:t>
      </w:r>
    </w:p>
    <w:p>
      <w:pPr>
        <w:spacing w:after="0" w:line="346"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1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940" w:type="dxa"/>
            <w:vAlign w:val="bottom"/>
            <w:gridSpan w:val="5"/>
          </w:tcPr>
          <w:p>
            <w:pPr>
              <w:ind w:left="580"/>
              <w:spacing w:after="0"/>
              <w:rPr>
                <w:sz w:val="20"/>
                <w:szCs w:val="20"/>
                <w:color w:val="auto"/>
              </w:rPr>
            </w:pPr>
            <w:r>
              <w:rPr>
                <w:rFonts w:ascii="Arial" w:cs="Arial" w:eastAsia="Arial" w:hAnsi="Arial"/>
                <w:sz w:val="18"/>
                <w:szCs w:val="18"/>
                <w:color w:val="auto"/>
              </w:rPr>
              <w:t>Three Months Ended</w:t>
            </w:r>
          </w:p>
        </w:tc>
        <w:tc>
          <w:tcPr>
            <w:tcW w:w="160" w:type="dxa"/>
            <w:vAlign w:val="bottom"/>
          </w:tcPr>
          <w:p>
            <w:pPr>
              <w:spacing w:after="0"/>
              <w:rPr>
                <w:sz w:val="20"/>
                <w:szCs w:val="20"/>
                <w:color w:val="auto"/>
              </w:rPr>
            </w:pPr>
          </w:p>
        </w:tc>
        <w:tc>
          <w:tcPr>
            <w:tcW w:w="2840" w:type="dxa"/>
            <w:vAlign w:val="bottom"/>
            <w:gridSpan w:val="4"/>
          </w:tcPr>
          <w:p>
            <w:pPr>
              <w:jc w:val="right"/>
              <w:ind w:right="730"/>
              <w:spacing w:after="0"/>
              <w:rPr>
                <w:sz w:val="20"/>
                <w:szCs w:val="20"/>
                <w:color w:val="auto"/>
              </w:rPr>
            </w:pPr>
            <w:r>
              <w:rPr>
                <w:rFonts w:ascii="Arial" w:cs="Arial" w:eastAsia="Arial" w:hAnsi="Arial"/>
                <w:sz w:val="18"/>
                <w:szCs w:val="18"/>
                <w:color w:val="auto"/>
              </w:rPr>
              <w:t>Six Months Ended</w:t>
            </w:r>
          </w:p>
        </w:tc>
      </w:tr>
      <w:tr>
        <w:trPr>
          <w:trHeight w:val="27"/>
        </w:trPr>
        <w:tc>
          <w:tcPr>
            <w:tcW w:w="514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gridSpan w:val="2"/>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gridSpan w:val="2"/>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r>
      <w:tr>
        <w:trPr>
          <w:trHeight w:val="237"/>
        </w:trPr>
        <w:tc>
          <w:tcPr>
            <w:tcW w:w="51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00" w:type="dxa"/>
            <w:vAlign w:val="bottom"/>
            <w:gridSpan w:val="2"/>
          </w:tcPr>
          <w:p>
            <w:pPr>
              <w:ind w:left="60"/>
              <w:spacing w:after="0"/>
              <w:rPr>
                <w:sz w:val="20"/>
                <w:szCs w:val="20"/>
                <w:color w:val="auto"/>
              </w:rPr>
            </w:pPr>
            <w:r>
              <w:rPr>
                <w:rFonts w:ascii="Arial" w:cs="Arial" w:eastAsia="Arial" w:hAnsi="Arial"/>
                <w:sz w:val="18"/>
                <w:szCs w:val="18"/>
                <w:color w:val="auto"/>
              </w:rPr>
              <w:t>June 30, 2020</w:t>
            </w:r>
          </w:p>
        </w:tc>
        <w:tc>
          <w:tcPr>
            <w:tcW w:w="160" w:type="dxa"/>
            <w:vAlign w:val="bottom"/>
          </w:tcPr>
          <w:p>
            <w:pPr>
              <w:spacing w:after="0"/>
              <w:rPr>
                <w:sz w:val="20"/>
                <w:szCs w:val="20"/>
                <w:color w:val="auto"/>
              </w:rPr>
            </w:pPr>
          </w:p>
        </w:tc>
        <w:tc>
          <w:tcPr>
            <w:tcW w:w="1380" w:type="dxa"/>
            <w:vAlign w:val="bottom"/>
            <w:gridSpan w:val="2"/>
          </w:tcPr>
          <w:p>
            <w:pPr>
              <w:ind w:left="60"/>
              <w:spacing w:after="0"/>
              <w:rPr>
                <w:sz w:val="20"/>
                <w:szCs w:val="20"/>
                <w:color w:val="auto"/>
              </w:rPr>
            </w:pPr>
            <w:r>
              <w:rPr>
                <w:rFonts w:ascii="Arial" w:cs="Arial" w:eastAsia="Arial" w:hAnsi="Arial"/>
                <w:sz w:val="18"/>
                <w:szCs w:val="18"/>
                <w:color w:val="auto"/>
              </w:rPr>
              <w:t>June 30, 2019</w:t>
            </w:r>
          </w:p>
        </w:tc>
        <w:tc>
          <w:tcPr>
            <w:tcW w:w="160" w:type="dxa"/>
            <w:vAlign w:val="bottom"/>
          </w:tcPr>
          <w:p>
            <w:pPr>
              <w:spacing w:after="0"/>
              <w:rPr>
                <w:sz w:val="20"/>
                <w:szCs w:val="20"/>
                <w:color w:val="auto"/>
              </w:rPr>
            </w:pPr>
          </w:p>
        </w:tc>
        <w:tc>
          <w:tcPr>
            <w:tcW w:w="1400" w:type="dxa"/>
            <w:vAlign w:val="bottom"/>
            <w:gridSpan w:val="2"/>
          </w:tcPr>
          <w:p>
            <w:pPr>
              <w:ind w:left="60"/>
              <w:spacing w:after="0"/>
              <w:rPr>
                <w:sz w:val="20"/>
                <w:szCs w:val="20"/>
                <w:color w:val="auto"/>
              </w:rPr>
            </w:pPr>
            <w:r>
              <w:rPr>
                <w:rFonts w:ascii="Arial" w:cs="Arial" w:eastAsia="Arial" w:hAnsi="Arial"/>
                <w:sz w:val="18"/>
                <w:szCs w:val="18"/>
                <w:color w:val="auto"/>
              </w:rPr>
              <w:t>June 30, 2020</w:t>
            </w:r>
          </w:p>
        </w:tc>
        <w:tc>
          <w:tcPr>
            <w:tcW w:w="160" w:type="dxa"/>
            <w:vAlign w:val="bottom"/>
          </w:tcPr>
          <w:p>
            <w:pPr>
              <w:spacing w:after="0"/>
              <w:rPr>
                <w:sz w:val="20"/>
                <w:szCs w:val="20"/>
                <w:color w:val="auto"/>
              </w:rPr>
            </w:pPr>
          </w:p>
        </w:tc>
        <w:tc>
          <w:tcPr>
            <w:tcW w:w="1280" w:type="dxa"/>
            <w:vAlign w:val="bottom"/>
          </w:tcPr>
          <w:p>
            <w:pPr>
              <w:jc w:val="right"/>
              <w:ind w:right="130"/>
              <w:spacing w:after="0"/>
              <w:rPr>
                <w:sz w:val="20"/>
                <w:szCs w:val="20"/>
                <w:color w:val="auto"/>
              </w:rPr>
            </w:pPr>
            <w:r>
              <w:rPr>
                <w:rFonts w:ascii="Arial" w:cs="Arial" w:eastAsia="Arial" w:hAnsi="Arial"/>
                <w:sz w:val="18"/>
                <w:szCs w:val="18"/>
                <w:color w:val="auto"/>
                <w:w w:val="91"/>
              </w:rPr>
              <w:t>June 30, 2019</w:t>
            </w:r>
          </w:p>
        </w:tc>
      </w:tr>
      <w:tr>
        <w:trPr>
          <w:trHeight w:val="27"/>
        </w:trPr>
        <w:tc>
          <w:tcPr>
            <w:tcW w:w="514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r>
      <w:tr>
        <w:trPr>
          <w:trHeight w:val="263"/>
        </w:trPr>
        <w:tc>
          <w:tcPr>
            <w:tcW w:w="5140" w:type="dxa"/>
            <w:vAlign w:val="bottom"/>
            <w:shd w:val="clear" w:color="auto" w:fill="CCEEFF"/>
          </w:tcPr>
          <w:p>
            <w:pPr>
              <w:ind w:left="20"/>
              <w:spacing w:after="0"/>
              <w:rPr>
                <w:sz w:val="20"/>
                <w:szCs w:val="20"/>
                <w:color w:val="auto"/>
              </w:rPr>
            </w:pPr>
            <w:r>
              <w:rPr>
                <w:rFonts w:ascii="Arial" w:cs="Arial" w:eastAsia="Arial" w:hAnsi="Arial"/>
                <w:sz w:val="18"/>
                <w:szCs w:val="18"/>
                <w:color w:val="auto"/>
              </w:rPr>
              <w:t>Compound embedded derivative with the 2013 8.00% Notes</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8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20</w:t>
            </w:r>
          </w:p>
        </w:tc>
        <w:tc>
          <w:tcPr>
            <w:tcW w:w="12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8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255</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80" w:type="dxa"/>
            <w:vAlign w:val="bottom"/>
            <w:shd w:val="clear" w:color="auto" w:fill="CCEEFF"/>
          </w:tcPr>
          <w:p>
            <w:pPr>
              <w:jc w:val="center"/>
              <w:ind w:left="630"/>
              <w:spacing w:after="0"/>
              <w:rPr>
                <w:sz w:val="20"/>
                <w:szCs w:val="20"/>
                <w:color w:val="auto"/>
              </w:rPr>
            </w:pPr>
            <w:r>
              <w:rPr>
                <w:rFonts w:ascii="Arial" w:cs="Arial" w:eastAsia="Arial" w:hAnsi="Arial"/>
                <w:sz w:val="18"/>
                <w:szCs w:val="18"/>
                <w:color w:val="auto"/>
                <w:w w:val="93"/>
              </w:rPr>
              <w:t>267</w:t>
            </w:r>
          </w:p>
        </w:tc>
        <w:tc>
          <w:tcPr>
            <w:tcW w:w="12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8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469</w:t>
            </w:r>
          </w:p>
        </w:tc>
      </w:tr>
      <w:tr>
        <w:trPr>
          <w:trHeight w:val="229"/>
        </w:trPr>
        <w:tc>
          <w:tcPr>
            <w:tcW w:w="5140" w:type="dxa"/>
            <w:vAlign w:val="bottom"/>
          </w:tcPr>
          <w:p>
            <w:pPr>
              <w:ind w:left="20"/>
              <w:spacing w:after="0"/>
              <w:rPr>
                <w:sz w:val="20"/>
                <w:szCs w:val="20"/>
                <w:color w:val="auto"/>
              </w:rPr>
            </w:pPr>
            <w:r>
              <w:rPr>
                <w:rFonts w:ascii="Arial" w:cs="Arial" w:eastAsia="Arial" w:hAnsi="Arial"/>
                <w:sz w:val="18"/>
                <w:szCs w:val="18"/>
                <w:color w:val="auto"/>
              </w:rPr>
              <w:t>Compound embedded derivative with the Loan Agreement with</w:t>
            </w:r>
          </w:p>
        </w:tc>
        <w:tc>
          <w:tcPr>
            <w:tcW w:w="160" w:type="dxa"/>
            <w:vAlign w:val="bottom"/>
          </w:tcPr>
          <w:p>
            <w:pPr>
              <w:spacing w:after="0"/>
              <w:rPr>
                <w:sz w:val="19"/>
                <w:szCs w:val="19"/>
                <w:color w:val="auto"/>
              </w:rPr>
            </w:pPr>
          </w:p>
        </w:tc>
        <w:tc>
          <w:tcPr>
            <w:tcW w:w="12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80" w:type="dxa"/>
            <w:vAlign w:val="bottom"/>
          </w:tcPr>
          <w:p>
            <w:pPr>
              <w:spacing w:after="0"/>
              <w:rPr>
                <w:sz w:val="19"/>
                <w:szCs w:val="19"/>
                <w:color w:val="auto"/>
              </w:rPr>
            </w:pPr>
          </w:p>
        </w:tc>
      </w:tr>
      <w:tr>
        <w:trPr>
          <w:trHeight w:val="230"/>
        </w:trPr>
        <w:tc>
          <w:tcPr>
            <w:tcW w:w="5140" w:type="dxa"/>
            <w:vAlign w:val="bottom"/>
          </w:tcPr>
          <w:p>
            <w:pPr>
              <w:ind w:left="20"/>
              <w:spacing w:after="0"/>
              <w:rPr>
                <w:sz w:val="20"/>
                <w:szCs w:val="20"/>
                <w:color w:val="auto"/>
              </w:rPr>
            </w:pPr>
            <w:r>
              <w:rPr>
                <w:rFonts w:ascii="Arial" w:cs="Arial" w:eastAsia="Arial" w:hAnsi="Arial"/>
                <w:sz w:val="18"/>
                <w:szCs w:val="18"/>
                <w:color w:val="auto"/>
              </w:rPr>
              <w:t>Thermo</w:t>
            </w:r>
          </w:p>
        </w:tc>
        <w:tc>
          <w:tcPr>
            <w:tcW w:w="160" w:type="dxa"/>
            <w:vAlign w:val="bottom"/>
          </w:tcPr>
          <w:p>
            <w:pPr>
              <w:spacing w:after="0"/>
              <w:rPr>
                <w:sz w:val="20"/>
                <w:szCs w:val="20"/>
                <w:color w:val="auto"/>
              </w:rPr>
            </w:pPr>
          </w:p>
        </w:tc>
        <w:tc>
          <w:tcPr>
            <w:tcW w:w="140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0"/>
                <w:szCs w:val="20"/>
                <w:color w:val="auto"/>
              </w:rPr>
            </w:pPr>
          </w:p>
        </w:tc>
        <w:tc>
          <w:tcPr>
            <w:tcW w:w="1280" w:type="dxa"/>
            <w:vAlign w:val="bottom"/>
          </w:tcPr>
          <w:p>
            <w:pPr>
              <w:jc w:val="right"/>
              <w:ind w:right="70"/>
              <w:spacing w:after="0"/>
              <w:rPr>
                <w:sz w:val="20"/>
                <w:szCs w:val="20"/>
                <w:color w:val="auto"/>
              </w:rPr>
            </w:pPr>
            <w:r>
              <w:rPr>
                <w:rFonts w:ascii="Arial" w:cs="Arial" w:eastAsia="Arial" w:hAnsi="Arial"/>
                <w:sz w:val="18"/>
                <w:szCs w:val="18"/>
                <w:color w:val="auto"/>
              </w:rPr>
              <w:t>34,861</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80" w:type="dxa"/>
            <w:vAlign w:val="bottom"/>
          </w:tcPr>
          <w:p>
            <w:pPr>
              <w:jc w:val="center"/>
              <w:ind w:left="630"/>
              <w:spacing w:after="0"/>
              <w:rPr>
                <w:sz w:val="20"/>
                <w:szCs w:val="20"/>
                <w:color w:val="auto"/>
              </w:rPr>
            </w:pPr>
            <w:r>
              <w:rPr>
                <w:rFonts w:ascii="Arial" w:cs="Arial" w:eastAsia="Arial" w:hAnsi="Arial"/>
                <w:sz w:val="18"/>
                <w:szCs w:val="18"/>
                <w:color w:val="auto"/>
                <w:w w:val="93"/>
              </w:rPr>
              <w:t>212</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80" w:type="dxa"/>
            <w:vAlign w:val="bottom"/>
          </w:tcPr>
          <w:p>
            <w:pPr>
              <w:jc w:val="right"/>
              <w:ind w:right="70"/>
              <w:spacing w:after="0"/>
              <w:rPr>
                <w:sz w:val="20"/>
                <w:szCs w:val="20"/>
                <w:color w:val="auto"/>
              </w:rPr>
            </w:pPr>
            <w:r>
              <w:rPr>
                <w:rFonts w:ascii="Arial" w:cs="Arial" w:eastAsia="Arial" w:hAnsi="Arial"/>
                <w:sz w:val="18"/>
                <w:szCs w:val="18"/>
                <w:color w:val="auto"/>
              </w:rPr>
              <w:t>91,655</w:t>
            </w:r>
          </w:p>
        </w:tc>
      </w:tr>
      <w:tr>
        <w:trPr>
          <w:trHeight w:val="27"/>
        </w:trPr>
        <w:tc>
          <w:tcPr>
            <w:tcW w:w="51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29"/>
        </w:trPr>
        <w:tc>
          <w:tcPr>
            <w:tcW w:w="5140" w:type="dxa"/>
            <w:vAlign w:val="bottom"/>
            <w:shd w:val="clear" w:color="auto" w:fill="CCEEFF"/>
          </w:tcPr>
          <w:p>
            <w:pPr>
              <w:ind w:left="20"/>
              <w:spacing w:after="0"/>
              <w:rPr>
                <w:sz w:val="20"/>
                <w:szCs w:val="20"/>
                <w:color w:val="auto"/>
              </w:rPr>
            </w:pPr>
            <w:r>
              <w:rPr>
                <w:rFonts w:ascii="Arial" w:cs="Arial" w:eastAsia="Arial" w:hAnsi="Arial"/>
                <w:sz w:val="18"/>
                <w:szCs w:val="18"/>
                <w:color w:val="auto"/>
                <w:w w:val="97"/>
              </w:rPr>
              <w:t>Compound embedded derivative with the Second Lien Term Loan</w:t>
            </w:r>
          </w:p>
        </w:tc>
        <w:tc>
          <w:tcPr>
            <w:tcW w:w="160" w:type="dxa"/>
            <w:vAlign w:val="bottom"/>
            <w:shd w:val="clear" w:color="auto" w:fill="CCEEFF"/>
          </w:tcPr>
          <w:p>
            <w:pPr>
              <w:spacing w:after="0"/>
              <w:rPr>
                <w:sz w:val="19"/>
                <w:szCs w:val="19"/>
                <w:color w:val="auto"/>
              </w:rPr>
            </w:pPr>
          </w:p>
        </w:tc>
        <w:tc>
          <w:tcPr>
            <w:tcW w:w="12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80" w:type="dxa"/>
            <w:vAlign w:val="bottom"/>
            <w:shd w:val="clear" w:color="auto" w:fill="CCEEFF"/>
          </w:tcPr>
          <w:p>
            <w:pPr>
              <w:spacing w:after="0"/>
              <w:rPr>
                <w:sz w:val="19"/>
                <w:szCs w:val="19"/>
                <w:color w:val="auto"/>
              </w:rPr>
            </w:pPr>
          </w:p>
        </w:tc>
      </w:tr>
      <w:tr>
        <w:trPr>
          <w:trHeight w:val="257"/>
        </w:trPr>
        <w:tc>
          <w:tcPr>
            <w:tcW w:w="51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Facility</w:t>
            </w:r>
          </w:p>
        </w:tc>
        <w:tc>
          <w:tcPr>
            <w:tcW w:w="160" w:type="dxa"/>
            <w:vAlign w:val="bottom"/>
            <w:tcBorders>
              <w:bottom w:val="single" w:sz="8" w:color="CCEEFF"/>
            </w:tcBorders>
            <w:shd w:val="clear" w:color="auto" w:fill="CCEEFF"/>
          </w:tcPr>
          <w:p>
            <w:pPr>
              <w:spacing w:after="0"/>
              <w:rPr>
                <w:sz w:val="22"/>
                <w:szCs w:val="22"/>
                <w:color w:val="auto"/>
              </w:rPr>
            </w:pPr>
          </w:p>
        </w:tc>
        <w:tc>
          <w:tcPr>
            <w:tcW w:w="1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1,140</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38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2"/>
                <w:szCs w:val="22"/>
                <w:color w:val="auto"/>
              </w:rPr>
            </w:pPr>
          </w:p>
        </w:tc>
        <w:tc>
          <w:tcPr>
            <w:tcW w:w="1280" w:type="dxa"/>
            <w:vAlign w:val="bottom"/>
            <w:tcBorders>
              <w:bottom w:val="single" w:sz="8" w:color="CCEEFF"/>
            </w:tcBorders>
            <w:shd w:val="clear" w:color="auto" w:fill="CCEEFF"/>
          </w:tcPr>
          <w:p>
            <w:pPr>
              <w:jc w:val="center"/>
              <w:ind w:left="590"/>
              <w:spacing w:after="0"/>
              <w:rPr>
                <w:sz w:val="20"/>
                <w:szCs w:val="20"/>
                <w:color w:val="auto"/>
              </w:rPr>
            </w:pPr>
            <w:r>
              <w:rPr>
                <w:rFonts w:ascii="Arial" w:cs="Arial" w:eastAsia="Arial" w:hAnsi="Arial"/>
                <w:sz w:val="18"/>
                <w:szCs w:val="18"/>
                <w:color w:val="auto"/>
                <w:w w:val="95"/>
              </w:rPr>
              <w:t>(140)</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r>
      <w:tr>
        <w:trPr>
          <w:trHeight w:val="263"/>
        </w:trPr>
        <w:tc>
          <w:tcPr>
            <w:tcW w:w="5140" w:type="dxa"/>
            <w:vAlign w:val="bottom"/>
          </w:tcPr>
          <w:p>
            <w:pPr>
              <w:ind w:left="220"/>
              <w:spacing w:after="0"/>
              <w:rPr>
                <w:sz w:val="20"/>
                <w:szCs w:val="20"/>
                <w:color w:val="auto"/>
              </w:rPr>
            </w:pPr>
            <w:r>
              <w:rPr>
                <w:rFonts w:ascii="Arial" w:cs="Arial" w:eastAsia="Arial" w:hAnsi="Arial"/>
                <w:sz w:val="18"/>
                <w:szCs w:val="18"/>
                <w:color w:val="auto"/>
              </w:rPr>
              <w:t>Total derivative gain</w:t>
            </w: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28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color w:val="auto"/>
              </w:rPr>
              <w:t>1,160</w:t>
            </w:r>
          </w:p>
        </w:tc>
        <w:tc>
          <w:tcPr>
            <w:tcW w:w="120" w:type="dxa"/>
            <w:vAlign w:val="bottom"/>
          </w:tcPr>
          <w:p>
            <w:pPr>
              <w:spacing w:after="0"/>
              <w:rPr>
                <w:sz w:val="22"/>
                <w:szCs w:val="22"/>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28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color w:val="auto"/>
              </w:rPr>
              <w:t>35,116</w:t>
            </w:r>
          </w:p>
        </w:tc>
        <w:tc>
          <w:tcPr>
            <w:tcW w:w="100" w:type="dxa"/>
            <w:vAlign w:val="bottom"/>
          </w:tcPr>
          <w:p>
            <w:pPr>
              <w:spacing w:after="0"/>
              <w:rPr>
                <w:sz w:val="22"/>
                <w:szCs w:val="22"/>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80" w:type="dxa"/>
            <w:vAlign w:val="bottom"/>
            <w:tcBorders>
              <w:top w:val="single" w:sz="8" w:color="auto"/>
              <w:bottom w:val="single" w:sz="8" w:color="auto"/>
            </w:tcBorders>
          </w:tcPr>
          <w:p>
            <w:pPr>
              <w:jc w:val="center"/>
              <w:ind w:left="630"/>
              <w:spacing w:after="0"/>
              <w:rPr>
                <w:sz w:val="20"/>
                <w:szCs w:val="20"/>
                <w:color w:val="auto"/>
              </w:rPr>
            </w:pPr>
            <w:r>
              <w:rPr>
                <w:rFonts w:ascii="Arial" w:cs="Arial" w:eastAsia="Arial" w:hAnsi="Arial"/>
                <w:sz w:val="18"/>
                <w:szCs w:val="18"/>
                <w:color w:val="auto"/>
                <w:w w:val="93"/>
              </w:rPr>
              <w:t>339</w:t>
            </w:r>
          </w:p>
        </w:tc>
        <w:tc>
          <w:tcPr>
            <w:tcW w:w="120" w:type="dxa"/>
            <w:vAlign w:val="bottom"/>
          </w:tcPr>
          <w:p>
            <w:pPr>
              <w:spacing w:after="0"/>
              <w:rPr>
                <w:sz w:val="22"/>
                <w:szCs w:val="22"/>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28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color w:val="auto"/>
              </w:rPr>
              <w:t>92,124</w:t>
            </w:r>
          </w:p>
        </w:tc>
      </w:tr>
      <w:tr>
        <w:trPr>
          <w:trHeight w:val="21"/>
        </w:trPr>
        <w:tc>
          <w:tcPr>
            <w:tcW w:w="51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r>
      <w:tr>
        <w:trPr>
          <w:trHeight w:val="857"/>
        </w:trPr>
        <w:tc>
          <w:tcPr>
            <w:tcW w:w="5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80" w:type="dxa"/>
            <w:vAlign w:val="bottom"/>
          </w:tcPr>
          <w:p>
            <w:pPr>
              <w:jc w:val="right"/>
              <w:ind w:right="770"/>
              <w:spacing w:after="0"/>
              <w:rPr>
                <w:sz w:val="20"/>
                <w:szCs w:val="20"/>
                <w:color w:val="auto"/>
              </w:rPr>
            </w:pPr>
            <w:r>
              <w:rPr>
                <w:rFonts w:ascii="Arial" w:cs="Arial" w:eastAsia="Arial" w:hAnsi="Arial"/>
                <w:sz w:val="18"/>
                <w:szCs w:val="18"/>
                <w:color w:val="auto"/>
              </w:rPr>
              <w:t>13</w:t>
            </w: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80" w:type="dxa"/>
            <w:vAlign w:val="bottom"/>
          </w:tcPr>
          <w:p>
            <w:pPr>
              <w:spacing w:after="0"/>
              <w:rPr>
                <w:sz w:val="24"/>
                <w:szCs w:val="24"/>
                <w:color w:val="auto"/>
              </w:rPr>
            </w:pPr>
          </w:p>
        </w:tc>
      </w:tr>
      <w:tr>
        <w:trPr>
          <w:trHeight w:val="115"/>
        </w:trPr>
        <w:tc>
          <w:tcPr>
            <w:tcW w:w="5140" w:type="dxa"/>
            <w:vAlign w:val="bottom"/>
            <w:tcBorders>
              <w:bottom w:val="single" w:sz="8" w:color="9A9A9A"/>
            </w:tcBorders>
          </w:tcPr>
          <w:p>
            <w:pPr>
              <w:spacing w:after="0"/>
              <w:rPr>
                <w:sz w:val="10"/>
                <w:szCs w:val="10"/>
                <w:color w:val="auto"/>
              </w:rPr>
            </w:pPr>
          </w:p>
        </w:tc>
        <w:tc>
          <w:tcPr>
            <w:tcW w:w="160" w:type="dxa"/>
            <w:vAlign w:val="bottom"/>
            <w:tcBorders>
              <w:bottom w:val="single" w:sz="8" w:color="9A9A9A"/>
            </w:tcBorders>
          </w:tcPr>
          <w:p>
            <w:pPr>
              <w:spacing w:after="0"/>
              <w:rPr>
                <w:sz w:val="10"/>
                <w:szCs w:val="10"/>
                <w:color w:val="auto"/>
              </w:rPr>
            </w:pPr>
          </w:p>
        </w:tc>
        <w:tc>
          <w:tcPr>
            <w:tcW w:w="128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160" w:type="dxa"/>
            <w:vAlign w:val="bottom"/>
            <w:tcBorders>
              <w:bottom w:val="single" w:sz="8" w:color="9A9A9A"/>
            </w:tcBorders>
          </w:tcPr>
          <w:p>
            <w:pPr>
              <w:spacing w:after="0"/>
              <w:rPr>
                <w:sz w:val="10"/>
                <w:szCs w:val="10"/>
                <w:color w:val="auto"/>
              </w:rPr>
            </w:pPr>
          </w:p>
        </w:tc>
        <w:tc>
          <w:tcPr>
            <w:tcW w:w="128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160" w:type="dxa"/>
            <w:vAlign w:val="bottom"/>
            <w:tcBorders>
              <w:bottom w:val="single" w:sz="8" w:color="9A9A9A"/>
            </w:tcBorders>
          </w:tcPr>
          <w:p>
            <w:pPr>
              <w:spacing w:after="0"/>
              <w:rPr>
                <w:sz w:val="10"/>
                <w:szCs w:val="10"/>
                <w:color w:val="auto"/>
              </w:rPr>
            </w:pPr>
          </w:p>
        </w:tc>
        <w:tc>
          <w:tcPr>
            <w:tcW w:w="128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160" w:type="dxa"/>
            <w:vAlign w:val="bottom"/>
            <w:tcBorders>
              <w:bottom w:val="single" w:sz="8" w:color="9A9A9A"/>
            </w:tcBorders>
          </w:tcPr>
          <w:p>
            <w:pPr>
              <w:spacing w:after="0"/>
              <w:rPr>
                <w:sz w:val="10"/>
                <w:szCs w:val="10"/>
                <w:color w:val="auto"/>
              </w:rPr>
            </w:pPr>
          </w:p>
        </w:tc>
        <w:tc>
          <w:tcPr>
            <w:tcW w:w="1280" w:type="dxa"/>
            <w:vAlign w:val="bottom"/>
            <w:tcBorders>
              <w:bottom w:val="single" w:sz="8" w:color="9A9A9A"/>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7128510</wp:posOffset>
            </wp:positionH>
            <wp:positionV relativeFrom="paragraph">
              <wp:posOffset>-8255</wp:posOffset>
            </wp:positionV>
            <wp:extent cx="8255" cy="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8890" cy="171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8890" cy="17145"/>
                    </a:xfrm>
                    <a:prstGeom prst="rect">
                      <a:avLst/>
                    </a:prstGeom>
                    <a:noFill/>
                  </pic:spPr>
                </pic:pic>
              </a:graphicData>
            </a:graphic>
          </wp:anchor>
        </w:drawing>
      </w:r>
    </w:p>
    <w:p>
      <w:pPr>
        <w:sectPr>
          <w:pgSz w:w="11900" w:h="16838" w:orient="portrait"/>
          <w:cols w:equalWidth="0" w:num="1">
            <w:col w:w="11240"/>
          </w:cols>
          <w:pgMar w:left="320" w:top="1138" w:right="339" w:bottom="1440" w:gutter="0" w:footer="0" w:header="0"/>
        </w:sectPr>
      </w:pPr>
    </w:p>
    <w:bookmarkStart w:id="16" w:name="page17"/>
    <w:bookmarkEnd w:id="16"/>
    <w:p>
      <w:pPr>
        <w:jc w:val="both"/>
        <w:ind w:firstLine="283"/>
        <w:spacing w:after="0" w:line="293" w:lineRule="auto"/>
        <w:rPr>
          <w:sz w:val="20"/>
          <w:szCs w:val="20"/>
          <w:color w:val="auto"/>
        </w:rPr>
      </w:pPr>
      <w:r>
        <w:rPr>
          <w:rFonts w:ascii="Arial" w:cs="Arial" w:eastAsia="Arial" w:hAnsi="Arial"/>
          <w:sz w:val="16"/>
          <w:szCs w:val="16"/>
          <w:color w:val="auto"/>
        </w:rPr>
        <w:t>The Company has identified various embedded derivatives resulting from certain features in the Company’s debt instruments, including the conversion option and the contingent put feature within both the 2013 8.00% Notes and the Loan Agreement with Thermo as well as certain contingent put features within the Second Term Loan Facility. The fair value of each embedded derivative liability is marked-to-market at the end of each reporting period, or more frequently as deemed necessary, with any changes in value reported in its condensed consolidated statements of operations and its condensed consolidated statements of cash flows as an operating activity. The Company classifies its derivative liabilities consistent with the classification of the underlying debt on the Company's condensed consolidated balance sheet. See Note 6: Fair Value Measurements for further discussion.</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6. FAIR VALUE MEASUREMENTS</w:t>
      </w:r>
    </w:p>
    <w:p>
      <w:pPr>
        <w:spacing w:after="0" w:line="256" w:lineRule="exact"/>
        <w:rPr>
          <w:sz w:val="20"/>
          <w:szCs w:val="20"/>
          <w:color w:val="auto"/>
        </w:rPr>
      </w:pPr>
    </w:p>
    <w:p>
      <w:pPr>
        <w:jc w:val="both"/>
        <w:ind w:firstLine="324"/>
        <w:spacing w:after="0" w:line="259" w:lineRule="auto"/>
        <w:rPr>
          <w:sz w:val="20"/>
          <w:szCs w:val="20"/>
          <w:color w:val="auto"/>
        </w:rPr>
      </w:pPr>
      <w:r>
        <w:rPr>
          <w:rFonts w:ascii="Arial" w:cs="Arial" w:eastAsia="Arial" w:hAnsi="Arial"/>
          <w:sz w:val="18"/>
          <w:szCs w:val="18"/>
          <w:color w:val="auto"/>
        </w:rPr>
        <w:t>The Company follows the authoritative guidance for fair value measurements relating to financial and non-financial assets and liabilities, including presentation of required disclosures herein. This guidance establishes a fair value framework requiring the categorization of assets and liabilities into three levels based upon the assumptions (inputs) used to price the assets and liabilities. Level 1 provides the most reliable measure of fair value, whereas Level 3 generally requires significant management judgment. The three levels are defined as follows:</w:t>
      </w:r>
    </w:p>
    <w:p>
      <w:pPr>
        <w:spacing w:after="0" w:line="214"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 xml:space="preserve">Level 1: </w:t>
      </w:r>
      <w:r>
        <w:rPr>
          <w:rFonts w:ascii="Arial" w:cs="Arial" w:eastAsia="Arial" w:hAnsi="Arial"/>
          <w:sz w:val="18"/>
          <w:szCs w:val="18"/>
          <w:color w:val="auto"/>
        </w:rPr>
        <w:t>Unadjusted quoted prices in active markets that are accessible at the measurement date for identical assets or liabilities.</w:t>
      </w:r>
    </w:p>
    <w:p>
      <w:pPr>
        <w:spacing w:after="0" w:line="252" w:lineRule="exact"/>
        <w:rPr>
          <w:sz w:val="20"/>
          <w:szCs w:val="20"/>
          <w:color w:val="auto"/>
        </w:rPr>
      </w:pPr>
    </w:p>
    <w:p>
      <w:pPr>
        <w:ind w:left="340"/>
        <w:spacing w:after="0" w:line="277" w:lineRule="auto"/>
        <w:rPr>
          <w:sz w:val="20"/>
          <w:szCs w:val="20"/>
          <w:color w:val="auto"/>
        </w:rPr>
      </w:pPr>
      <w:r>
        <w:rPr>
          <w:rFonts w:ascii="Arial" w:cs="Arial" w:eastAsia="Arial" w:hAnsi="Arial"/>
          <w:sz w:val="18"/>
          <w:szCs w:val="18"/>
          <w:i w:val="1"/>
          <w:iCs w:val="1"/>
          <w:color w:val="auto"/>
        </w:rPr>
        <w:t xml:space="preserve">Level 2: </w:t>
      </w:r>
      <w:r>
        <w:rPr>
          <w:rFonts w:ascii="Arial" w:cs="Arial" w:eastAsia="Arial" w:hAnsi="Arial"/>
          <w:sz w:val="18"/>
          <w:szCs w:val="18"/>
          <w:color w:val="auto"/>
        </w:rPr>
        <w:t>Quoted prices in markets that are not active or inputs which are observable, either directly or indirectly, for substantially the full term of the</w:t>
      </w:r>
      <w:r>
        <w:rPr>
          <w:rFonts w:ascii="Arial" w:cs="Arial" w:eastAsia="Arial" w:hAnsi="Arial"/>
          <w:sz w:val="18"/>
          <w:szCs w:val="18"/>
          <w:i w:val="1"/>
          <w:iCs w:val="1"/>
          <w:color w:val="auto"/>
        </w:rPr>
        <w:t xml:space="preserve"> </w:t>
      </w:r>
      <w:r>
        <w:rPr>
          <w:rFonts w:ascii="Arial" w:cs="Arial" w:eastAsia="Arial" w:hAnsi="Arial"/>
          <w:sz w:val="18"/>
          <w:szCs w:val="18"/>
          <w:color w:val="auto"/>
        </w:rPr>
        <w:t>asset or liability.</w:t>
      </w:r>
    </w:p>
    <w:p>
      <w:pPr>
        <w:spacing w:after="0" w:line="197" w:lineRule="exact"/>
        <w:rPr>
          <w:sz w:val="20"/>
          <w:szCs w:val="20"/>
          <w:color w:val="auto"/>
        </w:rPr>
      </w:pPr>
    </w:p>
    <w:p>
      <w:pPr>
        <w:ind w:left="340"/>
        <w:spacing w:after="0" w:line="277" w:lineRule="auto"/>
        <w:rPr>
          <w:sz w:val="20"/>
          <w:szCs w:val="20"/>
          <w:color w:val="auto"/>
        </w:rPr>
      </w:pPr>
      <w:r>
        <w:rPr>
          <w:rFonts w:ascii="Arial" w:cs="Arial" w:eastAsia="Arial" w:hAnsi="Arial"/>
          <w:sz w:val="18"/>
          <w:szCs w:val="18"/>
          <w:i w:val="1"/>
          <w:iCs w:val="1"/>
          <w:color w:val="auto"/>
        </w:rPr>
        <w:t xml:space="preserve">Level 3: </w:t>
      </w:r>
      <w:r>
        <w:rPr>
          <w:rFonts w:ascii="Arial" w:cs="Arial" w:eastAsia="Arial" w:hAnsi="Arial"/>
          <w:sz w:val="18"/>
          <w:szCs w:val="18"/>
          <w:color w:val="auto"/>
        </w:rPr>
        <w:t>Prices or valuation techniques that require inputs that are both significant to the fair value measurement and unobservable (i.e., supported by</w:t>
      </w:r>
      <w:r>
        <w:rPr>
          <w:rFonts w:ascii="Arial" w:cs="Arial" w:eastAsia="Arial" w:hAnsi="Arial"/>
          <w:sz w:val="18"/>
          <w:szCs w:val="18"/>
          <w:i w:val="1"/>
          <w:iCs w:val="1"/>
          <w:color w:val="auto"/>
        </w:rPr>
        <w:t xml:space="preserve"> </w:t>
      </w:r>
      <w:r>
        <w:rPr>
          <w:rFonts w:ascii="Arial" w:cs="Arial" w:eastAsia="Arial" w:hAnsi="Arial"/>
          <w:sz w:val="18"/>
          <w:szCs w:val="18"/>
          <w:color w:val="auto"/>
        </w:rPr>
        <w:t>little or no market activity).</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Recurring Fair Value Measurements</w:t>
      </w:r>
    </w:p>
    <w:p>
      <w:pPr>
        <w:spacing w:after="0" w:line="252"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following tables provide a summary of the liabilities measured at fair value on a recurring basis (in thousands):</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16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080" w:type="dxa"/>
            <w:vAlign w:val="bottom"/>
            <w:gridSpan w:val="6"/>
          </w:tcPr>
          <w:p>
            <w:pPr>
              <w:jc w:val="center"/>
              <w:ind w:right="100"/>
              <w:spacing w:after="0"/>
              <w:rPr>
                <w:sz w:val="20"/>
                <w:szCs w:val="20"/>
                <w:color w:val="auto"/>
              </w:rPr>
            </w:pPr>
            <w:r>
              <w:rPr>
                <w:rFonts w:ascii="Arial" w:cs="Arial" w:eastAsia="Arial" w:hAnsi="Arial"/>
                <w:sz w:val="18"/>
                <w:szCs w:val="18"/>
                <w:color w:val="auto"/>
                <w:w w:val="89"/>
              </w:rPr>
              <w:t>June 30, 2020</w:t>
            </w:r>
          </w:p>
        </w:tc>
        <w:tc>
          <w:tcPr>
            <w:tcW w:w="280" w:type="dxa"/>
            <w:vAlign w:val="bottom"/>
          </w:tcPr>
          <w:p>
            <w:pPr>
              <w:spacing w:after="0"/>
              <w:rPr>
                <w:sz w:val="20"/>
                <w:szCs w:val="20"/>
                <w:color w:val="auto"/>
              </w:rPr>
            </w:pPr>
          </w:p>
        </w:tc>
        <w:tc>
          <w:tcPr>
            <w:tcW w:w="1160" w:type="dxa"/>
            <w:vAlign w:val="bottom"/>
          </w:tcPr>
          <w:p>
            <w:pPr>
              <w:spacing w:after="0"/>
              <w:rPr>
                <w:sz w:val="20"/>
                <w:szCs w:val="20"/>
                <w:color w:val="auto"/>
              </w:rPr>
            </w:pPr>
          </w:p>
        </w:tc>
      </w:tr>
      <w:tr>
        <w:trPr>
          <w:trHeight w:val="27"/>
        </w:trPr>
        <w:tc>
          <w:tcPr>
            <w:tcW w:w="5160" w:type="dxa"/>
            <w:vAlign w:val="bottom"/>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r>
      <w:tr>
        <w:trPr>
          <w:trHeight w:val="222"/>
        </w:trPr>
        <w:tc>
          <w:tcPr>
            <w:tcW w:w="516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60" w:type="dxa"/>
            <w:vAlign w:val="bottom"/>
          </w:tcPr>
          <w:p>
            <w:pPr>
              <w:jc w:val="center"/>
              <w:ind w:right="190"/>
              <w:spacing w:after="0"/>
              <w:rPr>
                <w:sz w:val="20"/>
                <w:szCs w:val="20"/>
                <w:color w:val="auto"/>
              </w:rPr>
            </w:pPr>
            <w:r>
              <w:rPr>
                <w:rFonts w:ascii="Arial" w:cs="Arial" w:eastAsia="Arial" w:hAnsi="Arial"/>
                <w:sz w:val="18"/>
                <w:szCs w:val="18"/>
                <w:color w:val="auto"/>
                <w:w w:val="89"/>
              </w:rPr>
              <w:t>Total</w:t>
            </w:r>
          </w:p>
        </w:tc>
      </w:tr>
      <w:tr>
        <w:trPr>
          <w:trHeight w:val="230"/>
        </w:trPr>
        <w:tc>
          <w:tcPr>
            <w:tcW w:w="516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(Level 1)</w:t>
            </w:r>
          </w:p>
        </w:tc>
        <w:tc>
          <w:tcPr>
            <w:tcW w:w="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(Level 2)</w:t>
            </w:r>
          </w:p>
        </w:tc>
        <w:tc>
          <w:tcPr>
            <w:tcW w:w="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300" w:type="dxa"/>
            <w:vAlign w:val="bottom"/>
            <w:gridSpan w:val="2"/>
          </w:tcPr>
          <w:p>
            <w:pPr>
              <w:ind w:left="140"/>
              <w:spacing w:after="0"/>
              <w:rPr>
                <w:sz w:val="20"/>
                <w:szCs w:val="20"/>
                <w:color w:val="auto"/>
              </w:rPr>
            </w:pPr>
            <w:r>
              <w:rPr>
                <w:rFonts w:ascii="Arial" w:cs="Arial" w:eastAsia="Arial" w:hAnsi="Arial"/>
                <w:sz w:val="18"/>
                <w:szCs w:val="18"/>
                <w:color w:val="auto"/>
              </w:rPr>
              <w:t>(Level 3)</w:t>
            </w:r>
          </w:p>
        </w:tc>
        <w:tc>
          <w:tcPr>
            <w:tcW w:w="280" w:type="dxa"/>
            <w:vAlign w:val="bottom"/>
          </w:tcPr>
          <w:p>
            <w:pPr>
              <w:spacing w:after="0"/>
              <w:rPr>
                <w:sz w:val="20"/>
                <w:szCs w:val="20"/>
                <w:color w:val="auto"/>
              </w:rPr>
            </w:pPr>
          </w:p>
        </w:tc>
        <w:tc>
          <w:tcPr>
            <w:tcW w:w="1160" w:type="dxa"/>
            <w:vAlign w:val="bottom"/>
          </w:tcPr>
          <w:p>
            <w:pPr>
              <w:jc w:val="center"/>
              <w:ind w:right="150"/>
              <w:spacing w:after="0"/>
              <w:rPr>
                <w:sz w:val="20"/>
                <w:szCs w:val="20"/>
                <w:color w:val="auto"/>
              </w:rPr>
            </w:pPr>
            <w:r>
              <w:rPr>
                <w:rFonts w:ascii="Arial" w:cs="Arial" w:eastAsia="Arial" w:hAnsi="Arial"/>
                <w:sz w:val="18"/>
                <w:szCs w:val="18"/>
                <w:color w:val="auto"/>
                <w:w w:val="86"/>
              </w:rPr>
              <w:t>Balance</w:t>
            </w:r>
          </w:p>
        </w:tc>
      </w:tr>
      <w:tr>
        <w:trPr>
          <w:trHeight w:val="27"/>
        </w:trPr>
        <w:tc>
          <w:tcPr>
            <w:tcW w:w="5160" w:type="dxa"/>
            <w:vAlign w:val="bottom"/>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r>
      <w:tr>
        <w:trPr>
          <w:trHeight w:val="263"/>
        </w:trPr>
        <w:tc>
          <w:tcPr>
            <w:tcW w:w="5160" w:type="dxa"/>
            <w:vAlign w:val="bottom"/>
          </w:tcPr>
          <w:p>
            <w:pPr>
              <w:ind w:left="20"/>
              <w:spacing w:after="0"/>
              <w:rPr>
                <w:sz w:val="20"/>
                <w:szCs w:val="20"/>
                <w:color w:val="auto"/>
              </w:rPr>
            </w:pPr>
            <w:r>
              <w:rPr>
                <w:rFonts w:ascii="Arial" w:cs="Arial" w:eastAsia="Arial" w:hAnsi="Arial"/>
                <w:sz w:val="18"/>
                <w:szCs w:val="18"/>
                <w:color w:val="auto"/>
              </w:rPr>
              <w:t>Compound embedded derivative with the 2013 8.00% Notes</w:t>
            </w:r>
          </w:p>
        </w:tc>
        <w:tc>
          <w:tcPr>
            <w:tcW w:w="1080" w:type="dxa"/>
            <w:vAlign w:val="bottom"/>
          </w:tcPr>
          <w:p>
            <w:pPr>
              <w:jc w:val="right"/>
              <w:ind w:right="870"/>
              <w:spacing w:after="0"/>
              <w:rPr>
                <w:sz w:val="20"/>
                <w:szCs w:val="20"/>
                <w:color w:val="auto"/>
              </w:rPr>
            </w:pPr>
            <w:r>
              <w:rPr>
                <w:rFonts w:ascii="Arial" w:cs="Arial" w:eastAsia="Arial" w:hAnsi="Arial"/>
                <w:sz w:val="18"/>
                <w:szCs w:val="18"/>
                <w:color w:val="auto"/>
                <w:w w:val="99"/>
              </w:rPr>
              <w:t>$</w:t>
            </w:r>
          </w:p>
        </w:tc>
        <w:tc>
          <w:tcPr>
            <w:tcW w:w="460" w:type="dxa"/>
            <w:vAlign w:val="bottom"/>
            <w:gridSpan w:val="2"/>
          </w:tcPr>
          <w:p>
            <w:pPr>
              <w:ind w:left="20"/>
              <w:spacing w:after="0"/>
              <w:rPr>
                <w:sz w:val="20"/>
                <w:szCs w:val="20"/>
                <w:color w:val="auto"/>
              </w:rPr>
            </w:pPr>
            <w:r>
              <w:rPr>
                <w:rFonts w:ascii="Arial" w:cs="Arial" w:eastAsia="Arial" w:hAnsi="Arial"/>
                <w:sz w:val="18"/>
                <w:szCs w:val="18"/>
                <w:color w:val="auto"/>
              </w:rPr>
              <w:t>—</w:t>
            </w:r>
          </w:p>
        </w:tc>
        <w:tc>
          <w:tcPr>
            <w:tcW w:w="1080" w:type="dxa"/>
            <w:vAlign w:val="bottom"/>
          </w:tcPr>
          <w:p>
            <w:pPr>
              <w:jc w:val="right"/>
              <w:ind w:right="870"/>
              <w:spacing w:after="0"/>
              <w:rPr>
                <w:sz w:val="20"/>
                <w:szCs w:val="20"/>
                <w:color w:val="auto"/>
              </w:rPr>
            </w:pPr>
            <w:r>
              <w:rPr>
                <w:rFonts w:ascii="Arial" w:cs="Arial" w:eastAsia="Arial" w:hAnsi="Arial"/>
                <w:sz w:val="18"/>
                <w:szCs w:val="18"/>
                <w:color w:val="auto"/>
                <w:w w:val="99"/>
              </w:rPr>
              <w:t>$</w:t>
            </w:r>
          </w:p>
        </w:tc>
        <w:tc>
          <w:tcPr>
            <w:tcW w:w="460" w:type="dxa"/>
            <w:vAlign w:val="bottom"/>
            <w:gridSpan w:val="2"/>
          </w:tcPr>
          <w:p>
            <w:pPr>
              <w:ind w:left="20"/>
              <w:spacing w:after="0"/>
              <w:rPr>
                <w:sz w:val="20"/>
                <w:szCs w:val="20"/>
                <w:color w:val="auto"/>
              </w:rPr>
            </w:pPr>
            <w:r>
              <w:rPr>
                <w:rFonts w:ascii="Arial" w:cs="Arial" w:eastAsia="Arial" w:hAnsi="Arial"/>
                <w:sz w:val="18"/>
                <w:szCs w:val="18"/>
                <w:color w:val="auto"/>
              </w:rPr>
              <w:t>—</w:t>
            </w: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(255)</w:t>
            </w:r>
          </w:p>
        </w:tc>
        <w:tc>
          <w:tcPr>
            <w:tcW w:w="100" w:type="dxa"/>
            <w:vAlign w:val="bottom"/>
          </w:tcPr>
          <w:p>
            <w:pPr>
              <w:spacing w:after="0"/>
              <w:rPr>
                <w:sz w:val="22"/>
                <w:szCs w:val="22"/>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160" w:type="dxa"/>
            <w:vAlign w:val="bottom"/>
          </w:tcPr>
          <w:p>
            <w:pPr>
              <w:jc w:val="right"/>
              <w:ind w:right="30"/>
              <w:spacing w:after="0"/>
              <w:rPr>
                <w:sz w:val="20"/>
                <w:szCs w:val="20"/>
                <w:color w:val="auto"/>
              </w:rPr>
            </w:pPr>
            <w:r>
              <w:rPr>
                <w:rFonts w:ascii="Arial" w:cs="Arial" w:eastAsia="Arial" w:hAnsi="Arial"/>
                <w:sz w:val="18"/>
                <w:szCs w:val="18"/>
                <w:color w:val="auto"/>
              </w:rPr>
              <w:t>(255)</w:t>
            </w:r>
          </w:p>
        </w:tc>
      </w:tr>
      <w:tr>
        <w:trPr>
          <w:trHeight w:val="229"/>
        </w:trPr>
        <w:tc>
          <w:tcPr>
            <w:tcW w:w="5160" w:type="dxa"/>
            <w:vAlign w:val="bottom"/>
            <w:shd w:val="clear" w:color="auto" w:fill="CCEEFF"/>
          </w:tcPr>
          <w:p>
            <w:pPr>
              <w:ind w:left="20"/>
              <w:spacing w:after="0"/>
              <w:rPr>
                <w:sz w:val="20"/>
                <w:szCs w:val="20"/>
                <w:color w:val="auto"/>
              </w:rPr>
            </w:pPr>
            <w:r>
              <w:rPr>
                <w:rFonts w:ascii="Arial" w:cs="Arial" w:eastAsia="Arial" w:hAnsi="Arial"/>
                <w:sz w:val="18"/>
                <w:szCs w:val="18"/>
                <w:color w:val="auto"/>
                <w:w w:val="97"/>
              </w:rPr>
              <w:t>Compound embedded derivative with the Second Lien Term Loan</w:t>
            </w:r>
          </w:p>
        </w:tc>
        <w:tc>
          <w:tcPr>
            <w:tcW w:w="108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r>
      <w:tr>
        <w:trPr>
          <w:trHeight w:val="257"/>
        </w:trPr>
        <w:tc>
          <w:tcPr>
            <w:tcW w:w="51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Facility</w:t>
            </w:r>
          </w:p>
        </w:tc>
        <w:tc>
          <w:tcPr>
            <w:tcW w:w="1080" w:type="dxa"/>
            <w:vAlign w:val="bottom"/>
            <w:tcBorders>
              <w:bottom w:val="single" w:sz="8" w:color="CCEEFF"/>
            </w:tcBorders>
            <w:shd w:val="clear" w:color="auto" w:fill="CCEEFF"/>
          </w:tcPr>
          <w:p>
            <w:pPr>
              <w:spacing w:after="0"/>
              <w:rPr>
                <w:sz w:val="22"/>
                <w:szCs w:val="22"/>
                <w:color w:val="auto"/>
              </w:rPr>
            </w:pPr>
          </w:p>
        </w:tc>
        <w:tc>
          <w:tcPr>
            <w:tcW w:w="46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080" w:type="dxa"/>
            <w:vAlign w:val="bottom"/>
            <w:tcBorders>
              <w:bottom w:val="single" w:sz="8" w:color="CCEEFF"/>
            </w:tcBorders>
            <w:shd w:val="clear" w:color="auto" w:fill="CCEEFF"/>
          </w:tcPr>
          <w:p>
            <w:pPr>
              <w:spacing w:after="0"/>
              <w:rPr>
                <w:sz w:val="22"/>
                <w:szCs w:val="22"/>
                <w:color w:val="auto"/>
              </w:rPr>
            </w:pPr>
          </w:p>
        </w:tc>
        <w:tc>
          <w:tcPr>
            <w:tcW w:w="46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(2,140)</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spacing w:after="0"/>
              <w:rPr>
                <w:sz w:val="22"/>
                <w:szCs w:val="22"/>
                <w:color w:val="auto"/>
              </w:rPr>
            </w:pPr>
          </w:p>
        </w:tc>
        <w:tc>
          <w:tcPr>
            <w:tcW w:w="11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(2,140)</w:t>
            </w:r>
          </w:p>
        </w:tc>
      </w:tr>
      <w:tr>
        <w:trPr>
          <w:trHeight w:val="264"/>
        </w:trPr>
        <w:tc>
          <w:tcPr>
            <w:tcW w:w="5160" w:type="dxa"/>
            <w:vAlign w:val="bottom"/>
          </w:tcPr>
          <w:p>
            <w:pPr>
              <w:ind w:left="220"/>
              <w:spacing w:after="0"/>
              <w:rPr>
                <w:sz w:val="20"/>
                <w:szCs w:val="20"/>
                <w:color w:val="auto"/>
              </w:rPr>
            </w:pPr>
            <w:r>
              <w:rPr>
                <w:rFonts w:ascii="Arial" w:cs="Arial" w:eastAsia="Arial" w:hAnsi="Arial"/>
                <w:sz w:val="18"/>
                <w:szCs w:val="18"/>
                <w:color w:val="auto"/>
              </w:rPr>
              <w:t>Total liabilities measured at fair value</w:t>
            </w:r>
          </w:p>
        </w:tc>
        <w:tc>
          <w:tcPr>
            <w:tcW w:w="1080" w:type="dxa"/>
            <w:vAlign w:val="bottom"/>
            <w:tcBorders>
              <w:top w:val="single" w:sz="8" w:color="auto"/>
              <w:bottom w:val="single" w:sz="8" w:color="auto"/>
            </w:tcBorders>
          </w:tcPr>
          <w:p>
            <w:pPr>
              <w:jc w:val="right"/>
              <w:ind w:right="870"/>
              <w:spacing w:after="0"/>
              <w:rPr>
                <w:sz w:val="20"/>
                <w:szCs w:val="20"/>
                <w:color w:val="auto"/>
              </w:rPr>
            </w:pPr>
            <w:r>
              <w:rPr>
                <w:rFonts w:ascii="Arial" w:cs="Arial" w:eastAsia="Arial" w:hAnsi="Arial"/>
                <w:sz w:val="18"/>
                <w:szCs w:val="18"/>
                <w:color w:val="auto"/>
                <w:w w:val="99"/>
              </w:rPr>
              <w:t>$</w:t>
            </w:r>
          </w:p>
        </w:tc>
        <w:tc>
          <w:tcPr>
            <w:tcW w:w="36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2"/>
                <w:szCs w:val="22"/>
                <w:color w:val="auto"/>
              </w:rPr>
            </w:pPr>
          </w:p>
        </w:tc>
        <w:tc>
          <w:tcPr>
            <w:tcW w:w="1080" w:type="dxa"/>
            <w:vAlign w:val="bottom"/>
            <w:tcBorders>
              <w:top w:val="single" w:sz="8" w:color="auto"/>
              <w:bottom w:val="single" w:sz="8" w:color="auto"/>
            </w:tcBorders>
          </w:tcPr>
          <w:p>
            <w:pPr>
              <w:jc w:val="right"/>
              <w:ind w:right="870"/>
              <w:spacing w:after="0"/>
              <w:rPr>
                <w:sz w:val="20"/>
                <w:szCs w:val="20"/>
                <w:color w:val="auto"/>
              </w:rPr>
            </w:pPr>
            <w:r>
              <w:rPr>
                <w:rFonts w:ascii="Arial" w:cs="Arial" w:eastAsia="Arial" w:hAnsi="Arial"/>
                <w:sz w:val="18"/>
                <w:szCs w:val="18"/>
                <w:color w:val="auto"/>
                <w:w w:val="99"/>
              </w:rPr>
              <w:t>$</w:t>
            </w:r>
          </w:p>
        </w:tc>
        <w:tc>
          <w:tcPr>
            <w:tcW w:w="36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2"/>
                <w:szCs w:val="22"/>
                <w:color w:val="auto"/>
              </w:rPr>
            </w:pPr>
          </w:p>
        </w:tc>
        <w:tc>
          <w:tcPr>
            <w:tcW w:w="2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(2,395)</w:t>
            </w:r>
          </w:p>
        </w:tc>
        <w:tc>
          <w:tcPr>
            <w:tcW w:w="100" w:type="dxa"/>
            <w:vAlign w:val="bottom"/>
          </w:tcPr>
          <w:p>
            <w:pPr>
              <w:spacing w:after="0"/>
              <w:rPr>
                <w:sz w:val="22"/>
                <w:szCs w:val="22"/>
                <w:color w:val="auto"/>
              </w:rPr>
            </w:pPr>
          </w:p>
        </w:tc>
        <w:tc>
          <w:tcPr>
            <w:tcW w:w="28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116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(2,395)</w:t>
            </w:r>
          </w:p>
        </w:tc>
      </w:tr>
      <w:tr>
        <w:trPr>
          <w:trHeight w:val="20"/>
        </w:trPr>
        <w:tc>
          <w:tcPr>
            <w:tcW w:w="5160" w:type="dxa"/>
            <w:vAlign w:val="bottom"/>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40" w:type="dxa"/>
            <w:vAlign w:val="bottom"/>
            <w:tcBorders>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40" w:type="dxa"/>
            <w:vAlign w:val="bottom"/>
            <w:tcBorders>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r>
      <w:tr>
        <w:trPr>
          <w:trHeight w:val="655"/>
        </w:trPr>
        <w:tc>
          <w:tcPr>
            <w:tcW w:w="516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80" w:type="dxa"/>
            <w:vAlign w:val="bottom"/>
            <w:gridSpan w:val="6"/>
          </w:tcPr>
          <w:p>
            <w:pPr>
              <w:jc w:val="center"/>
              <w:ind w:right="100"/>
              <w:spacing w:after="0"/>
              <w:rPr>
                <w:sz w:val="20"/>
                <w:szCs w:val="20"/>
                <w:color w:val="auto"/>
              </w:rPr>
            </w:pPr>
            <w:r>
              <w:rPr>
                <w:rFonts w:ascii="Arial" w:cs="Arial" w:eastAsia="Arial" w:hAnsi="Arial"/>
                <w:sz w:val="18"/>
                <w:szCs w:val="18"/>
                <w:color w:val="auto"/>
                <w:w w:val="89"/>
              </w:rPr>
              <w:t>December 31, 2019</w:t>
            </w:r>
          </w:p>
        </w:tc>
        <w:tc>
          <w:tcPr>
            <w:tcW w:w="280" w:type="dxa"/>
            <w:vAlign w:val="bottom"/>
          </w:tcPr>
          <w:p>
            <w:pPr>
              <w:spacing w:after="0"/>
              <w:rPr>
                <w:sz w:val="24"/>
                <w:szCs w:val="24"/>
                <w:color w:val="auto"/>
              </w:rPr>
            </w:pPr>
          </w:p>
        </w:tc>
        <w:tc>
          <w:tcPr>
            <w:tcW w:w="1160" w:type="dxa"/>
            <w:vAlign w:val="bottom"/>
          </w:tcPr>
          <w:p>
            <w:pPr>
              <w:spacing w:after="0"/>
              <w:rPr>
                <w:sz w:val="24"/>
                <w:szCs w:val="24"/>
                <w:color w:val="auto"/>
              </w:rPr>
            </w:pPr>
          </w:p>
        </w:tc>
      </w:tr>
      <w:tr>
        <w:trPr>
          <w:trHeight w:val="27"/>
        </w:trPr>
        <w:tc>
          <w:tcPr>
            <w:tcW w:w="5160" w:type="dxa"/>
            <w:vAlign w:val="bottom"/>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r>
      <w:tr>
        <w:trPr>
          <w:trHeight w:val="222"/>
        </w:trPr>
        <w:tc>
          <w:tcPr>
            <w:tcW w:w="516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60" w:type="dxa"/>
            <w:vAlign w:val="bottom"/>
          </w:tcPr>
          <w:p>
            <w:pPr>
              <w:jc w:val="center"/>
              <w:ind w:right="190"/>
              <w:spacing w:after="0"/>
              <w:rPr>
                <w:sz w:val="20"/>
                <w:szCs w:val="20"/>
                <w:color w:val="auto"/>
              </w:rPr>
            </w:pPr>
            <w:r>
              <w:rPr>
                <w:rFonts w:ascii="Arial" w:cs="Arial" w:eastAsia="Arial" w:hAnsi="Arial"/>
                <w:sz w:val="18"/>
                <w:szCs w:val="18"/>
                <w:color w:val="auto"/>
                <w:w w:val="89"/>
              </w:rPr>
              <w:t>Total</w:t>
            </w:r>
          </w:p>
        </w:tc>
      </w:tr>
      <w:tr>
        <w:trPr>
          <w:trHeight w:val="230"/>
        </w:trPr>
        <w:tc>
          <w:tcPr>
            <w:tcW w:w="516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(Level 1)</w:t>
            </w:r>
          </w:p>
        </w:tc>
        <w:tc>
          <w:tcPr>
            <w:tcW w:w="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(Level 2)</w:t>
            </w:r>
          </w:p>
        </w:tc>
        <w:tc>
          <w:tcPr>
            <w:tcW w:w="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300" w:type="dxa"/>
            <w:vAlign w:val="bottom"/>
            <w:gridSpan w:val="2"/>
          </w:tcPr>
          <w:p>
            <w:pPr>
              <w:ind w:left="140"/>
              <w:spacing w:after="0"/>
              <w:rPr>
                <w:sz w:val="20"/>
                <w:szCs w:val="20"/>
                <w:color w:val="auto"/>
              </w:rPr>
            </w:pPr>
            <w:r>
              <w:rPr>
                <w:rFonts w:ascii="Arial" w:cs="Arial" w:eastAsia="Arial" w:hAnsi="Arial"/>
                <w:sz w:val="18"/>
                <w:szCs w:val="18"/>
                <w:color w:val="auto"/>
              </w:rPr>
              <w:t>(Level 3)</w:t>
            </w:r>
          </w:p>
        </w:tc>
        <w:tc>
          <w:tcPr>
            <w:tcW w:w="280" w:type="dxa"/>
            <w:vAlign w:val="bottom"/>
          </w:tcPr>
          <w:p>
            <w:pPr>
              <w:spacing w:after="0"/>
              <w:rPr>
                <w:sz w:val="20"/>
                <w:szCs w:val="20"/>
                <w:color w:val="auto"/>
              </w:rPr>
            </w:pPr>
          </w:p>
        </w:tc>
        <w:tc>
          <w:tcPr>
            <w:tcW w:w="1160" w:type="dxa"/>
            <w:vAlign w:val="bottom"/>
          </w:tcPr>
          <w:p>
            <w:pPr>
              <w:jc w:val="center"/>
              <w:ind w:right="150"/>
              <w:spacing w:after="0"/>
              <w:rPr>
                <w:sz w:val="20"/>
                <w:szCs w:val="20"/>
                <w:color w:val="auto"/>
              </w:rPr>
            </w:pPr>
            <w:r>
              <w:rPr>
                <w:rFonts w:ascii="Arial" w:cs="Arial" w:eastAsia="Arial" w:hAnsi="Arial"/>
                <w:sz w:val="18"/>
                <w:szCs w:val="18"/>
                <w:color w:val="auto"/>
                <w:w w:val="86"/>
              </w:rPr>
              <w:t>Balance</w:t>
            </w:r>
          </w:p>
        </w:tc>
      </w:tr>
      <w:tr>
        <w:trPr>
          <w:trHeight w:val="27"/>
        </w:trPr>
        <w:tc>
          <w:tcPr>
            <w:tcW w:w="5160" w:type="dxa"/>
            <w:vAlign w:val="bottom"/>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r>
      <w:tr>
        <w:trPr>
          <w:trHeight w:val="264"/>
        </w:trPr>
        <w:tc>
          <w:tcPr>
            <w:tcW w:w="5160" w:type="dxa"/>
            <w:vAlign w:val="bottom"/>
          </w:tcPr>
          <w:p>
            <w:pPr>
              <w:ind w:left="20"/>
              <w:spacing w:after="0"/>
              <w:rPr>
                <w:sz w:val="20"/>
                <w:szCs w:val="20"/>
                <w:color w:val="auto"/>
              </w:rPr>
            </w:pPr>
            <w:r>
              <w:rPr>
                <w:rFonts w:ascii="Arial" w:cs="Arial" w:eastAsia="Arial" w:hAnsi="Arial"/>
                <w:sz w:val="18"/>
                <w:szCs w:val="18"/>
                <w:color w:val="auto"/>
              </w:rPr>
              <w:t>Compound embedded derivative with the 2013 8.00% Notes</w:t>
            </w:r>
          </w:p>
        </w:tc>
        <w:tc>
          <w:tcPr>
            <w:tcW w:w="1080" w:type="dxa"/>
            <w:vAlign w:val="bottom"/>
          </w:tcPr>
          <w:p>
            <w:pPr>
              <w:jc w:val="right"/>
              <w:ind w:right="870"/>
              <w:spacing w:after="0"/>
              <w:rPr>
                <w:sz w:val="20"/>
                <w:szCs w:val="20"/>
                <w:color w:val="auto"/>
              </w:rPr>
            </w:pPr>
            <w:r>
              <w:rPr>
                <w:rFonts w:ascii="Arial" w:cs="Arial" w:eastAsia="Arial" w:hAnsi="Arial"/>
                <w:sz w:val="18"/>
                <w:szCs w:val="18"/>
                <w:color w:val="auto"/>
                <w:w w:val="99"/>
              </w:rPr>
              <w:t>$</w:t>
            </w:r>
          </w:p>
        </w:tc>
        <w:tc>
          <w:tcPr>
            <w:tcW w:w="460" w:type="dxa"/>
            <w:vAlign w:val="bottom"/>
            <w:gridSpan w:val="2"/>
          </w:tcPr>
          <w:p>
            <w:pPr>
              <w:ind w:left="20"/>
              <w:spacing w:after="0"/>
              <w:rPr>
                <w:sz w:val="20"/>
                <w:szCs w:val="20"/>
                <w:color w:val="auto"/>
              </w:rPr>
            </w:pPr>
            <w:r>
              <w:rPr>
                <w:rFonts w:ascii="Arial" w:cs="Arial" w:eastAsia="Arial" w:hAnsi="Arial"/>
                <w:sz w:val="18"/>
                <w:szCs w:val="18"/>
                <w:color w:val="auto"/>
              </w:rPr>
              <w:t>—</w:t>
            </w:r>
          </w:p>
        </w:tc>
        <w:tc>
          <w:tcPr>
            <w:tcW w:w="1080" w:type="dxa"/>
            <w:vAlign w:val="bottom"/>
          </w:tcPr>
          <w:p>
            <w:pPr>
              <w:jc w:val="right"/>
              <w:ind w:right="870"/>
              <w:spacing w:after="0"/>
              <w:rPr>
                <w:sz w:val="20"/>
                <w:szCs w:val="20"/>
                <w:color w:val="auto"/>
              </w:rPr>
            </w:pPr>
            <w:r>
              <w:rPr>
                <w:rFonts w:ascii="Arial" w:cs="Arial" w:eastAsia="Arial" w:hAnsi="Arial"/>
                <w:sz w:val="18"/>
                <w:szCs w:val="18"/>
                <w:color w:val="auto"/>
                <w:w w:val="99"/>
              </w:rPr>
              <w:t>$</w:t>
            </w:r>
          </w:p>
        </w:tc>
        <w:tc>
          <w:tcPr>
            <w:tcW w:w="460" w:type="dxa"/>
            <w:vAlign w:val="bottom"/>
            <w:gridSpan w:val="2"/>
          </w:tcPr>
          <w:p>
            <w:pPr>
              <w:ind w:left="20"/>
              <w:spacing w:after="0"/>
              <w:rPr>
                <w:sz w:val="20"/>
                <w:szCs w:val="20"/>
                <w:color w:val="auto"/>
              </w:rPr>
            </w:pPr>
            <w:r>
              <w:rPr>
                <w:rFonts w:ascii="Arial" w:cs="Arial" w:eastAsia="Arial" w:hAnsi="Arial"/>
                <w:sz w:val="18"/>
                <w:szCs w:val="18"/>
                <w:color w:val="auto"/>
              </w:rPr>
              <w:t>—</w:t>
            </w: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(522)</w:t>
            </w:r>
          </w:p>
        </w:tc>
        <w:tc>
          <w:tcPr>
            <w:tcW w:w="100" w:type="dxa"/>
            <w:vAlign w:val="bottom"/>
          </w:tcPr>
          <w:p>
            <w:pPr>
              <w:spacing w:after="0"/>
              <w:rPr>
                <w:sz w:val="22"/>
                <w:szCs w:val="22"/>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160" w:type="dxa"/>
            <w:vAlign w:val="bottom"/>
          </w:tcPr>
          <w:p>
            <w:pPr>
              <w:jc w:val="right"/>
              <w:ind w:right="30"/>
              <w:spacing w:after="0"/>
              <w:rPr>
                <w:sz w:val="20"/>
                <w:szCs w:val="20"/>
                <w:color w:val="auto"/>
              </w:rPr>
            </w:pPr>
            <w:r>
              <w:rPr>
                <w:rFonts w:ascii="Arial" w:cs="Arial" w:eastAsia="Arial" w:hAnsi="Arial"/>
                <w:sz w:val="18"/>
                <w:szCs w:val="18"/>
                <w:color w:val="auto"/>
              </w:rPr>
              <w:t>(522)</w:t>
            </w:r>
          </w:p>
        </w:tc>
      </w:tr>
      <w:tr>
        <w:trPr>
          <w:trHeight w:val="229"/>
        </w:trPr>
        <w:tc>
          <w:tcPr>
            <w:tcW w:w="5160" w:type="dxa"/>
            <w:vAlign w:val="bottom"/>
            <w:shd w:val="clear" w:color="auto" w:fill="CCEEFF"/>
          </w:tcPr>
          <w:p>
            <w:pPr>
              <w:ind w:left="20"/>
              <w:spacing w:after="0"/>
              <w:rPr>
                <w:sz w:val="20"/>
                <w:szCs w:val="20"/>
                <w:color w:val="auto"/>
              </w:rPr>
            </w:pPr>
            <w:r>
              <w:rPr>
                <w:rFonts w:ascii="Arial" w:cs="Arial" w:eastAsia="Arial" w:hAnsi="Arial"/>
                <w:sz w:val="18"/>
                <w:szCs w:val="18"/>
                <w:color w:val="auto"/>
              </w:rPr>
              <w:t>Compound embedded derivative with the Loan Agreement with</w:t>
            </w:r>
          </w:p>
        </w:tc>
        <w:tc>
          <w:tcPr>
            <w:tcW w:w="108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r>
      <w:tr>
        <w:trPr>
          <w:trHeight w:val="237"/>
        </w:trPr>
        <w:tc>
          <w:tcPr>
            <w:tcW w:w="51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Thermo</w:t>
            </w:r>
          </w:p>
        </w:tc>
        <w:tc>
          <w:tcPr>
            <w:tcW w:w="1080" w:type="dxa"/>
            <w:vAlign w:val="bottom"/>
            <w:tcBorders>
              <w:bottom w:val="single" w:sz="8" w:color="CCEEFF"/>
            </w:tcBorders>
            <w:shd w:val="clear" w:color="auto" w:fill="CCEEFF"/>
          </w:tcPr>
          <w:p>
            <w:pPr>
              <w:spacing w:after="0"/>
              <w:rPr>
                <w:sz w:val="20"/>
                <w:szCs w:val="20"/>
                <w:color w:val="auto"/>
              </w:rPr>
            </w:pPr>
          </w:p>
        </w:tc>
        <w:tc>
          <w:tcPr>
            <w:tcW w:w="46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080" w:type="dxa"/>
            <w:vAlign w:val="bottom"/>
            <w:tcBorders>
              <w:bottom w:val="single" w:sz="8" w:color="CCEEFF"/>
            </w:tcBorders>
            <w:shd w:val="clear" w:color="auto" w:fill="CCEEFF"/>
          </w:tcPr>
          <w:p>
            <w:pPr>
              <w:spacing w:after="0"/>
              <w:rPr>
                <w:sz w:val="20"/>
                <w:szCs w:val="20"/>
                <w:color w:val="auto"/>
              </w:rPr>
            </w:pPr>
          </w:p>
        </w:tc>
        <w:tc>
          <w:tcPr>
            <w:tcW w:w="46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(1,270)</w:t>
            </w:r>
          </w:p>
        </w:tc>
        <w:tc>
          <w:tcPr>
            <w:tcW w:w="10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(1,270)</w:t>
            </w:r>
          </w:p>
        </w:tc>
      </w:tr>
      <w:tr>
        <w:trPr>
          <w:trHeight w:val="229"/>
        </w:trPr>
        <w:tc>
          <w:tcPr>
            <w:tcW w:w="5160" w:type="dxa"/>
            <w:vAlign w:val="bottom"/>
          </w:tcPr>
          <w:p>
            <w:pPr>
              <w:ind w:left="20"/>
              <w:spacing w:after="0"/>
              <w:rPr>
                <w:sz w:val="20"/>
                <w:szCs w:val="20"/>
                <w:color w:val="auto"/>
              </w:rPr>
            </w:pPr>
            <w:r>
              <w:rPr>
                <w:rFonts w:ascii="Arial" w:cs="Arial" w:eastAsia="Arial" w:hAnsi="Arial"/>
                <w:sz w:val="18"/>
                <w:szCs w:val="18"/>
                <w:color w:val="auto"/>
                <w:w w:val="97"/>
              </w:rPr>
              <w:t>Compound embedded derivative with the Second Lien Term Loan</w:t>
            </w:r>
          </w:p>
        </w:tc>
        <w:tc>
          <w:tcPr>
            <w:tcW w:w="10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60" w:type="dxa"/>
            <w:vAlign w:val="bottom"/>
          </w:tcPr>
          <w:p>
            <w:pPr>
              <w:spacing w:after="0"/>
              <w:rPr>
                <w:sz w:val="19"/>
                <w:szCs w:val="19"/>
                <w:color w:val="auto"/>
              </w:rPr>
            </w:pPr>
          </w:p>
        </w:tc>
      </w:tr>
      <w:tr>
        <w:trPr>
          <w:trHeight w:val="230"/>
        </w:trPr>
        <w:tc>
          <w:tcPr>
            <w:tcW w:w="5160" w:type="dxa"/>
            <w:vAlign w:val="bottom"/>
          </w:tcPr>
          <w:p>
            <w:pPr>
              <w:ind w:left="20"/>
              <w:spacing w:after="0"/>
              <w:rPr>
                <w:sz w:val="20"/>
                <w:szCs w:val="20"/>
                <w:color w:val="auto"/>
              </w:rPr>
            </w:pPr>
            <w:r>
              <w:rPr>
                <w:rFonts w:ascii="Arial" w:cs="Arial" w:eastAsia="Arial" w:hAnsi="Arial"/>
                <w:sz w:val="18"/>
                <w:szCs w:val="18"/>
                <w:color w:val="auto"/>
              </w:rPr>
              <w:t>Facility</w:t>
            </w:r>
          </w:p>
        </w:tc>
        <w:tc>
          <w:tcPr>
            <w:tcW w:w="1080" w:type="dxa"/>
            <w:vAlign w:val="bottom"/>
          </w:tcPr>
          <w:p>
            <w:pPr>
              <w:spacing w:after="0"/>
              <w:rPr>
                <w:sz w:val="20"/>
                <w:szCs w:val="20"/>
                <w:color w:val="auto"/>
              </w:rPr>
            </w:pPr>
          </w:p>
        </w:tc>
        <w:tc>
          <w:tcPr>
            <w:tcW w:w="460" w:type="dxa"/>
            <w:vAlign w:val="bottom"/>
            <w:gridSpan w:val="2"/>
          </w:tcPr>
          <w:p>
            <w:pPr>
              <w:ind w:left="20"/>
              <w:spacing w:after="0"/>
              <w:rPr>
                <w:sz w:val="20"/>
                <w:szCs w:val="20"/>
                <w:color w:val="auto"/>
              </w:rPr>
            </w:pPr>
            <w:r>
              <w:rPr>
                <w:rFonts w:ascii="Arial" w:cs="Arial" w:eastAsia="Arial" w:hAnsi="Arial"/>
                <w:sz w:val="18"/>
                <w:szCs w:val="18"/>
                <w:color w:val="auto"/>
              </w:rPr>
              <w:t>—</w:t>
            </w:r>
          </w:p>
        </w:tc>
        <w:tc>
          <w:tcPr>
            <w:tcW w:w="1080" w:type="dxa"/>
            <w:vAlign w:val="bottom"/>
          </w:tcPr>
          <w:p>
            <w:pPr>
              <w:spacing w:after="0"/>
              <w:rPr>
                <w:sz w:val="20"/>
                <w:szCs w:val="20"/>
                <w:color w:val="auto"/>
              </w:rPr>
            </w:pPr>
          </w:p>
        </w:tc>
        <w:tc>
          <w:tcPr>
            <w:tcW w:w="460" w:type="dxa"/>
            <w:vAlign w:val="bottom"/>
            <w:gridSpan w:val="2"/>
          </w:tcPr>
          <w:p>
            <w:pPr>
              <w:ind w:left="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0"/>
                <w:szCs w:val="20"/>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(2,000)</w:t>
            </w: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160" w:type="dxa"/>
            <w:vAlign w:val="bottom"/>
          </w:tcPr>
          <w:p>
            <w:pPr>
              <w:jc w:val="right"/>
              <w:ind w:right="30"/>
              <w:spacing w:after="0"/>
              <w:rPr>
                <w:sz w:val="20"/>
                <w:szCs w:val="20"/>
                <w:color w:val="auto"/>
              </w:rPr>
            </w:pPr>
            <w:r>
              <w:rPr>
                <w:rFonts w:ascii="Arial" w:cs="Arial" w:eastAsia="Arial" w:hAnsi="Arial"/>
                <w:sz w:val="18"/>
                <w:szCs w:val="18"/>
                <w:color w:val="auto"/>
              </w:rPr>
              <w:t>(2,000)</w:t>
            </w:r>
          </w:p>
        </w:tc>
      </w:tr>
      <w:tr>
        <w:trPr>
          <w:trHeight w:val="27"/>
        </w:trPr>
        <w:tc>
          <w:tcPr>
            <w:tcW w:w="5160" w:type="dxa"/>
            <w:vAlign w:val="bottom"/>
            <w:tcBorders>
              <w:bottom w:val="single" w:sz="8" w:color="CCEEFF"/>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r>
      <w:tr>
        <w:trPr>
          <w:trHeight w:val="284"/>
        </w:trPr>
        <w:tc>
          <w:tcPr>
            <w:tcW w:w="5160" w:type="dxa"/>
            <w:vAlign w:val="bottom"/>
            <w:shd w:val="clear" w:color="auto" w:fill="CCEEFF"/>
          </w:tcPr>
          <w:p>
            <w:pPr>
              <w:ind w:left="220"/>
              <w:spacing w:after="0"/>
              <w:rPr>
                <w:sz w:val="20"/>
                <w:szCs w:val="20"/>
                <w:color w:val="auto"/>
              </w:rPr>
            </w:pPr>
            <w:r>
              <w:rPr>
                <w:rFonts w:ascii="Arial" w:cs="Arial" w:eastAsia="Arial" w:hAnsi="Arial"/>
                <w:sz w:val="18"/>
                <w:szCs w:val="18"/>
                <w:color w:val="auto"/>
              </w:rPr>
              <w:t>Total liabilities measured at fair value</w:t>
            </w:r>
          </w:p>
        </w:tc>
        <w:tc>
          <w:tcPr>
            <w:tcW w:w="1080" w:type="dxa"/>
            <w:vAlign w:val="bottom"/>
            <w:shd w:val="clear" w:color="auto" w:fill="CCEEFF"/>
          </w:tcPr>
          <w:p>
            <w:pPr>
              <w:jc w:val="right"/>
              <w:ind w:right="870"/>
              <w:spacing w:after="0"/>
              <w:rPr>
                <w:sz w:val="20"/>
                <w:szCs w:val="20"/>
                <w:color w:val="auto"/>
              </w:rPr>
            </w:pPr>
            <w:r>
              <w:rPr>
                <w:rFonts w:ascii="Arial" w:cs="Arial" w:eastAsia="Arial" w:hAnsi="Arial"/>
                <w:sz w:val="18"/>
                <w:szCs w:val="18"/>
                <w:color w:val="auto"/>
                <w:w w:val="99"/>
              </w:rPr>
              <w:t>$</w:t>
            </w:r>
          </w:p>
        </w:tc>
        <w:tc>
          <w:tcPr>
            <w:tcW w:w="46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080" w:type="dxa"/>
            <w:vAlign w:val="bottom"/>
            <w:shd w:val="clear" w:color="auto" w:fill="CCEEFF"/>
          </w:tcPr>
          <w:p>
            <w:pPr>
              <w:jc w:val="right"/>
              <w:ind w:right="870"/>
              <w:spacing w:after="0"/>
              <w:rPr>
                <w:sz w:val="20"/>
                <w:szCs w:val="20"/>
                <w:color w:val="auto"/>
              </w:rPr>
            </w:pPr>
            <w:r>
              <w:rPr>
                <w:rFonts w:ascii="Arial" w:cs="Arial" w:eastAsia="Arial" w:hAnsi="Arial"/>
                <w:sz w:val="18"/>
                <w:szCs w:val="18"/>
                <w:color w:val="auto"/>
                <w:w w:val="99"/>
              </w:rPr>
              <w:t>$</w:t>
            </w:r>
          </w:p>
        </w:tc>
        <w:tc>
          <w:tcPr>
            <w:tcW w:w="46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20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(3,792)</w:t>
            </w: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1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(3,792)</w:t>
            </w:r>
          </w:p>
        </w:tc>
      </w:tr>
      <w:tr>
        <w:trPr>
          <w:trHeight w:val="20"/>
        </w:trPr>
        <w:tc>
          <w:tcPr>
            <w:tcW w:w="5160" w:type="dxa"/>
            <w:vAlign w:val="bottom"/>
            <w:tcBorders>
              <w:top w:val="single" w:sz="8" w:color="CCEEFF"/>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r>
    </w:tbl>
    <w:p>
      <w:pPr>
        <w:spacing w:after="0" w:line="32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Derivative Liabilities</w:t>
      </w:r>
    </w:p>
    <w:p>
      <w:pPr>
        <w:spacing w:after="0" w:line="252" w:lineRule="exact"/>
        <w:rPr>
          <w:sz w:val="20"/>
          <w:szCs w:val="20"/>
          <w:color w:val="auto"/>
        </w:rPr>
      </w:pPr>
    </w:p>
    <w:p>
      <w:pPr>
        <w:jc w:val="both"/>
        <w:ind w:firstLine="324"/>
        <w:spacing w:after="0" w:line="308" w:lineRule="auto"/>
        <w:rPr>
          <w:sz w:val="20"/>
          <w:szCs w:val="20"/>
          <w:color w:val="auto"/>
        </w:rPr>
      </w:pPr>
      <w:r>
        <w:rPr>
          <w:rFonts w:ascii="Arial" w:cs="Arial" w:eastAsia="Arial" w:hAnsi="Arial"/>
          <w:sz w:val="17"/>
          <w:szCs w:val="17"/>
          <w:color w:val="auto"/>
        </w:rPr>
        <w:t>All of the Company's derivative liabilities are classified as Level 3. The Company marks-to-market these liabilities at each reporting date, or more frequently as deemed necessary, with the changes in fair value recognized in the Company’s condensed consolidated statements of operations.</w:t>
      </w:r>
    </w:p>
    <w:p>
      <w:pPr>
        <w:sectPr>
          <w:pgSz w:w="11900" w:h="16838" w:orient="portrait"/>
          <w:cols w:equalWidth="0" w:num="1">
            <w:col w:w="11240"/>
          </w:cols>
          <w:pgMar w:left="320" w:top="1138"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97790</wp:posOffset>
            </wp:positionV>
            <wp:extent cx="7132320" cy="171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38" w:right="339" w:bottom="1440" w:gutter="0" w:footer="0" w:header="0"/>
          <w:type w:val="continuous"/>
        </w:sectPr>
      </w:pPr>
    </w:p>
    <w:bookmarkStart w:id="17" w:name="page18"/>
    <w:bookmarkEnd w:id="17"/>
    <w:tbl>
      <w:tblPr>
        <w:tblLayout w:type="fixed"/>
        <w:tblInd w:w="0" w:type="dxa"/>
        <w:tblCellMar>
          <w:top w:w="0" w:type="dxa"/>
          <w:left w:w="0" w:type="dxa"/>
          <w:bottom w:w="0" w:type="dxa"/>
          <w:right w:w="0" w:type="dxa"/>
        </w:tblCellMar>
      </w:tblPr>
      <w:tr>
        <w:trPr>
          <w:trHeight w:val="230"/>
        </w:trPr>
        <w:tc>
          <w:tcPr>
            <w:tcW w:w="4120" w:type="dxa"/>
            <w:vAlign w:val="bottom"/>
          </w:tcPr>
          <w:p>
            <w:pPr>
              <w:spacing w:after="0"/>
              <w:rPr>
                <w:sz w:val="20"/>
                <w:szCs w:val="20"/>
                <w:color w:val="auto"/>
              </w:rPr>
            </w:pPr>
            <w:r>
              <w:rPr>
                <w:rFonts w:ascii="Arial" w:cs="Arial" w:eastAsia="Arial" w:hAnsi="Arial"/>
                <w:sz w:val="18"/>
                <w:szCs w:val="18"/>
                <w:i w:val="1"/>
                <w:iCs w:val="1"/>
                <w:color w:val="auto"/>
                <w:w w:val="96"/>
              </w:rPr>
              <w:t>2013 8.00% Notes and Loan Agreement with Thermo</w:t>
            </w:r>
          </w:p>
        </w:tc>
        <w:tc>
          <w:tcPr>
            <w:tcW w:w="13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59"/>
        </w:trPr>
        <w:tc>
          <w:tcPr>
            <w:tcW w:w="8420" w:type="dxa"/>
            <w:vAlign w:val="bottom"/>
            <w:gridSpan w:val="7"/>
          </w:tcPr>
          <w:p>
            <w:pPr>
              <w:ind w:left="340"/>
              <w:spacing w:after="0"/>
              <w:rPr>
                <w:sz w:val="20"/>
                <w:szCs w:val="20"/>
                <w:color w:val="auto"/>
              </w:rPr>
            </w:pPr>
            <w:r>
              <w:rPr>
                <w:rFonts w:ascii="Arial" w:cs="Arial" w:eastAsia="Arial" w:hAnsi="Arial"/>
                <w:sz w:val="18"/>
                <w:szCs w:val="18"/>
                <w:color w:val="auto"/>
                <w:w w:val="97"/>
              </w:rPr>
              <w:t>The significant quantitative Level 3 inputs utilized in the valuation models are shown in the tables below:</w:t>
            </w:r>
          </w:p>
        </w:tc>
        <w:tc>
          <w:tcPr>
            <w:tcW w:w="1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4"/>
        </w:trPr>
        <w:tc>
          <w:tcPr>
            <w:tcW w:w="412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0" w:type="dxa"/>
            <w:vAlign w:val="bottom"/>
            <w:gridSpan w:val="2"/>
          </w:tcPr>
          <w:p>
            <w:pPr>
              <w:jc w:val="center"/>
              <w:ind w:right="120"/>
              <w:spacing w:after="0"/>
              <w:rPr>
                <w:sz w:val="20"/>
                <w:szCs w:val="20"/>
                <w:color w:val="auto"/>
              </w:rPr>
            </w:pPr>
            <w:r>
              <w:rPr>
                <w:rFonts w:ascii="Arial" w:cs="Arial" w:eastAsia="Arial" w:hAnsi="Arial"/>
                <w:sz w:val="18"/>
                <w:szCs w:val="18"/>
                <w:color w:val="auto"/>
                <w:w w:val="87"/>
              </w:rPr>
              <w:t>June 30, 2020</w:t>
            </w:r>
          </w:p>
        </w:tc>
        <w:tc>
          <w:tcPr>
            <w:tcW w:w="1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4120" w:type="dxa"/>
            <w:vAlign w:val="bottom"/>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gridSpan w:val="2"/>
          </w:tcPr>
          <w:p>
            <w:pPr>
              <w:spacing w:after="0"/>
              <w:rPr>
                <w:sz w:val="2"/>
                <w:szCs w:val="2"/>
                <w:color w:val="auto"/>
              </w:rPr>
            </w:pPr>
          </w:p>
        </w:tc>
        <w:tc>
          <w:tcPr>
            <w:tcW w:w="1400" w:type="dxa"/>
            <w:vAlign w:val="bottom"/>
            <w:tcBorders>
              <w:bottom w:val="single" w:sz="8" w:color="auto"/>
            </w:tcBorders>
            <w:gridSpan w:val="2"/>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2"/>
        </w:trPr>
        <w:tc>
          <w:tcPr>
            <w:tcW w:w="412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80" w:type="dxa"/>
            <w:vAlign w:val="bottom"/>
            <w:gridSpan w:val="2"/>
          </w:tcPr>
          <w:p>
            <w:pPr>
              <w:jc w:val="center"/>
              <w:ind w:right="100"/>
              <w:spacing w:after="0"/>
              <w:rPr>
                <w:sz w:val="20"/>
                <w:szCs w:val="20"/>
                <w:color w:val="auto"/>
              </w:rPr>
            </w:pPr>
            <w:r>
              <w:rPr>
                <w:rFonts w:ascii="Arial" w:cs="Arial" w:eastAsia="Arial" w:hAnsi="Arial"/>
                <w:sz w:val="18"/>
                <w:szCs w:val="18"/>
                <w:color w:val="auto"/>
                <w:w w:val="89"/>
              </w:rPr>
              <w:t>Risk-Free</w:t>
            </w:r>
          </w:p>
        </w:tc>
        <w:tc>
          <w:tcPr>
            <w:tcW w:w="1400" w:type="dxa"/>
            <w:vAlign w:val="bottom"/>
            <w:gridSpan w:val="2"/>
          </w:tcPr>
          <w:p>
            <w:pPr>
              <w:jc w:val="center"/>
              <w:ind w:right="120"/>
              <w:spacing w:after="0"/>
              <w:rPr>
                <w:sz w:val="20"/>
                <w:szCs w:val="20"/>
                <w:color w:val="auto"/>
              </w:rPr>
            </w:pPr>
            <w:r>
              <w:rPr>
                <w:rFonts w:ascii="Arial" w:cs="Arial" w:eastAsia="Arial" w:hAnsi="Arial"/>
                <w:sz w:val="18"/>
                <w:szCs w:val="18"/>
                <w:color w:val="auto"/>
                <w:w w:val="94"/>
              </w:rPr>
              <w:t>Note</w:t>
            </w:r>
          </w:p>
        </w:tc>
        <w:tc>
          <w:tcPr>
            <w:tcW w:w="13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4120" w:type="dxa"/>
            <w:vAlign w:val="bottom"/>
          </w:tcPr>
          <w:p>
            <w:pPr>
              <w:spacing w:after="0"/>
              <w:rPr>
                <w:sz w:val="18"/>
                <w:szCs w:val="18"/>
                <w:color w:val="auto"/>
              </w:rPr>
            </w:pPr>
          </w:p>
        </w:tc>
        <w:tc>
          <w:tcPr>
            <w:tcW w:w="1420" w:type="dxa"/>
            <w:vAlign w:val="bottom"/>
            <w:gridSpan w:val="2"/>
          </w:tcPr>
          <w:p>
            <w:pPr>
              <w:jc w:val="center"/>
              <w:ind w:right="100"/>
              <w:spacing w:after="0"/>
              <w:rPr>
                <w:sz w:val="20"/>
                <w:szCs w:val="20"/>
                <w:color w:val="auto"/>
              </w:rPr>
            </w:pPr>
            <w:r>
              <w:rPr>
                <w:rFonts w:ascii="Arial" w:cs="Arial" w:eastAsia="Arial" w:hAnsi="Arial"/>
                <w:sz w:val="18"/>
                <w:szCs w:val="18"/>
                <w:color w:val="auto"/>
                <w:w w:val="92"/>
              </w:rPr>
              <w:t>Stock Price</w:t>
            </w:r>
          </w:p>
        </w:tc>
        <w:tc>
          <w:tcPr>
            <w:tcW w:w="1480" w:type="dxa"/>
            <w:vAlign w:val="bottom"/>
            <w:gridSpan w:val="2"/>
          </w:tcPr>
          <w:p>
            <w:pPr>
              <w:jc w:val="center"/>
              <w:ind w:right="100"/>
              <w:spacing w:after="0"/>
              <w:rPr>
                <w:sz w:val="20"/>
                <w:szCs w:val="20"/>
                <w:color w:val="auto"/>
              </w:rPr>
            </w:pPr>
            <w:r>
              <w:rPr>
                <w:rFonts w:ascii="Arial" w:cs="Arial" w:eastAsia="Arial" w:hAnsi="Arial"/>
                <w:sz w:val="18"/>
                <w:szCs w:val="18"/>
                <w:color w:val="auto"/>
                <w:w w:val="89"/>
              </w:rPr>
              <w:t>Interest</w:t>
            </w:r>
          </w:p>
        </w:tc>
        <w:tc>
          <w:tcPr>
            <w:tcW w:w="1400" w:type="dxa"/>
            <w:vAlign w:val="bottom"/>
            <w:gridSpan w:val="2"/>
          </w:tcPr>
          <w:p>
            <w:pPr>
              <w:jc w:val="center"/>
              <w:ind w:right="120"/>
              <w:spacing w:after="0"/>
              <w:rPr>
                <w:sz w:val="20"/>
                <w:szCs w:val="20"/>
                <w:color w:val="auto"/>
              </w:rPr>
            </w:pPr>
            <w:r>
              <w:rPr>
                <w:rFonts w:ascii="Arial" w:cs="Arial" w:eastAsia="Arial" w:hAnsi="Arial"/>
                <w:sz w:val="18"/>
                <w:szCs w:val="18"/>
                <w:color w:val="auto"/>
                <w:w w:val="92"/>
              </w:rPr>
              <w:t>Conversion</w:t>
            </w:r>
          </w:p>
        </w:tc>
        <w:tc>
          <w:tcPr>
            <w:tcW w:w="1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00" w:type="dxa"/>
            <w:vAlign w:val="bottom"/>
          </w:tcPr>
          <w:p>
            <w:pPr>
              <w:ind w:left="100"/>
              <w:spacing w:after="0"/>
              <w:rPr>
                <w:sz w:val="20"/>
                <w:szCs w:val="20"/>
                <w:color w:val="auto"/>
              </w:rPr>
            </w:pPr>
            <w:r>
              <w:rPr>
                <w:rFonts w:ascii="Arial" w:cs="Arial" w:eastAsia="Arial" w:hAnsi="Arial"/>
                <w:sz w:val="18"/>
                <w:szCs w:val="18"/>
                <w:color w:val="auto"/>
                <w:w w:val="97"/>
              </w:rPr>
              <w:t>Market Price of</w:t>
            </w:r>
          </w:p>
        </w:tc>
        <w:tc>
          <w:tcPr>
            <w:tcW w:w="0" w:type="dxa"/>
            <w:vAlign w:val="bottom"/>
          </w:tcPr>
          <w:p>
            <w:pPr>
              <w:spacing w:after="0"/>
              <w:rPr>
                <w:sz w:val="1"/>
                <w:szCs w:val="1"/>
                <w:color w:val="auto"/>
              </w:rPr>
            </w:pPr>
          </w:p>
        </w:tc>
      </w:tr>
      <w:tr>
        <w:trPr>
          <w:trHeight w:val="230"/>
        </w:trPr>
        <w:tc>
          <w:tcPr>
            <w:tcW w:w="4120" w:type="dxa"/>
            <w:vAlign w:val="bottom"/>
          </w:tcPr>
          <w:p>
            <w:pPr>
              <w:spacing w:after="0"/>
              <w:rPr>
                <w:sz w:val="20"/>
                <w:szCs w:val="20"/>
                <w:color w:val="auto"/>
              </w:rPr>
            </w:pPr>
          </w:p>
        </w:tc>
        <w:tc>
          <w:tcPr>
            <w:tcW w:w="1420" w:type="dxa"/>
            <w:vAlign w:val="bottom"/>
            <w:gridSpan w:val="2"/>
          </w:tcPr>
          <w:p>
            <w:pPr>
              <w:jc w:val="center"/>
              <w:ind w:right="100"/>
              <w:spacing w:after="0"/>
              <w:rPr>
                <w:sz w:val="20"/>
                <w:szCs w:val="20"/>
                <w:color w:val="auto"/>
              </w:rPr>
            </w:pPr>
            <w:r>
              <w:rPr>
                <w:rFonts w:ascii="Arial" w:cs="Arial" w:eastAsia="Arial" w:hAnsi="Arial"/>
                <w:sz w:val="18"/>
                <w:szCs w:val="18"/>
                <w:color w:val="auto"/>
              </w:rPr>
              <w:t>Volatility</w:t>
            </w:r>
          </w:p>
        </w:tc>
        <w:tc>
          <w:tcPr>
            <w:tcW w:w="1480" w:type="dxa"/>
            <w:vAlign w:val="bottom"/>
            <w:gridSpan w:val="2"/>
          </w:tcPr>
          <w:p>
            <w:pPr>
              <w:jc w:val="center"/>
              <w:ind w:right="120"/>
              <w:spacing w:after="0"/>
              <w:rPr>
                <w:sz w:val="20"/>
                <w:szCs w:val="20"/>
                <w:color w:val="auto"/>
              </w:rPr>
            </w:pPr>
            <w:r>
              <w:rPr>
                <w:rFonts w:ascii="Arial" w:cs="Arial" w:eastAsia="Arial" w:hAnsi="Arial"/>
                <w:sz w:val="18"/>
                <w:szCs w:val="18"/>
                <w:color w:val="auto"/>
                <w:w w:val="84"/>
              </w:rPr>
              <w:t>Rate</w:t>
            </w:r>
          </w:p>
        </w:tc>
        <w:tc>
          <w:tcPr>
            <w:tcW w:w="1400" w:type="dxa"/>
            <w:vAlign w:val="bottom"/>
            <w:gridSpan w:val="2"/>
          </w:tcPr>
          <w:p>
            <w:pPr>
              <w:jc w:val="center"/>
              <w:ind w:right="120"/>
              <w:spacing w:after="0"/>
              <w:rPr>
                <w:sz w:val="20"/>
                <w:szCs w:val="20"/>
                <w:color w:val="auto"/>
              </w:rPr>
            </w:pPr>
            <w:r>
              <w:rPr>
                <w:rFonts w:ascii="Arial" w:cs="Arial" w:eastAsia="Arial" w:hAnsi="Arial"/>
                <w:sz w:val="18"/>
                <w:szCs w:val="18"/>
                <w:color w:val="auto"/>
                <w:w w:val="87"/>
              </w:rPr>
              <w:t>Price</w:t>
            </w:r>
          </w:p>
        </w:tc>
        <w:tc>
          <w:tcPr>
            <w:tcW w:w="1460" w:type="dxa"/>
            <w:vAlign w:val="bottom"/>
            <w:gridSpan w:val="2"/>
          </w:tcPr>
          <w:p>
            <w:pPr>
              <w:ind w:left="160"/>
              <w:spacing w:after="0"/>
              <w:rPr>
                <w:sz w:val="20"/>
                <w:szCs w:val="20"/>
                <w:color w:val="auto"/>
              </w:rPr>
            </w:pPr>
            <w:r>
              <w:rPr>
                <w:rFonts w:ascii="Arial" w:cs="Arial" w:eastAsia="Arial" w:hAnsi="Arial"/>
                <w:sz w:val="18"/>
                <w:szCs w:val="18"/>
                <w:color w:val="auto"/>
              </w:rPr>
              <w:t>Discount Rate</w:t>
            </w:r>
          </w:p>
        </w:tc>
        <w:tc>
          <w:tcPr>
            <w:tcW w:w="1300" w:type="dxa"/>
            <w:vAlign w:val="bottom"/>
          </w:tcPr>
          <w:p>
            <w:pPr>
              <w:ind w:left="100"/>
              <w:spacing w:after="0"/>
              <w:rPr>
                <w:sz w:val="20"/>
                <w:szCs w:val="20"/>
                <w:color w:val="auto"/>
              </w:rPr>
            </w:pPr>
            <w:r>
              <w:rPr>
                <w:rFonts w:ascii="Arial" w:cs="Arial" w:eastAsia="Arial" w:hAnsi="Arial"/>
                <w:sz w:val="18"/>
                <w:szCs w:val="18"/>
                <w:color w:val="auto"/>
                <w:w w:val="95"/>
              </w:rPr>
              <w:t>Common Stock</w:t>
            </w:r>
          </w:p>
        </w:tc>
        <w:tc>
          <w:tcPr>
            <w:tcW w:w="0" w:type="dxa"/>
            <w:vAlign w:val="bottom"/>
          </w:tcPr>
          <w:p>
            <w:pPr>
              <w:spacing w:after="0"/>
              <w:rPr>
                <w:sz w:val="1"/>
                <w:szCs w:val="1"/>
                <w:color w:val="auto"/>
              </w:rPr>
            </w:pPr>
          </w:p>
        </w:tc>
      </w:tr>
      <w:tr>
        <w:trPr>
          <w:trHeight w:val="27"/>
        </w:trPr>
        <w:tc>
          <w:tcPr>
            <w:tcW w:w="4120" w:type="dxa"/>
            <w:vAlign w:val="bottom"/>
            <w:tcBorders>
              <w:bottom w:val="single" w:sz="8" w:color="CCEEFF"/>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56"/>
        </w:trPr>
        <w:tc>
          <w:tcPr>
            <w:tcW w:w="4120" w:type="dxa"/>
            <w:vAlign w:val="bottom"/>
            <w:shd w:val="clear" w:color="auto" w:fill="CCEEFF"/>
          </w:tcPr>
          <w:p>
            <w:pPr>
              <w:ind w:left="20"/>
              <w:spacing w:after="0" w:line="156" w:lineRule="exact"/>
              <w:rPr>
                <w:sz w:val="20"/>
                <w:szCs w:val="20"/>
                <w:color w:val="auto"/>
              </w:rPr>
            </w:pPr>
            <w:r>
              <w:rPr>
                <w:rFonts w:ascii="Arial" w:cs="Arial" w:eastAsia="Arial" w:hAnsi="Arial"/>
                <w:sz w:val="18"/>
                <w:szCs w:val="18"/>
                <w:color w:val="auto"/>
                <w:w w:val="95"/>
              </w:rPr>
              <w:t>Compound embedded derivative with the 2013 8.00%</w:t>
            </w:r>
          </w:p>
        </w:tc>
        <w:tc>
          <w:tcPr>
            <w:tcW w:w="132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80% - 115%</w:t>
            </w:r>
          </w:p>
        </w:tc>
        <w:tc>
          <w:tcPr>
            <w:tcW w:w="100" w:type="dxa"/>
            <w:vAlign w:val="bottom"/>
            <w:shd w:val="clear" w:color="auto" w:fill="CCEEFF"/>
          </w:tcPr>
          <w:p>
            <w:pPr>
              <w:spacing w:after="0"/>
              <w:rPr>
                <w:sz w:val="13"/>
                <w:szCs w:val="13"/>
                <w:color w:val="auto"/>
              </w:rPr>
            </w:pPr>
          </w:p>
        </w:tc>
        <w:tc>
          <w:tcPr>
            <w:tcW w:w="136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0.2 %</w:t>
            </w:r>
          </w:p>
        </w:tc>
        <w:tc>
          <w:tcPr>
            <w:tcW w:w="120" w:type="dxa"/>
            <w:vAlign w:val="bottom"/>
            <w:shd w:val="clear" w:color="auto" w:fill="CCEEFF"/>
          </w:tcPr>
          <w:p>
            <w:pPr>
              <w:spacing w:after="0"/>
              <w:rPr>
                <w:sz w:val="13"/>
                <w:szCs w:val="13"/>
                <w:color w:val="auto"/>
              </w:rPr>
            </w:pPr>
          </w:p>
        </w:tc>
        <w:tc>
          <w:tcPr>
            <w:tcW w:w="130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$0.69</w:t>
            </w:r>
          </w:p>
        </w:tc>
        <w:tc>
          <w:tcPr>
            <w:tcW w:w="100" w:type="dxa"/>
            <w:vAlign w:val="bottom"/>
            <w:shd w:val="clear" w:color="auto" w:fill="CCEEFF"/>
          </w:tcPr>
          <w:p>
            <w:pPr>
              <w:spacing w:after="0"/>
              <w:rPr>
                <w:sz w:val="13"/>
                <w:szCs w:val="13"/>
                <w:color w:val="auto"/>
              </w:rPr>
            </w:pPr>
          </w:p>
        </w:tc>
        <w:tc>
          <w:tcPr>
            <w:tcW w:w="136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27 %</w:t>
            </w:r>
          </w:p>
        </w:tc>
        <w:tc>
          <w:tcPr>
            <w:tcW w:w="100" w:type="dxa"/>
            <w:vAlign w:val="bottom"/>
            <w:shd w:val="clear" w:color="auto" w:fill="CCEEFF"/>
          </w:tcPr>
          <w:p>
            <w:pPr>
              <w:spacing w:after="0"/>
              <w:rPr>
                <w:sz w:val="13"/>
                <w:szCs w:val="13"/>
                <w:color w:val="auto"/>
              </w:rPr>
            </w:pPr>
          </w:p>
        </w:tc>
        <w:tc>
          <w:tcPr>
            <w:tcW w:w="130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$0.33</w:t>
            </w:r>
          </w:p>
        </w:tc>
        <w:tc>
          <w:tcPr>
            <w:tcW w:w="0" w:type="dxa"/>
            <w:vAlign w:val="bottom"/>
          </w:tcPr>
          <w:p>
            <w:pPr>
              <w:spacing w:after="0"/>
              <w:rPr>
                <w:sz w:val="1"/>
                <w:szCs w:val="1"/>
                <w:color w:val="auto"/>
              </w:rPr>
            </w:pPr>
          </w:p>
        </w:tc>
      </w:tr>
      <w:tr>
        <w:trPr>
          <w:trHeight w:val="229"/>
        </w:trPr>
        <w:tc>
          <w:tcPr>
            <w:tcW w:w="4120" w:type="dxa"/>
            <w:vAlign w:val="bottom"/>
            <w:shd w:val="clear" w:color="auto" w:fill="CCEEFF"/>
          </w:tcPr>
          <w:p>
            <w:pPr>
              <w:ind w:left="20"/>
              <w:spacing w:after="0"/>
              <w:rPr>
                <w:sz w:val="20"/>
                <w:szCs w:val="20"/>
                <w:color w:val="auto"/>
              </w:rPr>
            </w:pPr>
            <w:r>
              <w:rPr>
                <w:rFonts w:ascii="Arial" w:cs="Arial" w:eastAsia="Arial" w:hAnsi="Arial"/>
                <w:sz w:val="18"/>
                <w:szCs w:val="18"/>
                <w:color w:val="auto"/>
              </w:rPr>
              <w:t>Notes</w:t>
            </w:r>
          </w:p>
        </w:tc>
        <w:tc>
          <w:tcPr>
            <w:tcW w:w="1320" w:type="dxa"/>
            <w:vAlign w:val="bottom"/>
            <w:vMerge w:val="continue"/>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360" w:type="dxa"/>
            <w:vAlign w:val="bottom"/>
            <w:vMerge w:val="continue"/>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300" w:type="dxa"/>
            <w:vAlign w:val="bottom"/>
            <w:vMerge w:val="continue"/>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360" w:type="dxa"/>
            <w:vAlign w:val="bottom"/>
            <w:vMerge w:val="continue"/>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300" w:type="dxa"/>
            <w:vAlign w:val="bottom"/>
            <w:vMerge w:val="continue"/>
            <w:shd w:val="clear" w:color="auto" w:fill="CCEEFF"/>
          </w:tcPr>
          <w:p>
            <w:pPr>
              <w:spacing w:after="0"/>
              <w:rPr>
                <w:sz w:val="19"/>
                <w:szCs w:val="19"/>
                <w:color w:val="auto"/>
              </w:rPr>
            </w:pPr>
          </w:p>
        </w:tc>
        <w:tc>
          <w:tcPr>
            <w:tcW w:w="0" w:type="dxa"/>
            <w:vAlign w:val="bottom"/>
          </w:tcPr>
          <w:p>
            <w:pPr>
              <w:spacing w:after="0"/>
              <w:rPr>
                <w:sz w:val="1"/>
                <w:szCs w:val="1"/>
                <w:color w:val="auto"/>
              </w:rPr>
            </w:pPr>
          </w:p>
        </w:tc>
      </w:tr>
    </w:tbl>
    <w:p>
      <w:pPr>
        <w:spacing w:after="0" w:line="310" w:lineRule="exact"/>
        <w:rPr>
          <w:sz w:val="20"/>
          <w:szCs w:val="20"/>
          <w:color w:val="auto"/>
        </w:rPr>
      </w:pPr>
    </w:p>
    <w:p>
      <w:pPr>
        <w:jc w:val="both"/>
        <w:ind w:firstLine="324"/>
        <w:spacing w:after="0" w:line="263" w:lineRule="auto"/>
        <w:rPr>
          <w:sz w:val="20"/>
          <w:szCs w:val="20"/>
          <w:color w:val="auto"/>
        </w:rPr>
      </w:pPr>
      <w:r>
        <w:rPr>
          <w:rFonts w:ascii="Arial" w:cs="Arial" w:eastAsia="Arial" w:hAnsi="Arial"/>
          <w:sz w:val="18"/>
          <w:szCs w:val="18"/>
          <w:color w:val="auto"/>
        </w:rPr>
        <w:t>During the first quarter of 2020, the compound embedded derivative with the Loan Agreement with Thermo was extinguished and, therefore, as of June 30, 2020, the value was zero and there were no significant qualitative Level 3 inputs utilized in a valuation. See Note 4: Long-Term Debt and Other Financing Arrangements and Note 5: Derivatives for further discussion.</w:t>
      </w:r>
    </w:p>
    <w:p>
      <w:pPr>
        <w:sectPr>
          <w:pgSz w:w="11900" w:h="16838" w:orient="portrait"/>
          <w:cols w:equalWidth="0" w:num="1">
            <w:col w:w="11240"/>
          </w:cols>
          <w:pgMar w:left="320" w:top="895"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ind w:left="20"/>
        <w:spacing w:after="0" w:line="235" w:lineRule="auto"/>
        <w:rPr>
          <w:sz w:val="20"/>
          <w:szCs w:val="20"/>
          <w:color w:val="auto"/>
        </w:rPr>
      </w:pPr>
      <w:r>
        <w:rPr>
          <w:rFonts w:ascii="Arial" w:cs="Arial" w:eastAsia="Arial" w:hAnsi="Arial"/>
          <w:sz w:val="18"/>
          <w:szCs w:val="18"/>
          <w:color w:val="auto"/>
        </w:rPr>
        <w:t>Compound embedded derivative with the 2013 8.00% Notes</w:t>
      </w:r>
    </w:p>
    <w:p>
      <w:pPr>
        <w:spacing w:after="0" w:line="13" w:lineRule="exact"/>
        <w:rPr>
          <w:sz w:val="20"/>
          <w:szCs w:val="20"/>
          <w:color w:val="auto"/>
        </w:rPr>
      </w:pPr>
    </w:p>
    <w:p>
      <w:pPr>
        <w:ind w:left="20" w:right="500"/>
        <w:spacing w:after="0" w:line="277" w:lineRule="auto"/>
        <w:rPr>
          <w:sz w:val="20"/>
          <w:szCs w:val="20"/>
          <w:color w:val="auto"/>
        </w:rPr>
      </w:pPr>
      <w:r>
        <w:rPr>
          <w:rFonts w:ascii="Arial" w:cs="Arial" w:eastAsia="Arial" w:hAnsi="Arial"/>
          <w:sz w:val="18"/>
          <w:szCs w:val="18"/>
          <w:color w:val="auto"/>
        </w:rPr>
        <w:t>Compound embedded derivative with the Loan Agreement with Thermo</w:t>
      </w:r>
    </w:p>
    <w:p>
      <w:pPr>
        <w:spacing w:after="0" w:line="31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Second Lien Term Loan Facility</w:t>
      </w:r>
    </w:p>
    <w:p>
      <w:pPr>
        <w:spacing w:after="0" w:line="20" w:lineRule="exact"/>
        <w:rPr>
          <w:sz w:val="20"/>
          <w:szCs w:val="20"/>
          <w:color w:val="auto"/>
        </w:rPr>
      </w:pPr>
      <w:r>
        <w:rPr>
          <w:sz w:val="20"/>
          <w:szCs w:val="20"/>
          <w:color w:val="auto"/>
        </w:rPr>
        <w:br w:type="column"/>
      </w:r>
    </w:p>
    <w:p>
      <w:pPr>
        <w:spacing w:after="0" w:line="339"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December 31,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31750</wp:posOffset>
            </wp:positionV>
            <wp:extent cx="4483100" cy="825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4483100" cy="8255"/>
                    </a:xfrm>
                    <a:prstGeom prst="rect">
                      <a:avLst/>
                    </a:prstGeom>
                    <a:noFill/>
                  </pic:spPr>
                </pic:pic>
              </a:graphicData>
            </a:graphic>
          </wp:anchor>
        </w:drawing>
      </w:r>
    </w:p>
    <w:p>
      <w:pPr>
        <w:spacing w:after="0" w:line="5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80" w:type="dxa"/>
            <w:vAlign w:val="bottom"/>
            <w:gridSpan w:val="2"/>
          </w:tcPr>
          <w:p>
            <w:pPr>
              <w:jc w:val="center"/>
              <w:ind w:right="100"/>
              <w:spacing w:after="0"/>
              <w:rPr>
                <w:sz w:val="20"/>
                <w:szCs w:val="20"/>
                <w:color w:val="auto"/>
              </w:rPr>
            </w:pPr>
            <w:r>
              <w:rPr>
                <w:rFonts w:ascii="Arial" w:cs="Arial" w:eastAsia="Arial" w:hAnsi="Arial"/>
                <w:sz w:val="18"/>
                <w:szCs w:val="18"/>
                <w:color w:val="auto"/>
                <w:w w:val="89"/>
              </w:rPr>
              <w:t>Risk-Free</w:t>
            </w:r>
          </w:p>
        </w:tc>
        <w:tc>
          <w:tcPr>
            <w:tcW w:w="1400" w:type="dxa"/>
            <w:vAlign w:val="bottom"/>
            <w:gridSpan w:val="2"/>
          </w:tcPr>
          <w:p>
            <w:pPr>
              <w:jc w:val="center"/>
              <w:ind w:right="120"/>
              <w:spacing w:after="0"/>
              <w:rPr>
                <w:sz w:val="20"/>
                <w:szCs w:val="20"/>
                <w:color w:val="auto"/>
              </w:rPr>
            </w:pPr>
            <w:r>
              <w:rPr>
                <w:rFonts w:ascii="Arial" w:cs="Arial" w:eastAsia="Arial" w:hAnsi="Arial"/>
                <w:sz w:val="18"/>
                <w:szCs w:val="18"/>
                <w:color w:val="auto"/>
                <w:w w:val="94"/>
              </w:rPr>
              <w:t>Note</w:t>
            </w:r>
          </w:p>
        </w:tc>
        <w:tc>
          <w:tcPr>
            <w:tcW w:w="1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00" w:type="dxa"/>
            <w:vAlign w:val="bottom"/>
          </w:tcPr>
          <w:p>
            <w:pPr>
              <w:spacing w:after="0"/>
              <w:rPr>
                <w:sz w:val="18"/>
                <w:szCs w:val="18"/>
                <w:color w:val="auto"/>
              </w:rPr>
            </w:pPr>
          </w:p>
        </w:tc>
      </w:tr>
      <w:tr>
        <w:trPr>
          <w:trHeight w:val="216"/>
        </w:trPr>
        <w:tc>
          <w:tcPr>
            <w:tcW w:w="1420" w:type="dxa"/>
            <w:vAlign w:val="bottom"/>
            <w:gridSpan w:val="2"/>
          </w:tcPr>
          <w:p>
            <w:pPr>
              <w:jc w:val="center"/>
              <w:ind w:right="100"/>
              <w:spacing w:after="0"/>
              <w:rPr>
                <w:sz w:val="20"/>
                <w:szCs w:val="20"/>
                <w:color w:val="auto"/>
              </w:rPr>
            </w:pPr>
            <w:r>
              <w:rPr>
                <w:rFonts w:ascii="Arial" w:cs="Arial" w:eastAsia="Arial" w:hAnsi="Arial"/>
                <w:sz w:val="18"/>
                <w:szCs w:val="18"/>
                <w:color w:val="auto"/>
                <w:w w:val="92"/>
              </w:rPr>
              <w:t>Stock Price</w:t>
            </w:r>
          </w:p>
        </w:tc>
        <w:tc>
          <w:tcPr>
            <w:tcW w:w="1480" w:type="dxa"/>
            <w:vAlign w:val="bottom"/>
            <w:gridSpan w:val="2"/>
          </w:tcPr>
          <w:p>
            <w:pPr>
              <w:jc w:val="center"/>
              <w:ind w:right="100"/>
              <w:spacing w:after="0"/>
              <w:rPr>
                <w:sz w:val="20"/>
                <w:szCs w:val="20"/>
                <w:color w:val="auto"/>
              </w:rPr>
            </w:pPr>
            <w:r>
              <w:rPr>
                <w:rFonts w:ascii="Arial" w:cs="Arial" w:eastAsia="Arial" w:hAnsi="Arial"/>
                <w:sz w:val="18"/>
                <w:szCs w:val="18"/>
                <w:color w:val="auto"/>
                <w:w w:val="89"/>
              </w:rPr>
              <w:t>Interest</w:t>
            </w:r>
          </w:p>
        </w:tc>
        <w:tc>
          <w:tcPr>
            <w:tcW w:w="1400" w:type="dxa"/>
            <w:vAlign w:val="bottom"/>
            <w:gridSpan w:val="2"/>
          </w:tcPr>
          <w:p>
            <w:pPr>
              <w:jc w:val="center"/>
              <w:ind w:right="120"/>
              <w:spacing w:after="0"/>
              <w:rPr>
                <w:sz w:val="20"/>
                <w:szCs w:val="20"/>
                <w:color w:val="auto"/>
              </w:rPr>
            </w:pPr>
            <w:r>
              <w:rPr>
                <w:rFonts w:ascii="Arial" w:cs="Arial" w:eastAsia="Arial" w:hAnsi="Arial"/>
                <w:sz w:val="18"/>
                <w:szCs w:val="18"/>
                <w:color w:val="auto"/>
                <w:w w:val="92"/>
              </w:rPr>
              <w:t>Conversion</w:t>
            </w:r>
          </w:p>
        </w:tc>
        <w:tc>
          <w:tcPr>
            <w:tcW w:w="1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w w:val="99"/>
              </w:rPr>
              <w:t>Market Price of</w:t>
            </w:r>
          </w:p>
        </w:tc>
      </w:tr>
      <w:tr>
        <w:trPr>
          <w:trHeight w:val="230"/>
        </w:trPr>
        <w:tc>
          <w:tcPr>
            <w:tcW w:w="1420" w:type="dxa"/>
            <w:vAlign w:val="bottom"/>
            <w:gridSpan w:val="2"/>
          </w:tcPr>
          <w:p>
            <w:pPr>
              <w:jc w:val="center"/>
              <w:ind w:right="100"/>
              <w:spacing w:after="0"/>
              <w:rPr>
                <w:sz w:val="20"/>
                <w:szCs w:val="20"/>
                <w:color w:val="auto"/>
              </w:rPr>
            </w:pPr>
            <w:r>
              <w:rPr>
                <w:rFonts w:ascii="Arial" w:cs="Arial" w:eastAsia="Arial" w:hAnsi="Arial"/>
                <w:sz w:val="18"/>
                <w:szCs w:val="18"/>
                <w:color w:val="auto"/>
              </w:rPr>
              <w:t>Volatility</w:t>
            </w:r>
          </w:p>
        </w:tc>
        <w:tc>
          <w:tcPr>
            <w:tcW w:w="1480" w:type="dxa"/>
            <w:vAlign w:val="bottom"/>
            <w:gridSpan w:val="2"/>
          </w:tcPr>
          <w:p>
            <w:pPr>
              <w:jc w:val="center"/>
              <w:ind w:right="120"/>
              <w:spacing w:after="0"/>
              <w:rPr>
                <w:sz w:val="20"/>
                <w:szCs w:val="20"/>
                <w:color w:val="auto"/>
              </w:rPr>
            </w:pPr>
            <w:r>
              <w:rPr>
                <w:rFonts w:ascii="Arial" w:cs="Arial" w:eastAsia="Arial" w:hAnsi="Arial"/>
                <w:sz w:val="18"/>
                <w:szCs w:val="18"/>
                <w:color w:val="auto"/>
                <w:w w:val="84"/>
              </w:rPr>
              <w:t>Rate</w:t>
            </w:r>
          </w:p>
        </w:tc>
        <w:tc>
          <w:tcPr>
            <w:tcW w:w="1400" w:type="dxa"/>
            <w:vAlign w:val="bottom"/>
            <w:gridSpan w:val="2"/>
          </w:tcPr>
          <w:p>
            <w:pPr>
              <w:jc w:val="center"/>
              <w:ind w:right="120"/>
              <w:spacing w:after="0"/>
              <w:rPr>
                <w:sz w:val="20"/>
                <w:szCs w:val="20"/>
                <w:color w:val="auto"/>
              </w:rPr>
            </w:pPr>
            <w:r>
              <w:rPr>
                <w:rFonts w:ascii="Arial" w:cs="Arial" w:eastAsia="Arial" w:hAnsi="Arial"/>
                <w:sz w:val="18"/>
                <w:szCs w:val="18"/>
                <w:color w:val="auto"/>
                <w:w w:val="87"/>
              </w:rPr>
              <w:t>Price</w:t>
            </w:r>
          </w:p>
        </w:tc>
        <w:tc>
          <w:tcPr>
            <w:tcW w:w="1460" w:type="dxa"/>
            <w:vAlign w:val="bottom"/>
            <w:gridSpan w:val="2"/>
          </w:tcPr>
          <w:p>
            <w:pPr>
              <w:ind w:left="160"/>
              <w:spacing w:after="0"/>
              <w:rPr>
                <w:sz w:val="20"/>
                <w:szCs w:val="20"/>
                <w:color w:val="auto"/>
              </w:rPr>
            </w:pPr>
            <w:r>
              <w:rPr>
                <w:rFonts w:ascii="Arial" w:cs="Arial" w:eastAsia="Arial" w:hAnsi="Arial"/>
                <w:sz w:val="18"/>
                <w:szCs w:val="18"/>
                <w:color w:val="auto"/>
              </w:rPr>
              <w:t>Discount Rate</w:t>
            </w:r>
          </w:p>
        </w:tc>
        <w:tc>
          <w:tcPr>
            <w:tcW w:w="1300" w:type="dxa"/>
            <w:vAlign w:val="bottom"/>
          </w:tcPr>
          <w:p>
            <w:pPr>
              <w:jc w:val="right"/>
              <w:spacing w:after="0"/>
              <w:rPr>
                <w:sz w:val="20"/>
                <w:szCs w:val="20"/>
                <w:color w:val="auto"/>
              </w:rPr>
            </w:pPr>
            <w:r>
              <w:rPr>
                <w:rFonts w:ascii="Arial" w:cs="Arial" w:eastAsia="Arial" w:hAnsi="Arial"/>
                <w:sz w:val="18"/>
                <w:szCs w:val="18"/>
                <w:color w:val="auto"/>
                <w:w w:val="97"/>
              </w:rPr>
              <w:t>Common Stock</w:t>
            </w:r>
          </w:p>
        </w:tc>
      </w:tr>
      <w:tr>
        <w:trPr>
          <w:trHeight w:val="27"/>
        </w:trPr>
        <w:tc>
          <w:tcPr>
            <w:tcW w:w="13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385"/>
        </w:trPr>
        <w:tc>
          <w:tcPr>
            <w:tcW w:w="1320" w:type="dxa"/>
            <w:vAlign w:val="bottom"/>
          </w:tcPr>
          <w:p>
            <w:pPr>
              <w:jc w:val="right"/>
              <w:spacing w:after="0"/>
              <w:rPr>
                <w:sz w:val="20"/>
                <w:szCs w:val="20"/>
                <w:color w:val="auto"/>
              </w:rPr>
            </w:pPr>
            <w:r>
              <w:rPr>
                <w:rFonts w:ascii="Arial" w:cs="Arial" w:eastAsia="Arial" w:hAnsi="Arial"/>
                <w:sz w:val="18"/>
                <w:szCs w:val="18"/>
                <w:color w:val="auto"/>
              </w:rPr>
              <w:t>70% - 130%</w:t>
            </w:r>
          </w:p>
        </w:tc>
        <w:tc>
          <w:tcPr>
            <w:tcW w:w="100" w:type="dxa"/>
            <w:vAlign w:val="bottom"/>
          </w:tcPr>
          <w:p>
            <w:pPr>
              <w:spacing w:after="0"/>
              <w:rPr>
                <w:sz w:val="24"/>
                <w:szCs w:val="24"/>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1.6 %</w:t>
            </w:r>
          </w:p>
        </w:tc>
        <w:tc>
          <w:tcPr>
            <w:tcW w:w="120" w:type="dxa"/>
            <w:vAlign w:val="bottom"/>
          </w:tcPr>
          <w:p>
            <w:pPr>
              <w:spacing w:after="0"/>
              <w:rPr>
                <w:sz w:val="24"/>
                <w:szCs w:val="24"/>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$0.69</w:t>
            </w:r>
          </w:p>
        </w:tc>
        <w:tc>
          <w:tcPr>
            <w:tcW w:w="100" w:type="dxa"/>
            <w:vAlign w:val="bottom"/>
          </w:tcPr>
          <w:p>
            <w:pPr>
              <w:spacing w:after="0"/>
              <w:rPr>
                <w:sz w:val="24"/>
                <w:szCs w:val="24"/>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27 %</w:t>
            </w:r>
          </w:p>
        </w:tc>
        <w:tc>
          <w:tcPr>
            <w:tcW w:w="100" w:type="dxa"/>
            <w:vAlign w:val="bottom"/>
          </w:tcPr>
          <w:p>
            <w:pPr>
              <w:spacing w:after="0"/>
              <w:rPr>
                <w:sz w:val="24"/>
                <w:szCs w:val="24"/>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$0.52</w:t>
            </w:r>
          </w:p>
        </w:tc>
      </w:tr>
      <w:tr>
        <w:trPr>
          <w:trHeight w:val="486"/>
        </w:trPr>
        <w:tc>
          <w:tcPr>
            <w:tcW w:w="1320" w:type="dxa"/>
            <w:vAlign w:val="bottom"/>
          </w:tcPr>
          <w:p>
            <w:pPr>
              <w:jc w:val="right"/>
              <w:spacing w:after="0"/>
              <w:rPr>
                <w:sz w:val="20"/>
                <w:szCs w:val="20"/>
                <w:color w:val="auto"/>
              </w:rPr>
            </w:pPr>
            <w:r>
              <w:rPr>
                <w:rFonts w:ascii="Arial" w:cs="Arial" w:eastAsia="Arial" w:hAnsi="Arial"/>
                <w:sz w:val="18"/>
                <w:szCs w:val="18"/>
                <w:color w:val="auto"/>
              </w:rPr>
              <w:t>70% - 130%</w:t>
            </w:r>
          </w:p>
        </w:tc>
        <w:tc>
          <w:tcPr>
            <w:tcW w:w="100" w:type="dxa"/>
            <w:vAlign w:val="bottom"/>
          </w:tcPr>
          <w:p>
            <w:pPr>
              <w:spacing w:after="0"/>
              <w:rPr>
                <w:sz w:val="24"/>
                <w:szCs w:val="24"/>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1.6 %</w:t>
            </w:r>
          </w:p>
        </w:tc>
        <w:tc>
          <w:tcPr>
            <w:tcW w:w="120" w:type="dxa"/>
            <w:vAlign w:val="bottom"/>
          </w:tcPr>
          <w:p>
            <w:pPr>
              <w:spacing w:after="0"/>
              <w:rPr>
                <w:sz w:val="24"/>
                <w:szCs w:val="24"/>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$0.69</w:t>
            </w:r>
          </w:p>
        </w:tc>
        <w:tc>
          <w:tcPr>
            <w:tcW w:w="100" w:type="dxa"/>
            <w:vAlign w:val="bottom"/>
          </w:tcPr>
          <w:p>
            <w:pPr>
              <w:spacing w:after="0"/>
              <w:rPr>
                <w:sz w:val="24"/>
                <w:szCs w:val="24"/>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27 %</w:t>
            </w:r>
          </w:p>
        </w:tc>
        <w:tc>
          <w:tcPr>
            <w:tcW w:w="100" w:type="dxa"/>
            <w:vAlign w:val="bottom"/>
          </w:tcPr>
          <w:p>
            <w:pPr>
              <w:spacing w:after="0"/>
              <w:rPr>
                <w:sz w:val="24"/>
                <w:szCs w:val="24"/>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$0.52</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-2610485</wp:posOffset>
            </wp:positionH>
            <wp:positionV relativeFrom="paragraph">
              <wp:posOffset>-565150</wp:posOffset>
            </wp:positionV>
            <wp:extent cx="7098030" cy="25717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098030" cy="257175"/>
                    </a:xfrm>
                    <a:prstGeom prst="rect">
                      <a:avLst/>
                    </a:prstGeom>
                    <a:noFill/>
                  </pic:spPr>
                </pic:pic>
              </a:graphicData>
            </a:graphic>
          </wp:anchor>
        </w:drawing>
      </w:r>
    </w:p>
    <w:p>
      <w:pPr>
        <w:spacing w:after="0" w:line="730" w:lineRule="exact"/>
        <w:rPr>
          <w:sz w:val="20"/>
          <w:szCs w:val="20"/>
          <w:color w:val="auto"/>
        </w:rPr>
      </w:pPr>
    </w:p>
    <w:p>
      <w:pPr>
        <w:sectPr>
          <w:pgSz w:w="11900" w:h="16838" w:orient="portrait"/>
          <w:cols w:equalWidth="0" w:num="2">
            <w:col w:w="3920" w:space="200"/>
            <w:col w:w="7120"/>
          </w:cols>
          <w:pgMar w:left="320" w:top="895" w:right="339" w:bottom="1440" w:gutter="0" w:footer="0" w:header="0"/>
          <w:type w:val="continuous"/>
        </w:sectPr>
      </w:pPr>
    </w:p>
    <w:p>
      <w:pPr>
        <w:spacing w:after="0" w:line="52" w:lineRule="exact"/>
        <w:rPr>
          <w:sz w:val="20"/>
          <w:szCs w:val="20"/>
          <w:color w:val="auto"/>
        </w:rPr>
      </w:pPr>
    </w:p>
    <w:p>
      <w:pPr>
        <w:jc w:val="both"/>
        <w:ind w:firstLine="288"/>
        <w:spacing w:after="0" w:line="257" w:lineRule="auto"/>
        <w:rPr>
          <w:sz w:val="20"/>
          <w:szCs w:val="20"/>
          <w:color w:val="auto"/>
        </w:rPr>
      </w:pPr>
      <w:r>
        <w:rPr>
          <w:rFonts w:ascii="Arial" w:cs="Arial" w:eastAsia="Arial" w:hAnsi="Arial"/>
          <w:sz w:val="18"/>
          <w:szCs w:val="18"/>
          <w:color w:val="auto"/>
        </w:rPr>
        <w:t>The compound embedded derivative with the Second Lien Term Loan Facility is valued using a probability weighted discounted cash flow model. The most significant observable input used in the fair value measurement is the discount yield, which was 19% and 18% at June 30, 2020 and December 31, 2019, respectively. Increases in the discount yield generally will result in a higher fair value measurement in the model. The unobservable inputs used in the fair value measurement include probability of change of control and the estimated timing and amounts of cash flows associated with certain mandatory prepayments within the debt agreement.</w:t>
      </w: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Rollforward of Recurring Level 3 Liabilities</w:t>
      </w:r>
    </w:p>
    <w:p>
      <w:pPr>
        <w:spacing w:after="0" w:line="252" w:lineRule="exact"/>
        <w:rPr>
          <w:sz w:val="20"/>
          <w:szCs w:val="20"/>
          <w:color w:val="auto"/>
        </w:rPr>
      </w:pPr>
    </w:p>
    <w:p>
      <w:pPr>
        <w:ind w:left="340"/>
        <w:spacing w:after="0"/>
        <w:rPr>
          <w:sz w:val="20"/>
          <w:szCs w:val="20"/>
          <w:color w:val="auto"/>
        </w:rPr>
      </w:pPr>
      <w:r>
        <w:rPr>
          <w:rFonts w:ascii="Arial" w:cs="Arial" w:eastAsia="Arial" w:hAnsi="Arial"/>
          <w:sz w:val="16"/>
          <w:szCs w:val="16"/>
          <w:color w:val="auto"/>
        </w:rPr>
        <w:t>The following table presents a rollforward for all liabilities measured at fair value on a recurring basis using significant unobservable inputs (Level 3)</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(in thousands):</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70"/>
        </w:trPr>
        <w:tc>
          <w:tcPr>
            <w:tcW w:w="8400" w:type="dxa"/>
            <w:vAlign w:val="bottom"/>
            <w:shd w:val="clear" w:color="auto" w:fill="CCEEFF"/>
          </w:tcPr>
          <w:p>
            <w:pPr>
              <w:ind w:left="20"/>
              <w:spacing w:after="0"/>
              <w:rPr>
                <w:sz w:val="20"/>
                <w:szCs w:val="20"/>
                <w:color w:val="auto"/>
              </w:rPr>
            </w:pPr>
            <w:r>
              <w:rPr>
                <w:rFonts w:ascii="Arial" w:cs="Arial" w:eastAsia="Arial" w:hAnsi="Arial"/>
                <w:sz w:val="18"/>
                <w:szCs w:val="18"/>
                <w:color w:val="auto"/>
              </w:rPr>
              <w:t>Balance at beginning of period, January 1, 2020 and 2019, respectively</w:t>
            </w:r>
          </w:p>
        </w:tc>
        <w:tc>
          <w:tcPr>
            <w:tcW w:w="420" w:type="dxa"/>
            <w:vAlign w:val="bottom"/>
            <w:shd w:val="clear" w:color="auto" w:fill="CCEEFF"/>
          </w:tcPr>
          <w:p>
            <w:pPr>
              <w:jc w:val="right"/>
              <w:ind w:right="210"/>
              <w:spacing w:after="0"/>
              <w:rPr>
                <w:sz w:val="20"/>
                <w:szCs w:val="20"/>
                <w:color w:val="auto"/>
              </w:rPr>
            </w:pPr>
            <w:r>
              <w:rPr>
                <w:rFonts w:ascii="Arial" w:cs="Arial" w:eastAsia="Arial" w:hAnsi="Arial"/>
                <w:sz w:val="18"/>
                <w:szCs w:val="18"/>
                <w:color w:val="auto"/>
                <w:w w:val="99"/>
              </w:rPr>
              <w:t>$</w:t>
            </w:r>
          </w:p>
        </w:tc>
        <w:tc>
          <w:tcPr>
            <w:tcW w:w="9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(3,792)</w:t>
            </w:r>
          </w:p>
        </w:tc>
        <w:tc>
          <w:tcPr>
            <w:tcW w:w="120" w:type="dxa"/>
            <w:vAlign w:val="bottom"/>
            <w:shd w:val="clear" w:color="auto" w:fill="CCEEFF"/>
          </w:tcPr>
          <w:p>
            <w:pPr>
              <w:spacing w:after="0"/>
              <w:rPr>
                <w:sz w:val="23"/>
                <w:szCs w:val="23"/>
                <w:color w:val="auto"/>
              </w:rPr>
            </w:pPr>
          </w:p>
        </w:tc>
        <w:tc>
          <w:tcPr>
            <w:tcW w:w="32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79"/>
              </w:rPr>
              <w:t>$</w:t>
            </w:r>
          </w:p>
        </w:tc>
        <w:tc>
          <w:tcPr>
            <w:tcW w:w="10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(146,865)</w:t>
            </w:r>
          </w:p>
        </w:tc>
      </w:tr>
      <w:tr>
        <w:trPr>
          <w:trHeight w:val="243"/>
        </w:trPr>
        <w:tc>
          <w:tcPr>
            <w:tcW w:w="8400" w:type="dxa"/>
            <w:vAlign w:val="bottom"/>
          </w:tcPr>
          <w:p>
            <w:pPr>
              <w:ind w:left="20"/>
              <w:spacing w:after="0"/>
              <w:rPr>
                <w:sz w:val="20"/>
                <w:szCs w:val="20"/>
                <w:color w:val="auto"/>
              </w:rPr>
            </w:pPr>
            <w:r>
              <w:rPr>
                <w:rFonts w:ascii="Arial" w:cs="Arial" w:eastAsia="Arial" w:hAnsi="Arial"/>
                <w:sz w:val="18"/>
                <w:szCs w:val="18"/>
                <w:color w:val="auto"/>
              </w:rPr>
              <w:t>Issuance of compound embedded derivative with the Second Lien Term Loan Facility</w:t>
            </w:r>
          </w:p>
        </w:tc>
        <w:tc>
          <w:tcPr>
            <w:tcW w:w="420" w:type="dxa"/>
            <w:vAlign w:val="bottom"/>
          </w:tcPr>
          <w:p>
            <w:pPr>
              <w:spacing w:after="0"/>
              <w:rPr>
                <w:sz w:val="21"/>
                <w:szCs w:val="21"/>
                <w:color w:val="auto"/>
              </w:rPr>
            </w:pPr>
          </w:p>
        </w:tc>
        <w:tc>
          <w:tcPr>
            <w:tcW w:w="106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21"/>
                <w:szCs w:val="21"/>
                <w:color w:val="auto"/>
              </w:rPr>
            </w:pP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(2,000)</w:t>
            </w:r>
          </w:p>
        </w:tc>
      </w:tr>
      <w:tr>
        <w:trPr>
          <w:trHeight w:val="27"/>
        </w:trPr>
        <w:tc>
          <w:tcPr>
            <w:tcW w:w="8400" w:type="dxa"/>
            <w:vAlign w:val="bottom"/>
          </w:tcPr>
          <w:p>
            <w:pPr>
              <w:spacing w:after="0"/>
              <w:rPr>
                <w:sz w:val="2"/>
                <w:szCs w:val="2"/>
                <w:color w:val="auto"/>
              </w:rPr>
            </w:pPr>
          </w:p>
        </w:tc>
        <w:tc>
          <w:tcPr>
            <w:tcW w:w="4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84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Derivative adjustment related to conversions and exercises</w:t>
            </w:r>
          </w:p>
        </w:tc>
        <w:tc>
          <w:tcPr>
            <w:tcW w:w="4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1,058</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r>
      <w:tr>
        <w:trPr>
          <w:trHeight w:val="243"/>
        </w:trPr>
        <w:tc>
          <w:tcPr>
            <w:tcW w:w="8400" w:type="dxa"/>
            <w:vAlign w:val="bottom"/>
          </w:tcPr>
          <w:p>
            <w:pPr>
              <w:ind w:left="20"/>
              <w:spacing w:after="0"/>
              <w:rPr>
                <w:sz w:val="20"/>
                <w:szCs w:val="20"/>
                <w:color w:val="auto"/>
              </w:rPr>
            </w:pPr>
            <w:r>
              <w:rPr>
                <w:rFonts w:ascii="Arial" w:cs="Arial" w:eastAsia="Arial" w:hAnsi="Arial"/>
                <w:sz w:val="18"/>
                <w:szCs w:val="18"/>
                <w:color w:val="auto"/>
              </w:rPr>
              <w:t>Unrealized gain, included in derivative gain</w:t>
            </w:r>
          </w:p>
        </w:tc>
        <w:tc>
          <w:tcPr>
            <w:tcW w:w="420" w:type="dxa"/>
            <w:vAlign w:val="bottom"/>
          </w:tcPr>
          <w:p>
            <w:pPr>
              <w:spacing w:after="0"/>
              <w:rPr>
                <w:sz w:val="21"/>
                <w:szCs w:val="21"/>
                <w:color w:val="auto"/>
              </w:rPr>
            </w:pPr>
          </w:p>
        </w:tc>
        <w:tc>
          <w:tcPr>
            <w:tcW w:w="940" w:type="dxa"/>
            <w:vAlign w:val="bottom"/>
          </w:tcPr>
          <w:p>
            <w:pPr>
              <w:jc w:val="right"/>
              <w:ind w:right="50"/>
              <w:spacing w:after="0"/>
              <w:rPr>
                <w:sz w:val="20"/>
                <w:szCs w:val="20"/>
                <w:color w:val="auto"/>
              </w:rPr>
            </w:pPr>
            <w:r>
              <w:rPr>
                <w:rFonts w:ascii="Arial" w:cs="Arial" w:eastAsia="Arial" w:hAnsi="Arial"/>
                <w:sz w:val="18"/>
                <w:szCs w:val="18"/>
                <w:color w:val="auto"/>
              </w:rPr>
              <w:t>339</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40" w:type="dxa"/>
            <w:vAlign w:val="bottom"/>
          </w:tcPr>
          <w:p>
            <w:pPr>
              <w:jc w:val="right"/>
              <w:ind w:right="70"/>
              <w:spacing w:after="0"/>
              <w:rPr>
                <w:sz w:val="20"/>
                <w:szCs w:val="20"/>
                <w:color w:val="auto"/>
              </w:rPr>
            </w:pPr>
            <w:r>
              <w:rPr>
                <w:rFonts w:ascii="Arial" w:cs="Arial" w:eastAsia="Arial" w:hAnsi="Arial"/>
                <w:sz w:val="18"/>
                <w:szCs w:val="18"/>
                <w:color w:val="auto"/>
              </w:rPr>
              <w:t>145,073</w:t>
            </w:r>
          </w:p>
        </w:tc>
      </w:tr>
      <w:tr>
        <w:trPr>
          <w:trHeight w:val="27"/>
        </w:trPr>
        <w:tc>
          <w:tcPr>
            <w:tcW w:w="840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88"/>
        </w:trPr>
        <w:tc>
          <w:tcPr>
            <w:tcW w:w="84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Balance at end of period, June 30, 2020 and December 31, 2019, respectively</w:t>
            </w:r>
          </w:p>
        </w:tc>
        <w:tc>
          <w:tcPr>
            <w:tcW w:w="420" w:type="dxa"/>
            <w:vAlign w:val="bottom"/>
            <w:tcBorders>
              <w:bottom w:val="single" w:sz="8" w:color="auto"/>
            </w:tcBorders>
            <w:shd w:val="clear" w:color="auto" w:fill="CCEEFF"/>
          </w:tcPr>
          <w:p>
            <w:pPr>
              <w:jc w:val="right"/>
              <w:ind w:right="21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(2,395)</w:t>
            </w:r>
          </w:p>
        </w:tc>
        <w:tc>
          <w:tcPr>
            <w:tcW w:w="120" w:type="dxa"/>
            <w:vAlign w:val="bottom"/>
            <w:tcBorders>
              <w:bottom w:val="single" w:sz="8" w:color="CCEEFF"/>
            </w:tcBorders>
            <w:shd w:val="clear" w:color="auto" w:fill="CCEEFF"/>
          </w:tcPr>
          <w:p>
            <w:pPr>
              <w:spacing w:after="0"/>
              <w:rPr>
                <w:sz w:val="24"/>
                <w:szCs w:val="24"/>
                <w:color w:val="auto"/>
              </w:rPr>
            </w:pPr>
          </w:p>
        </w:tc>
        <w:tc>
          <w:tcPr>
            <w:tcW w:w="32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(3,792)</w:t>
            </w:r>
          </w:p>
        </w:tc>
      </w:tr>
      <w:tr>
        <w:trPr>
          <w:trHeight w:val="20"/>
        </w:trPr>
        <w:tc>
          <w:tcPr>
            <w:tcW w:w="840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type w:val="continuous"/>
        </w:sectPr>
      </w:pPr>
    </w:p>
    <w:bookmarkStart w:id="18" w:name="page19"/>
    <w:bookmarkEnd w:id="18"/>
    <w:p>
      <w:pPr>
        <w:spacing w:after="0"/>
        <w:rPr>
          <w:sz w:val="20"/>
          <w:szCs w:val="20"/>
          <w:color w:val="auto"/>
        </w:rPr>
      </w:pPr>
      <w:r>
        <w:rPr>
          <w:rFonts w:ascii="Arial" w:cs="Arial" w:eastAsia="Arial" w:hAnsi="Arial"/>
          <w:sz w:val="18"/>
          <w:szCs w:val="18"/>
          <w:b w:val="1"/>
          <w:bCs w:val="1"/>
          <w:i w:val="1"/>
          <w:iCs w:val="1"/>
          <w:color w:val="auto"/>
        </w:rPr>
        <w:t>Fair Value of Debt Instruments</w:t>
      </w:r>
    </w:p>
    <w:p>
      <w:pPr>
        <w:spacing w:after="0" w:line="252" w:lineRule="exact"/>
        <w:rPr>
          <w:sz w:val="20"/>
          <w:szCs w:val="20"/>
          <w:color w:val="auto"/>
        </w:rPr>
      </w:pPr>
    </w:p>
    <w:p>
      <w:pPr>
        <w:jc w:val="both"/>
        <w:ind w:firstLine="243"/>
        <w:spacing w:after="0" w:line="279" w:lineRule="auto"/>
        <w:rPr>
          <w:sz w:val="20"/>
          <w:szCs w:val="20"/>
          <w:color w:val="auto"/>
        </w:rPr>
      </w:pPr>
      <w:r>
        <w:rPr>
          <w:rFonts w:ascii="Arial" w:cs="Arial" w:eastAsia="Arial" w:hAnsi="Arial"/>
          <w:sz w:val="17"/>
          <w:szCs w:val="17"/>
          <w:color w:val="auto"/>
        </w:rPr>
        <w:t>The Company believes it is not practicable to determine the fair value of the Facility Agreement, the Second Lien Term Loan Facility and the PPP Loan without incurring significant additional costs. Unlike typical long-term debt, interest rates and other terms for these instruments are not readily available and generally involve a variety of factors, including due diligence by the debt holders. The following table sets forth the carrying values and estimated fair values of the Company's other debt instruments, which are classified as Level 3 financial instruments (in thousands):</w:t>
      </w:r>
    </w:p>
    <w:p>
      <w:pPr>
        <w:spacing w:after="0" w:line="10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48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3060" w:type="dxa"/>
            <w:vAlign w:val="bottom"/>
            <w:gridSpan w:val="5"/>
          </w:tcPr>
          <w:p>
            <w:pPr>
              <w:ind w:left="900"/>
              <w:spacing w:after="0"/>
              <w:rPr>
                <w:sz w:val="20"/>
                <w:szCs w:val="20"/>
                <w:color w:val="auto"/>
              </w:rPr>
            </w:pPr>
            <w:r>
              <w:rPr>
                <w:rFonts w:ascii="Arial" w:cs="Arial" w:eastAsia="Arial" w:hAnsi="Arial"/>
                <w:sz w:val="18"/>
                <w:szCs w:val="18"/>
                <w:color w:val="auto"/>
              </w:rPr>
              <w:t>June 30, 2020</w:t>
            </w:r>
          </w:p>
        </w:tc>
        <w:tc>
          <w:tcPr>
            <w:tcW w:w="160" w:type="dxa"/>
            <w:vAlign w:val="bottom"/>
          </w:tcPr>
          <w:p>
            <w:pPr>
              <w:spacing w:after="0"/>
              <w:rPr>
                <w:sz w:val="20"/>
                <w:szCs w:val="20"/>
                <w:color w:val="auto"/>
              </w:rPr>
            </w:pPr>
          </w:p>
        </w:tc>
        <w:tc>
          <w:tcPr>
            <w:tcW w:w="2980" w:type="dxa"/>
            <w:vAlign w:val="bottom"/>
            <w:gridSpan w:val="4"/>
          </w:tcPr>
          <w:p>
            <w:pPr>
              <w:jc w:val="right"/>
              <w:ind w:right="770"/>
              <w:spacing w:after="0"/>
              <w:rPr>
                <w:sz w:val="20"/>
                <w:szCs w:val="20"/>
                <w:color w:val="auto"/>
              </w:rPr>
            </w:pPr>
            <w:r>
              <w:rPr>
                <w:rFonts w:ascii="Arial" w:cs="Arial" w:eastAsia="Arial" w:hAnsi="Arial"/>
                <w:sz w:val="18"/>
                <w:szCs w:val="18"/>
                <w:color w:val="auto"/>
              </w:rPr>
              <w:t>December 31, 2019</w:t>
            </w:r>
          </w:p>
        </w:tc>
      </w:tr>
      <w:tr>
        <w:trPr>
          <w:trHeight w:val="27"/>
        </w:trPr>
        <w:tc>
          <w:tcPr>
            <w:tcW w:w="484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22"/>
        </w:trPr>
        <w:tc>
          <w:tcPr>
            <w:tcW w:w="48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40" w:type="dxa"/>
            <w:vAlign w:val="bottom"/>
            <w:gridSpan w:val="2"/>
          </w:tcPr>
          <w:p>
            <w:pPr>
              <w:jc w:val="center"/>
              <w:ind w:right="260"/>
              <w:spacing w:after="0"/>
              <w:rPr>
                <w:sz w:val="20"/>
                <w:szCs w:val="20"/>
                <w:color w:val="auto"/>
              </w:rPr>
            </w:pPr>
            <w:r>
              <w:rPr>
                <w:rFonts w:ascii="Arial" w:cs="Arial" w:eastAsia="Arial" w:hAnsi="Arial"/>
                <w:sz w:val="18"/>
                <w:szCs w:val="18"/>
                <w:color w:val="auto"/>
                <w:w w:val="91"/>
              </w:rPr>
              <w:t>Estimated Fair</w:t>
            </w:r>
          </w:p>
        </w:tc>
        <w:tc>
          <w:tcPr>
            <w:tcW w:w="16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40" w:type="dxa"/>
            <w:vAlign w:val="bottom"/>
          </w:tcPr>
          <w:p>
            <w:pPr>
              <w:jc w:val="right"/>
              <w:ind w:right="130"/>
              <w:spacing w:after="0"/>
              <w:rPr>
                <w:sz w:val="20"/>
                <w:szCs w:val="20"/>
                <w:color w:val="auto"/>
              </w:rPr>
            </w:pPr>
            <w:r>
              <w:rPr>
                <w:rFonts w:ascii="Arial" w:cs="Arial" w:eastAsia="Arial" w:hAnsi="Arial"/>
                <w:sz w:val="18"/>
                <w:szCs w:val="18"/>
                <w:color w:val="auto"/>
                <w:w w:val="94"/>
              </w:rPr>
              <w:t>Estimated Fair</w:t>
            </w:r>
          </w:p>
        </w:tc>
      </w:tr>
      <w:tr>
        <w:trPr>
          <w:trHeight w:val="230"/>
        </w:trPr>
        <w:tc>
          <w:tcPr>
            <w:tcW w:w="48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40" w:type="dxa"/>
            <w:vAlign w:val="bottom"/>
            <w:gridSpan w:val="2"/>
          </w:tcPr>
          <w:p>
            <w:pPr>
              <w:ind w:left="40"/>
              <w:spacing w:after="0"/>
              <w:rPr>
                <w:sz w:val="20"/>
                <w:szCs w:val="20"/>
                <w:color w:val="auto"/>
              </w:rPr>
            </w:pPr>
            <w:r>
              <w:rPr>
                <w:rFonts w:ascii="Arial" w:cs="Arial" w:eastAsia="Arial" w:hAnsi="Arial"/>
                <w:sz w:val="18"/>
                <w:szCs w:val="18"/>
                <w:color w:val="auto"/>
              </w:rPr>
              <w:t>Carrying Value</w:t>
            </w:r>
          </w:p>
        </w:tc>
        <w:tc>
          <w:tcPr>
            <w:tcW w:w="180" w:type="dxa"/>
            <w:vAlign w:val="bottom"/>
          </w:tcPr>
          <w:p>
            <w:pPr>
              <w:spacing w:after="0"/>
              <w:rPr>
                <w:sz w:val="20"/>
                <w:szCs w:val="20"/>
                <w:color w:val="auto"/>
              </w:rPr>
            </w:pPr>
          </w:p>
        </w:tc>
        <w:tc>
          <w:tcPr>
            <w:tcW w:w="1440" w:type="dxa"/>
            <w:vAlign w:val="bottom"/>
            <w:gridSpan w:val="2"/>
          </w:tcPr>
          <w:p>
            <w:pPr>
              <w:jc w:val="center"/>
              <w:ind w:right="280"/>
              <w:spacing w:after="0"/>
              <w:rPr>
                <w:sz w:val="20"/>
                <w:szCs w:val="20"/>
                <w:color w:val="auto"/>
              </w:rPr>
            </w:pPr>
            <w:r>
              <w:rPr>
                <w:rFonts w:ascii="Arial" w:cs="Arial" w:eastAsia="Arial" w:hAnsi="Arial"/>
                <w:sz w:val="18"/>
                <w:szCs w:val="18"/>
                <w:color w:val="auto"/>
                <w:w w:val="86"/>
              </w:rPr>
              <w:t>Value</w:t>
            </w:r>
          </w:p>
        </w:tc>
        <w:tc>
          <w:tcPr>
            <w:tcW w:w="160" w:type="dxa"/>
            <w:vAlign w:val="bottom"/>
          </w:tcPr>
          <w:p>
            <w:pPr>
              <w:spacing w:after="0"/>
              <w:rPr>
                <w:sz w:val="20"/>
                <w:szCs w:val="20"/>
                <w:color w:val="auto"/>
              </w:rPr>
            </w:pPr>
          </w:p>
        </w:tc>
        <w:tc>
          <w:tcPr>
            <w:tcW w:w="1460" w:type="dxa"/>
            <w:vAlign w:val="bottom"/>
            <w:gridSpan w:val="2"/>
          </w:tcPr>
          <w:p>
            <w:pPr>
              <w:ind w:left="60"/>
              <w:spacing w:after="0"/>
              <w:rPr>
                <w:sz w:val="20"/>
                <w:szCs w:val="20"/>
                <w:color w:val="auto"/>
              </w:rPr>
            </w:pPr>
            <w:r>
              <w:rPr>
                <w:rFonts w:ascii="Arial" w:cs="Arial" w:eastAsia="Arial" w:hAnsi="Arial"/>
                <w:sz w:val="18"/>
                <w:szCs w:val="18"/>
                <w:color w:val="auto"/>
              </w:rPr>
              <w:t>Carrying Value</w:t>
            </w:r>
          </w:p>
        </w:tc>
        <w:tc>
          <w:tcPr>
            <w:tcW w:w="180" w:type="dxa"/>
            <w:vAlign w:val="bottom"/>
          </w:tcPr>
          <w:p>
            <w:pPr>
              <w:spacing w:after="0"/>
              <w:rPr>
                <w:sz w:val="20"/>
                <w:szCs w:val="20"/>
                <w:color w:val="auto"/>
              </w:rPr>
            </w:pPr>
          </w:p>
        </w:tc>
        <w:tc>
          <w:tcPr>
            <w:tcW w:w="1340" w:type="dxa"/>
            <w:vAlign w:val="bottom"/>
          </w:tcPr>
          <w:p>
            <w:pPr>
              <w:jc w:val="right"/>
              <w:ind w:right="470"/>
              <w:spacing w:after="0"/>
              <w:rPr>
                <w:sz w:val="20"/>
                <w:szCs w:val="20"/>
                <w:color w:val="auto"/>
              </w:rPr>
            </w:pPr>
            <w:r>
              <w:rPr>
                <w:rFonts w:ascii="Arial" w:cs="Arial" w:eastAsia="Arial" w:hAnsi="Arial"/>
                <w:sz w:val="18"/>
                <w:szCs w:val="18"/>
                <w:color w:val="auto"/>
              </w:rPr>
              <w:t>Value</w:t>
            </w:r>
          </w:p>
        </w:tc>
      </w:tr>
      <w:tr>
        <w:trPr>
          <w:trHeight w:val="27"/>
        </w:trPr>
        <w:tc>
          <w:tcPr>
            <w:tcW w:w="484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43"/>
        </w:trPr>
        <w:tc>
          <w:tcPr>
            <w:tcW w:w="48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Loan Agreement with Thermo</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44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44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6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116,543</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88,886</w:t>
            </w:r>
          </w:p>
        </w:tc>
      </w:tr>
      <w:tr>
        <w:trPr>
          <w:trHeight w:val="270"/>
        </w:trPr>
        <w:tc>
          <w:tcPr>
            <w:tcW w:w="4840" w:type="dxa"/>
            <w:vAlign w:val="bottom"/>
          </w:tcPr>
          <w:p>
            <w:pPr>
              <w:ind w:left="20"/>
              <w:spacing w:after="0"/>
              <w:rPr>
                <w:sz w:val="20"/>
                <w:szCs w:val="20"/>
                <w:color w:val="auto"/>
              </w:rPr>
            </w:pPr>
            <w:r>
              <w:rPr>
                <w:rFonts w:ascii="Arial" w:cs="Arial" w:eastAsia="Arial" w:hAnsi="Arial"/>
                <w:sz w:val="18"/>
                <w:szCs w:val="18"/>
                <w:color w:val="auto"/>
              </w:rPr>
              <w:t>2013 8.00% Notes</w:t>
            </w:r>
          </w:p>
        </w:tc>
        <w:tc>
          <w:tcPr>
            <w:tcW w:w="160" w:type="dxa"/>
            <w:vAlign w:val="bottom"/>
          </w:tcPr>
          <w:p>
            <w:pPr>
              <w:spacing w:after="0"/>
              <w:rPr>
                <w:sz w:val="23"/>
                <w:szCs w:val="23"/>
                <w:color w:val="auto"/>
              </w:rPr>
            </w:pPr>
          </w:p>
        </w:tc>
        <w:tc>
          <w:tcPr>
            <w:tcW w:w="1340" w:type="dxa"/>
            <w:vAlign w:val="bottom"/>
          </w:tcPr>
          <w:p>
            <w:pPr>
              <w:jc w:val="right"/>
              <w:ind w:right="70"/>
              <w:spacing w:after="0"/>
              <w:rPr>
                <w:sz w:val="20"/>
                <w:szCs w:val="20"/>
                <w:color w:val="auto"/>
              </w:rPr>
            </w:pPr>
            <w:r>
              <w:rPr>
                <w:rFonts w:ascii="Arial" w:cs="Arial" w:eastAsia="Arial" w:hAnsi="Arial"/>
                <w:sz w:val="18"/>
                <w:szCs w:val="18"/>
                <w:color w:val="auto"/>
              </w:rPr>
              <w:t>1,396</w:t>
            </w: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340" w:type="dxa"/>
            <w:vAlign w:val="bottom"/>
          </w:tcPr>
          <w:p>
            <w:pPr>
              <w:jc w:val="right"/>
              <w:ind w:right="70"/>
              <w:spacing w:after="0"/>
              <w:rPr>
                <w:sz w:val="20"/>
                <w:szCs w:val="20"/>
                <w:color w:val="auto"/>
              </w:rPr>
            </w:pPr>
            <w:r>
              <w:rPr>
                <w:rFonts w:ascii="Arial" w:cs="Arial" w:eastAsia="Arial" w:hAnsi="Arial"/>
                <w:sz w:val="18"/>
                <w:szCs w:val="18"/>
                <w:color w:val="auto"/>
              </w:rPr>
              <w:t>925</w:t>
            </w:r>
          </w:p>
        </w:tc>
        <w:tc>
          <w:tcPr>
            <w:tcW w:w="1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1,410</w:t>
            </w: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340" w:type="dxa"/>
            <w:vAlign w:val="bottom"/>
          </w:tcPr>
          <w:p>
            <w:pPr>
              <w:jc w:val="right"/>
              <w:ind w:right="70"/>
              <w:spacing w:after="0"/>
              <w:rPr>
                <w:sz w:val="20"/>
                <w:szCs w:val="20"/>
                <w:color w:val="auto"/>
              </w:rPr>
            </w:pPr>
            <w:r>
              <w:rPr>
                <w:rFonts w:ascii="Arial" w:cs="Arial" w:eastAsia="Arial" w:hAnsi="Arial"/>
                <w:sz w:val="18"/>
                <w:szCs w:val="18"/>
                <w:color w:val="auto"/>
              </w:rPr>
              <w:t>875</w:t>
            </w:r>
          </w:p>
        </w:tc>
      </w:tr>
    </w:tbl>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Nonrecurring Fair Value Measurements</w:t>
      </w:r>
    </w:p>
    <w:p>
      <w:pPr>
        <w:spacing w:after="0" w:line="252" w:lineRule="exact"/>
        <w:rPr>
          <w:sz w:val="20"/>
          <w:szCs w:val="20"/>
          <w:color w:val="auto"/>
        </w:rPr>
      </w:pPr>
    </w:p>
    <w:p>
      <w:pPr>
        <w:jc w:val="both"/>
        <w:ind w:firstLine="243"/>
        <w:spacing w:after="0" w:line="275" w:lineRule="auto"/>
        <w:rPr>
          <w:sz w:val="20"/>
          <w:szCs w:val="20"/>
          <w:color w:val="auto"/>
        </w:rPr>
      </w:pPr>
      <w:r>
        <w:rPr>
          <w:rFonts w:ascii="Arial" w:cs="Arial" w:eastAsia="Arial" w:hAnsi="Arial"/>
          <w:sz w:val="17"/>
          <w:szCs w:val="17"/>
          <w:color w:val="auto"/>
        </w:rPr>
        <w:t>The Company follows the authoritative guidance regarding non-financial assets and liabilities that are remeasured at fair value on a nonrecurring basis. On February 19, 2020, Thermo converted the entire principal balance outstanding under the Loan Agreement with Thermo into shares of common stock. See further discussion in Note 4: Long-Term Debt and Other Financing Arrangements. As a result of the conversion, the Company wrote off the total fair value of the compound embedded derivative liability with the Loan Agreement with Thermo based on the derivative value on the conversion date of $1.1 million. The significant quantitative Level 3 inputs utilized in the valuation model are shown in the table below:</w:t>
      </w:r>
    </w:p>
    <w:p>
      <w:pPr>
        <w:sectPr>
          <w:pgSz w:w="11900" w:h="16838" w:orient="portrait"/>
          <w:cols w:equalWidth="0" w:num="1">
            <w:col w:w="11240"/>
          </w:cols>
          <w:pgMar w:left="320" w:top="895"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ind w:left="40"/>
        <w:spacing w:after="0" w:line="277" w:lineRule="auto"/>
        <w:rPr>
          <w:sz w:val="20"/>
          <w:szCs w:val="20"/>
          <w:color w:val="auto"/>
        </w:rPr>
      </w:pPr>
      <w:r>
        <w:rPr>
          <w:rFonts w:ascii="Arial" w:cs="Arial" w:eastAsia="Arial" w:hAnsi="Arial"/>
          <w:sz w:val="18"/>
          <w:szCs w:val="18"/>
          <w:color w:val="auto"/>
        </w:rPr>
        <w:t>Compound embedded derivative with the Loan Agreement with Thermo</w:t>
      </w:r>
    </w:p>
    <w:p>
      <w:pPr>
        <w:spacing w:after="0" w:line="3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7. RELATED PARTY TRANSACTIONS</w:t>
      </w:r>
    </w:p>
    <w:p>
      <w:pPr>
        <w:spacing w:after="0" w:line="20" w:lineRule="exact"/>
        <w:rPr>
          <w:sz w:val="20"/>
          <w:szCs w:val="20"/>
          <w:color w:val="auto"/>
        </w:rPr>
      </w:pPr>
      <w:r>
        <w:rPr>
          <w:sz w:val="20"/>
          <w:szCs w:val="20"/>
          <w:color w:val="auto"/>
        </w:rPr>
        <w:br w:type="column"/>
      </w:r>
    </w:p>
    <w:p>
      <w:pPr>
        <w:spacing w:after="0" w:line="332"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February 19, 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31750</wp:posOffset>
            </wp:positionV>
            <wp:extent cx="4380230" cy="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4380230" cy="8890"/>
                    </a:xfrm>
                    <a:prstGeom prst="rect">
                      <a:avLst/>
                    </a:prstGeom>
                    <a:noFill/>
                  </pic:spPr>
                </pic:pic>
              </a:graphicData>
            </a:graphic>
          </wp:anchor>
        </w:drawing>
      </w:r>
    </w:p>
    <w:p>
      <w:pPr>
        <w:spacing w:after="0" w:line="5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60" w:type="dxa"/>
            <w:vAlign w:val="bottom"/>
            <w:gridSpan w:val="2"/>
          </w:tcPr>
          <w:p>
            <w:pPr>
              <w:jc w:val="center"/>
              <w:ind w:right="120"/>
              <w:spacing w:after="0"/>
              <w:rPr>
                <w:sz w:val="20"/>
                <w:szCs w:val="20"/>
                <w:color w:val="auto"/>
              </w:rPr>
            </w:pPr>
            <w:r>
              <w:rPr>
                <w:rFonts w:ascii="Arial" w:cs="Arial" w:eastAsia="Arial" w:hAnsi="Arial"/>
                <w:sz w:val="18"/>
                <w:szCs w:val="18"/>
                <w:color w:val="auto"/>
                <w:w w:val="94"/>
              </w:rPr>
              <w:t>Note</w:t>
            </w:r>
          </w:p>
        </w:tc>
        <w:tc>
          <w:tcPr>
            <w:tcW w:w="1420" w:type="dxa"/>
            <w:vAlign w:val="bottom"/>
          </w:tcPr>
          <w:p>
            <w:pPr>
              <w:spacing w:after="0"/>
              <w:rPr>
                <w:sz w:val="18"/>
                <w:szCs w:val="18"/>
                <w:color w:val="auto"/>
              </w:rPr>
            </w:pPr>
          </w:p>
        </w:tc>
        <w:tc>
          <w:tcPr>
            <w:tcW w:w="1280" w:type="dxa"/>
            <w:vAlign w:val="bottom"/>
          </w:tcPr>
          <w:p>
            <w:pPr>
              <w:spacing w:after="0"/>
              <w:rPr>
                <w:sz w:val="18"/>
                <w:szCs w:val="18"/>
                <w:color w:val="auto"/>
              </w:rPr>
            </w:pPr>
          </w:p>
        </w:tc>
      </w:tr>
      <w:tr>
        <w:trPr>
          <w:trHeight w:val="216"/>
        </w:trPr>
        <w:tc>
          <w:tcPr>
            <w:tcW w:w="1380" w:type="dxa"/>
            <w:vAlign w:val="bottom"/>
            <w:gridSpan w:val="2"/>
          </w:tcPr>
          <w:p>
            <w:pPr>
              <w:jc w:val="center"/>
              <w:ind w:right="120"/>
              <w:spacing w:after="0"/>
              <w:rPr>
                <w:sz w:val="20"/>
                <w:szCs w:val="20"/>
                <w:color w:val="auto"/>
              </w:rPr>
            </w:pPr>
            <w:r>
              <w:rPr>
                <w:rFonts w:ascii="Arial" w:cs="Arial" w:eastAsia="Arial" w:hAnsi="Arial"/>
                <w:sz w:val="18"/>
                <w:szCs w:val="18"/>
                <w:color w:val="auto"/>
                <w:w w:val="90"/>
              </w:rPr>
              <w:t>Stock Price</w:t>
            </w:r>
          </w:p>
        </w:tc>
        <w:tc>
          <w:tcPr>
            <w:tcW w:w="1460" w:type="dxa"/>
            <w:vAlign w:val="bottom"/>
            <w:gridSpan w:val="2"/>
          </w:tcPr>
          <w:p>
            <w:pPr>
              <w:jc w:val="center"/>
              <w:ind w:right="120"/>
              <w:spacing w:after="0"/>
              <w:rPr>
                <w:sz w:val="20"/>
                <w:szCs w:val="20"/>
                <w:color w:val="auto"/>
              </w:rPr>
            </w:pPr>
            <w:r>
              <w:rPr>
                <w:rFonts w:ascii="Arial" w:cs="Arial" w:eastAsia="Arial" w:hAnsi="Arial"/>
                <w:sz w:val="18"/>
                <w:szCs w:val="18"/>
                <w:color w:val="auto"/>
                <w:w w:val="90"/>
              </w:rPr>
              <w:t>Risk-Free Interest</w:t>
            </w:r>
          </w:p>
        </w:tc>
        <w:tc>
          <w:tcPr>
            <w:tcW w:w="1360" w:type="dxa"/>
            <w:vAlign w:val="bottom"/>
            <w:gridSpan w:val="2"/>
          </w:tcPr>
          <w:p>
            <w:pPr>
              <w:jc w:val="center"/>
              <w:ind w:right="120"/>
              <w:spacing w:after="0"/>
              <w:rPr>
                <w:sz w:val="20"/>
                <w:szCs w:val="20"/>
                <w:color w:val="auto"/>
              </w:rPr>
            </w:pPr>
            <w:r>
              <w:rPr>
                <w:rFonts w:ascii="Arial" w:cs="Arial" w:eastAsia="Arial" w:hAnsi="Arial"/>
                <w:sz w:val="18"/>
                <w:szCs w:val="18"/>
                <w:color w:val="auto"/>
                <w:w w:val="92"/>
              </w:rPr>
              <w:t>Conversion</w:t>
            </w:r>
          </w:p>
        </w:tc>
        <w:tc>
          <w:tcPr>
            <w:tcW w:w="1420" w:type="dxa"/>
            <w:vAlign w:val="bottom"/>
          </w:tcPr>
          <w:p>
            <w:pPr>
              <w:spacing w:after="0"/>
              <w:rPr>
                <w:sz w:val="18"/>
                <w:szCs w:val="18"/>
                <w:color w:val="auto"/>
              </w:rPr>
            </w:pPr>
          </w:p>
        </w:tc>
        <w:tc>
          <w:tcPr>
            <w:tcW w:w="1280" w:type="dxa"/>
            <w:vAlign w:val="bottom"/>
          </w:tcPr>
          <w:p>
            <w:pPr>
              <w:ind w:left="100"/>
              <w:spacing w:after="0"/>
              <w:rPr>
                <w:sz w:val="20"/>
                <w:szCs w:val="20"/>
                <w:color w:val="auto"/>
              </w:rPr>
            </w:pPr>
            <w:r>
              <w:rPr>
                <w:rFonts w:ascii="Arial" w:cs="Arial" w:eastAsia="Arial" w:hAnsi="Arial"/>
                <w:sz w:val="18"/>
                <w:szCs w:val="18"/>
                <w:color w:val="auto"/>
                <w:w w:val="95"/>
              </w:rPr>
              <w:t>Market Price of</w:t>
            </w:r>
          </w:p>
        </w:tc>
      </w:tr>
      <w:tr>
        <w:trPr>
          <w:trHeight w:val="230"/>
        </w:trPr>
        <w:tc>
          <w:tcPr>
            <w:tcW w:w="1380" w:type="dxa"/>
            <w:vAlign w:val="bottom"/>
            <w:gridSpan w:val="2"/>
          </w:tcPr>
          <w:p>
            <w:pPr>
              <w:jc w:val="center"/>
              <w:ind w:right="80"/>
              <w:spacing w:after="0"/>
              <w:rPr>
                <w:sz w:val="20"/>
                <w:szCs w:val="20"/>
                <w:color w:val="auto"/>
              </w:rPr>
            </w:pPr>
            <w:r>
              <w:rPr>
                <w:rFonts w:ascii="Arial" w:cs="Arial" w:eastAsia="Arial" w:hAnsi="Arial"/>
                <w:sz w:val="18"/>
                <w:szCs w:val="18"/>
                <w:color w:val="auto"/>
                <w:w w:val="98"/>
              </w:rPr>
              <w:t>Volatility</w:t>
            </w:r>
          </w:p>
        </w:tc>
        <w:tc>
          <w:tcPr>
            <w:tcW w:w="1460" w:type="dxa"/>
            <w:vAlign w:val="bottom"/>
            <w:gridSpan w:val="2"/>
          </w:tcPr>
          <w:p>
            <w:pPr>
              <w:jc w:val="center"/>
              <w:ind w:right="120"/>
              <w:spacing w:after="0"/>
              <w:rPr>
                <w:sz w:val="20"/>
                <w:szCs w:val="20"/>
                <w:color w:val="auto"/>
              </w:rPr>
            </w:pPr>
            <w:r>
              <w:rPr>
                <w:rFonts w:ascii="Arial" w:cs="Arial" w:eastAsia="Arial" w:hAnsi="Arial"/>
                <w:sz w:val="18"/>
                <w:szCs w:val="18"/>
                <w:color w:val="auto"/>
                <w:w w:val="89"/>
              </w:rPr>
              <w:t>Rate</w:t>
            </w:r>
          </w:p>
        </w:tc>
        <w:tc>
          <w:tcPr>
            <w:tcW w:w="1360" w:type="dxa"/>
            <w:vAlign w:val="bottom"/>
            <w:gridSpan w:val="2"/>
          </w:tcPr>
          <w:p>
            <w:pPr>
              <w:jc w:val="center"/>
              <w:ind w:right="120"/>
              <w:spacing w:after="0"/>
              <w:rPr>
                <w:sz w:val="20"/>
                <w:szCs w:val="20"/>
                <w:color w:val="auto"/>
              </w:rPr>
            </w:pPr>
            <w:r>
              <w:rPr>
                <w:rFonts w:ascii="Arial" w:cs="Arial" w:eastAsia="Arial" w:hAnsi="Arial"/>
                <w:sz w:val="18"/>
                <w:szCs w:val="18"/>
                <w:color w:val="auto"/>
                <w:w w:val="87"/>
              </w:rPr>
              <w:t>Price</w:t>
            </w:r>
          </w:p>
        </w:tc>
        <w:tc>
          <w:tcPr>
            <w:tcW w:w="1420" w:type="dxa"/>
            <w:vAlign w:val="bottom"/>
          </w:tcPr>
          <w:p>
            <w:pPr>
              <w:jc w:val="right"/>
              <w:ind w:right="150"/>
              <w:spacing w:after="0"/>
              <w:rPr>
                <w:sz w:val="20"/>
                <w:szCs w:val="20"/>
                <w:color w:val="auto"/>
              </w:rPr>
            </w:pPr>
            <w:r>
              <w:rPr>
                <w:rFonts w:ascii="Arial" w:cs="Arial" w:eastAsia="Arial" w:hAnsi="Arial"/>
                <w:sz w:val="18"/>
                <w:szCs w:val="18"/>
                <w:color w:val="auto"/>
              </w:rPr>
              <w:t>Discount Rate</w:t>
            </w:r>
          </w:p>
        </w:tc>
        <w:tc>
          <w:tcPr>
            <w:tcW w:w="1280" w:type="dxa"/>
            <w:vAlign w:val="bottom"/>
          </w:tcPr>
          <w:p>
            <w:pPr>
              <w:ind w:left="100"/>
              <w:spacing w:after="0"/>
              <w:rPr>
                <w:sz w:val="20"/>
                <w:szCs w:val="20"/>
                <w:color w:val="auto"/>
              </w:rPr>
            </w:pPr>
            <w:r>
              <w:rPr>
                <w:rFonts w:ascii="Arial" w:cs="Arial" w:eastAsia="Arial" w:hAnsi="Arial"/>
                <w:sz w:val="18"/>
                <w:szCs w:val="18"/>
                <w:color w:val="auto"/>
                <w:w w:val="94"/>
              </w:rPr>
              <w:t>Common Stock</w:t>
            </w:r>
          </w:p>
        </w:tc>
      </w:tr>
      <w:tr>
        <w:trPr>
          <w:trHeight w:val="27"/>
        </w:trPr>
        <w:tc>
          <w:tcPr>
            <w:tcW w:w="12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r>
      <w:tr>
        <w:trPr>
          <w:trHeight w:val="466"/>
        </w:trPr>
        <w:tc>
          <w:tcPr>
            <w:tcW w:w="1280" w:type="dxa"/>
            <w:vAlign w:val="bottom"/>
          </w:tcPr>
          <w:p>
            <w:pPr>
              <w:jc w:val="right"/>
              <w:spacing w:after="0"/>
              <w:rPr>
                <w:sz w:val="20"/>
                <w:szCs w:val="20"/>
                <w:color w:val="auto"/>
              </w:rPr>
            </w:pPr>
            <w:r>
              <w:rPr>
                <w:rFonts w:ascii="Arial" w:cs="Arial" w:eastAsia="Arial" w:hAnsi="Arial"/>
                <w:sz w:val="18"/>
                <w:szCs w:val="18"/>
                <w:color w:val="auto"/>
              </w:rPr>
              <w:t>70% - 130%</w:t>
            </w:r>
          </w:p>
        </w:tc>
        <w:tc>
          <w:tcPr>
            <w:tcW w:w="100" w:type="dxa"/>
            <w:vAlign w:val="bottom"/>
          </w:tcPr>
          <w:p>
            <w:pPr>
              <w:spacing w:after="0"/>
              <w:rPr>
                <w:sz w:val="24"/>
                <w:szCs w:val="24"/>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1.4 %</w:t>
            </w:r>
          </w:p>
        </w:tc>
        <w:tc>
          <w:tcPr>
            <w:tcW w:w="100" w:type="dxa"/>
            <w:vAlign w:val="bottom"/>
          </w:tcPr>
          <w:p>
            <w:pPr>
              <w:spacing w:after="0"/>
              <w:rPr>
                <w:sz w:val="24"/>
                <w:szCs w:val="24"/>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$0.69</w:t>
            </w:r>
          </w:p>
        </w:tc>
        <w:tc>
          <w:tcPr>
            <w:tcW w:w="100" w:type="dxa"/>
            <w:vAlign w:val="bottom"/>
          </w:tcPr>
          <w:p>
            <w:pPr>
              <w:spacing w:after="0"/>
              <w:rPr>
                <w:sz w:val="24"/>
                <w:szCs w:val="24"/>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27 %</w:t>
            </w:r>
          </w:p>
        </w:tc>
        <w:tc>
          <w:tcPr>
            <w:tcW w:w="1280" w:type="dxa"/>
            <w:vAlign w:val="bottom"/>
          </w:tcPr>
          <w:p>
            <w:pPr>
              <w:jc w:val="right"/>
              <w:spacing w:after="0"/>
              <w:rPr>
                <w:sz w:val="20"/>
                <w:szCs w:val="20"/>
                <w:color w:val="auto"/>
              </w:rPr>
            </w:pPr>
            <w:r>
              <w:rPr>
                <w:rFonts w:ascii="Arial" w:cs="Arial" w:eastAsia="Arial" w:hAnsi="Arial"/>
                <w:sz w:val="18"/>
                <w:szCs w:val="18"/>
                <w:color w:val="auto"/>
              </w:rPr>
              <w:t>$0.42</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-2720340</wp:posOffset>
            </wp:positionH>
            <wp:positionV relativeFrom="paragraph">
              <wp:posOffset>-307975</wp:posOffset>
            </wp:positionV>
            <wp:extent cx="7106285" cy="30861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06285" cy="308610"/>
                    </a:xfrm>
                    <a:prstGeom prst="rect">
                      <a:avLst/>
                    </a:prstGeom>
                    <a:noFill/>
                  </pic:spPr>
                </pic:pic>
              </a:graphicData>
            </a:graphic>
          </wp:anchor>
        </w:drawing>
      </w:r>
    </w:p>
    <w:p>
      <w:pPr>
        <w:spacing w:after="0" w:line="726" w:lineRule="exact"/>
        <w:rPr>
          <w:sz w:val="20"/>
          <w:szCs w:val="20"/>
          <w:color w:val="auto"/>
        </w:rPr>
      </w:pPr>
    </w:p>
    <w:p>
      <w:pPr>
        <w:sectPr>
          <w:pgSz w:w="11900" w:h="16838" w:orient="portrait"/>
          <w:cols w:equalWidth="0" w:num="2">
            <w:col w:w="4280" w:space="40"/>
            <w:col w:w="6920"/>
          </w:cols>
          <w:pgMar w:left="320" w:top="895" w:right="339" w:bottom="1440" w:gutter="0" w:footer="0" w:header="0"/>
          <w:type w:val="continuous"/>
        </w:sectPr>
      </w:pPr>
    </w:p>
    <w:p>
      <w:pPr>
        <w:spacing w:after="0" w:line="56" w:lineRule="exact"/>
        <w:rPr>
          <w:sz w:val="20"/>
          <w:szCs w:val="20"/>
          <w:color w:val="auto"/>
        </w:rPr>
      </w:pPr>
    </w:p>
    <w:p>
      <w:pPr>
        <w:jc w:val="both"/>
        <w:ind w:firstLine="243"/>
        <w:spacing w:after="0" w:line="277" w:lineRule="auto"/>
        <w:rPr>
          <w:sz w:val="20"/>
          <w:szCs w:val="20"/>
          <w:color w:val="auto"/>
        </w:rPr>
      </w:pPr>
      <w:r>
        <w:rPr>
          <w:rFonts w:ascii="Arial" w:cs="Arial" w:eastAsia="Arial" w:hAnsi="Arial"/>
          <w:sz w:val="18"/>
          <w:szCs w:val="18"/>
          <w:color w:val="auto"/>
        </w:rPr>
        <w:t>Payables to Thermo and other affiliates related to normal purchase transactions were $0.4 million and $0.3 million as of June 30, 2020 and December 31, 2019, respectively.</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Transactions with Thermo</w:t>
      </w:r>
    </w:p>
    <w:p>
      <w:pPr>
        <w:spacing w:after="0" w:line="252" w:lineRule="exact"/>
        <w:rPr>
          <w:sz w:val="20"/>
          <w:szCs w:val="20"/>
          <w:color w:val="auto"/>
        </w:rPr>
      </w:pPr>
    </w:p>
    <w:p>
      <w:pPr>
        <w:jc w:val="both"/>
        <w:ind w:firstLine="243"/>
        <w:spacing w:after="0" w:line="259" w:lineRule="auto"/>
        <w:rPr>
          <w:sz w:val="20"/>
          <w:szCs w:val="20"/>
          <w:color w:val="auto"/>
        </w:rPr>
      </w:pPr>
      <w:r>
        <w:rPr>
          <w:rFonts w:ascii="Arial" w:cs="Arial" w:eastAsia="Arial" w:hAnsi="Arial"/>
          <w:sz w:val="18"/>
          <w:szCs w:val="18"/>
          <w:color w:val="auto"/>
        </w:rPr>
        <w:t>Certain general and administrative expenses are incurred by Thermo on behalf of the Company. These expenses, which include non-cash expenses that the Company accounts for as a contribution to capital, related to services provided by certain executive officers of Thermo and expenses incurred by Thermo on behalf of the Company which are charged to the Company. The expenses charged are based on actual amounts (with no mark-up) incurred by Thermo or upon allocated employee time.</w:t>
      </w:r>
    </w:p>
    <w:p>
      <w:pPr>
        <w:spacing w:after="0" w:line="214" w:lineRule="exact"/>
        <w:rPr>
          <w:sz w:val="20"/>
          <w:szCs w:val="20"/>
          <w:color w:val="auto"/>
        </w:rPr>
      </w:pPr>
    </w:p>
    <w:p>
      <w:pPr>
        <w:jc w:val="both"/>
        <w:ind w:firstLine="243"/>
        <w:spacing w:after="0" w:line="301" w:lineRule="auto"/>
        <w:rPr>
          <w:sz w:val="20"/>
          <w:szCs w:val="20"/>
          <w:color w:val="auto"/>
        </w:rPr>
      </w:pPr>
      <w:r>
        <w:rPr>
          <w:rFonts w:ascii="Arial" w:cs="Arial" w:eastAsia="Arial" w:hAnsi="Arial"/>
          <w:sz w:val="16"/>
          <w:szCs w:val="16"/>
          <w:color w:val="auto"/>
        </w:rPr>
        <w:t>In February 2019, the Company entered into a lease agreement with Thermo Covington, LLC for the Company's headquarters office. Annual lease payments started at $1.4 million per year, increasing at a rate of 2.5% per year, for a lease term of 10 years. During the three months ended June 30, 2020 and 2019, the Company incurred lease expense of $0.4 million in each period under this lease agreement. During the six months ended June 30, 2020 and 2019, the Company incurred lease expense of $0.8 million and $0.7 million, respectively, due to Thermo under this lease agreement.</w:t>
      </w:r>
    </w:p>
    <w:p>
      <w:pPr>
        <w:spacing w:after="0" w:line="184" w:lineRule="exact"/>
        <w:rPr>
          <w:sz w:val="20"/>
          <w:szCs w:val="20"/>
          <w:color w:val="auto"/>
        </w:rPr>
      </w:pPr>
    </w:p>
    <w:p>
      <w:pPr>
        <w:jc w:val="both"/>
        <w:ind w:firstLine="243"/>
        <w:spacing w:after="0" w:line="277" w:lineRule="auto"/>
        <w:rPr>
          <w:sz w:val="20"/>
          <w:szCs w:val="20"/>
          <w:color w:val="auto"/>
        </w:rPr>
      </w:pPr>
      <w:r>
        <w:rPr>
          <w:rFonts w:ascii="Arial" w:cs="Arial" w:eastAsia="Arial" w:hAnsi="Arial"/>
          <w:sz w:val="18"/>
          <w:szCs w:val="18"/>
          <w:color w:val="auto"/>
        </w:rPr>
        <w:t>On February 19, 2020, Thermo converted the entire principal balance outstanding under the Loan Agreement resulting in the issuance of 200.1 million shares of common stock.</w:t>
      </w:r>
    </w:p>
    <w:p>
      <w:pPr>
        <w:spacing w:after="0" w:line="197" w:lineRule="exact"/>
        <w:rPr>
          <w:sz w:val="20"/>
          <w:szCs w:val="20"/>
          <w:color w:val="auto"/>
        </w:rPr>
      </w:pPr>
    </w:p>
    <w:p>
      <w:pPr>
        <w:jc w:val="both"/>
        <w:ind w:firstLine="243"/>
        <w:spacing w:after="0" w:line="257" w:lineRule="auto"/>
        <w:rPr>
          <w:sz w:val="20"/>
          <w:szCs w:val="20"/>
          <w:color w:val="auto"/>
        </w:rPr>
      </w:pPr>
      <w:r>
        <w:rPr>
          <w:rFonts w:ascii="Arial" w:cs="Arial" w:eastAsia="Arial" w:hAnsi="Arial"/>
          <w:sz w:val="18"/>
          <w:szCs w:val="18"/>
          <w:color w:val="auto"/>
        </w:rPr>
        <w:t>In November 2019, the Company entered into the Second Lien Term Loan Facility. Thermo's participation in the Second Lien Term Loan Facility was $95.1 million. This principal balance earns paid-in-kind interest at a rate of 13% per annum. Interest accrued since inception with respect to Thermo's portion of the debt outstanding on the Second Lien Term Loan Facility was approximately $7.6 million, of which $6.4 million was accrued during the six months ended June 30, 2020. In connection with the issuance of the Second Lien Term Loan Facility, the holders received warrants to purchase shares of voting</w:t>
      </w:r>
    </w:p>
    <w:p>
      <w:pPr>
        <w:sectPr>
          <w:pgSz w:w="11900" w:h="16838" w:orient="portrait"/>
          <w:cols w:equalWidth="0" w:num="1">
            <w:col w:w="11240"/>
          </w:cols>
          <w:pgMar w:left="320" w:top="895" w:right="339" w:bottom="1440" w:gutter="0" w:footer="0" w:header="0"/>
          <w:type w:val="continuous"/>
        </w:sectPr>
      </w:pPr>
    </w:p>
    <w:p>
      <w:pPr>
        <w:spacing w:after="0" w:line="200" w:lineRule="exact"/>
        <w:rPr>
          <w:sz w:val="20"/>
          <w:szCs w:val="20"/>
          <w:color w:val="auto"/>
        </w:rPr>
      </w:pPr>
    </w:p>
    <w:p>
      <w:pPr>
        <w:spacing w:after="0" w:line="325"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97790</wp:posOffset>
            </wp:positionV>
            <wp:extent cx="7132320" cy="171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type w:val="continuous"/>
        </w:sectPr>
      </w:pPr>
    </w:p>
    <w:bookmarkStart w:id="19" w:name="page20"/>
    <w:bookmarkEnd w:id="19"/>
    <w:p>
      <w:pPr>
        <w:jc w:val="both"/>
        <w:spacing w:after="0" w:line="277" w:lineRule="auto"/>
        <w:rPr>
          <w:sz w:val="20"/>
          <w:szCs w:val="20"/>
          <w:color w:val="auto"/>
        </w:rPr>
      </w:pPr>
      <w:r>
        <w:rPr>
          <w:rFonts w:ascii="Arial" w:cs="Arial" w:eastAsia="Arial" w:hAnsi="Arial"/>
          <w:sz w:val="18"/>
          <w:szCs w:val="18"/>
          <w:color w:val="auto"/>
        </w:rPr>
        <w:t>common stock, of which Thermo received 59.5 million warrants with an exercise price of $0.38 per share. As of June 30, 2020, approximately 50.0 million warrants remain outstanding.</w:t>
      </w:r>
    </w:p>
    <w:p>
      <w:pPr>
        <w:spacing w:after="0" w:line="197" w:lineRule="exact"/>
        <w:rPr>
          <w:sz w:val="20"/>
          <w:szCs w:val="20"/>
          <w:color w:val="auto"/>
        </w:rPr>
      </w:pPr>
    </w:p>
    <w:p>
      <w:pPr>
        <w:ind w:left="260"/>
        <w:spacing w:after="0"/>
        <w:rPr>
          <w:sz w:val="20"/>
          <w:szCs w:val="20"/>
          <w:color w:val="auto"/>
        </w:rPr>
      </w:pPr>
      <w:r>
        <w:rPr>
          <w:rFonts w:ascii="Arial" w:cs="Arial" w:eastAsia="Arial" w:hAnsi="Arial"/>
          <w:sz w:val="17"/>
          <w:szCs w:val="17"/>
          <w:color w:val="auto"/>
        </w:rPr>
        <w:t>Additionally, the Facility Agreement requires Thermo to maintain minimum and maximum ownership levels in the Company's common stock.</w:t>
      </w:r>
    </w:p>
    <w:p>
      <w:pPr>
        <w:spacing w:after="0" w:line="264" w:lineRule="exact"/>
        <w:rPr>
          <w:sz w:val="20"/>
          <w:szCs w:val="20"/>
          <w:color w:val="auto"/>
        </w:rPr>
      </w:pPr>
    </w:p>
    <w:p>
      <w:pPr>
        <w:jc w:val="both"/>
        <w:ind w:firstLine="243"/>
        <w:spacing w:after="0" w:line="257" w:lineRule="auto"/>
        <w:rPr>
          <w:sz w:val="20"/>
          <w:szCs w:val="20"/>
          <w:color w:val="auto"/>
        </w:rPr>
      </w:pPr>
      <w:r>
        <w:rPr>
          <w:rFonts w:ascii="Arial" w:cs="Arial" w:eastAsia="Arial" w:hAnsi="Arial"/>
          <w:sz w:val="18"/>
          <w:szCs w:val="18"/>
          <w:color w:val="auto"/>
        </w:rPr>
        <w:t>The Company has a Strategic Review Committee that is required to remain in existence for as long as Thermo and its affiliates beneficially own forty-five percent (45%) or more of Globalstar’s outstanding common stock. To the extent permitted by applicable law, the Strategic Review Committee has exclusive responsibility for the oversight, review and approval of, among other things and subject to certain exceptions, any acquisition by Thermo and its affiliates of additional newly-issued securities of the Company and any transaction between the Company and Thermo and its affiliates with a value in excess of $250,000.</w:t>
      </w:r>
    </w:p>
    <w:p>
      <w:pPr>
        <w:spacing w:after="0" w:line="215" w:lineRule="exact"/>
        <w:rPr>
          <w:sz w:val="20"/>
          <w:szCs w:val="20"/>
          <w:color w:val="auto"/>
        </w:rPr>
      </w:pPr>
    </w:p>
    <w:p>
      <w:pPr>
        <w:ind w:left="260"/>
        <w:spacing w:after="0"/>
        <w:rPr>
          <w:sz w:val="20"/>
          <w:szCs w:val="20"/>
          <w:color w:val="auto"/>
        </w:rPr>
      </w:pPr>
      <w:r>
        <w:rPr>
          <w:rFonts w:ascii="Arial" w:cs="Arial" w:eastAsia="Arial" w:hAnsi="Arial"/>
          <w:sz w:val="16"/>
          <w:szCs w:val="16"/>
          <w:color w:val="auto"/>
        </w:rPr>
        <w:t>See Note 4: Long-Term Debt and Other Financing Arrangements for further discussion of the Company's debt and financing transactions with Thermo.</w:t>
      </w:r>
    </w:p>
    <w:p>
      <w:pPr>
        <w:spacing w:after="0" w:line="2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8. (LOSS) EARNINGS PER SHARE</w:t>
      </w:r>
    </w:p>
    <w:p>
      <w:pPr>
        <w:spacing w:after="0" w:line="256" w:lineRule="exact"/>
        <w:rPr>
          <w:sz w:val="20"/>
          <w:szCs w:val="20"/>
          <w:color w:val="auto"/>
        </w:rPr>
      </w:pPr>
    </w:p>
    <w:p>
      <w:pPr>
        <w:jc w:val="both"/>
        <w:ind w:firstLine="243"/>
        <w:spacing w:after="0" w:line="255" w:lineRule="auto"/>
        <w:rPr>
          <w:sz w:val="20"/>
          <w:szCs w:val="20"/>
          <w:color w:val="auto"/>
        </w:rPr>
      </w:pPr>
      <w:r>
        <w:rPr>
          <w:rFonts w:ascii="Arial" w:cs="Arial" w:eastAsia="Arial" w:hAnsi="Arial"/>
          <w:sz w:val="18"/>
          <w:szCs w:val="18"/>
          <w:color w:val="auto"/>
        </w:rPr>
        <w:t>Basic (loss) earnings per share is computed by dividing (loss) income available to common stockholders by the weighted average number of shares of common stock outstanding during the period. The numerator used to calculate diluted EPS includes the effect of dilutive securities, including interest expense, net, and derivative gains or losses reflected in net (loss) income. Common stock equivalents are included in the calculation of diluted earnings per share only when the effect of their inclusion would be dilutive. The effect of potentially dilutive common shares for the Company's convertible notes are calculated using the if-converted method. Generally, for all other potentially dilutive common shares, the effect is calculated using the treasury stock method.</w:t>
      </w:r>
    </w:p>
    <w:p>
      <w:pPr>
        <w:spacing w:after="0" w:line="219" w:lineRule="exact"/>
        <w:rPr>
          <w:sz w:val="20"/>
          <w:szCs w:val="20"/>
          <w:color w:val="auto"/>
        </w:rPr>
      </w:pPr>
    </w:p>
    <w:p>
      <w:pPr>
        <w:jc w:val="both"/>
        <w:ind w:firstLine="243"/>
        <w:spacing w:after="0" w:line="277" w:lineRule="auto"/>
        <w:rPr>
          <w:sz w:val="20"/>
          <w:szCs w:val="20"/>
          <w:color w:val="auto"/>
        </w:rPr>
      </w:pPr>
      <w:r>
        <w:rPr>
          <w:rFonts w:ascii="Arial" w:cs="Arial" w:eastAsia="Arial" w:hAnsi="Arial"/>
          <w:sz w:val="18"/>
          <w:szCs w:val="18"/>
          <w:color w:val="auto"/>
        </w:rPr>
        <w:t>The following table sets forth the calculation of basic and diluted (loss) earnings per share and reconciles basic weighted average shares to diluted weighted average shares of common stock outstanding for the periods indicated (in thousands):</w:t>
      </w:r>
    </w:p>
    <w:p>
      <w:pPr>
        <w:spacing w:after="0" w:line="10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3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860" w:type="dxa"/>
            <w:vAlign w:val="bottom"/>
            <w:gridSpan w:val="5"/>
          </w:tcPr>
          <w:p>
            <w:pPr>
              <w:ind w:left="160"/>
              <w:spacing w:after="0"/>
              <w:rPr>
                <w:sz w:val="20"/>
                <w:szCs w:val="20"/>
                <w:color w:val="auto"/>
              </w:rPr>
            </w:pPr>
            <w:r>
              <w:rPr>
                <w:rFonts w:ascii="Arial" w:cs="Arial" w:eastAsia="Arial" w:hAnsi="Arial"/>
                <w:sz w:val="18"/>
                <w:szCs w:val="18"/>
                <w:color w:val="auto"/>
              </w:rPr>
              <w:t>Three Months Ended June 30,</w:t>
            </w:r>
          </w:p>
        </w:tc>
        <w:tc>
          <w:tcPr>
            <w:tcW w:w="260" w:type="dxa"/>
            <w:vAlign w:val="bottom"/>
          </w:tcPr>
          <w:p>
            <w:pPr>
              <w:spacing w:after="0"/>
              <w:rPr>
                <w:sz w:val="20"/>
                <w:szCs w:val="20"/>
                <w:color w:val="auto"/>
              </w:rPr>
            </w:pPr>
          </w:p>
        </w:tc>
        <w:tc>
          <w:tcPr>
            <w:tcW w:w="2500" w:type="dxa"/>
            <w:vAlign w:val="bottom"/>
            <w:gridSpan w:val="4"/>
          </w:tcPr>
          <w:p>
            <w:pPr>
              <w:jc w:val="right"/>
              <w:ind w:right="290"/>
              <w:spacing w:after="0"/>
              <w:rPr>
                <w:sz w:val="20"/>
                <w:szCs w:val="20"/>
                <w:color w:val="auto"/>
              </w:rPr>
            </w:pPr>
            <w:r>
              <w:rPr>
                <w:rFonts w:ascii="Arial" w:cs="Arial" w:eastAsia="Arial" w:hAnsi="Arial"/>
                <w:sz w:val="18"/>
                <w:szCs w:val="18"/>
                <w:color w:val="auto"/>
                <w:w w:val="95"/>
              </w:rPr>
              <w:t>Six Months Ended June 30,</w:t>
            </w:r>
          </w:p>
        </w:tc>
        <w:tc>
          <w:tcPr>
            <w:tcW w:w="0" w:type="dxa"/>
            <w:vAlign w:val="bottom"/>
          </w:tcPr>
          <w:p>
            <w:pPr>
              <w:spacing w:after="0"/>
              <w:rPr>
                <w:sz w:val="1"/>
                <w:szCs w:val="1"/>
                <w:color w:val="auto"/>
              </w:rPr>
            </w:pPr>
          </w:p>
        </w:tc>
      </w:tr>
      <w:tr>
        <w:trPr>
          <w:trHeight w:val="27"/>
        </w:trPr>
        <w:tc>
          <w:tcPr>
            <w:tcW w:w="536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53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200" w:type="dxa"/>
            <w:vAlign w:val="bottom"/>
          </w:tcPr>
          <w:p>
            <w:pPr>
              <w:jc w:val="right"/>
              <w:ind w:right="470"/>
              <w:spacing w:after="0"/>
              <w:rPr>
                <w:sz w:val="20"/>
                <w:szCs w:val="20"/>
                <w:color w:val="auto"/>
              </w:rPr>
            </w:pPr>
            <w:r>
              <w:rPr>
                <w:rFonts w:ascii="Arial" w:cs="Arial" w:eastAsia="Arial" w:hAnsi="Arial"/>
                <w:sz w:val="18"/>
                <w:szCs w:val="18"/>
                <w:color w:val="auto"/>
              </w:rPr>
              <w:t>2020</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40" w:type="dxa"/>
            <w:vAlign w:val="bottom"/>
          </w:tcPr>
          <w:p>
            <w:pPr>
              <w:jc w:val="right"/>
              <w:ind w:right="470"/>
              <w:spacing w:after="0"/>
              <w:rPr>
                <w:sz w:val="20"/>
                <w:szCs w:val="20"/>
                <w:color w:val="auto"/>
              </w:rPr>
            </w:pPr>
            <w:r>
              <w:rPr>
                <w:rFonts w:ascii="Arial" w:cs="Arial" w:eastAsia="Arial" w:hAnsi="Arial"/>
                <w:sz w:val="18"/>
                <w:szCs w:val="18"/>
                <w:color w:val="auto"/>
              </w:rPr>
              <w:t>2019</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60" w:type="dxa"/>
            <w:vAlign w:val="bottom"/>
          </w:tcPr>
          <w:p>
            <w:pPr>
              <w:jc w:val="right"/>
              <w:ind w:right="390"/>
              <w:spacing w:after="0"/>
              <w:rPr>
                <w:sz w:val="20"/>
                <w:szCs w:val="20"/>
                <w:color w:val="auto"/>
              </w:rPr>
            </w:pPr>
            <w:r>
              <w:rPr>
                <w:rFonts w:ascii="Arial" w:cs="Arial" w:eastAsia="Arial" w:hAnsi="Arial"/>
                <w:sz w:val="18"/>
                <w:szCs w:val="18"/>
                <w:color w:val="auto"/>
              </w:rPr>
              <w:t>2020</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40" w:type="dxa"/>
            <w:vAlign w:val="bottom"/>
          </w:tcPr>
          <w:p>
            <w:pPr>
              <w:jc w:val="right"/>
              <w:ind w:right="390"/>
              <w:spacing w:after="0"/>
              <w:rPr>
                <w:sz w:val="20"/>
                <w:szCs w:val="20"/>
                <w:color w:val="auto"/>
              </w:rPr>
            </w:pPr>
            <w:r>
              <w:rPr>
                <w:rFonts w:ascii="Arial" w:cs="Arial" w:eastAsia="Arial" w:hAnsi="Arial"/>
                <w:sz w:val="18"/>
                <w:szCs w:val="18"/>
                <w:color w:val="auto"/>
              </w:rPr>
              <w:t>2019</w:t>
            </w:r>
          </w:p>
        </w:tc>
        <w:tc>
          <w:tcPr>
            <w:tcW w:w="0" w:type="dxa"/>
            <w:vAlign w:val="bottom"/>
          </w:tcPr>
          <w:p>
            <w:pPr>
              <w:spacing w:after="0"/>
              <w:rPr>
                <w:sz w:val="1"/>
                <w:szCs w:val="1"/>
                <w:color w:val="auto"/>
              </w:rPr>
            </w:pPr>
          </w:p>
        </w:tc>
      </w:tr>
      <w:tr>
        <w:trPr>
          <w:trHeight w:val="27"/>
        </w:trPr>
        <w:tc>
          <w:tcPr>
            <w:tcW w:w="536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53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(loss) income</w:t>
            </w:r>
          </w:p>
        </w:tc>
        <w:tc>
          <w:tcPr>
            <w:tcW w:w="26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(24,736)</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79"/>
              </w:rPr>
              <w:t>$</w:t>
            </w:r>
          </w:p>
        </w:tc>
        <w:tc>
          <w:tcPr>
            <w:tcW w:w="114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6,189</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(62,959)</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31,960</w:t>
            </w:r>
          </w:p>
        </w:tc>
        <w:tc>
          <w:tcPr>
            <w:tcW w:w="0" w:type="dxa"/>
            <w:vAlign w:val="bottom"/>
          </w:tcPr>
          <w:p>
            <w:pPr>
              <w:spacing w:after="0"/>
              <w:rPr>
                <w:sz w:val="1"/>
                <w:szCs w:val="1"/>
                <w:color w:val="auto"/>
              </w:rPr>
            </w:pPr>
          </w:p>
        </w:tc>
      </w:tr>
      <w:tr>
        <w:trPr>
          <w:trHeight w:val="243"/>
        </w:trPr>
        <w:tc>
          <w:tcPr>
            <w:tcW w:w="5360" w:type="dxa"/>
            <w:vAlign w:val="bottom"/>
          </w:tcPr>
          <w:p>
            <w:pPr>
              <w:ind w:left="20"/>
              <w:spacing w:after="0"/>
              <w:rPr>
                <w:sz w:val="20"/>
                <w:szCs w:val="20"/>
                <w:color w:val="auto"/>
              </w:rPr>
            </w:pPr>
            <w:r>
              <w:rPr>
                <w:rFonts w:ascii="Arial" w:cs="Arial" w:eastAsia="Arial" w:hAnsi="Arial"/>
                <w:sz w:val="18"/>
                <w:szCs w:val="18"/>
                <w:color w:val="auto"/>
              </w:rPr>
              <w:t>Effect of dilutive securities:</w:t>
            </w:r>
          </w:p>
        </w:tc>
        <w:tc>
          <w:tcPr>
            <w:tcW w:w="26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53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360" w:type="dxa"/>
            <w:vAlign w:val="bottom"/>
            <w:shd w:val="clear" w:color="auto" w:fill="CCEEFF"/>
          </w:tcPr>
          <w:p>
            <w:pPr>
              <w:ind w:left="360"/>
              <w:spacing w:after="0"/>
              <w:rPr>
                <w:sz w:val="20"/>
                <w:szCs w:val="20"/>
                <w:color w:val="auto"/>
              </w:rPr>
            </w:pPr>
            <w:r>
              <w:rPr>
                <w:rFonts w:ascii="Arial" w:cs="Arial" w:eastAsia="Arial" w:hAnsi="Arial"/>
                <w:sz w:val="18"/>
                <w:szCs w:val="18"/>
                <w:color w:val="auto"/>
              </w:rPr>
              <w:t>2013 8.00% Notes</w:t>
            </w:r>
          </w:p>
        </w:tc>
        <w:tc>
          <w:tcPr>
            <w:tcW w:w="260" w:type="dxa"/>
            <w:vAlign w:val="bottom"/>
            <w:shd w:val="clear" w:color="auto" w:fill="CCEEFF"/>
          </w:tcPr>
          <w:p>
            <w:pPr>
              <w:spacing w:after="0"/>
              <w:rPr>
                <w:sz w:val="23"/>
                <w:szCs w:val="23"/>
                <w:color w:val="auto"/>
              </w:rPr>
            </w:pPr>
          </w:p>
        </w:tc>
        <w:tc>
          <w:tcPr>
            <w:tcW w:w="120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7</w:t>
            </w:r>
          </w:p>
        </w:tc>
        <w:tc>
          <w:tcPr>
            <w:tcW w:w="100" w:type="dxa"/>
            <w:vAlign w:val="bottom"/>
            <w:shd w:val="clear" w:color="auto" w:fill="CCEEFF"/>
          </w:tcPr>
          <w:p>
            <w:pPr>
              <w:spacing w:after="0"/>
              <w:rPr>
                <w:sz w:val="23"/>
                <w:szCs w:val="23"/>
                <w:color w:val="auto"/>
              </w:rPr>
            </w:pPr>
          </w:p>
        </w:tc>
        <w:tc>
          <w:tcPr>
            <w:tcW w:w="320" w:type="dxa"/>
            <w:vAlign w:val="bottom"/>
            <w:shd w:val="clear" w:color="auto" w:fill="CCEEFF"/>
          </w:tcPr>
          <w:p>
            <w:pPr>
              <w:spacing w:after="0"/>
              <w:rPr>
                <w:sz w:val="23"/>
                <w:szCs w:val="23"/>
                <w:color w:val="auto"/>
              </w:rPr>
            </w:pPr>
          </w:p>
        </w:tc>
        <w:tc>
          <w:tcPr>
            <w:tcW w:w="11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(228)</w:t>
            </w:r>
          </w:p>
        </w:tc>
        <w:tc>
          <w:tcPr>
            <w:tcW w:w="100" w:type="dxa"/>
            <w:vAlign w:val="bottom"/>
            <w:shd w:val="clear" w:color="auto" w:fill="CCEEFF"/>
          </w:tcPr>
          <w:p>
            <w:pPr>
              <w:spacing w:after="0"/>
              <w:rPr>
                <w:sz w:val="23"/>
                <w:szCs w:val="23"/>
                <w:color w:val="auto"/>
              </w:rPr>
            </w:pPr>
          </w:p>
        </w:tc>
        <w:tc>
          <w:tcPr>
            <w:tcW w:w="260" w:type="dxa"/>
            <w:vAlign w:val="bottom"/>
            <w:shd w:val="clear" w:color="auto" w:fill="CCEEFF"/>
          </w:tcPr>
          <w:p>
            <w:pPr>
              <w:spacing w:after="0"/>
              <w:rPr>
                <w:sz w:val="23"/>
                <w:szCs w:val="23"/>
                <w:color w:val="auto"/>
              </w:rPr>
            </w:pPr>
          </w:p>
        </w:tc>
        <w:tc>
          <w:tcPr>
            <w:tcW w:w="10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(213)</w:t>
            </w:r>
          </w:p>
        </w:tc>
        <w:tc>
          <w:tcPr>
            <w:tcW w:w="120" w:type="dxa"/>
            <w:vAlign w:val="bottom"/>
            <w:shd w:val="clear" w:color="auto" w:fill="CCEEFF"/>
          </w:tcPr>
          <w:p>
            <w:pPr>
              <w:spacing w:after="0"/>
              <w:rPr>
                <w:sz w:val="23"/>
                <w:szCs w:val="23"/>
                <w:color w:val="auto"/>
              </w:rPr>
            </w:pPr>
          </w:p>
        </w:tc>
        <w:tc>
          <w:tcPr>
            <w:tcW w:w="280" w:type="dxa"/>
            <w:vAlign w:val="bottom"/>
            <w:shd w:val="clear" w:color="auto" w:fill="CCEEFF"/>
          </w:tcPr>
          <w:p>
            <w:pPr>
              <w:spacing w:after="0"/>
              <w:rPr>
                <w:sz w:val="23"/>
                <w:szCs w:val="23"/>
                <w:color w:val="auto"/>
              </w:rPr>
            </w:pPr>
          </w:p>
        </w:tc>
        <w:tc>
          <w:tcPr>
            <w:tcW w:w="10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(415)</w:t>
            </w:r>
          </w:p>
        </w:tc>
        <w:tc>
          <w:tcPr>
            <w:tcW w:w="0" w:type="dxa"/>
            <w:vAlign w:val="bottom"/>
          </w:tcPr>
          <w:p>
            <w:pPr>
              <w:spacing w:after="0"/>
              <w:rPr>
                <w:sz w:val="1"/>
                <w:szCs w:val="1"/>
                <w:color w:val="auto"/>
              </w:rPr>
            </w:pPr>
          </w:p>
        </w:tc>
      </w:tr>
      <w:tr>
        <w:trPr>
          <w:trHeight w:val="243"/>
        </w:trPr>
        <w:tc>
          <w:tcPr>
            <w:tcW w:w="5360" w:type="dxa"/>
            <w:vAlign w:val="bottom"/>
          </w:tcPr>
          <w:p>
            <w:pPr>
              <w:ind w:left="340"/>
              <w:spacing w:after="0"/>
              <w:rPr>
                <w:sz w:val="20"/>
                <w:szCs w:val="20"/>
                <w:color w:val="auto"/>
              </w:rPr>
            </w:pPr>
            <w:r>
              <w:rPr>
                <w:rFonts w:ascii="Arial" w:cs="Arial" w:eastAsia="Arial" w:hAnsi="Arial"/>
                <w:sz w:val="18"/>
                <w:szCs w:val="18"/>
                <w:color w:val="auto"/>
              </w:rPr>
              <w:t>Loan Agreement with Thermo</w:t>
            </w:r>
          </w:p>
        </w:tc>
        <w:tc>
          <w:tcPr>
            <w:tcW w:w="260" w:type="dxa"/>
            <w:vAlign w:val="bottom"/>
          </w:tcPr>
          <w:p>
            <w:pPr>
              <w:spacing w:after="0"/>
              <w:rPr>
                <w:sz w:val="21"/>
                <w:szCs w:val="21"/>
                <w:color w:val="auto"/>
              </w:rPr>
            </w:pPr>
          </w:p>
        </w:tc>
        <w:tc>
          <w:tcPr>
            <w:tcW w:w="130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21"/>
                <w:szCs w:val="21"/>
                <w:color w:val="auto"/>
              </w:rPr>
            </w:pP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(30,239)</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060" w:type="dxa"/>
            <w:vAlign w:val="bottom"/>
          </w:tcPr>
          <w:p>
            <w:pPr>
              <w:jc w:val="right"/>
              <w:ind w:right="50"/>
              <w:spacing w:after="0"/>
              <w:rPr>
                <w:sz w:val="20"/>
                <w:szCs w:val="20"/>
                <w:color w:val="auto"/>
              </w:rPr>
            </w:pPr>
            <w:r>
              <w:rPr>
                <w:rFonts w:ascii="Arial" w:cs="Arial" w:eastAsia="Arial" w:hAnsi="Arial"/>
                <w:sz w:val="18"/>
                <w:szCs w:val="18"/>
                <w:color w:val="auto"/>
              </w:rPr>
              <w:t>2,506</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(82,536)</w:t>
            </w:r>
          </w:p>
        </w:tc>
        <w:tc>
          <w:tcPr>
            <w:tcW w:w="0" w:type="dxa"/>
            <w:vAlign w:val="bottom"/>
          </w:tcPr>
          <w:p>
            <w:pPr>
              <w:spacing w:after="0"/>
              <w:rPr>
                <w:sz w:val="1"/>
                <w:szCs w:val="1"/>
                <w:color w:val="auto"/>
              </w:rPr>
            </w:pPr>
          </w:p>
        </w:tc>
      </w:tr>
      <w:tr>
        <w:trPr>
          <w:trHeight w:val="27"/>
        </w:trPr>
        <w:tc>
          <w:tcPr>
            <w:tcW w:w="536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89"/>
        </w:trPr>
        <w:tc>
          <w:tcPr>
            <w:tcW w:w="53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Loss to common stockholders plus assumed conversions</w:t>
            </w:r>
          </w:p>
        </w:tc>
        <w:tc>
          <w:tcPr>
            <w:tcW w:w="26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120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(24,729)</w:t>
            </w:r>
          </w:p>
        </w:tc>
        <w:tc>
          <w:tcPr>
            <w:tcW w:w="100" w:type="dxa"/>
            <w:vAlign w:val="bottom"/>
            <w:tcBorders>
              <w:bottom w:val="single" w:sz="8" w:color="CCEEFF"/>
            </w:tcBorders>
            <w:shd w:val="clear" w:color="auto" w:fill="CCEEFF"/>
          </w:tcPr>
          <w:p>
            <w:pPr>
              <w:spacing w:after="0"/>
              <w:rPr>
                <w:sz w:val="24"/>
                <w:szCs w:val="24"/>
                <w:color w:val="auto"/>
              </w:rPr>
            </w:pPr>
          </w:p>
        </w:tc>
        <w:tc>
          <w:tcPr>
            <w:tcW w:w="32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79"/>
              </w:rPr>
              <w:t>$</w:t>
            </w:r>
          </w:p>
        </w:tc>
        <w:tc>
          <w:tcPr>
            <w:tcW w:w="11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(24,278)</w:t>
            </w:r>
          </w:p>
        </w:tc>
        <w:tc>
          <w:tcPr>
            <w:tcW w:w="100" w:type="dxa"/>
            <w:vAlign w:val="bottom"/>
            <w:tcBorders>
              <w:bottom w:val="single" w:sz="8" w:color="CCEEFF"/>
            </w:tcBorders>
            <w:shd w:val="clear" w:color="auto" w:fill="CCEEFF"/>
          </w:tcPr>
          <w:p>
            <w:pPr>
              <w:spacing w:after="0"/>
              <w:rPr>
                <w:sz w:val="24"/>
                <w:szCs w:val="24"/>
                <w:color w:val="auto"/>
              </w:rPr>
            </w:pP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(60,666)</w:t>
            </w:r>
          </w:p>
        </w:tc>
        <w:tc>
          <w:tcPr>
            <w:tcW w:w="120" w:type="dxa"/>
            <w:vAlign w:val="bottom"/>
            <w:tcBorders>
              <w:bottom w:val="single" w:sz="8" w:color="CCEEFF"/>
            </w:tcBorders>
            <w:shd w:val="clear" w:color="auto" w:fill="CCEEFF"/>
          </w:tcPr>
          <w:p>
            <w:pPr>
              <w:spacing w:after="0"/>
              <w:rPr>
                <w:sz w:val="24"/>
                <w:szCs w:val="24"/>
                <w:color w:val="auto"/>
              </w:rPr>
            </w:pPr>
          </w:p>
        </w:tc>
        <w:tc>
          <w:tcPr>
            <w:tcW w:w="28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(50,991)</w:t>
            </w:r>
          </w:p>
        </w:tc>
        <w:tc>
          <w:tcPr>
            <w:tcW w:w="0" w:type="dxa"/>
            <w:vAlign w:val="bottom"/>
          </w:tcPr>
          <w:p>
            <w:pPr>
              <w:spacing w:after="0"/>
              <w:rPr>
                <w:sz w:val="1"/>
                <w:szCs w:val="1"/>
                <w:color w:val="auto"/>
              </w:rPr>
            </w:pPr>
          </w:p>
        </w:tc>
      </w:tr>
      <w:tr>
        <w:trPr>
          <w:trHeight w:val="20"/>
        </w:trPr>
        <w:tc>
          <w:tcPr>
            <w:tcW w:w="536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8"/>
                <w:szCs w:val="18"/>
                <w:color w:val="auto"/>
              </w:rPr>
              <w:t>Weighted average common shares outstanding:</w:t>
            </w: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5360" w:type="dxa"/>
            <w:vAlign w:val="bottom"/>
            <w:vMerge w:val="continue"/>
          </w:tcPr>
          <w:p>
            <w:pPr>
              <w:spacing w:after="0"/>
              <w:rPr>
                <w:sz w:val="16"/>
                <w:szCs w:val="16"/>
                <w:color w:val="auto"/>
              </w:rPr>
            </w:pPr>
          </w:p>
        </w:tc>
        <w:tc>
          <w:tcPr>
            <w:tcW w:w="26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7"/>
        </w:trPr>
        <w:tc>
          <w:tcPr>
            <w:tcW w:w="53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360" w:type="dxa"/>
            <w:vAlign w:val="bottom"/>
            <w:tcBorders>
              <w:bottom w:val="single" w:sz="8" w:color="CCEEFF"/>
            </w:tcBorders>
            <w:shd w:val="clear" w:color="auto" w:fill="CCEEFF"/>
          </w:tcPr>
          <w:p>
            <w:pPr>
              <w:ind w:left="340"/>
              <w:spacing w:after="0"/>
              <w:rPr>
                <w:sz w:val="20"/>
                <w:szCs w:val="20"/>
                <w:color w:val="auto"/>
              </w:rPr>
            </w:pPr>
            <w:r>
              <w:rPr>
                <w:rFonts w:ascii="Arial" w:cs="Arial" w:eastAsia="Arial" w:hAnsi="Arial"/>
                <w:sz w:val="18"/>
                <w:szCs w:val="18"/>
                <w:color w:val="auto"/>
              </w:rPr>
              <w:t>Basic shares outstanding</w:t>
            </w:r>
          </w:p>
        </w:tc>
        <w:tc>
          <w:tcPr>
            <w:tcW w:w="2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1,668,974</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1,450,380</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1,613,467</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1,449,355</w:t>
            </w:r>
          </w:p>
        </w:tc>
        <w:tc>
          <w:tcPr>
            <w:tcW w:w="0" w:type="dxa"/>
            <w:vAlign w:val="bottom"/>
          </w:tcPr>
          <w:p>
            <w:pPr>
              <w:spacing w:after="0"/>
              <w:rPr>
                <w:sz w:val="1"/>
                <w:szCs w:val="1"/>
                <w:color w:val="auto"/>
              </w:rPr>
            </w:pPr>
          </w:p>
        </w:tc>
      </w:tr>
      <w:tr>
        <w:trPr>
          <w:trHeight w:val="229"/>
        </w:trPr>
        <w:tc>
          <w:tcPr>
            <w:tcW w:w="5360" w:type="dxa"/>
            <w:vAlign w:val="bottom"/>
          </w:tcPr>
          <w:p>
            <w:pPr>
              <w:ind w:left="20"/>
              <w:spacing w:after="0"/>
              <w:rPr>
                <w:sz w:val="20"/>
                <w:szCs w:val="20"/>
                <w:color w:val="auto"/>
              </w:rPr>
            </w:pPr>
            <w:r>
              <w:rPr>
                <w:rFonts w:ascii="Arial" w:cs="Arial" w:eastAsia="Arial" w:hAnsi="Arial"/>
                <w:sz w:val="18"/>
                <w:szCs w:val="18"/>
                <w:color w:val="auto"/>
                <w:w w:val="98"/>
              </w:rPr>
              <w:t>Incremental shares from assumed exercises, conversions and other</w:t>
            </w:r>
          </w:p>
        </w:tc>
        <w:tc>
          <w:tcPr>
            <w:tcW w:w="26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360" w:type="dxa"/>
            <w:vAlign w:val="bottom"/>
          </w:tcPr>
          <w:p>
            <w:pPr>
              <w:ind w:left="20"/>
              <w:spacing w:after="0"/>
              <w:rPr>
                <w:sz w:val="20"/>
                <w:szCs w:val="20"/>
                <w:color w:val="auto"/>
              </w:rPr>
            </w:pPr>
            <w:r>
              <w:rPr>
                <w:rFonts w:ascii="Arial" w:cs="Arial" w:eastAsia="Arial" w:hAnsi="Arial"/>
                <w:sz w:val="18"/>
                <w:szCs w:val="18"/>
                <w:color w:val="auto"/>
              </w:rPr>
              <w:t>issuance of:</w:t>
            </w:r>
          </w:p>
        </w:tc>
        <w:tc>
          <w:tcPr>
            <w:tcW w:w="26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53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5360" w:type="dxa"/>
            <w:vAlign w:val="bottom"/>
            <w:shd w:val="clear" w:color="auto" w:fill="CCEEFF"/>
          </w:tcPr>
          <w:p>
            <w:pPr>
              <w:ind w:left="340"/>
              <w:spacing w:after="0"/>
              <w:rPr>
                <w:sz w:val="20"/>
                <w:szCs w:val="20"/>
                <w:color w:val="auto"/>
              </w:rPr>
            </w:pPr>
            <w:r>
              <w:rPr>
                <w:rFonts w:ascii="Arial" w:cs="Arial" w:eastAsia="Arial" w:hAnsi="Arial"/>
                <w:sz w:val="18"/>
                <w:szCs w:val="18"/>
                <w:color w:val="auto"/>
                <w:w w:val="93"/>
              </w:rPr>
              <w:t>Stock options, restricted stock, restricted stock units and Employee</w:t>
            </w:r>
          </w:p>
        </w:tc>
        <w:tc>
          <w:tcPr>
            <w:tcW w:w="26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5360" w:type="dxa"/>
            <w:vAlign w:val="bottom"/>
            <w:tcBorders>
              <w:bottom w:val="single" w:sz="8" w:color="CCEEFF"/>
            </w:tcBorders>
            <w:shd w:val="clear" w:color="auto" w:fill="CCEEFF"/>
          </w:tcPr>
          <w:p>
            <w:pPr>
              <w:ind w:left="340"/>
              <w:spacing w:after="0"/>
              <w:rPr>
                <w:sz w:val="20"/>
                <w:szCs w:val="20"/>
                <w:color w:val="auto"/>
              </w:rPr>
            </w:pPr>
            <w:r>
              <w:rPr>
                <w:rFonts w:ascii="Arial" w:cs="Arial" w:eastAsia="Arial" w:hAnsi="Arial"/>
                <w:sz w:val="18"/>
                <w:szCs w:val="18"/>
                <w:color w:val="auto"/>
              </w:rPr>
              <w:t>Stock Purchase Plan</w:t>
            </w:r>
          </w:p>
        </w:tc>
        <w:tc>
          <w:tcPr>
            <w:tcW w:w="26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32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3,828</w:t>
            </w:r>
          </w:p>
        </w:tc>
        <w:tc>
          <w:tcPr>
            <w:tcW w:w="1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4,948</w:t>
            </w:r>
          </w:p>
        </w:tc>
        <w:tc>
          <w:tcPr>
            <w:tcW w:w="0" w:type="dxa"/>
            <w:vAlign w:val="bottom"/>
          </w:tcPr>
          <w:p>
            <w:pPr>
              <w:spacing w:after="0"/>
              <w:rPr>
                <w:sz w:val="1"/>
                <w:szCs w:val="1"/>
                <w:color w:val="auto"/>
              </w:rPr>
            </w:pPr>
          </w:p>
        </w:tc>
      </w:tr>
      <w:tr>
        <w:trPr>
          <w:trHeight w:val="270"/>
        </w:trPr>
        <w:tc>
          <w:tcPr>
            <w:tcW w:w="5360" w:type="dxa"/>
            <w:vAlign w:val="bottom"/>
          </w:tcPr>
          <w:p>
            <w:pPr>
              <w:ind w:left="360"/>
              <w:spacing w:after="0"/>
              <w:rPr>
                <w:sz w:val="20"/>
                <w:szCs w:val="20"/>
                <w:color w:val="auto"/>
              </w:rPr>
            </w:pPr>
            <w:r>
              <w:rPr>
                <w:rFonts w:ascii="Arial" w:cs="Arial" w:eastAsia="Arial" w:hAnsi="Arial"/>
                <w:sz w:val="18"/>
                <w:szCs w:val="18"/>
                <w:color w:val="auto"/>
              </w:rPr>
              <w:t>2013 8.00% Notes</w:t>
            </w:r>
          </w:p>
        </w:tc>
        <w:tc>
          <w:tcPr>
            <w:tcW w:w="260" w:type="dxa"/>
            <w:vAlign w:val="bottom"/>
          </w:tcPr>
          <w:p>
            <w:pPr>
              <w:spacing w:after="0"/>
              <w:rPr>
                <w:sz w:val="23"/>
                <w:szCs w:val="23"/>
                <w:color w:val="auto"/>
              </w:rPr>
            </w:pPr>
          </w:p>
        </w:tc>
        <w:tc>
          <w:tcPr>
            <w:tcW w:w="130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23"/>
                <w:szCs w:val="23"/>
                <w:color w:val="auto"/>
              </w:rPr>
            </w:pPr>
          </w:p>
        </w:tc>
        <w:tc>
          <w:tcPr>
            <w:tcW w:w="1140" w:type="dxa"/>
            <w:vAlign w:val="bottom"/>
          </w:tcPr>
          <w:p>
            <w:pPr>
              <w:jc w:val="right"/>
              <w:ind w:right="70"/>
              <w:spacing w:after="0"/>
              <w:rPr>
                <w:sz w:val="20"/>
                <w:szCs w:val="20"/>
                <w:color w:val="auto"/>
              </w:rPr>
            </w:pPr>
            <w:r>
              <w:rPr>
                <w:rFonts w:ascii="Arial" w:cs="Arial" w:eastAsia="Arial" w:hAnsi="Arial"/>
                <w:sz w:val="18"/>
                <w:szCs w:val="18"/>
                <w:color w:val="auto"/>
              </w:rPr>
              <w:t>2,020</w:t>
            </w: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18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3"/>
                <w:szCs w:val="23"/>
                <w:color w:val="auto"/>
              </w:rPr>
            </w:pPr>
          </w:p>
        </w:tc>
        <w:tc>
          <w:tcPr>
            <w:tcW w:w="1040" w:type="dxa"/>
            <w:vAlign w:val="bottom"/>
          </w:tcPr>
          <w:p>
            <w:pPr>
              <w:jc w:val="right"/>
              <w:ind w:right="70"/>
              <w:spacing w:after="0"/>
              <w:rPr>
                <w:sz w:val="20"/>
                <w:szCs w:val="20"/>
                <w:color w:val="auto"/>
              </w:rPr>
            </w:pPr>
            <w:r>
              <w:rPr>
                <w:rFonts w:ascii="Arial" w:cs="Arial" w:eastAsia="Arial" w:hAnsi="Arial"/>
                <w:sz w:val="18"/>
                <w:szCs w:val="18"/>
                <w:color w:val="auto"/>
              </w:rPr>
              <w:t>2,020</w:t>
            </w:r>
          </w:p>
        </w:tc>
        <w:tc>
          <w:tcPr>
            <w:tcW w:w="0" w:type="dxa"/>
            <w:vAlign w:val="bottom"/>
          </w:tcPr>
          <w:p>
            <w:pPr>
              <w:spacing w:after="0"/>
              <w:rPr>
                <w:sz w:val="1"/>
                <w:szCs w:val="1"/>
                <w:color w:val="auto"/>
              </w:rPr>
            </w:pPr>
          </w:p>
        </w:tc>
      </w:tr>
      <w:tr>
        <w:trPr>
          <w:trHeight w:val="250"/>
        </w:trPr>
        <w:tc>
          <w:tcPr>
            <w:tcW w:w="5360" w:type="dxa"/>
            <w:vAlign w:val="bottom"/>
            <w:tcBorders>
              <w:bottom w:val="single" w:sz="8" w:color="CCEEFF"/>
            </w:tcBorders>
            <w:shd w:val="clear" w:color="auto" w:fill="CCEEFF"/>
          </w:tcPr>
          <w:p>
            <w:pPr>
              <w:ind w:left="340"/>
              <w:spacing w:after="0"/>
              <w:rPr>
                <w:sz w:val="20"/>
                <w:szCs w:val="20"/>
                <w:color w:val="auto"/>
              </w:rPr>
            </w:pPr>
            <w:r>
              <w:rPr>
                <w:rFonts w:ascii="Arial" w:cs="Arial" w:eastAsia="Arial" w:hAnsi="Arial"/>
                <w:sz w:val="18"/>
                <w:szCs w:val="18"/>
                <w:color w:val="auto"/>
              </w:rPr>
              <w:t>Loan Agreement with Thermo</w:t>
            </w:r>
          </w:p>
        </w:tc>
        <w:tc>
          <w:tcPr>
            <w:tcW w:w="2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3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184,214</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184,214</w:t>
            </w:r>
          </w:p>
        </w:tc>
        <w:tc>
          <w:tcPr>
            <w:tcW w:w="0" w:type="dxa"/>
            <w:vAlign w:val="bottom"/>
          </w:tcPr>
          <w:p>
            <w:pPr>
              <w:spacing w:after="0"/>
              <w:rPr>
                <w:sz w:val="1"/>
                <w:szCs w:val="1"/>
                <w:color w:val="auto"/>
              </w:rPr>
            </w:pPr>
          </w:p>
        </w:tc>
      </w:tr>
      <w:tr>
        <w:trPr>
          <w:trHeight w:val="270"/>
        </w:trPr>
        <w:tc>
          <w:tcPr>
            <w:tcW w:w="5360" w:type="dxa"/>
            <w:vAlign w:val="bottom"/>
          </w:tcPr>
          <w:p>
            <w:pPr>
              <w:ind w:left="120"/>
              <w:spacing w:after="0"/>
              <w:rPr>
                <w:sz w:val="20"/>
                <w:szCs w:val="20"/>
                <w:color w:val="auto"/>
              </w:rPr>
            </w:pPr>
            <w:r>
              <w:rPr>
                <w:rFonts w:ascii="Arial" w:cs="Arial" w:eastAsia="Arial" w:hAnsi="Arial"/>
                <w:sz w:val="18"/>
                <w:szCs w:val="18"/>
                <w:color w:val="auto"/>
              </w:rPr>
              <w:t>Diluted shares outstanding</w:t>
            </w:r>
          </w:p>
        </w:tc>
        <w:tc>
          <w:tcPr>
            <w:tcW w:w="260" w:type="dxa"/>
            <w:vAlign w:val="bottom"/>
            <w:tcBorders>
              <w:bottom w:val="single" w:sz="8" w:color="auto"/>
            </w:tcBorders>
          </w:tcPr>
          <w:p>
            <w:pPr>
              <w:spacing w:after="0"/>
              <w:rPr>
                <w:sz w:val="23"/>
                <w:szCs w:val="23"/>
                <w:color w:val="auto"/>
              </w:rPr>
            </w:pPr>
          </w:p>
        </w:tc>
        <w:tc>
          <w:tcPr>
            <w:tcW w:w="120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1,668,974</w:t>
            </w:r>
          </w:p>
        </w:tc>
        <w:tc>
          <w:tcPr>
            <w:tcW w:w="100" w:type="dxa"/>
            <w:vAlign w:val="bottom"/>
          </w:tcPr>
          <w:p>
            <w:pPr>
              <w:spacing w:after="0"/>
              <w:rPr>
                <w:sz w:val="23"/>
                <w:szCs w:val="23"/>
                <w:color w:val="auto"/>
              </w:rPr>
            </w:pPr>
          </w:p>
        </w:tc>
        <w:tc>
          <w:tcPr>
            <w:tcW w:w="320" w:type="dxa"/>
            <w:vAlign w:val="bottom"/>
            <w:tcBorders>
              <w:bottom w:val="single" w:sz="8" w:color="auto"/>
            </w:tcBorders>
          </w:tcPr>
          <w:p>
            <w:pPr>
              <w:spacing w:after="0"/>
              <w:rPr>
                <w:sz w:val="23"/>
                <w:szCs w:val="23"/>
                <w:color w:val="auto"/>
              </w:rPr>
            </w:pPr>
          </w:p>
        </w:tc>
        <w:tc>
          <w:tcPr>
            <w:tcW w:w="114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1,640,442</w:t>
            </w:r>
          </w:p>
        </w:tc>
        <w:tc>
          <w:tcPr>
            <w:tcW w:w="100" w:type="dxa"/>
            <w:vAlign w:val="bottom"/>
          </w:tcPr>
          <w:p>
            <w:pPr>
              <w:spacing w:after="0"/>
              <w:rPr>
                <w:sz w:val="23"/>
                <w:szCs w:val="23"/>
                <w:color w:val="auto"/>
              </w:rPr>
            </w:pPr>
          </w:p>
        </w:tc>
        <w:tc>
          <w:tcPr>
            <w:tcW w:w="260" w:type="dxa"/>
            <w:vAlign w:val="bottom"/>
            <w:tcBorders>
              <w:bottom w:val="single" w:sz="8" w:color="auto"/>
            </w:tcBorders>
          </w:tcPr>
          <w:p>
            <w:pPr>
              <w:spacing w:after="0"/>
              <w:rPr>
                <w:sz w:val="23"/>
                <w:szCs w:val="23"/>
                <w:color w:val="auto"/>
              </w:rPr>
            </w:pPr>
          </w:p>
        </w:tc>
        <w:tc>
          <w:tcPr>
            <w:tcW w:w="106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1,613,467</w:t>
            </w:r>
          </w:p>
        </w:tc>
        <w:tc>
          <w:tcPr>
            <w:tcW w:w="120" w:type="dxa"/>
            <w:vAlign w:val="bottom"/>
          </w:tcPr>
          <w:p>
            <w:pPr>
              <w:spacing w:after="0"/>
              <w:rPr>
                <w:sz w:val="23"/>
                <w:szCs w:val="23"/>
                <w:color w:val="auto"/>
              </w:rPr>
            </w:pPr>
          </w:p>
        </w:tc>
        <w:tc>
          <w:tcPr>
            <w:tcW w:w="280" w:type="dxa"/>
            <w:vAlign w:val="bottom"/>
            <w:tcBorders>
              <w:bottom w:val="single" w:sz="8" w:color="auto"/>
            </w:tcBorders>
          </w:tcPr>
          <w:p>
            <w:pPr>
              <w:spacing w:after="0"/>
              <w:rPr>
                <w:sz w:val="23"/>
                <w:szCs w:val="23"/>
                <w:color w:val="auto"/>
              </w:rPr>
            </w:pPr>
          </w:p>
        </w:tc>
        <w:tc>
          <w:tcPr>
            <w:tcW w:w="104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1,640,537</w:t>
            </w:r>
          </w:p>
        </w:tc>
        <w:tc>
          <w:tcPr>
            <w:tcW w:w="0" w:type="dxa"/>
            <w:vAlign w:val="bottom"/>
          </w:tcPr>
          <w:p>
            <w:pPr>
              <w:spacing w:after="0"/>
              <w:rPr>
                <w:sz w:val="1"/>
                <w:szCs w:val="1"/>
                <w:color w:val="auto"/>
              </w:rPr>
            </w:pPr>
          </w:p>
        </w:tc>
      </w:tr>
      <w:tr>
        <w:trPr>
          <w:trHeight w:val="20"/>
        </w:trPr>
        <w:tc>
          <w:tcPr>
            <w:tcW w:w="536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7"/>
        </w:trPr>
        <w:tc>
          <w:tcPr>
            <w:tcW w:w="53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(loss) income per common share:</w:t>
            </w:r>
          </w:p>
        </w:tc>
        <w:tc>
          <w:tcPr>
            <w:tcW w:w="260" w:type="dxa"/>
            <w:vAlign w:val="bottom"/>
            <w:tcBorders>
              <w:bottom w:val="single" w:sz="8" w:color="CCEEFF"/>
            </w:tcBorders>
            <w:shd w:val="clear" w:color="auto" w:fill="CCEEFF"/>
          </w:tcPr>
          <w:p>
            <w:pPr>
              <w:spacing w:after="0"/>
              <w:rPr>
                <w:sz w:val="18"/>
                <w:szCs w:val="18"/>
                <w:color w:val="auto"/>
              </w:rPr>
            </w:pPr>
          </w:p>
        </w:tc>
        <w:tc>
          <w:tcPr>
            <w:tcW w:w="120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320" w:type="dxa"/>
            <w:vAlign w:val="bottom"/>
            <w:tcBorders>
              <w:bottom w:val="single" w:sz="8" w:color="CCEEFF"/>
            </w:tcBorders>
            <w:shd w:val="clear" w:color="auto" w:fill="CCEEFF"/>
          </w:tcPr>
          <w:p>
            <w:pPr>
              <w:spacing w:after="0"/>
              <w:rPr>
                <w:sz w:val="18"/>
                <w:szCs w:val="18"/>
                <w:color w:val="auto"/>
              </w:rPr>
            </w:pPr>
          </w:p>
        </w:tc>
        <w:tc>
          <w:tcPr>
            <w:tcW w:w="114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260" w:type="dxa"/>
            <w:vAlign w:val="bottom"/>
            <w:tcBorders>
              <w:bottom w:val="single" w:sz="8" w:color="CCEEFF"/>
            </w:tcBorders>
            <w:shd w:val="clear" w:color="auto" w:fill="CCEEFF"/>
          </w:tcPr>
          <w:p>
            <w:pPr>
              <w:spacing w:after="0"/>
              <w:rPr>
                <w:sz w:val="18"/>
                <w:szCs w:val="18"/>
                <w:color w:val="auto"/>
              </w:rPr>
            </w:pPr>
          </w:p>
        </w:tc>
        <w:tc>
          <w:tcPr>
            <w:tcW w:w="106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CCEEFF"/>
            </w:tcBorders>
            <w:shd w:val="clear" w:color="auto" w:fill="CCEEFF"/>
          </w:tcPr>
          <w:p>
            <w:pPr>
              <w:spacing w:after="0"/>
              <w:rPr>
                <w:sz w:val="18"/>
                <w:szCs w:val="18"/>
                <w:color w:val="auto"/>
              </w:rPr>
            </w:pPr>
          </w:p>
        </w:tc>
        <w:tc>
          <w:tcPr>
            <w:tcW w:w="280" w:type="dxa"/>
            <w:vAlign w:val="bottom"/>
            <w:tcBorders>
              <w:bottom w:val="single" w:sz="8" w:color="CCEEFF"/>
            </w:tcBorders>
            <w:shd w:val="clear" w:color="auto" w:fill="CCEEFF"/>
          </w:tcPr>
          <w:p>
            <w:pPr>
              <w:spacing w:after="0"/>
              <w:rPr>
                <w:sz w:val="18"/>
                <w:szCs w:val="18"/>
                <w:color w:val="auto"/>
              </w:rPr>
            </w:pPr>
          </w:p>
        </w:tc>
        <w:tc>
          <w:tcPr>
            <w:tcW w:w="104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43"/>
        </w:trPr>
        <w:tc>
          <w:tcPr>
            <w:tcW w:w="5360" w:type="dxa"/>
            <w:vAlign w:val="bottom"/>
          </w:tcPr>
          <w:p>
            <w:pPr>
              <w:ind w:left="120"/>
              <w:spacing w:after="0"/>
              <w:rPr>
                <w:sz w:val="20"/>
                <w:szCs w:val="20"/>
                <w:color w:val="auto"/>
              </w:rPr>
            </w:pPr>
            <w:r>
              <w:rPr>
                <w:rFonts w:ascii="Arial" w:cs="Arial" w:eastAsia="Arial" w:hAnsi="Arial"/>
                <w:sz w:val="18"/>
                <w:szCs w:val="18"/>
                <w:color w:val="auto"/>
              </w:rPr>
              <w:t>Basic</w:t>
            </w:r>
          </w:p>
        </w:tc>
        <w:tc>
          <w:tcPr>
            <w:tcW w:w="260" w:type="dxa"/>
            <w:vAlign w:val="bottom"/>
          </w:tcPr>
          <w:p>
            <w:pPr>
              <w:jc w:val="right"/>
              <w:ind w:right="70"/>
              <w:spacing w:after="0"/>
              <w:rPr>
                <w:sz w:val="20"/>
                <w:szCs w:val="20"/>
                <w:color w:val="auto"/>
              </w:rPr>
            </w:pPr>
            <w:r>
              <w:rPr>
                <w:rFonts w:ascii="Arial" w:cs="Arial" w:eastAsia="Arial" w:hAnsi="Arial"/>
                <w:sz w:val="18"/>
                <w:szCs w:val="18"/>
                <w:color w:val="auto"/>
                <w:w w:val="79"/>
              </w:rPr>
              <w:t>$</w:t>
            </w: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(0.01)</w:t>
            </w:r>
          </w:p>
        </w:tc>
        <w:tc>
          <w:tcPr>
            <w:tcW w:w="100" w:type="dxa"/>
            <w:vAlign w:val="bottom"/>
          </w:tcPr>
          <w:p>
            <w:pPr>
              <w:spacing w:after="0"/>
              <w:rPr>
                <w:sz w:val="21"/>
                <w:szCs w:val="21"/>
                <w:color w:val="auto"/>
              </w:rPr>
            </w:pPr>
          </w:p>
        </w:tc>
        <w:tc>
          <w:tcPr>
            <w:tcW w:w="320" w:type="dxa"/>
            <w:vAlign w:val="bottom"/>
          </w:tcPr>
          <w:p>
            <w:pPr>
              <w:jc w:val="right"/>
              <w:ind w:right="130"/>
              <w:spacing w:after="0"/>
              <w:rPr>
                <w:sz w:val="20"/>
                <w:szCs w:val="20"/>
                <w:color w:val="auto"/>
              </w:rPr>
            </w:pPr>
            <w:r>
              <w:rPr>
                <w:rFonts w:ascii="Arial" w:cs="Arial" w:eastAsia="Arial" w:hAnsi="Arial"/>
                <w:sz w:val="18"/>
                <w:szCs w:val="18"/>
                <w:color w:val="auto"/>
                <w:w w:val="79"/>
              </w:rPr>
              <w:t>$</w:t>
            </w:r>
          </w:p>
        </w:tc>
        <w:tc>
          <w:tcPr>
            <w:tcW w:w="1140" w:type="dxa"/>
            <w:vAlign w:val="bottom"/>
          </w:tcPr>
          <w:p>
            <w:pPr>
              <w:jc w:val="right"/>
              <w:ind w:right="70"/>
              <w:spacing w:after="0"/>
              <w:rPr>
                <w:sz w:val="20"/>
                <w:szCs w:val="20"/>
                <w:color w:val="auto"/>
              </w:rPr>
            </w:pPr>
            <w:r>
              <w:rPr>
                <w:rFonts w:ascii="Arial" w:cs="Arial" w:eastAsia="Arial" w:hAnsi="Arial"/>
                <w:sz w:val="18"/>
                <w:szCs w:val="18"/>
                <w:color w:val="auto"/>
              </w:rPr>
              <w:t>0.00</w:t>
            </w:r>
          </w:p>
        </w:tc>
        <w:tc>
          <w:tcPr>
            <w:tcW w:w="10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060" w:type="dxa"/>
            <w:vAlign w:val="bottom"/>
          </w:tcPr>
          <w:p>
            <w:pPr>
              <w:jc w:val="right"/>
              <w:ind w:right="10"/>
              <w:spacing w:after="0"/>
              <w:rPr>
                <w:sz w:val="20"/>
                <w:szCs w:val="20"/>
                <w:color w:val="auto"/>
              </w:rPr>
            </w:pPr>
            <w:r>
              <w:rPr>
                <w:rFonts w:ascii="Arial" w:cs="Arial" w:eastAsia="Arial" w:hAnsi="Arial"/>
                <w:sz w:val="18"/>
                <w:szCs w:val="18"/>
                <w:color w:val="auto"/>
              </w:rPr>
              <w:t>(0.04)</w:t>
            </w:r>
          </w:p>
        </w:tc>
        <w:tc>
          <w:tcPr>
            <w:tcW w:w="120" w:type="dxa"/>
            <w:vAlign w:val="bottom"/>
          </w:tcPr>
          <w:p>
            <w:pPr>
              <w:spacing w:after="0"/>
              <w:rPr>
                <w:sz w:val="21"/>
                <w:szCs w:val="21"/>
                <w:color w:val="auto"/>
              </w:rPr>
            </w:pPr>
          </w:p>
        </w:tc>
        <w:tc>
          <w:tcPr>
            <w:tcW w:w="280" w:type="dxa"/>
            <w:vAlign w:val="bottom"/>
          </w:tcPr>
          <w:p>
            <w:pPr>
              <w:jc w:val="right"/>
              <w:ind w:right="90"/>
              <w:spacing w:after="0"/>
              <w:rPr>
                <w:sz w:val="20"/>
                <w:szCs w:val="20"/>
                <w:color w:val="auto"/>
              </w:rPr>
            </w:pPr>
            <w:r>
              <w:rPr>
                <w:rFonts w:ascii="Arial" w:cs="Arial" w:eastAsia="Arial" w:hAnsi="Arial"/>
                <w:sz w:val="18"/>
                <w:szCs w:val="18"/>
                <w:color w:val="auto"/>
                <w:w w:val="79"/>
              </w:rPr>
              <w:t>$</w:t>
            </w:r>
          </w:p>
        </w:tc>
        <w:tc>
          <w:tcPr>
            <w:tcW w:w="1040" w:type="dxa"/>
            <w:vAlign w:val="bottom"/>
          </w:tcPr>
          <w:p>
            <w:pPr>
              <w:jc w:val="right"/>
              <w:ind w:right="70"/>
              <w:spacing w:after="0"/>
              <w:rPr>
                <w:sz w:val="20"/>
                <w:szCs w:val="20"/>
                <w:color w:val="auto"/>
              </w:rPr>
            </w:pPr>
            <w:r>
              <w:rPr>
                <w:rFonts w:ascii="Arial" w:cs="Arial" w:eastAsia="Arial" w:hAnsi="Arial"/>
                <w:sz w:val="18"/>
                <w:szCs w:val="18"/>
                <w:color w:val="auto"/>
              </w:rPr>
              <w:t>0.02</w:t>
            </w:r>
          </w:p>
        </w:tc>
        <w:tc>
          <w:tcPr>
            <w:tcW w:w="0" w:type="dxa"/>
            <w:vAlign w:val="bottom"/>
          </w:tcPr>
          <w:p>
            <w:pPr>
              <w:spacing w:after="0"/>
              <w:rPr>
                <w:sz w:val="1"/>
                <w:szCs w:val="1"/>
                <w:color w:val="auto"/>
              </w:rPr>
            </w:pPr>
          </w:p>
        </w:tc>
      </w:tr>
      <w:tr>
        <w:trPr>
          <w:trHeight w:val="27"/>
        </w:trPr>
        <w:tc>
          <w:tcPr>
            <w:tcW w:w="53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43"/>
        </w:trPr>
        <w:tc>
          <w:tcPr>
            <w:tcW w:w="5360" w:type="dxa"/>
            <w:vAlign w:val="bottom"/>
            <w:shd w:val="clear" w:color="auto" w:fill="CCEEFF"/>
          </w:tcPr>
          <w:p>
            <w:pPr>
              <w:ind w:left="120"/>
              <w:spacing w:after="0"/>
              <w:rPr>
                <w:sz w:val="20"/>
                <w:szCs w:val="20"/>
                <w:color w:val="auto"/>
              </w:rPr>
            </w:pPr>
            <w:r>
              <w:rPr>
                <w:rFonts w:ascii="Arial" w:cs="Arial" w:eastAsia="Arial" w:hAnsi="Arial"/>
                <w:sz w:val="18"/>
                <w:szCs w:val="18"/>
                <w:color w:val="auto"/>
              </w:rPr>
              <w:t>Diluted</w:t>
            </w:r>
          </w:p>
        </w:tc>
        <w:tc>
          <w:tcPr>
            <w:tcW w:w="260" w:type="dxa"/>
            <w:vAlign w:val="bottom"/>
            <w:shd w:val="clear" w:color="auto" w:fill="CCEEFF"/>
          </w:tcPr>
          <w:p>
            <w:pPr>
              <w:spacing w:after="0"/>
              <w:rPr>
                <w:sz w:val="21"/>
                <w:szCs w:val="21"/>
                <w:color w:val="auto"/>
              </w:rPr>
            </w:pPr>
          </w:p>
        </w:tc>
        <w:tc>
          <w:tcPr>
            <w:tcW w:w="120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(0.01)</w:t>
            </w:r>
          </w:p>
        </w:tc>
        <w:tc>
          <w:tcPr>
            <w:tcW w:w="100" w:type="dxa"/>
            <w:vAlign w:val="bottom"/>
            <w:shd w:val="clear" w:color="auto" w:fill="CCEEFF"/>
          </w:tcPr>
          <w:p>
            <w:pPr>
              <w:spacing w:after="0"/>
              <w:rPr>
                <w:sz w:val="21"/>
                <w:szCs w:val="21"/>
                <w:color w:val="auto"/>
              </w:rPr>
            </w:pPr>
          </w:p>
        </w:tc>
        <w:tc>
          <w:tcPr>
            <w:tcW w:w="320" w:type="dxa"/>
            <w:vAlign w:val="bottom"/>
            <w:shd w:val="clear" w:color="auto" w:fill="CCEEFF"/>
          </w:tcPr>
          <w:p>
            <w:pPr>
              <w:spacing w:after="0"/>
              <w:rPr>
                <w:sz w:val="21"/>
                <w:szCs w:val="21"/>
                <w:color w:val="auto"/>
              </w:rPr>
            </w:pPr>
          </w:p>
        </w:tc>
        <w:tc>
          <w:tcPr>
            <w:tcW w:w="11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(0.01)</w:t>
            </w:r>
          </w:p>
        </w:tc>
        <w:tc>
          <w:tcPr>
            <w:tcW w:w="100" w:type="dxa"/>
            <w:vAlign w:val="bottom"/>
            <w:shd w:val="clear" w:color="auto" w:fill="CCEEFF"/>
          </w:tcPr>
          <w:p>
            <w:pPr>
              <w:spacing w:after="0"/>
              <w:rPr>
                <w:sz w:val="21"/>
                <w:szCs w:val="21"/>
                <w:color w:val="auto"/>
              </w:rPr>
            </w:pPr>
          </w:p>
        </w:tc>
        <w:tc>
          <w:tcPr>
            <w:tcW w:w="260" w:type="dxa"/>
            <w:vAlign w:val="bottom"/>
            <w:shd w:val="clear" w:color="auto" w:fill="CCEEFF"/>
          </w:tcPr>
          <w:p>
            <w:pPr>
              <w:spacing w:after="0"/>
              <w:rPr>
                <w:sz w:val="21"/>
                <w:szCs w:val="21"/>
                <w:color w:val="auto"/>
              </w:rPr>
            </w:pPr>
          </w:p>
        </w:tc>
        <w:tc>
          <w:tcPr>
            <w:tcW w:w="10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(0.04)</w:t>
            </w:r>
          </w:p>
        </w:tc>
        <w:tc>
          <w:tcPr>
            <w:tcW w:w="120" w:type="dxa"/>
            <w:vAlign w:val="bottom"/>
            <w:shd w:val="clear" w:color="auto" w:fill="CCEEFF"/>
          </w:tcPr>
          <w:p>
            <w:pPr>
              <w:spacing w:after="0"/>
              <w:rPr>
                <w:sz w:val="21"/>
                <w:szCs w:val="21"/>
                <w:color w:val="auto"/>
              </w:rPr>
            </w:pPr>
          </w:p>
        </w:tc>
        <w:tc>
          <w:tcPr>
            <w:tcW w:w="280" w:type="dxa"/>
            <w:vAlign w:val="bottom"/>
            <w:shd w:val="clear" w:color="auto" w:fill="CCEEFF"/>
          </w:tcPr>
          <w:p>
            <w:pPr>
              <w:spacing w:after="0"/>
              <w:rPr>
                <w:sz w:val="21"/>
                <w:szCs w:val="21"/>
                <w:color w:val="auto"/>
              </w:rPr>
            </w:pPr>
          </w:p>
        </w:tc>
        <w:tc>
          <w:tcPr>
            <w:tcW w:w="10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(0.03)</w:t>
            </w:r>
          </w:p>
        </w:tc>
        <w:tc>
          <w:tcPr>
            <w:tcW w:w="0" w:type="dxa"/>
            <w:vAlign w:val="bottom"/>
          </w:tcPr>
          <w:p>
            <w:pPr>
              <w:spacing w:after="0"/>
              <w:rPr>
                <w:sz w:val="1"/>
                <w:szCs w:val="1"/>
                <w:color w:val="auto"/>
              </w:rPr>
            </w:pPr>
          </w:p>
        </w:tc>
      </w:tr>
      <w:tr>
        <w:trPr>
          <w:trHeight w:val="27"/>
        </w:trPr>
        <w:tc>
          <w:tcPr>
            <w:tcW w:w="5360" w:type="dxa"/>
            <w:vAlign w:val="bottom"/>
            <w:shd w:val="clear" w:color="auto" w:fill="CCEEFF"/>
          </w:tcPr>
          <w:p>
            <w:pPr>
              <w:spacing w:after="0"/>
              <w:rPr>
                <w:sz w:val="2"/>
                <w:szCs w:val="2"/>
                <w:color w:val="auto"/>
              </w:rPr>
            </w:pPr>
          </w:p>
        </w:tc>
        <w:tc>
          <w:tcPr>
            <w:tcW w:w="260" w:type="dxa"/>
            <w:vAlign w:val="bottom"/>
            <w:shd w:val="clear" w:color="auto" w:fill="CCEEFF"/>
          </w:tcPr>
          <w:p>
            <w:pPr>
              <w:spacing w:after="0"/>
              <w:rPr>
                <w:sz w:val="2"/>
                <w:szCs w:val="2"/>
                <w:color w:val="auto"/>
              </w:rPr>
            </w:pPr>
          </w:p>
        </w:tc>
        <w:tc>
          <w:tcPr>
            <w:tcW w:w="12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320" w:type="dxa"/>
            <w:vAlign w:val="bottom"/>
            <w:shd w:val="clear" w:color="auto" w:fill="CCEEFF"/>
          </w:tcPr>
          <w:p>
            <w:pPr>
              <w:spacing w:after="0"/>
              <w:rPr>
                <w:sz w:val="2"/>
                <w:szCs w:val="2"/>
                <w:color w:val="auto"/>
              </w:rPr>
            </w:pPr>
          </w:p>
        </w:tc>
        <w:tc>
          <w:tcPr>
            <w:tcW w:w="11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60" w:type="dxa"/>
            <w:vAlign w:val="bottom"/>
            <w:shd w:val="clear" w:color="auto" w:fill="CCEEFF"/>
          </w:tcPr>
          <w:p>
            <w:pPr>
              <w:spacing w:after="0"/>
              <w:rPr>
                <w:sz w:val="2"/>
                <w:szCs w:val="2"/>
                <w:color w:val="auto"/>
              </w:rPr>
            </w:pPr>
          </w:p>
        </w:tc>
        <w:tc>
          <w:tcPr>
            <w:tcW w:w="106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280" w:type="dxa"/>
            <w:vAlign w:val="bottom"/>
            <w:shd w:val="clear" w:color="auto" w:fill="CCEEFF"/>
          </w:tcPr>
          <w:p>
            <w:pPr>
              <w:spacing w:after="0"/>
              <w:rPr>
                <w:sz w:val="2"/>
                <w:szCs w:val="2"/>
                <w:color w:val="auto"/>
              </w:rPr>
            </w:pPr>
          </w:p>
        </w:tc>
        <w:tc>
          <w:tcPr>
            <w:tcW w:w="104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310" w:lineRule="exact"/>
        <w:rPr>
          <w:sz w:val="20"/>
          <w:szCs w:val="20"/>
          <w:color w:val="auto"/>
        </w:rPr>
      </w:pPr>
    </w:p>
    <w:p>
      <w:pPr>
        <w:jc w:val="both"/>
        <w:ind w:firstLine="243"/>
        <w:spacing w:after="0" w:line="277" w:lineRule="auto"/>
        <w:rPr>
          <w:sz w:val="20"/>
          <w:szCs w:val="20"/>
          <w:color w:val="auto"/>
        </w:rPr>
      </w:pPr>
      <w:r>
        <w:rPr>
          <w:rFonts w:ascii="Arial" w:cs="Arial" w:eastAsia="Arial" w:hAnsi="Arial"/>
          <w:sz w:val="18"/>
          <w:szCs w:val="18"/>
          <w:color w:val="auto"/>
        </w:rPr>
        <w:t>For each of the three and six months ended June 30, 2020, 4.4 million shares of potential common stock were excluded from diluted shares outstanding because the effects of potentially dilutive securities would be anti-dilutive.</w:t>
      </w:r>
    </w:p>
    <w:p>
      <w:pPr>
        <w:spacing w:after="0" w:line="200" w:lineRule="exact"/>
        <w:rPr>
          <w:sz w:val="20"/>
          <w:szCs w:val="20"/>
          <w:color w:val="auto"/>
        </w:rPr>
      </w:pPr>
    </w:p>
    <w:p>
      <w:pPr>
        <w:spacing w:after="0" w:line="200" w:lineRule="exact"/>
        <w:rPr>
          <w:sz w:val="20"/>
          <w:szCs w:val="20"/>
          <w:color w:val="auto"/>
        </w:rPr>
      </w:pPr>
    </w:p>
    <w:p>
      <w:pPr>
        <w:spacing w:after="0" w:line="35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sectPr>
      </w:pPr>
    </w:p>
    <w:bookmarkStart w:id="20" w:name="page21"/>
    <w:bookmarkEnd w:id="20"/>
    <w:p>
      <w:pPr>
        <w:spacing w:after="0"/>
        <w:rPr>
          <w:sz w:val="20"/>
          <w:szCs w:val="20"/>
          <w:color w:val="auto"/>
        </w:rPr>
      </w:pPr>
      <w:r>
        <w:rPr>
          <w:rFonts w:ascii="Arial" w:cs="Arial" w:eastAsia="Arial" w:hAnsi="Arial"/>
          <w:sz w:val="18"/>
          <w:szCs w:val="18"/>
          <w:b w:val="1"/>
          <w:bCs w:val="1"/>
          <w:color w:val="auto"/>
        </w:rPr>
        <w:t>Item 2. Management's Discussion and Analysis of Financial Condition and Results of Operations Forward-Looking Statements.</w:t>
      </w:r>
    </w:p>
    <w:p>
      <w:pPr>
        <w:spacing w:after="0" w:line="256" w:lineRule="exact"/>
        <w:rPr>
          <w:sz w:val="20"/>
          <w:szCs w:val="20"/>
          <w:color w:val="auto"/>
        </w:rPr>
      </w:pPr>
    </w:p>
    <w:p>
      <w:pPr>
        <w:jc w:val="both"/>
        <w:ind w:firstLine="324"/>
        <w:spacing w:after="0" w:line="267" w:lineRule="auto"/>
        <w:rPr>
          <w:sz w:val="20"/>
          <w:szCs w:val="20"/>
          <w:color w:val="auto"/>
        </w:rPr>
      </w:pPr>
      <w:r>
        <w:rPr>
          <w:rFonts w:ascii="Arial" w:cs="Arial" w:eastAsia="Arial" w:hAnsi="Arial"/>
          <w:sz w:val="17"/>
          <w:szCs w:val="17"/>
          <w:color w:val="auto"/>
        </w:rPr>
        <w:t>Certain statements contained in or incorporated by reference into this Quarterly Report on Form 10-Q (the "Report"), other than purely historical information, including, but not limited to, estimates, projections, statements relating to our business plans, objectives and expected operating results, and the assumptions upon which those statements are based, are forward-looking statements within the meaning of the Private Securities Litigation Reform Act of 1995. These forward-looking statements generally are identified by the words "believe," "project," "expect," "anticipate," "estimate," "intend," "strategy," "plan," "may," "should," "will," "would," "will be," "will continue," "will likely result," and similar expressions, although not all forward-looking statements contain these identifying words. These forward-looking statements are based on current expectations and assumptions that are subject to risks and uncertainties which may cause actual results to differ materially from the forward-looking statements. Forward-looking statements, such as the statements regarding our ability to develop and expand our business (including our ability to monetize our spectrum rights), our anticipated capital spending, our ability to manage costs, our ability to exploit and respond to technological innovation, the effects of laws and regulations (including tax laws and regulations) and legal and regulatory changes (including regulation related to the use of our spectrum), the opportunities for strategic business combinations and the effects of consolidation in our industry on us and our competitors, our anticipated future revenues, our anticipated financial resources, our expectations about the future operational performance of our satellites (including their projected operational lives), the expected strength of and growth prospects for our existing customers and the markets that we serve, commercial acceptance of new products, problems relating to the ground-based facilities operated by us or by independent gateway operators, worldwide economic, geopolitical and business conditions and risks associated with doing business on a global basis, business interruptions due to natural disasters, unexpected events or public health crises, including viral pandemics such as the COVID-19 coronavirus, and other statements contained in this Report regarding matters that are not historical facts, involve predictions. Risks and uncertainties that could cause or contribute to such differences include, without limitation, those in Item 1A. Risk Factors in our Annual Report on Form 10-K for the fiscal year ended December 31, 2019, as filed with the Securities and Exchange Commission (the "SEC") on February 28, 2020 (the "2019 Annual Report"). We do not intend, and undertake no obligation, to update any of our forward-looking statements after the date of this Report to reflect actual results or future events or circumstances.</w:t>
      </w:r>
    </w:p>
    <w:p>
      <w:pPr>
        <w:spacing w:after="0" w:line="214" w:lineRule="exact"/>
        <w:rPr>
          <w:sz w:val="20"/>
          <w:szCs w:val="20"/>
          <w:color w:val="auto"/>
        </w:rPr>
      </w:pPr>
    </w:p>
    <w:p>
      <w:pPr>
        <w:jc w:val="both"/>
        <w:ind w:firstLine="364"/>
        <w:spacing w:after="0" w:line="296" w:lineRule="auto"/>
        <w:rPr>
          <w:sz w:val="20"/>
          <w:szCs w:val="20"/>
          <w:color w:val="auto"/>
        </w:rPr>
      </w:pPr>
      <w:r>
        <w:rPr>
          <w:rFonts w:ascii="Arial" w:cs="Arial" w:eastAsia="Arial" w:hAnsi="Arial"/>
          <w:sz w:val="16"/>
          <w:szCs w:val="16"/>
          <w:color w:val="auto"/>
        </w:rPr>
        <w:t>New risk factors emerge from time to time, and it is not possible for us to predict all risk factors, nor can we assess the impact of all factors on our business or the extent to which any factor, or combination of factors, may cause actual results to differ materially from those contained in any forward-looking statements. We undertake no obligation to update publicly or revise any forward-looking statements. You should not rely upon forward-looking statements as predictions of future events or performance. We cannot assure you that the events and circumstances reflected in the forward-looking statements will be achieved or occur. These cautionary statements qualify all forward-looking statements attributable to us or persons acting on our behalf.</w:t>
      </w:r>
    </w:p>
    <w:p>
      <w:pPr>
        <w:spacing w:after="0" w:line="188" w:lineRule="exact"/>
        <w:rPr>
          <w:sz w:val="20"/>
          <w:szCs w:val="20"/>
          <w:color w:val="auto"/>
        </w:rPr>
      </w:pPr>
    </w:p>
    <w:p>
      <w:pPr>
        <w:jc w:val="both"/>
        <w:ind w:firstLine="324"/>
        <w:spacing w:after="0" w:line="277" w:lineRule="auto"/>
        <w:rPr>
          <w:sz w:val="20"/>
          <w:szCs w:val="20"/>
          <w:color w:val="auto"/>
        </w:rPr>
      </w:pPr>
      <w:r>
        <w:rPr>
          <w:rFonts w:ascii="Arial" w:cs="Arial" w:eastAsia="Arial" w:hAnsi="Arial"/>
          <w:sz w:val="18"/>
          <w:szCs w:val="18"/>
          <w:color w:val="auto"/>
        </w:rPr>
        <w:t>This "Management's Discussion and Analysis of Financial Condition" should be read in conjunction with the "Management's Discussion and Analysis of Financial Condition" and information included in our 2019 Annual Report.</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Mobile Satellite Services Business</w:t>
      </w:r>
    </w:p>
    <w:p>
      <w:pPr>
        <w:spacing w:after="0" w:line="252" w:lineRule="exact"/>
        <w:rPr>
          <w:sz w:val="20"/>
          <w:szCs w:val="20"/>
          <w:color w:val="auto"/>
        </w:rPr>
      </w:pPr>
    </w:p>
    <w:p>
      <w:pPr>
        <w:jc w:val="both"/>
        <w:ind w:firstLine="243"/>
        <w:spacing w:after="0" w:line="296" w:lineRule="auto"/>
        <w:rPr>
          <w:sz w:val="20"/>
          <w:szCs w:val="20"/>
          <w:color w:val="auto"/>
        </w:rPr>
      </w:pPr>
      <w:r>
        <w:rPr>
          <w:rFonts w:ascii="Arial" w:cs="Arial" w:eastAsia="Arial" w:hAnsi="Arial"/>
          <w:sz w:val="16"/>
          <w:szCs w:val="16"/>
          <w:color w:val="auto"/>
        </w:rPr>
        <w:t>Globalstar, Inc. ("we", "us" or the "Company") provides Mobile Satellite Services (“MSS”) including voice and data communications services globally via satellite. We offer these services over our network of in-orbit satellites and our active ground stations (“gateways”), which we refer to collectively as the Globalstar System. In addition to supporting Internet of Things ("IoT") data transmissions in a variety of applications, we provide reliable connectivity in areas not served or underserved by terrestrial wireless and wireline networks and in circumstances where terrestrial networks are not operational due to natural or man-made disasters. By providing wireless communications services across the globe, we meet our customers' increasing desire for connectivity.</w:t>
      </w:r>
    </w:p>
    <w:p>
      <w:pPr>
        <w:spacing w:after="0" w:line="188" w:lineRule="exact"/>
        <w:rPr>
          <w:sz w:val="20"/>
          <w:szCs w:val="20"/>
          <w:color w:val="auto"/>
        </w:rPr>
      </w:pPr>
    </w:p>
    <w:p>
      <w:pPr>
        <w:ind w:left="260"/>
        <w:spacing w:after="0"/>
        <w:rPr>
          <w:sz w:val="20"/>
          <w:szCs w:val="20"/>
          <w:color w:val="auto"/>
        </w:rPr>
      </w:pPr>
      <w:r>
        <w:rPr>
          <w:rFonts w:ascii="Arial" w:cs="Arial" w:eastAsia="Arial" w:hAnsi="Arial"/>
          <w:sz w:val="18"/>
          <w:szCs w:val="18"/>
          <w:color w:val="auto"/>
        </w:rPr>
        <w:t>We currently provide the following communications services, which are available only with equipment designed to work on our network:</w:t>
      </w:r>
    </w:p>
    <w:p>
      <w:pPr>
        <w:spacing w:after="0" w:line="252" w:lineRule="exact"/>
        <w:rPr>
          <w:sz w:val="20"/>
          <w:szCs w:val="20"/>
          <w:color w:val="auto"/>
        </w:rPr>
      </w:pPr>
    </w:p>
    <w:p>
      <w:pPr>
        <w:ind w:left="660" w:hanging="328"/>
        <w:spacing w:after="0" w:line="228" w:lineRule="auto"/>
        <w:tabs>
          <w:tab w:leader="none" w:pos="655" w:val="left"/>
        </w:tabs>
        <w:numPr>
          <w:ilvl w:val="0"/>
          <w:numId w:val="6"/>
        </w:numPr>
        <w:rPr>
          <w:rFonts w:ascii="Arial" w:cs="Arial" w:eastAsia="Arial" w:hAnsi="Arial"/>
          <w:sz w:val="18"/>
          <w:szCs w:val="18"/>
          <w:color w:val="auto"/>
        </w:rPr>
      </w:pPr>
      <w:r>
        <w:rPr>
          <w:rFonts w:ascii="Arial" w:cs="Arial" w:eastAsia="Arial" w:hAnsi="Arial"/>
          <w:sz w:val="18"/>
          <w:szCs w:val="18"/>
          <w:color w:val="auto"/>
        </w:rPr>
        <w:t>two-way voice communication and data transmissions using mobile or fixed devices, including our GSP-1700 phone, two generations of our Sat-Fi</w:t>
      </w:r>
      <w:r>
        <w:rPr>
          <w:rFonts w:ascii="Arial" w:cs="Arial" w:eastAsia="Arial" w:hAnsi="Arial"/>
          <w:sz w:val="23"/>
          <w:szCs w:val="23"/>
          <w:color w:val="auto"/>
          <w:vertAlign w:val="superscript"/>
        </w:rPr>
        <w:t>®</w:t>
      </w:r>
      <w:r>
        <w:rPr>
          <w:rFonts w:ascii="Arial" w:cs="Arial" w:eastAsia="Arial" w:hAnsi="Arial"/>
          <w:sz w:val="18"/>
          <w:szCs w:val="18"/>
          <w:color w:val="auto"/>
        </w:rPr>
        <w:t xml:space="preserve">, the Sat-Fi </w:t>
      </w:r>
      <w:r>
        <w:rPr>
          <w:rFonts w:ascii="Arial" w:cs="Arial" w:eastAsia="Arial" w:hAnsi="Arial"/>
          <w:sz w:val="21"/>
          <w:szCs w:val="21"/>
          <w:color w:val="auto"/>
          <w:vertAlign w:val="superscript"/>
        </w:rPr>
        <w:t>®</w:t>
      </w:r>
      <w:r>
        <w:rPr>
          <w:rFonts w:ascii="Arial" w:cs="Arial" w:eastAsia="Arial" w:hAnsi="Arial"/>
          <w:sz w:val="18"/>
          <w:szCs w:val="18"/>
          <w:color w:val="auto"/>
        </w:rPr>
        <w:t xml:space="preserve"> Remote Antenna Station, and other fixed and data-only devices ("Duplex");</w:t>
      </w:r>
    </w:p>
    <w:p>
      <w:pPr>
        <w:ind w:left="660" w:right="20" w:hanging="328"/>
        <w:spacing w:after="0" w:line="277" w:lineRule="auto"/>
        <w:tabs>
          <w:tab w:leader="none" w:pos="655" w:val="left"/>
        </w:tabs>
        <w:numPr>
          <w:ilvl w:val="0"/>
          <w:numId w:val="6"/>
        </w:numPr>
        <w:rPr>
          <w:rFonts w:ascii="Arial" w:cs="Arial" w:eastAsia="Arial" w:hAnsi="Arial"/>
          <w:sz w:val="18"/>
          <w:szCs w:val="18"/>
          <w:color w:val="auto"/>
        </w:rPr>
      </w:pPr>
      <w:r>
        <w:rPr>
          <w:rFonts w:ascii="Arial" w:cs="Arial" w:eastAsia="Arial" w:hAnsi="Arial"/>
          <w:sz w:val="18"/>
          <w:szCs w:val="18"/>
          <w:color w:val="auto"/>
        </w:rPr>
        <w:t>one-way or two-way communication and data transmissions using mobile devices, including our SPOT family of products, such as SPOT X</w:t>
      </w:r>
      <w:r>
        <w:rPr>
          <w:rFonts w:ascii="Arial" w:cs="Arial" w:eastAsia="Arial" w:hAnsi="Arial"/>
          <w:sz w:val="23"/>
          <w:szCs w:val="23"/>
          <w:color w:val="auto"/>
          <w:vertAlign w:val="superscript"/>
        </w:rPr>
        <w:t>®</w:t>
      </w:r>
      <w:r>
        <w:rPr>
          <w:rFonts w:ascii="Arial" w:cs="Arial" w:eastAsia="Arial" w:hAnsi="Arial"/>
          <w:sz w:val="18"/>
          <w:szCs w:val="18"/>
          <w:color w:val="auto"/>
        </w:rPr>
        <w:t>, SPOT Gen4</w:t>
      </w:r>
      <w:r>
        <w:rPr>
          <w:rFonts w:ascii="Arial" w:cs="Arial" w:eastAsia="Arial" w:hAnsi="Arial"/>
          <w:sz w:val="23"/>
          <w:szCs w:val="23"/>
          <w:color w:val="auto"/>
          <w:vertAlign w:val="superscript"/>
        </w:rPr>
        <w:t>™</w:t>
      </w:r>
      <w:r>
        <w:rPr>
          <w:rFonts w:ascii="Arial" w:cs="Arial" w:eastAsia="Arial" w:hAnsi="Arial"/>
          <w:sz w:val="18"/>
          <w:szCs w:val="18"/>
          <w:color w:val="auto"/>
        </w:rPr>
        <w:t xml:space="preserve"> and SPOT Trace</w:t>
      </w:r>
      <w:r>
        <w:rPr>
          <w:rFonts w:ascii="Arial" w:cs="Arial" w:eastAsia="Arial" w:hAnsi="Arial"/>
          <w:sz w:val="23"/>
          <w:szCs w:val="23"/>
          <w:color w:val="auto"/>
          <w:vertAlign w:val="superscript"/>
        </w:rPr>
        <w:t>®</w:t>
      </w:r>
      <w:r>
        <w:rPr>
          <w:rFonts w:ascii="Arial" w:cs="Arial" w:eastAsia="Arial" w:hAnsi="Arial"/>
          <w:sz w:val="18"/>
          <w:szCs w:val="18"/>
          <w:color w:val="auto"/>
        </w:rPr>
        <w:t>, that transmit messages and the location of the device ("SPOT"); and</w:t>
      </w:r>
    </w:p>
    <w:p>
      <w:pPr>
        <w:spacing w:after="0" w:line="200" w:lineRule="exact"/>
        <w:rPr>
          <w:sz w:val="20"/>
          <w:szCs w:val="20"/>
          <w:color w:val="auto"/>
        </w:rPr>
      </w:pP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21" w:name="page22"/>
    <w:bookmarkEnd w:id="21"/>
    <w:p>
      <w:pPr>
        <w:ind w:left="660" w:hanging="328"/>
        <w:spacing w:after="0" w:line="308" w:lineRule="auto"/>
        <w:tabs>
          <w:tab w:leader="none" w:pos="655" w:val="left"/>
        </w:tabs>
        <w:numPr>
          <w:ilvl w:val="0"/>
          <w:numId w:val="7"/>
        </w:numPr>
        <w:rPr>
          <w:rFonts w:ascii="Arial" w:cs="Arial" w:eastAsia="Arial" w:hAnsi="Arial"/>
          <w:sz w:val="17"/>
          <w:szCs w:val="17"/>
          <w:color w:val="auto"/>
        </w:rPr>
      </w:pPr>
      <w:r>
        <w:rPr>
          <w:rFonts w:ascii="Arial" w:cs="Arial" w:eastAsia="Arial" w:hAnsi="Arial"/>
          <w:sz w:val="17"/>
          <w:szCs w:val="17"/>
          <w:color w:val="auto"/>
        </w:rPr>
        <w:t>one-way data transmissions using a mobile or fixed device that transmits its location and other information to a central monitoring station, including our commercial IoT products, such as our battery- and solar-powered SmartOne, STX-3, STINGR and ST100 ("Commercial IoT").</w:t>
      </w:r>
    </w:p>
    <w:p>
      <w:pPr>
        <w:spacing w:after="0" w:line="173" w:lineRule="exact"/>
        <w:rPr>
          <w:sz w:val="20"/>
          <w:szCs w:val="20"/>
          <w:color w:val="auto"/>
        </w:rPr>
      </w:pPr>
    </w:p>
    <w:p>
      <w:pPr>
        <w:jc w:val="both"/>
        <w:ind w:firstLine="243"/>
        <w:spacing w:after="0" w:line="289" w:lineRule="auto"/>
        <w:rPr>
          <w:sz w:val="20"/>
          <w:szCs w:val="20"/>
          <w:color w:val="auto"/>
        </w:rPr>
      </w:pPr>
      <w:r>
        <w:rPr>
          <w:rFonts w:ascii="Arial" w:cs="Arial" w:eastAsia="Arial" w:hAnsi="Arial"/>
          <w:sz w:val="16"/>
          <w:szCs w:val="16"/>
          <w:color w:val="auto"/>
        </w:rPr>
        <w:t>Our constellation of Low Earth Orbit ("LEO") satellites includes second-generation satellites, which were launched and placed into service during the years 2010 through 2013 after a $1.1 billion investment, and certain first-generation satellites, which are currently being used as in-orbit spares. We designed our second-generation satellites to last twice as long in space, have 40% greater capacity and be built at a significantly lower cost compared to our first-generation satellites. We achieved this longer life by increasing the solar array and battery capacity, using a larger fuel tank, adding redundancy for key satellite equipment, and improving radiation specifications and additional lot level testing for all susceptible electronic components, in order to account for the accumulated dosage of radiation encountered during a 15-year mission at the operational altitude of the satellites. The second-generation satellites use passive S-band antennas on the body of the spacecraft providing additional shielding for the active amplifiers which are located inside the spacecraft, unlike the first-generation amplifiers that were located on the outside as part of the active antenna array. Each satellite has a high degree of on-board subsystem redundancy, an on-board fault detection system and isolation and recovery for safe and quick risk mitigation.</w:t>
      </w:r>
    </w:p>
    <w:p>
      <w:pPr>
        <w:spacing w:after="0" w:line="193" w:lineRule="exact"/>
        <w:rPr>
          <w:sz w:val="20"/>
          <w:szCs w:val="20"/>
          <w:color w:val="auto"/>
        </w:rPr>
      </w:pPr>
    </w:p>
    <w:p>
      <w:pPr>
        <w:jc w:val="both"/>
        <w:ind w:firstLine="243"/>
        <w:spacing w:after="0" w:line="290" w:lineRule="auto"/>
        <w:rPr>
          <w:sz w:val="20"/>
          <w:szCs w:val="20"/>
          <w:color w:val="auto"/>
        </w:rPr>
      </w:pPr>
      <w:r>
        <w:rPr>
          <w:rFonts w:ascii="Arial" w:cs="Arial" w:eastAsia="Arial" w:hAnsi="Arial"/>
          <w:sz w:val="16"/>
          <w:szCs w:val="16"/>
          <w:color w:val="auto"/>
        </w:rPr>
        <w:t>We believe that we provide the best voice quality among our peer group (which is backed by customer input) due to the specific design of the Globalstar System. We define a successful level of service for our customers by their ability to make uninterrupted calls of average duration for a system-wide average number of minutes per month. Our goal is to provide service levels and call or message success rates equal to or better than our MSS competitors so our products and services are attractive to potential customers. We define voice quality as the ability to easily hear, recognize and understand callers with imperceptible delay in the transmission. By this measure, we believe that our system outperforms geostationary (“GEO”) satellites used by some of our competitors. GEO satellite signals must travel approximately 42,000 additional miles on average, which introduces considerable delay and signal degradation to GEO calls. For our competitors using cross-linked satellite architectures, which require multiple inter-satellite connections to complete a call, signal degradation and delay can result in lower call quality as compared to that experienced over the Globalstar System.</w:t>
      </w:r>
    </w:p>
    <w:p>
      <w:pPr>
        <w:spacing w:after="0" w:line="192" w:lineRule="exact"/>
        <w:rPr>
          <w:sz w:val="20"/>
          <w:szCs w:val="20"/>
          <w:color w:val="auto"/>
        </w:rPr>
      </w:pPr>
    </w:p>
    <w:p>
      <w:pPr>
        <w:jc w:val="both"/>
        <w:ind w:firstLine="243"/>
        <w:spacing w:after="0" w:line="286" w:lineRule="auto"/>
        <w:rPr>
          <w:sz w:val="20"/>
          <w:szCs w:val="20"/>
          <w:color w:val="auto"/>
        </w:rPr>
      </w:pPr>
      <w:r>
        <w:rPr>
          <w:rFonts w:ascii="Arial" w:cs="Arial" w:eastAsia="Arial" w:hAnsi="Arial"/>
          <w:sz w:val="17"/>
          <w:szCs w:val="17"/>
          <w:color w:val="auto"/>
        </w:rPr>
        <w:t>We designed our second-generation ground network to provide our customers with enhanced services featuring speeds up to 72 kbps as well as increased capacity, when combined with our next-generation products. The second-generation ground network is an Internet protocol multimedia subsystem ("IMS") based solution providing such industry standard services as voice, internet, email and short message services ("SMS").</w:t>
      </w:r>
    </w:p>
    <w:p>
      <w:pPr>
        <w:spacing w:after="0" w:line="192" w:lineRule="exact"/>
        <w:rPr>
          <w:sz w:val="20"/>
          <w:szCs w:val="20"/>
          <w:color w:val="auto"/>
        </w:rPr>
      </w:pPr>
    </w:p>
    <w:p>
      <w:pPr>
        <w:jc w:val="both"/>
        <w:ind w:firstLine="243"/>
        <w:spacing w:after="0" w:line="277" w:lineRule="auto"/>
        <w:rPr>
          <w:sz w:val="20"/>
          <w:szCs w:val="20"/>
          <w:color w:val="auto"/>
        </w:rPr>
      </w:pPr>
      <w:r>
        <w:rPr>
          <w:rFonts w:ascii="Arial" w:cs="Arial" w:eastAsia="Arial" w:hAnsi="Arial"/>
          <w:sz w:val="18"/>
          <w:szCs w:val="18"/>
          <w:color w:val="auto"/>
        </w:rPr>
        <w:t>We compete aggressively on price. We offer a range of price-competitive products to the industrial, governmental and consumer markets. We expect to retain our position as a cost-effective, high quality leader in the MSS industry.</w:t>
      </w:r>
    </w:p>
    <w:p>
      <w:pPr>
        <w:spacing w:after="0" w:line="197" w:lineRule="exact"/>
        <w:rPr>
          <w:sz w:val="20"/>
          <w:szCs w:val="20"/>
          <w:color w:val="auto"/>
        </w:rPr>
      </w:pPr>
    </w:p>
    <w:p>
      <w:pPr>
        <w:jc w:val="both"/>
        <w:ind w:firstLine="324"/>
        <w:spacing w:after="0" w:line="259" w:lineRule="auto"/>
        <w:rPr>
          <w:sz w:val="20"/>
          <w:szCs w:val="20"/>
          <w:color w:val="auto"/>
        </w:rPr>
      </w:pPr>
      <w:r>
        <w:rPr>
          <w:rFonts w:ascii="Arial" w:cs="Arial" w:eastAsia="Arial" w:hAnsi="Arial"/>
          <w:sz w:val="18"/>
          <w:szCs w:val="18"/>
          <w:color w:val="auto"/>
        </w:rPr>
        <w:t>As technological advancements are made, we continue to explore opportunities to develop new products and provide new services over our network to meet the needs of our existing and prospective customers. We are currently pursuing initiatives that we expect to expand our satellite communications business by effectively leveraging our network capabilities and distribution relationships. Among our current initiatives is the development of a two-way module to expand our Commercial IoT offerings.</w:t>
      </w:r>
    </w:p>
    <w:p>
      <w:pPr>
        <w:spacing w:after="0" w:line="21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Customers</w:t>
      </w:r>
    </w:p>
    <w:p>
      <w:pPr>
        <w:spacing w:after="0" w:line="239" w:lineRule="exact"/>
        <w:rPr>
          <w:sz w:val="20"/>
          <w:szCs w:val="20"/>
          <w:color w:val="auto"/>
        </w:rPr>
      </w:pPr>
    </w:p>
    <w:p>
      <w:pPr>
        <w:jc w:val="both"/>
        <w:ind w:firstLine="243"/>
        <w:spacing w:after="0" w:line="273" w:lineRule="auto"/>
        <w:rPr>
          <w:sz w:val="20"/>
          <w:szCs w:val="20"/>
          <w:color w:val="auto"/>
        </w:rPr>
      </w:pPr>
      <w:r>
        <w:rPr>
          <w:rFonts w:ascii="Arial" w:cs="Arial" w:eastAsia="Arial" w:hAnsi="Arial"/>
          <w:sz w:val="17"/>
          <w:szCs w:val="17"/>
          <w:color w:val="auto"/>
        </w:rPr>
        <w:t>The specialized needs of our global customers span many industries. As of June 30, 2020, we had approximately 752,000 subscribers worldwide, principally within the following markets: recreation and personal; government; public safety and disaster relief; oil and gas; maritime and fishing; natural resources, mining and forestry; construction; utilities; and transportation. Our system is able to offer our customers cost-effective communications solutions completely independent of cellular coverage. Although traditional users of wireless telephony and broadband data services have access to these services in developed locations, our customers often operate, travel or live in remote regions or regions with under-developed telecommunications infrastructure where these services are not readily available or are not provided on a reliable basis.</w:t>
      </w:r>
    </w:p>
    <w:p>
      <w:pPr>
        <w:spacing w:after="0" w:line="20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Spectrum and Regulatory Structure</w:t>
      </w:r>
    </w:p>
    <w:p>
      <w:pPr>
        <w:spacing w:after="0" w:line="239" w:lineRule="exact"/>
        <w:rPr>
          <w:sz w:val="20"/>
          <w:szCs w:val="20"/>
          <w:color w:val="auto"/>
        </w:rPr>
      </w:pPr>
    </w:p>
    <w:p>
      <w:pPr>
        <w:jc w:val="both"/>
        <w:ind w:firstLine="243"/>
        <w:spacing w:after="0" w:line="259" w:lineRule="auto"/>
        <w:rPr>
          <w:sz w:val="20"/>
          <w:szCs w:val="20"/>
          <w:color w:val="auto"/>
        </w:rPr>
      </w:pPr>
      <w:r>
        <w:rPr>
          <w:rFonts w:ascii="Arial" w:cs="Arial" w:eastAsia="Arial" w:hAnsi="Arial"/>
          <w:sz w:val="18"/>
          <w:szCs w:val="18"/>
          <w:color w:val="auto"/>
        </w:rPr>
        <w:t>We benefit from a world-wide allocation of radio frequency spectrum in the international radio frequency tables administered by the International Telecommunications Union ("ITU"). Access to this globally harmonized spectrum enables us to design satellites, networks and terrestrial infrastructure enhancements more cost effectively because the products and services can be deployed and sold worldwide. In addition, this broad spectrum assignment enhances our ability to capitalize on existing and emerging wireless and broadband applications.</w:t>
      </w:r>
    </w:p>
    <w:p>
      <w:pPr>
        <w:spacing w:after="0" w:line="200" w:lineRule="exact"/>
        <w:rPr>
          <w:sz w:val="20"/>
          <w:szCs w:val="20"/>
          <w:color w:val="auto"/>
        </w:rPr>
      </w:pPr>
    </w:p>
    <w:p>
      <w:pPr>
        <w:spacing w:after="0" w:line="3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sectPr>
      </w:pPr>
    </w:p>
    <w:bookmarkStart w:id="22" w:name="page23"/>
    <w:bookmarkEnd w:id="22"/>
    <w:p>
      <w:pPr>
        <w:jc w:val="both"/>
        <w:ind w:firstLine="243"/>
        <w:spacing w:after="0" w:line="259" w:lineRule="auto"/>
        <w:rPr>
          <w:sz w:val="20"/>
          <w:szCs w:val="20"/>
          <w:color w:val="auto"/>
        </w:rPr>
      </w:pPr>
      <w:r>
        <w:rPr>
          <w:rFonts w:ascii="Arial" w:cs="Arial" w:eastAsia="Arial" w:hAnsi="Arial"/>
          <w:sz w:val="18"/>
          <w:szCs w:val="18"/>
          <w:color w:val="auto"/>
        </w:rPr>
        <w:t>In the United States, the Federal Communications Commission ("FCC") has authorized us to operate our first-generation satellites in 25.225 MHz of radio spectrum comprising two blocks of non-contiguous radio frequencies in the 1.6/2.4 GHz band commonly referred to as the "Big LEO" Spectrum Band. We licensed and registered our second-generation satellites in France. We also obtained all authorizations necessary from the FCC to operate our domestic gateways with our second-generation satellites.</w:t>
      </w:r>
    </w:p>
    <w:p>
      <w:pPr>
        <w:spacing w:after="0" w:line="21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Terrestrial Authority for Globalstar's Licensed 2.4GHz Spectrum</w:t>
      </w:r>
    </w:p>
    <w:p>
      <w:pPr>
        <w:spacing w:after="0" w:line="225" w:lineRule="exact"/>
        <w:rPr>
          <w:sz w:val="20"/>
          <w:szCs w:val="20"/>
          <w:color w:val="auto"/>
        </w:rPr>
      </w:pPr>
    </w:p>
    <w:p>
      <w:pPr>
        <w:jc w:val="both"/>
        <w:ind w:firstLine="243"/>
        <w:spacing w:after="0" w:line="293" w:lineRule="auto"/>
        <w:rPr>
          <w:sz w:val="20"/>
          <w:szCs w:val="20"/>
          <w:color w:val="auto"/>
        </w:rPr>
      </w:pPr>
      <w:r>
        <w:rPr>
          <w:rFonts w:ascii="Arial" w:cs="Arial" w:eastAsia="Arial" w:hAnsi="Arial"/>
          <w:sz w:val="16"/>
          <w:szCs w:val="16"/>
          <w:color w:val="auto"/>
        </w:rPr>
        <w:t>In December 2016, the FCC unanimously adopted a Report and Order permitting us to seek modification of our existing MSS licenses to provide terrestrial broadband services over 11.5 MHz of our licensed Mobile Satellite Services spectrum at 2483.5 to 2495 MHz, throughout the United States of America and its Territories. In August 2017, the FCC modified Globalstar's MSS licenses, granting us authority to provide terrestrial broadband services over a portion of our satellite spectrum. Specifically, the FCC modified Globalstar's space station authorization and our blanket mobile earth station license to permit a network using 11.5 MHz of our authorized Big LEO mobile-satellite service spectrum. We will need to comply with certain conditions in order to provide terrestrial broadband service, including obtaining FCC certifications for our equipment that will utilize this spectrum authority.</w:t>
      </w:r>
    </w:p>
    <w:p>
      <w:pPr>
        <w:spacing w:after="0" w:line="191" w:lineRule="exact"/>
        <w:rPr>
          <w:sz w:val="20"/>
          <w:szCs w:val="20"/>
          <w:color w:val="auto"/>
        </w:rPr>
      </w:pPr>
    </w:p>
    <w:p>
      <w:pPr>
        <w:jc w:val="both"/>
        <w:ind w:firstLine="243"/>
        <w:spacing w:after="0" w:line="259" w:lineRule="auto"/>
        <w:rPr>
          <w:sz w:val="20"/>
          <w:szCs w:val="20"/>
          <w:color w:val="auto"/>
        </w:rPr>
      </w:pPr>
      <w:r>
        <w:rPr>
          <w:rFonts w:ascii="Arial" w:cs="Arial" w:eastAsia="Arial" w:hAnsi="Arial"/>
          <w:sz w:val="18"/>
          <w:szCs w:val="18"/>
          <w:color w:val="auto"/>
        </w:rPr>
        <w:t>We believe our MSS spectrum position provides potential for harmonized terrestrial authority across many international regulatory domains and have been seeking approvals in various international jurisdictions. To date, we have received terrestrial authorizations in various countries. We expect this global effort to continue for the foreseeable future while we seek additional terrestrial approvals to internationally harmonize our S-band spectrum across the entire 16.5 MHz authority for terrestrial mobile broadband services.</w:t>
      </w:r>
    </w:p>
    <w:p>
      <w:pPr>
        <w:spacing w:after="0" w:line="214" w:lineRule="exact"/>
        <w:rPr>
          <w:sz w:val="20"/>
          <w:szCs w:val="20"/>
          <w:color w:val="auto"/>
        </w:rPr>
      </w:pPr>
    </w:p>
    <w:p>
      <w:pPr>
        <w:jc w:val="both"/>
        <w:ind w:firstLine="243"/>
        <w:spacing w:after="0" w:line="254" w:lineRule="auto"/>
        <w:rPr>
          <w:sz w:val="20"/>
          <w:szCs w:val="20"/>
          <w:color w:val="auto"/>
        </w:rPr>
      </w:pPr>
      <w:r>
        <w:rPr>
          <w:rFonts w:ascii="Arial" w:cs="Arial" w:eastAsia="Arial" w:hAnsi="Arial"/>
          <w:sz w:val="18"/>
          <w:szCs w:val="18"/>
          <w:color w:val="auto"/>
        </w:rPr>
        <w:t>We expect our terrestrial authority will allow future partners to develop high-density dedicated networks using the TD-LTE protocol for private LTE networks as well as the densification of cellular networks. We believe that our offering has competitive advantages over other conventional commercial spectrum allocations. Such other allocations must meet minimum population coverage requirements, which effectively prohibit the exclusive use of most carrier spectrum for dedicated small cell deployments. In addition, low frequency carrier spectrum is not physically well suited to high-density small cell topologies, and mmWave spectrum is subject to range and attenuation limitations. We believe that our licensed 2.4 GHz band holds physical, regulatory, and ecosystem qualities that distinguishes it from other current and anticipated allocations, and that it is well positioned to balance favorable range, capacity and attenuation characteristics.</w:t>
      </w:r>
    </w:p>
    <w:p>
      <w:pPr>
        <w:spacing w:after="0" w:line="222" w:lineRule="exact"/>
        <w:rPr>
          <w:sz w:val="20"/>
          <w:szCs w:val="20"/>
          <w:color w:val="auto"/>
        </w:rPr>
      </w:pPr>
    </w:p>
    <w:p>
      <w:pPr>
        <w:jc w:val="both"/>
        <w:ind w:firstLine="324"/>
        <w:spacing w:after="0" w:line="259" w:lineRule="auto"/>
        <w:rPr>
          <w:sz w:val="20"/>
          <w:szCs w:val="20"/>
          <w:color w:val="auto"/>
        </w:rPr>
      </w:pPr>
      <w:r>
        <w:rPr>
          <w:rFonts w:ascii="Arial" w:cs="Arial" w:eastAsia="Arial" w:hAnsi="Arial"/>
          <w:sz w:val="18"/>
          <w:szCs w:val="18"/>
          <w:color w:val="auto"/>
        </w:rPr>
        <w:t>In December 2018, we were successful in obtaining approval to create a new defined band class, Band 53, from the Third Generation Partnership Project (3GPP) for our 2.4 GHz terrestrial spectrum. Additionally, in March 2020, we announced that the 3GPP approved the 5G variant of our Band 53, which is known as n53. This band class provides a pathway for our terrestrial spectrum to be integrated into handset and infrastructure ecosystems. Additional follow-on 3GPP specifications and approvals are expected in the future.</w:t>
      </w:r>
    </w:p>
    <w:p>
      <w:pPr>
        <w:spacing w:after="0" w:line="21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Recent Developments: COVID-19</w:t>
      </w:r>
    </w:p>
    <w:p>
      <w:pPr>
        <w:spacing w:after="0" w:line="252" w:lineRule="exact"/>
        <w:rPr>
          <w:sz w:val="20"/>
          <w:szCs w:val="20"/>
          <w:color w:val="auto"/>
        </w:rPr>
      </w:pPr>
    </w:p>
    <w:p>
      <w:pPr>
        <w:jc w:val="both"/>
        <w:ind w:firstLine="324"/>
        <w:spacing w:after="0" w:line="289" w:lineRule="auto"/>
        <w:rPr>
          <w:sz w:val="20"/>
          <w:szCs w:val="20"/>
          <w:color w:val="auto"/>
        </w:rPr>
      </w:pPr>
      <w:r>
        <w:rPr>
          <w:rFonts w:ascii="Arial" w:cs="Arial" w:eastAsia="Arial" w:hAnsi="Arial"/>
          <w:sz w:val="16"/>
          <w:szCs w:val="16"/>
          <w:color w:val="auto"/>
        </w:rPr>
        <w:t>In March 2020, the World Health Organization declared the outbreak of a novel coronavirus (“COVID-19”) a global pandemic. Various levels of governmental agencies and authorities have taken measures to reduce the spread of COVID-19, including “stay at home” orders, social distancing and closures of non-essential businesses. The success of our business depends on our global operations, including the performance of our satellites and ground stations as well as our supply chain and consumer demand, among other things. As a result of COVID-19, we have experienced a reduction in the volume of sales of our subscriber equipment, received requests for service pricing concessions from certain customers, and expect an impact on the ability of certain of our customers to pay outstanding balances. Our results of operations for the three and six months ended June 30, 2020 partially reflect this impact; however, we expect that this trend may continue and the full extent of the impact is unknown. In recent months, some governmental agencies have lifted certain restrictions. However, if customer demand continues to be low, our future equipment sales, subscriber activations and sales margin will be impacted. We have implemented several measures to minimize the impact on our operations and sustain our liquidity position, including:</w:t>
      </w:r>
    </w:p>
    <w:p>
      <w:pPr>
        <w:spacing w:after="0" w:line="99" w:lineRule="exact"/>
        <w:rPr>
          <w:sz w:val="20"/>
          <w:szCs w:val="20"/>
          <w:color w:val="auto"/>
        </w:rPr>
      </w:pPr>
    </w:p>
    <w:p>
      <w:pPr>
        <w:ind w:left="660" w:hanging="328"/>
        <w:spacing w:after="0" w:line="258" w:lineRule="auto"/>
        <w:tabs>
          <w:tab w:leader="none" w:pos="655" w:val="left"/>
        </w:tabs>
        <w:numPr>
          <w:ilvl w:val="0"/>
          <w:numId w:val="8"/>
        </w:numPr>
        <w:rPr>
          <w:rFonts w:ascii="Arial" w:cs="Arial" w:eastAsia="Arial" w:hAnsi="Arial"/>
          <w:sz w:val="18"/>
          <w:szCs w:val="18"/>
          <w:color w:val="auto"/>
        </w:rPr>
      </w:pPr>
      <w:r>
        <w:rPr>
          <w:rFonts w:ascii="Arial" w:cs="Arial" w:eastAsia="Arial" w:hAnsi="Arial"/>
          <w:sz w:val="18"/>
          <w:szCs w:val="18"/>
          <w:color w:val="auto"/>
        </w:rPr>
        <w:t>Receiving economic relief and support under the Coronavirus Aid, Relief and Economic Security (“CARES”) Act, including a $5.0 million forgivable payroll protection program loan and the deferral of certain payroll taxes,</w:t>
      </w:r>
    </w:p>
    <w:p>
      <w:pPr>
        <w:spacing w:after="0" w:line="1" w:lineRule="exact"/>
        <w:rPr>
          <w:rFonts w:ascii="Arial" w:cs="Arial" w:eastAsia="Arial" w:hAnsi="Arial"/>
          <w:sz w:val="18"/>
          <w:szCs w:val="18"/>
          <w:color w:val="auto"/>
        </w:rPr>
      </w:pPr>
    </w:p>
    <w:p>
      <w:pPr>
        <w:ind w:left="660" w:hanging="328"/>
        <w:spacing w:after="0" w:line="250" w:lineRule="auto"/>
        <w:tabs>
          <w:tab w:leader="none" w:pos="655" w:val="left"/>
        </w:tabs>
        <w:numPr>
          <w:ilvl w:val="0"/>
          <w:numId w:val="8"/>
        </w:numPr>
        <w:rPr>
          <w:rFonts w:ascii="Arial" w:cs="Arial" w:eastAsia="Arial" w:hAnsi="Arial"/>
          <w:sz w:val="18"/>
          <w:szCs w:val="18"/>
          <w:color w:val="auto"/>
        </w:rPr>
      </w:pPr>
      <w:r>
        <w:rPr>
          <w:rFonts w:ascii="Arial" w:cs="Arial" w:eastAsia="Arial" w:hAnsi="Arial"/>
          <w:sz w:val="18"/>
          <w:szCs w:val="18"/>
          <w:color w:val="auto"/>
        </w:rPr>
        <w:t>Refocusing internal resources on high-value opportunities, such as working with federal agencies that may require our equipment and services in times of crisis,</w:t>
      </w:r>
    </w:p>
    <w:p>
      <w:pPr>
        <w:ind w:left="660" w:hanging="328"/>
        <w:spacing w:after="0"/>
        <w:tabs>
          <w:tab w:leader="none" w:pos="660" w:val="left"/>
        </w:tabs>
        <w:numPr>
          <w:ilvl w:val="0"/>
          <w:numId w:val="8"/>
        </w:numPr>
        <w:rPr>
          <w:rFonts w:ascii="Arial" w:cs="Arial" w:eastAsia="Arial" w:hAnsi="Arial"/>
          <w:sz w:val="16"/>
          <w:szCs w:val="16"/>
          <w:color w:val="auto"/>
        </w:rPr>
      </w:pPr>
      <w:r>
        <w:rPr>
          <w:rFonts w:ascii="Arial" w:cs="Arial" w:eastAsia="Arial" w:hAnsi="Arial"/>
          <w:sz w:val="16"/>
          <w:szCs w:val="16"/>
          <w:color w:val="auto"/>
        </w:rPr>
        <w:t>Working with our product manufacturers to ensure we will continue to have sufficient inventory levels on hand to meet consumer demand, and</w:t>
      </w:r>
    </w:p>
    <w:p>
      <w:pPr>
        <w:spacing w:after="0" w:line="200" w:lineRule="exact"/>
        <w:rPr>
          <w:sz w:val="20"/>
          <w:szCs w:val="20"/>
          <w:color w:val="auto"/>
        </w:rPr>
      </w:pPr>
    </w:p>
    <w:p>
      <w:pPr>
        <w:spacing w:after="0" w:line="37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38" w:right="339" w:bottom="1440" w:gutter="0" w:footer="0" w:header="0"/>
        </w:sectPr>
      </w:pPr>
    </w:p>
    <w:bookmarkStart w:id="23" w:name="page24"/>
    <w:bookmarkEnd w:id="23"/>
    <w:p>
      <w:pPr>
        <w:ind w:left="660" w:hanging="328"/>
        <w:spacing w:after="0" w:line="277" w:lineRule="auto"/>
        <w:tabs>
          <w:tab w:leader="none" w:pos="655" w:val="left"/>
        </w:tabs>
        <w:numPr>
          <w:ilvl w:val="0"/>
          <w:numId w:val="9"/>
        </w:numPr>
        <w:rPr>
          <w:rFonts w:ascii="Arial" w:cs="Arial" w:eastAsia="Arial" w:hAnsi="Arial"/>
          <w:sz w:val="18"/>
          <w:szCs w:val="18"/>
          <w:color w:val="auto"/>
        </w:rPr>
      </w:pPr>
      <w:r>
        <w:rPr>
          <w:rFonts w:ascii="Arial" w:cs="Arial" w:eastAsia="Arial" w:hAnsi="Arial"/>
          <w:sz w:val="18"/>
          <w:szCs w:val="18"/>
          <w:color w:val="auto"/>
        </w:rPr>
        <w:t>Supporting both consumer and commercial customers, particularly those that operate in the retail and oil and gas industries, to adjust pricing where necessary, whether under e-commerce promotions or temporary service pricing concessions.</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Performance Indicators</w:t>
      </w:r>
    </w:p>
    <w:p>
      <w:pPr>
        <w:spacing w:after="0" w:line="256" w:lineRule="exact"/>
        <w:rPr>
          <w:sz w:val="20"/>
          <w:szCs w:val="20"/>
          <w:color w:val="auto"/>
        </w:rPr>
      </w:pPr>
    </w:p>
    <w:p>
      <w:pPr>
        <w:ind w:right="20" w:firstLine="243"/>
        <w:spacing w:after="0" w:line="277" w:lineRule="auto"/>
        <w:rPr>
          <w:sz w:val="20"/>
          <w:szCs w:val="20"/>
          <w:color w:val="auto"/>
        </w:rPr>
      </w:pPr>
      <w:r>
        <w:rPr>
          <w:rFonts w:ascii="Arial" w:cs="Arial" w:eastAsia="Arial" w:hAnsi="Arial"/>
          <w:sz w:val="18"/>
          <w:szCs w:val="18"/>
          <w:color w:val="auto"/>
        </w:rPr>
        <w:t>Our management reviews and analyzes several key performance indicators in order to manage our business and assess the quality and potential variability of our earnings and cash flows. These key performance indicators include:</w:t>
      </w:r>
    </w:p>
    <w:p>
      <w:pPr>
        <w:spacing w:after="0" w:line="197" w:lineRule="exact"/>
        <w:rPr>
          <w:sz w:val="20"/>
          <w:szCs w:val="20"/>
          <w:color w:val="auto"/>
        </w:rPr>
      </w:pPr>
    </w:p>
    <w:p>
      <w:pPr>
        <w:ind w:left="480" w:hanging="310"/>
        <w:spacing w:after="0"/>
        <w:tabs>
          <w:tab w:leader="none" w:pos="4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total revenue, which is an indicator of our overall business growth;</w:t>
      </w:r>
    </w:p>
    <w:p>
      <w:pPr>
        <w:spacing w:after="0" w:line="23" w:lineRule="exact"/>
        <w:rPr>
          <w:rFonts w:ascii="Arial" w:cs="Arial" w:eastAsia="Arial" w:hAnsi="Arial"/>
          <w:sz w:val="18"/>
          <w:szCs w:val="18"/>
          <w:color w:val="auto"/>
        </w:rPr>
      </w:pPr>
    </w:p>
    <w:p>
      <w:pPr>
        <w:ind w:left="480" w:hanging="310"/>
        <w:spacing w:after="0"/>
        <w:tabs>
          <w:tab w:leader="none" w:pos="4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subscriber growth and churn rate, which are both indicators of the satisfaction of our customers;</w:t>
      </w:r>
    </w:p>
    <w:p>
      <w:pPr>
        <w:spacing w:after="0" w:line="9" w:lineRule="exact"/>
        <w:rPr>
          <w:rFonts w:ascii="Arial" w:cs="Arial" w:eastAsia="Arial" w:hAnsi="Arial"/>
          <w:sz w:val="18"/>
          <w:szCs w:val="18"/>
          <w:color w:val="auto"/>
        </w:rPr>
      </w:pPr>
    </w:p>
    <w:p>
      <w:pPr>
        <w:ind w:left="500" w:hanging="330"/>
        <w:spacing w:after="0" w:line="250" w:lineRule="auto"/>
        <w:tabs>
          <w:tab w:leader="none" w:pos="495" w:val="left"/>
        </w:tabs>
        <w:numPr>
          <w:ilvl w:val="0"/>
          <w:numId w:val="10"/>
        </w:numPr>
        <w:rPr>
          <w:rFonts w:ascii="Arial" w:cs="Arial" w:eastAsia="Arial" w:hAnsi="Arial"/>
          <w:sz w:val="18"/>
          <w:szCs w:val="18"/>
          <w:color w:val="auto"/>
        </w:rPr>
      </w:pPr>
      <w:r>
        <w:rPr>
          <w:rFonts w:ascii="Arial" w:cs="Arial" w:eastAsia="Arial" w:hAnsi="Arial"/>
          <w:sz w:val="18"/>
          <w:szCs w:val="18"/>
          <w:color w:val="auto"/>
        </w:rPr>
        <w:t>average monthly revenue per user, or ARPU, which is an indicator of our pricing and ability to obtain effectively long-term, high-value customers. We calculate ARPU separately for each type of our Duplex, Commercial IoT, SPOT and IGO revenue;</w:t>
      </w:r>
    </w:p>
    <w:p>
      <w:pPr>
        <w:ind w:left="480" w:hanging="310"/>
        <w:spacing w:after="0"/>
        <w:tabs>
          <w:tab w:leader="none" w:pos="4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operating income and adjusted EBITDA, both of which are indicators of our financial performance; and</w:t>
      </w:r>
    </w:p>
    <w:p>
      <w:pPr>
        <w:spacing w:after="0" w:line="9" w:lineRule="exact"/>
        <w:rPr>
          <w:rFonts w:ascii="Arial" w:cs="Arial" w:eastAsia="Arial" w:hAnsi="Arial"/>
          <w:sz w:val="18"/>
          <w:szCs w:val="18"/>
          <w:color w:val="auto"/>
        </w:rPr>
      </w:pPr>
    </w:p>
    <w:p>
      <w:pPr>
        <w:ind w:left="480" w:hanging="310"/>
        <w:spacing w:after="0"/>
        <w:tabs>
          <w:tab w:leader="none" w:pos="4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capital expenditures, which are an indicator of future revenue growth potential and cash requirements.</w:t>
      </w:r>
    </w:p>
    <w:p>
      <w:pPr>
        <w:spacing w:after="0" w:line="23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Comparison of the Results of Operations for the three and six months ended June 30, 2020 and 2019</w:t>
      </w:r>
    </w:p>
    <w:p>
      <w:pPr>
        <w:spacing w:after="0" w:line="256" w:lineRule="exact"/>
        <w:rPr>
          <w:sz w:val="20"/>
          <w:szCs w:val="20"/>
          <w:color w:val="auto"/>
        </w:rPr>
      </w:pPr>
    </w:p>
    <w:p>
      <w:pPr>
        <w:jc w:val="both"/>
        <w:ind w:firstLine="243"/>
        <w:spacing w:after="0" w:line="263" w:lineRule="auto"/>
        <w:rPr>
          <w:sz w:val="20"/>
          <w:szCs w:val="20"/>
          <w:color w:val="auto"/>
        </w:rPr>
      </w:pPr>
      <w:r>
        <w:rPr>
          <w:rFonts w:ascii="Arial" w:cs="Arial" w:eastAsia="Arial" w:hAnsi="Arial"/>
          <w:sz w:val="18"/>
          <w:szCs w:val="18"/>
          <w:color w:val="auto"/>
        </w:rPr>
        <w:t>Overall, our results of operations for the three and six months ended June 30, 2020 were impacted by COVID-19; however, we cannot predict the full extent or duration of the future impact of COVID-19. Certain trends or uncertainties related to COVID-19 that impact revenue or expense items are discussed below.</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Revenue</w:t>
      </w:r>
    </w:p>
    <w:p>
      <w:pPr>
        <w:spacing w:after="0" w:line="256" w:lineRule="exact"/>
        <w:rPr>
          <w:sz w:val="20"/>
          <w:szCs w:val="20"/>
          <w:color w:val="auto"/>
        </w:rPr>
      </w:pPr>
    </w:p>
    <w:p>
      <w:pPr>
        <w:jc w:val="both"/>
        <w:ind w:firstLine="243"/>
        <w:spacing w:after="0" w:line="263" w:lineRule="auto"/>
        <w:rPr>
          <w:sz w:val="20"/>
          <w:szCs w:val="20"/>
          <w:color w:val="auto"/>
        </w:rPr>
      </w:pPr>
      <w:r>
        <w:rPr>
          <w:rFonts w:ascii="Arial" w:cs="Arial" w:eastAsia="Arial" w:hAnsi="Arial"/>
          <w:sz w:val="18"/>
          <w:szCs w:val="18"/>
          <w:color w:val="auto"/>
        </w:rPr>
        <w:t>Total revenue decreased 3%, to $30.4 million for the three months ended June 30, 2020 from $31.2 million for the same period in 2019 and increased 2%, to $62.6 million for the six months ended June 30, 2020 from $61.3 million for the same period in 2019. See below for a discussion of these fluctuations.</w:t>
      </w:r>
    </w:p>
    <w:p>
      <w:pPr>
        <w:spacing w:after="0" w:line="211" w:lineRule="exact"/>
        <w:rPr>
          <w:sz w:val="20"/>
          <w:szCs w:val="20"/>
          <w:color w:val="auto"/>
        </w:rPr>
      </w:pPr>
    </w:p>
    <w:p>
      <w:pPr>
        <w:ind w:left="260"/>
        <w:spacing w:after="0"/>
        <w:rPr>
          <w:sz w:val="20"/>
          <w:szCs w:val="20"/>
          <w:color w:val="auto"/>
        </w:rPr>
      </w:pPr>
      <w:r>
        <w:rPr>
          <w:rFonts w:ascii="Arial" w:cs="Arial" w:eastAsia="Arial" w:hAnsi="Arial"/>
          <w:sz w:val="18"/>
          <w:szCs w:val="18"/>
          <w:color w:val="auto"/>
        </w:rPr>
        <w:t>The following table sets forth amounts and percentages of our revenue by type of service (dollars in thousands).</w:t>
      </w:r>
    </w:p>
    <w:p>
      <w:pPr>
        <w:spacing w:after="0" w:line="378"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17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920" w:type="dxa"/>
            <w:vAlign w:val="bottom"/>
            <w:gridSpan w:val="3"/>
          </w:tcPr>
          <w:p>
            <w:pPr>
              <w:jc w:val="right"/>
              <w:ind w:right="219"/>
              <w:spacing w:after="0"/>
              <w:rPr>
                <w:sz w:val="20"/>
                <w:szCs w:val="20"/>
                <w:color w:val="auto"/>
              </w:rPr>
            </w:pPr>
            <w:r>
              <w:rPr>
                <w:rFonts w:ascii="Arial" w:cs="Arial" w:eastAsia="Arial" w:hAnsi="Arial"/>
                <w:sz w:val="16"/>
                <w:szCs w:val="16"/>
                <w:color w:val="auto"/>
              </w:rPr>
              <w:t>Three Months Ended</w:t>
            </w: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940" w:type="dxa"/>
            <w:vAlign w:val="bottom"/>
            <w:gridSpan w:val="3"/>
          </w:tcPr>
          <w:p>
            <w:pPr>
              <w:jc w:val="right"/>
              <w:ind w:right="219"/>
              <w:spacing w:after="0"/>
              <w:rPr>
                <w:sz w:val="20"/>
                <w:szCs w:val="20"/>
                <w:color w:val="auto"/>
              </w:rPr>
            </w:pPr>
            <w:r>
              <w:rPr>
                <w:rFonts w:ascii="Arial" w:cs="Arial" w:eastAsia="Arial" w:hAnsi="Arial"/>
                <w:sz w:val="16"/>
                <w:szCs w:val="16"/>
                <w:color w:val="auto"/>
              </w:rPr>
              <w:t>Three Months Ended</w:t>
            </w: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960" w:type="dxa"/>
            <w:vAlign w:val="bottom"/>
            <w:gridSpan w:val="3"/>
          </w:tcPr>
          <w:p>
            <w:pPr>
              <w:jc w:val="right"/>
              <w:ind w:right="299"/>
              <w:spacing w:after="0"/>
              <w:rPr>
                <w:sz w:val="20"/>
                <w:szCs w:val="20"/>
                <w:color w:val="auto"/>
              </w:rPr>
            </w:pPr>
            <w:r>
              <w:rPr>
                <w:rFonts w:ascii="Arial" w:cs="Arial" w:eastAsia="Arial" w:hAnsi="Arial"/>
                <w:sz w:val="16"/>
                <w:szCs w:val="16"/>
                <w:color w:val="auto"/>
              </w:rPr>
              <w:t>Six Months Ended</w:t>
            </w: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960" w:type="dxa"/>
            <w:vAlign w:val="bottom"/>
            <w:gridSpan w:val="3"/>
          </w:tcPr>
          <w:p>
            <w:pPr>
              <w:jc w:val="right"/>
              <w:ind w:right="319"/>
              <w:spacing w:after="0"/>
              <w:rPr>
                <w:sz w:val="20"/>
                <w:szCs w:val="20"/>
                <w:color w:val="auto"/>
              </w:rPr>
            </w:pPr>
            <w:r>
              <w:rPr>
                <w:rFonts w:ascii="Arial" w:cs="Arial" w:eastAsia="Arial" w:hAnsi="Arial"/>
                <w:sz w:val="16"/>
                <w:szCs w:val="16"/>
                <w:color w:val="auto"/>
              </w:rPr>
              <w:t>Six Months Ended</w:t>
            </w:r>
          </w:p>
        </w:tc>
        <w:tc>
          <w:tcPr>
            <w:tcW w:w="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17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920" w:type="dxa"/>
            <w:vAlign w:val="bottom"/>
            <w:gridSpan w:val="3"/>
          </w:tcPr>
          <w:p>
            <w:pPr>
              <w:jc w:val="right"/>
              <w:ind w:right="419"/>
              <w:spacing w:after="0"/>
              <w:rPr>
                <w:sz w:val="20"/>
                <w:szCs w:val="20"/>
                <w:color w:val="auto"/>
              </w:rPr>
            </w:pPr>
            <w:r>
              <w:rPr>
                <w:rFonts w:ascii="Arial" w:cs="Arial" w:eastAsia="Arial" w:hAnsi="Arial"/>
                <w:sz w:val="16"/>
                <w:szCs w:val="16"/>
                <w:color w:val="auto"/>
              </w:rPr>
              <w:t>June 30, 2020</w:t>
            </w: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940" w:type="dxa"/>
            <w:vAlign w:val="bottom"/>
            <w:gridSpan w:val="3"/>
          </w:tcPr>
          <w:p>
            <w:pPr>
              <w:jc w:val="right"/>
              <w:ind w:right="419"/>
              <w:spacing w:after="0"/>
              <w:rPr>
                <w:sz w:val="20"/>
                <w:szCs w:val="20"/>
                <w:color w:val="auto"/>
              </w:rPr>
            </w:pPr>
            <w:r>
              <w:rPr>
                <w:rFonts w:ascii="Arial" w:cs="Arial" w:eastAsia="Arial" w:hAnsi="Arial"/>
                <w:sz w:val="16"/>
                <w:szCs w:val="16"/>
                <w:color w:val="auto"/>
              </w:rPr>
              <w:t>June 30, 2019</w:t>
            </w: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960" w:type="dxa"/>
            <w:vAlign w:val="bottom"/>
            <w:gridSpan w:val="3"/>
          </w:tcPr>
          <w:p>
            <w:pPr>
              <w:jc w:val="right"/>
              <w:ind w:right="439"/>
              <w:spacing w:after="0"/>
              <w:rPr>
                <w:sz w:val="20"/>
                <w:szCs w:val="20"/>
                <w:color w:val="auto"/>
              </w:rPr>
            </w:pPr>
            <w:r>
              <w:rPr>
                <w:rFonts w:ascii="Arial" w:cs="Arial" w:eastAsia="Arial" w:hAnsi="Arial"/>
                <w:sz w:val="16"/>
                <w:szCs w:val="16"/>
                <w:color w:val="auto"/>
              </w:rPr>
              <w:t>June 30, 2020</w:t>
            </w: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960" w:type="dxa"/>
            <w:vAlign w:val="bottom"/>
            <w:gridSpan w:val="3"/>
          </w:tcPr>
          <w:p>
            <w:pPr>
              <w:jc w:val="right"/>
              <w:ind w:right="439"/>
              <w:spacing w:after="0"/>
              <w:rPr>
                <w:sz w:val="20"/>
                <w:szCs w:val="20"/>
                <w:color w:val="auto"/>
              </w:rPr>
            </w:pPr>
            <w:r>
              <w:rPr>
                <w:rFonts w:ascii="Arial" w:cs="Arial" w:eastAsia="Arial" w:hAnsi="Arial"/>
                <w:sz w:val="16"/>
                <w:szCs w:val="16"/>
                <w:color w:val="auto"/>
              </w:rPr>
              <w:t>June 30, 2019</w:t>
            </w:r>
          </w:p>
        </w:tc>
        <w:tc>
          <w:tcPr>
            <w:tcW w:w="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3"/>
        </w:trPr>
        <w:tc>
          <w:tcPr>
            <w:tcW w:w="172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3"/>
        </w:trPr>
        <w:tc>
          <w:tcPr>
            <w:tcW w:w="17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 of Total</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 of Total</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 of Total</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 of Total</w:t>
            </w:r>
          </w:p>
        </w:tc>
        <w:tc>
          <w:tcPr>
            <w:tcW w:w="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6"/>
        </w:trPr>
        <w:tc>
          <w:tcPr>
            <w:tcW w:w="17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80" w:type="dxa"/>
            <w:vAlign w:val="bottom"/>
            <w:gridSpan w:val="2"/>
          </w:tcPr>
          <w:p>
            <w:pPr>
              <w:ind w:left="60"/>
              <w:spacing w:after="0"/>
              <w:rPr>
                <w:sz w:val="20"/>
                <w:szCs w:val="20"/>
                <w:color w:val="auto"/>
              </w:rPr>
            </w:pPr>
            <w:r>
              <w:rPr>
                <w:rFonts w:ascii="Arial" w:cs="Arial" w:eastAsia="Arial" w:hAnsi="Arial"/>
                <w:sz w:val="16"/>
                <w:szCs w:val="16"/>
                <w:color w:val="auto"/>
              </w:rPr>
              <w:t>Revenue</w:t>
            </w:r>
          </w:p>
        </w:tc>
        <w:tc>
          <w:tcPr>
            <w:tcW w:w="940" w:type="dxa"/>
            <w:vAlign w:val="bottom"/>
          </w:tcPr>
          <w:p>
            <w:pPr>
              <w:jc w:val="right"/>
              <w:ind w:right="19"/>
              <w:spacing w:after="0"/>
              <w:rPr>
                <w:sz w:val="20"/>
                <w:szCs w:val="20"/>
                <w:color w:val="auto"/>
              </w:rPr>
            </w:pPr>
            <w:r>
              <w:rPr>
                <w:rFonts w:ascii="Arial" w:cs="Arial" w:eastAsia="Arial" w:hAnsi="Arial"/>
                <w:sz w:val="16"/>
                <w:szCs w:val="16"/>
                <w:color w:val="auto"/>
              </w:rPr>
              <w:t>Revenue</w:t>
            </w: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gridSpan w:val="2"/>
          </w:tcPr>
          <w:p>
            <w:pPr>
              <w:ind w:left="80"/>
              <w:spacing w:after="0"/>
              <w:rPr>
                <w:sz w:val="20"/>
                <w:szCs w:val="20"/>
                <w:color w:val="auto"/>
              </w:rPr>
            </w:pPr>
            <w:r>
              <w:rPr>
                <w:rFonts w:ascii="Arial" w:cs="Arial" w:eastAsia="Arial" w:hAnsi="Arial"/>
                <w:sz w:val="16"/>
                <w:szCs w:val="16"/>
                <w:color w:val="auto"/>
              </w:rPr>
              <w:t>Revenue</w:t>
            </w:r>
          </w:p>
        </w:tc>
        <w:tc>
          <w:tcPr>
            <w:tcW w:w="940" w:type="dxa"/>
            <w:vAlign w:val="bottom"/>
          </w:tcPr>
          <w:p>
            <w:pPr>
              <w:jc w:val="right"/>
              <w:spacing w:after="0"/>
              <w:rPr>
                <w:sz w:val="20"/>
                <w:szCs w:val="20"/>
                <w:color w:val="auto"/>
              </w:rPr>
            </w:pPr>
            <w:r>
              <w:rPr>
                <w:rFonts w:ascii="Arial" w:cs="Arial" w:eastAsia="Arial" w:hAnsi="Arial"/>
                <w:sz w:val="16"/>
                <w:szCs w:val="16"/>
                <w:color w:val="auto"/>
              </w:rPr>
              <w:t>Revenue</w:t>
            </w: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gridSpan w:val="2"/>
          </w:tcPr>
          <w:p>
            <w:pPr>
              <w:ind w:left="80"/>
              <w:spacing w:after="0"/>
              <w:rPr>
                <w:sz w:val="20"/>
                <w:szCs w:val="20"/>
                <w:color w:val="auto"/>
              </w:rPr>
            </w:pPr>
            <w:r>
              <w:rPr>
                <w:rFonts w:ascii="Arial" w:cs="Arial" w:eastAsia="Arial" w:hAnsi="Arial"/>
                <w:sz w:val="16"/>
                <w:szCs w:val="16"/>
                <w:color w:val="auto"/>
              </w:rPr>
              <w:t>Revenue</w:t>
            </w: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Revenue</w:t>
            </w: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gridSpan w:val="2"/>
          </w:tcPr>
          <w:p>
            <w:pPr>
              <w:ind w:left="80"/>
              <w:spacing w:after="0"/>
              <w:rPr>
                <w:sz w:val="20"/>
                <w:szCs w:val="20"/>
                <w:color w:val="auto"/>
              </w:rPr>
            </w:pPr>
            <w:r>
              <w:rPr>
                <w:rFonts w:ascii="Arial" w:cs="Arial" w:eastAsia="Arial" w:hAnsi="Arial"/>
                <w:sz w:val="16"/>
                <w:szCs w:val="16"/>
                <w:color w:val="auto"/>
              </w:rPr>
              <w:t>Revenue</w:t>
            </w:r>
          </w:p>
        </w:tc>
        <w:tc>
          <w:tcPr>
            <w:tcW w:w="960" w:type="dxa"/>
            <w:vAlign w:val="bottom"/>
          </w:tcPr>
          <w:p>
            <w:pPr>
              <w:jc w:val="right"/>
              <w:ind w:right="19"/>
              <w:spacing w:after="0"/>
              <w:rPr>
                <w:sz w:val="20"/>
                <w:szCs w:val="20"/>
                <w:color w:val="auto"/>
              </w:rPr>
            </w:pPr>
            <w:r>
              <w:rPr>
                <w:rFonts w:ascii="Arial" w:cs="Arial" w:eastAsia="Arial" w:hAnsi="Arial"/>
                <w:sz w:val="16"/>
                <w:szCs w:val="16"/>
                <w:color w:val="auto"/>
              </w:rPr>
              <w:t>Revenue</w:t>
            </w:r>
          </w:p>
        </w:tc>
        <w:tc>
          <w:tcPr>
            <w:tcW w:w="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3"/>
        </w:trPr>
        <w:tc>
          <w:tcPr>
            <w:tcW w:w="1720" w:type="dxa"/>
            <w:vAlign w:val="bottom"/>
            <w:vMerge w:val="restart"/>
          </w:tcPr>
          <w:p>
            <w:pPr>
              <w:ind w:left="20"/>
              <w:spacing w:after="0"/>
              <w:rPr>
                <w:sz w:val="20"/>
                <w:szCs w:val="20"/>
                <w:color w:val="auto"/>
              </w:rPr>
            </w:pPr>
            <w:r>
              <w:rPr>
                <w:rFonts w:ascii="Arial" w:cs="Arial" w:eastAsia="Arial" w:hAnsi="Arial"/>
                <w:sz w:val="16"/>
                <w:szCs w:val="16"/>
                <w:color w:val="auto"/>
              </w:rPr>
              <w:t>Service revenue:</w:t>
            </w:r>
          </w:p>
        </w:tc>
        <w:tc>
          <w:tcPr>
            <w:tcW w:w="1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1720" w:type="dxa"/>
            <w:vAlign w:val="bottom"/>
            <w:vMerge w:val="continue"/>
          </w:tcPr>
          <w:p>
            <w:pPr>
              <w:spacing w:after="0"/>
              <w:rPr>
                <w:sz w:val="18"/>
                <w:szCs w:val="18"/>
                <w:color w:val="auto"/>
              </w:rPr>
            </w:pPr>
          </w:p>
        </w:tc>
        <w:tc>
          <w:tcPr>
            <w:tcW w:w="18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3"/>
        </w:trPr>
        <w:tc>
          <w:tcPr>
            <w:tcW w:w="1720" w:type="dxa"/>
            <w:vAlign w:val="bottom"/>
          </w:tcPr>
          <w:p>
            <w:pPr>
              <w:spacing w:after="0"/>
              <w:rPr>
                <w:sz w:val="2"/>
                <w:szCs w:val="2"/>
                <w:color w:val="auto"/>
              </w:rPr>
            </w:pPr>
          </w:p>
        </w:tc>
        <w:tc>
          <w:tcPr>
            <w:tcW w:w="18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172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6"/>
                <w:szCs w:val="16"/>
                <w:color w:val="auto"/>
              </w:rPr>
              <w:t>Duplex</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8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8,556</w:t>
            </w:r>
          </w:p>
        </w:tc>
        <w:tc>
          <w:tcPr>
            <w:tcW w:w="100" w:type="dxa"/>
            <w:vAlign w:val="bottom"/>
            <w:tcBorders>
              <w:bottom w:val="single" w:sz="8" w:color="CCEEFF"/>
            </w:tcBorders>
            <w:shd w:val="clear" w:color="auto" w:fill="CCEEFF"/>
          </w:tcPr>
          <w:p>
            <w:pPr>
              <w:spacing w:after="0"/>
              <w:rPr>
                <w:sz w:val="20"/>
                <w:szCs w:val="20"/>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28</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98"/>
              </w:rPr>
              <w:t>%</w:t>
            </w:r>
          </w:p>
        </w:tc>
        <w:tc>
          <w:tcPr>
            <w:tcW w:w="1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90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9,031</w:t>
            </w:r>
          </w:p>
        </w:tc>
        <w:tc>
          <w:tcPr>
            <w:tcW w:w="100" w:type="dxa"/>
            <w:vAlign w:val="bottom"/>
            <w:tcBorders>
              <w:bottom w:val="single" w:sz="8" w:color="CCEEFF"/>
            </w:tcBorders>
            <w:shd w:val="clear" w:color="auto" w:fill="CCEEFF"/>
          </w:tcPr>
          <w:p>
            <w:pPr>
              <w:spacing w:after="0"/>
              <w:rPr>
                <w:sz w:val="20"/>
                <w:szCs w:val="20"/>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29</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98"/>
              </w:rPr>
              <w:t>%</w:t>
            </w:r>
          </w:p>
        </w:tc>
        <w:tc>
          <w:tcPr>
            <w:tcW w:w="1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90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16,219</w:t>
            </w:r>
          </w:p>
        </w:tc>
        <w:tc>
          <w:tcPr>
            <w:tcW w:w="100" w:type="dxa"/>
            <w:vAlign w:val="bottom"/>
            <w:tcBorders>
              <w:bottom w:val="single" w:sz="8" w:color="CCEEFF"/>
            </w:tcBorders>
            <w:shd w:val="clear" w:color="auto" w:fill="CCEEFF"/>
          </w:tcPr>
          <w:p>
            <w:pPr>
              <w:spacing w:after="0"/>
              <w:rPr>
                <w:sz w:val="20"/>
                <w:szCs w:val="20"/>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26</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98"/>
              </w:rPr>
              <w:t>%</w:t>
            </w:r>
          </w:p>
        </w:tc>
        <w:tc>
          <w:tcPr>
            <w:tcW w:w="1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90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17,676</w:t>
            </w:r>
          </w:p>
        </w:tc>
        <w:tc>
          <w:tcPr>
            <w:tcW w:w="100" w:type="dxa"/>
            <w:vAlign w:val="bottom"/>
            <w:tcBorders>
              <w:bottom w:val="single" w:sz="8" w:color="CCEEFF"/>
            </w:tcBorders>
            <w:shd w:val="clear" w:color="auto" w:fill="CCEEFF"/>
          </w:tcPr>
          <w:p>
            <w:pPr>
              <w:spacing w:after="0"/>
              <w:rPr>
                <w:sz w:val="20"/>
                <w:szCs w:val="20"/>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29</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98"/>
              </w:rPr>
              <w:t>%</w:t>
            </w:r>
          </w:p>
        </w:tc>
        <w:tc>
          <w:tcPr>
            <w:tcW w:w="0" w:type="dxa"/>
            <w:vAlign w:val="bottom"/>
          </w:tcPr>
          <w:p>
            <w:pPr>
              <w:spacing w:after="0"/>
              <w:rPr>
                <w:sz w:val="1"/>
                <w:szCs w:val="1"/>
                <w:color w:val="auto"/>
              </w:rPr>
            </w:pPr>
          </w:p>
        </w:tc>
      </w:tr>
      <w:tr>
        <w:trPr>
          <w:trHeight w:val="223"/>
        </w:trPr>
        <w:tc>
          <w:tcPr>
            <w:tcW w:w="1720" w:type="dxa"/>
            <w:vAlign w:val="bottom"/>
          </w:tcPr>
          <w:p>
            <w:pPr>
              <w:ind w:left="220"/>
              <w:spacing w:after="0"/>
              <w:rPr>
                <w:sz w:val="20"/>
                <w:szCs w:val="20"/>
                <w:color w:val="auto"/>
              </w:rPr>
            </w:pPr>
            <w:r>
              <w:rPr>
                <w:rFonts w:ascii="Arial" w:cs="Arial" w:eastAsia="Arial" w:hAnsi="Arial"/>
                <w:sz w:val="16"/>
                <w:szCs w:val="16"/>
                <w:color w:val="auto"/>
              </w:rPr>
              <w:t>SPOT</w:t>
            </w:r>
          </w:p>
        </w:tc>
        <w:tc>
          <w:tcPr>
            <w:tcW w:w="180" w:type="dxa"/>
            <w:vAlign w:val="bottom"/>
          </w:tcPr>
          <w:p>
            <w:pPr>
              <w:spacing w:after="0"/>
              <w:rPr>
                <w:sz w:val="19"/>
                <w:szCs w:val="19"/>
                <w:color w:val="auto"/>
              </w:rPr>
            </w:pPr>
          </w:p>
        </w:tc>
        <w:tc>
          <w:tcPr>
            <w:tcW w:w="880" w:type="dxa"/>
            <w:vAlign w:val="bottom"/>
          </w:tcPr>
          <w:p>
            <w:pPr>
              <w:jc w:val="right"/>
              <w:ind w:right="79"/>
              <w:spacing w:after="0"/>
              <w:rPr>
                <w:sz w:val="20"/>
                <w:szCs w:val="20"/>
                <w:color w:val="auto"/>
              </w:rPr>
            </w:pPr>
            <w:r>
              <w:rPr>
                <w:rFonts w:ascii="Arial" w:cs="Arial" w:eastAsia="Arial" w:hAnsi="Arial"/>
                <w:sz w:val="16"/>
                <w:szCs w:val="16"/>
                <w:color w:val="auto"/>
              </w:rPr>
              <w:t>11,579</w:t>
            </w:r>
          </w:p>
        </w:tc>
        <w:tc>
          <w:tcPr>
            <w:tcW w:w="10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38</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00" w:type="dxa"/>
            <w:vAlign w:val="bottom"/>
          </w:tcPr>
          <w:p>
            <w:pPr>
              <w:jc w:val="right"/>
              <w:ind w:right="59"/>
              <w:spacing w:after="0"/>
              <w:rPr>
                <w:sz w:val="20"/>
                <w:szCs w:val="20"/>
                <w:color w:val="auto"/>
              </w:rPr>
            </w:pPr>
            <w:r>
              <w:rPr>
                <w:rFonts w:ascii="Arial" w:cs="Arial" w:eastAsia="Arial" w:hAnsi="Arial"/>
                <w:sz w:val="16"/>
                <w:szCs w:val="16"/>
                <w:color w:val="auto"/>
              </w:rPr>
              <w:t>12,619</w:t>
            </w:r>
          </w:p>
        </w:tc>
        <w:tc>
          <w:tcPr>
            <w:tcW w:w="10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40</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00" w:type="dxa"/>
            <w:vAlign w:val="bottom"/>
          </w:tcPr>
          <w:p>
            <w:pPr>
              <w:jc w:val="right"/>
              <w:ind w:right="59"/>
              <w:spacing w:after="0"/>
              <w:rPr>
                <w:sz w:val="20"/>
                <w:szCs w:val="20"/>
                <w:color w:val="auto"/>
              </w:rPr>
            </w:pPr>
            <w:r>
              <w:rPr>
                <w:rFonts w:ascii="Arial" w:cs="Arial" w:eastAsia="Arial" w:hAnsi="Arial"/>
                <w:sz w:val="16"/>
                <w:szCs w:val="16"/>
                <w:color w:val="auto"/>
              </w:rPr>
              <w:t>23,702</w:t>
            </w:r>
          </w:p>
        </w:tc>
        <w:tc>
          <w:tcPr>
            <w:tcW w:w="10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38</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00" w:type="dxa"/>
            <w:vAlign w:val="bottom"/>
          </w:tcPr>
          <w:p>
            <w:pPr>
              <w:jc w:val="right"/>
              <w:ind w:right="79"/>
              <w:spacing w:after="0"/>
              <w:rPr>
                <w:sz w:val="20"/>
                <w:szCs w:val="20"/>
                <w:color w:val="auto"/>
              </w:rPr>
            </w:pPr>
            <w:r>
              <w:rPr>
                <w:rFonts w:ascii="Arial" w:cs="Arial" w:eastAsia="Arial" w:hAnsi="Arial"/>
                <w:sz w:val="16"/>
                <w:szCs w:val="16"/>
                <w:color w:val="auto"/>
              </w:rPr>
              <w:t>25,714</w:t>
            </w:r>
          </w:p>
        </w:tc>
        <w:tc>
          <w:tcPr>
            <w:tcW w:w="10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42</w:t>
            </w:r>
          </w:p>
        </w:tc>
        <w:tc>
          <w:tcPr>
            <w:tcW w:w="1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3"/>
        </w:trPr>
        <w:tc>
          <w:tcPr>
            <w:tcW w:w="1720" w:type="dxa"/>
            <w:vAlign w:val="bottom"/>
          </w:tcPr>
          <w:p>
            <w:pPr>
              <w:spacing w:after="0"/>
              <w:rPr>
                <w:sz w:val="2"/>
                <w:szCs w:val="2"/>
                <w:color w:val="auto"/>
              </w:rPr>
            </w:pPr>
          </w:p>
        </w:tc>
        <w:tc>
          <w:tcPr>
            <w:tcW w:w="18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172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6"/>
                <w:szCs w:val="16"/>
                <w:color w:val="auto"/>
              </w:rPr>
              <w:t>Commercial IoT</w:t>
            </w:r>
          </w:p>
        </w:tc>
        <w:tc>
          <w:tcPr>
            <w:tcW w:w="18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4,298</w:t>
            </w:r>
          </w:p>
        </w:tc>
        <w:tc>
          <w:tcPr>
            <w:tcW w:w="100" w:type="dxa"/>
            <w:vAlign w:val="bottom"/>
            <w:tcBorders>
              <w:bottom w:val="single" w:sz="8" w:color="CCEEFF"/>
            </w:tcBorders>
            <w:shd w:val="clear" w:color="auto" w:fill="CCEEFF"/>
          </w:tcPr>
          <w:p>
            <w:pPr>
              <w:spacing w:after="0"/>
              <w:rPr>
                <w:sz w:val="20"/>
                <w:szCs w:val="20"/>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14</w:t>
            </w:r>
          </w:p>
        </w:tc>
        <w:tc>
          <w:tcPr>
            <w:tcW w:w="18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4,353</w:t>
            </w:r>
          </w:p>
        </w:tc>
        <w:tc>
          <w:tcPr>
            <w:tcW w:w="100" w:type="dxa"/>
            <w:vAlign w:val="bottom"/>
            <w:tcBorders>
              <w:bottom w:val="single" w:sz="8" w:color="CCEEFF"/>
            </w:tcBorders>
            <w:shd w:val="clear" w:color="auto" w:fill="CCEEFF"/>
          </w:tcPr>
          <w:p>
            <w:pPr>
              <w:spacing w:after="0"/>
              <w:rPr>
                <w:sz w:val="20"/>
                <w:szCs w:val="20"/>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14</w:t>
            </w:r>
          </w:p>
        </w:tc>
        <w:tc>
          <w:tcPr>
            <w:tcW w:w="18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8,608</w:t>
            </w:r>
          </w:p>
        </w:tc>
        <w:tc>
          <w:tcPr>
            <w:tcW w:w="100" w:type="dxa"/>
            <w:vAlign w:val="bottom"/>
            <w:tcBorders>
              <w:bottom w:val="single" w:sz="8" w:color="CCEEFF"/>
            </w:tcBorders>
            <w:shd w:val="clear" w:color="auto" w:fill="CCEEFF"/>
          </w:tcPr>
          <w:p>
            <w:pPr>
              <w:spacing w:after="0"/>
              <w:rPr>
                <w:sz w:val="20"/>
                <w:szCs w:val="20"/>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14</w:t>
            </w:r>
          </w:p>
        </w:tc>
        <w:tc>
          <w:tcPr>
            <w:tcW w:w="18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8,051</w:t>
            </w:r>
          </w:p>
        </w:tc>
        <w:tc>
          <w:tcPr>
            <w:tcW w:w="100" w:type="dxa"/>
            <w:vAlign w:val="bottom"/>
            <w:tcBorders>
              <w:bottom w:val="single" w:sz="8" w:color="CCEEFF"/>
            </w:tcBorders>
            <w:shd w:val="clear" w:color="auto" w:fill="CCEEFF"/>
          </w:tcPr>
          <w:p>
            <w:pPr>
              <w:spacing w:after="0"/>
              <w:rPr>
                <w:sz w:val="20"/>
                <w:szCs w:val="20"/>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13</w:t>
            </w:r>
          </w:p>
        </w:tc>
        <w:tc>
          <w:tcPr>
            <w:tcW w:w="18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1720" w:type="dxa"/>
            <w:vAlign w:val="bottom"/>
          </w:tcPr>
          <w:p>
            <w:pPr>
              <w:ind w:left="220"/>
              <w:spacing w:after="0"/>
              <w:rPr>
                <w:sz w:val="20"/>
                <w:szCs w:val="20"/>
                <w:color w:val="auto"/>
              </w:rPr>
            </w:pPr>
            <w:r>
              <w:rPr>
                <w:rFonts w:ascii="Arial" w:cs="Arial" w:eastAsia="Arial" w:hAnsi="Arial"/>
                <w:sz w:val="16"/>
                <w:szCs w:val="16"/>
                <w:color w:val="auto"/>
              </w:rPr>
              <w:t>IGO</w:t>
            </w:r>
          </w:p>
        </w:tc>
        <w:tc>
          <w:tcPr>
            <w:tcW w:w="180" w:type="dxa"/>
            <w:vAlign w:val="bottom"/>
          </w:tcPr>
          <w:p>
            <w:pPr>
              <w:spacing w:after="0"/>
              <w:rPr>
                <w:sz w:val="19"/>
                <w:szCs w:val="19"/>
                <w:color w:val="auto"/>
              </w:rPr>
            </w:pPr>
          </w:p>
        </w:tc>
        <w:tc>
          <w:tcPr>
            <w:tcW w:w="880" w:type="dxa"/>
            <w:vAlign w:val="bottom"/>
          </w:tcPr>
          <w:p>
            <w:pPr>
              <w:jc w:val="right"/>
              <w:ind w:right="79"/>
              <w:spacing w:after="0"/>
              <w:rPr>
                <w:sz w:val="20"/>
                <w:szCs w:val="20"/>
                <w:color w:val="auto"/>
              </w:rPr>
            </w:pPr>
            <w:r>
              <w:rPr>
                <w:rFonts w:ascii="Arial" w:cs="Arial" w:eastAsia="Arial" w:hAnsi="Arial"/>
                <w:sz w:val="16"/>
                <w:szCs w:val="16"/>
                <w:color w:val="auto"/>
              </w:rPr>
              <w:t>109</w:t>
            </w:r>
          </w:p>
        </w:tc>
        <w:tc>
          <w:tcPr>
            <w:tcW w:w="10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00" w:type="dxa"/>
            <w:vAlign w:val="bottom"/>
          </w:tcPr>
          <w:p>
            <w:pPr>
              <w:jc w:val="right"/>
              <w:ind w:right="59"/>
              <w:spacing w:after="0"/>
              <w:rPr>
                <w:sz w:val="20"/>
                <w:szCs w:val="20"/>
                <w:color w:val="auto"/>
              </w:rPr>
            </w:pPr>
            <w:r>
              <w:rPr>
                <w:rFonts w:ascii="Arial" w:cs="Arial" w:eastAsia="Arial" w:hAnsi="Arial"/>
                <w:sz w:val="16"/>
                <w:szCs w:val="16"/>
                <w:color w:val="auto"/>
              </w:rPr>
              <w:t>179</w:t>
            </w:r>
          </w:p>
        </w:tc>
        <w:tc>
          <w:tcPr>
            <w:tcW w:w="10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1</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00" w:type="dxa"/>
            <w:vAlign w:val="bottom"/>
          </w:tcPr>
          <w:p>
            <w:pPr>
              <w:jc w:val="right"/>
              <w:ind w:right="59"/>
              <w:spacing w:after="0"/>
              <w:rPr>
                <w:sz w:val="20"/>
                <w:szCs w:val="20"/>
                <w:color w:val="auto"/>
              </w:rPr>
            </w:pPr>
            <w:r>
              <w:rPr>
                <w:rFonts w:ascii="Arial" w:cs="Arial" w:eastAsia="Arial" w:hAnsi="Arial"/>
                <w:sz w:val="16"/>
                <w:szCs w:val="16"/>
                <w:color w:val="auto"/>
              </w:rPr>
              <w:t>200</w:t>
            </w:r>
          </w:p>
        </w:tc>
        <w:tc>
          <w:tcPr>
            <w:tcW w:w="10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00" w:type="dxa"/>
            <w:vAlign w:val="bottom"/>
          </w:tcPr>
          <w:p>
            <w:pPr>
              <w:jc w:val="right"/>
              <w:ind w:right="79"/>
              <w:spacing w:after="0"/>
              <w:rPr>
                <w:sz w:val="20"/>
                <w:szCs w:val="20"/>
                <w:color w:val="auto"/>
              </w:rPr>
            </w:pPr>
            <w:r>
              <w:rPr>
                <w:rFonts w:ascii="Arial" w:cs="Arial" w:eastAsia="Arial" w:hAnsi="Arial"/>
                <w:sz w:val="16"/>
                <w:szCs w:val="16"/>
                <w:color w:val="auto"/>
              </w:rPr>
              <w:t>345</w:t>
            </w:r>
          </w:p>
        </w:tc>
        <w:tc>
          <w:tcPr>
            <w:tcW w:w="10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1</w:t>
            </w:r>
          </w:p>
        </w:tc>
        <w:tc>
          <w:tcPr>
            <w:tcW w:w="1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3"/>
        </w:trPr>
        <w:tc>
          <w:tcPr>
            <w:tcW w:w="1720" w:type="dxa"/>
            <w:vAlign w:val="bottom"/>
          </w:tcPr>
          <w:p>
            <w:pPr>
              <w:spacing w:after="0"/>
              <w:rPr>
                <w:sz w:val="2"/>
                <w:szCs w:val="2"/>
                <w:color w:val="auto"/>
              </w:rPr>
            </w:pPr>
          </w:p>
        </w:tc>
        <w:tc>
          <w:tcPr>
            <w:tcW w:w="18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7"/>
        </w:trPr>
        <w:tc>
          <w:tcPr>
            <w:tcW w:w="172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6"/>
                <w:szCs w:val="16"/>
                <w:color w:val="auto"/>
                <w:w w:val="93"/>
              </w:rPr>
              <w:t>Engineering and other</w:t>
            </w:r>
          </w:p>
        </w:tc>
        <w:tc>
          <w:tcPr>
            <w:tcW w:w="180" w:type="dxa"/>
            <w:vAlign w:val="bottom"/>
            <w:tcBorders>
              <w:bottom w:val="single" w:sz="8" w:color="CCEEFF"/>
            </w:tcBorders>
            <w:shd w:val="clear" w:color="auto" w:fill="CCEEFF"/>
          </w:tcPr>
          <w:p>
            <w:pPr>
              <w:spacing w:after="0"/>
              <w:rPr>
                <w:sz w:val="22"/>
                <w:szCs w:val="22"/>
                <w:color w:val="auto"/>
              </w:rPr>
            </w:pPr>
          </w:p>
        </w:tc>
        <w:tc>
          <w:tcPr>
            <w:tcW w:w="88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2,548</w:t>
            </w:r>
          </w:p>
        </w:tc>
        <w:tc>
          <w:tcPr>
            <w:tcW w:w="100" w:type="dxa"/>
            <w:vAlign w:val="bottom"/>
            <w:tcBorders>
              <w:bottom w:val="single" w:sz="8" w:color="CCEEFF"/>
            </w:tcBorders>
            <w:shd w:val="clear" w:color="auto" w:fill="CCEEFF"/>
          </w:tcPr>
          <w:p>
            <w:pPr>
              <w:spacing w:after="0"/>
              <w:rPr>
                <w:sz w:val="22"/>
                <w:szCs w:val="22"/>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8</w:t>
            </w:r>
          </w:p>
        </w:tc>
        <w:tc>
          <w:tcPr>
            <w:tcW w:w="18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90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518</w:t>
            </w:r>
          </w:p>
        </w:tc>
        <w:tc>
          <w:tcPr>
            <w:tcW w:w="100" w:type="dxa"/>
            <w:vAlign w:val="bottom"/>
            <w:tcBorders>
              <w:bottom w:val="single" w:sz="8" w:color="CCEEFF"/>
            </w:tcBorders>
            <w:shd w:val="clear" w:color="auto" w:fill="CCEEFF"/>
          </w:tcPr>
          <w:p>
            <w:pPr>
              <w:spacing w:after="0"/>
              <w:rPr>
                <w:sz w:val="22"/>
                <w:szCs w:val="22"/>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w:t>
            </w:r>
          </w:p>
        </w:tc>
        <w:tc>
          <w:tcPr>
            <w:tcW w:w="18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90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7,296</w:t>
            </w:r>
          </w:p>
        </w:tc>
        <w:tc>
          <w:tcPr>
            <w:tcW w:w="10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12</w:t>
            </w:r>
          </w:p>
        </w:tc>
        <w:tc>
          <w:tcPr>
            <w:tcW w:w="18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90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1,033</w:t>
            </w:r>
          </w:p>
        </w:tc>
        <w:tc>
          <w:tcPr>
            <w:tcW w:w="10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w:t>
            </w:r>
          </w:p>
        </w:tc>
        <w:tc>
          <w:tcPr>
            <w:tcW w:w="18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47"/>
        </w:trPr>
        <w:tc>
          <w:tcPr>
            <w:tcW w:w="1720" w:type="dxa"/>
            <w:vAlign w:val="bottom"/>
          </w:tcPr>
          <w:p>
            <w:pPr>
              <w:ind w:left="460"/>
              <w:spacing w:after="0"/>
              <w:rPr>
                <w:sz w:val="20"/>
                <w:szCs w:val="20"/>
                <w:color w:val="auto"/>
              </w:rPr>
            </w:pPr>
            <w:r>
              <w:rPr>
                <w:rFonts w:ascii="Arial" w:cs="Arial" w:eastAsia="Arial" w:hAnsi="Arial"/>
                <w:sz w:val="16"/>
                <w:szCs w:val="16"/>
                <w:color w:val="auto"/>
              </w:rPr>
              <w:t>Total</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880" w:type="dxa"/>
            <w:vAlign w:val="bottom"/>
            <w:tcBorders>
              <w:top w:val="single" w:sz="8" w:color="auto"/>
              <w:bottom w:val="single" w:sz="8" w:color="auto"/>
            </w:tcBorders>
          </w:tcPr>
          <w:p>
            <w:pPr>
              <w:jc w:val="right"/>
              <w:ind w:right="79"/>
              <w:spacing w:after="0"/>
              <w:rPr>
                <w:sz w:val="20"/>
                <w:szCs w:val="20"/>
                <w:color w:val="auto"/>
              </w:rPr>
            </w:pPr>
            <w:r>
              <w:rPr>
                <w:rFonts w:ascii="Arial" w:cs="Arial" w:eastAsia="Arial" w:hAnsi="Arial"/>
                <w:sz w:val="16"/>
                <w:szCs w:val="16"/>
                <w:color w:val="auto"/>
              </w:rPr>
              <w:t>27,090</w:t>
            </w:r>
          </w:p>
        </w:tc>
        <w:tc>
          <w:tcPr>
            <w:tcW w:w="100" w:type="dxa"/>
            <w:vAlign w:val="bottom"/>
          </w:tcPr>
          <w:p>
            <w:pPr>
              <w:spacing w:after="0"/>
              <w:rPr>
                <w:sz w:val="21"/>
                <w:szCs w:val="21"/>
                <w:color w:val="auto"/>
              </w:rPr>
            </w:pP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88</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98"/>
              </w:rPr>
              <w:t>%</w:t>
            </w:r>
          </w:p>
        </w:tc>
        <w:tc>
          <w:tcPr>
            <w:tcW w:w="120" w:type="dxa"/>
            <w:vAlign w:val="bottom"/>
          </w:tcPr>
          <w:p>
            <w:pPr>
              <w:spacing w:after="0"/>
              <w:rPr>
                <w:sz w:val="21"/>
                <w:szCs w:val="21"/>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900" w:type="dxa"/>
            <w:vAlign w:val="bottom"/>
            <w:tcBorders>
              <w:top w:val="single" w:sz="8" w:color="auto"/>
              <w:bottom w:val="single" w:sz="8" w:color="auto"/>
            </w:tcBorders>
          </w:tcPr>
          <w:p>
            <w:pPr>
              <w:jc w:val="right"/>
              <w:ind w:right="59"/>
              <w:spacing w:after="0"/>
              <w:rPr>
                <w:sz w:val="20"/>
                <w:szCs w:val="20"/>
                <w:color w:val="auto"/>
              </w:rPr>
            </w:pPr>
            <w:r>
              <w:rPr>
                <w:rFonts w:ascii="Arial" w:cs="Arial" w:eastAsia="Arial" w:hAnsi="Arial"/>
                <w:sz w:val="16"/>
                <w:szCs w:val="16"/>
                <w:color w:val="auto"/>
              </w:rPr>
              <w:t>26,700</w:t>
            </w:r>
          </w:p>
        </w:tc>
        <w:tc>
          <w:tcPr>
            <w:tcW w:w="100" w:type="dxa"/>
            <w:vAlign w:val="bottom"/>
          </w:tcPr>
          <w:p>
            <w:pPr>
              <w:spacing w:after="0"/>
              <w:rPr>
                <w:sz w:val="21"/>
                <w:szCs w:val="21"/>
                <w:color w:val="auto"/>
              </w:rPr>
            </w:pP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86</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98"/>
              </w:rPr>
              <w:t>%</w:t>
            </w:r>
          </w:p>
        </w:tc>
        <w:tc>
          <w:tcPr>
            <w:tcW w:w="120" w:type="dxa"/>
            <w:vAlign w:val="bottom"/>
          </w:tcPr>
          <w:p>
            <w:pPr>
              <w:spacing w:after="0"/>
              <w:rPr>
                <w:sz w:val="21"/>
                <w:szCs w:val="21"/>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900" w:type="dxa"/>
            <w:vAlign w:val="bottom"/>
            <w:tcBorders>
              <w:top w:val="single" w:sz="8" w:color="auto"/>
              <w:bottom w:val="single" w:sz="8" w:color="auto"/>
            </w:tcBorders>
          </w:tcPr>
          <w:p>
            <w:pPr>
              <w:jc w:val="right"/>
              <w:ind w:right="59"/>
              <w:spacing w:after="0"/>
              <w:rPr>
                <w:sz w:val="20"/>
                <w:szCs w:val="20"/>
                <w:color w:val="auto"/>
              </w:rPr>
            </w:pPr>
            <w:r>
              <w:rPr>
                <w:rFonts w:ascii="Arial" w:cs="Arial" w:eastAsia="Arial" w:hAnsi="Arial"/>
                <w:sz w:val="16"/>
                <w:szCs w:val="16"/>
                <w:color w:val="auto"/>
              </w:rPr>
              <w:t>56,025</w:t>
            </w:r>
          </w:p>
        </w:tc>
        <w:tc>
          <w:tcPr>
            <w:tcW w:w="100" w:type="dxa"/>
            <w:vAlign w:val="bottom"/>
          </w:tcPr>
          <w:p>
            <w:pPr>
              <w:spacing w:after="0"/>
              <w:rPr>
                <w:sz w:val="21"/>
                <w:szCs w:val="21"/>
                <w:color w:val="auto"/>
              </w:rPr>
            </w:pP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90</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98"/>
              </w:rPr>
              <w:t>%</w:t>
            </w:r>
          </w:p>
        </w:tc>
        <w:tc>
          <w:tcPr>
            <w:tcW w:w="120" w:type="dxa"/>
            <w:vAlign w:val="bottom"/>
          </w:tcPr>
          <w:p>
            <w:pPr>
              <w:spacing w:after="0"/>
              <w:rPr>
                <w:sz w:val="21"/>
                <w:szCs w:val="21"/>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900" w:type="dxa"/>
            <w:vAlign w:val="bottom"/>
            <w:tcBorders>
              <w:top w:val="single" w:sz="8" w:color="auto"/>
              <w:bottom w:val="single" w:sz="8" w:color="auto"/>
            </w:tcBorders>
          </w:tcPr>
          <w:p>
            <w:pPr>
              <w:jc w:val="right"/>
              <w:ind w:right="79"/>
              <w:spacing w:after="0"/>
              <w:rPr>
                <w:sz w:val="20"/>
                <w:szCs w:val="20"/>
                <w:color w:val="auto"/>
              </w:rPr>
            </w:pPr>
            <w:r>
              <w:rPr>
                <w:rFonts w:ascii="Arial" w:cs="Arial" w:eastAsia="Arial" w:hAnsi="Arial"/>
                <w:sz w:val="16"/>
                <w:szCs w:val="16"/>
                <w:color w:val="auto"/>
              </w:rPr>
              <w:t>52,819</w:t>
            </w:r>
          </w:p>
        </w:tc>
        <w:tc>
          <w:tcPr>
            <w:tcW w:w="100" w:type="dxa"/>
            <w:vAlign w:val="bottom"/>
          </w:tcPr>
          <w:p>
            <w:pPr>
              <w:spacing w:after="0"/>
              <w:rPr>
                <w:sz w:val="21"/>
                <w:szCs w:val="21"/>
                <w:color w:val="auto"/>
              </w:rPr>
            </w:pP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87</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98"/>
              </w:rPr>
              <w:t>%</w:t>
            </w:r>
          </w:p>
        </w:tc>
        <w:tc>
          <w:tcPr>
            <w:tcW w:w="0" w:type="dxa"/>
            <w:vAlign w:val="bottom"/>
          </w:tcPr>
          <w:p>
            <w:pPr>
              <w:spacing w:after="0"/>
              <w:rPr>
                <w:sz w:val="1"/>
                <w:szCs w:val="1"/>
                <w:color w:val="auto"/>
              </w:rPr>
            </w:pPr>
          </w:p>
        </w:tc>
      </w:tr>
      <w:tr>
        <w:trPr>
          <w:trHeight w:val="24"/>
        </w:trPr>
        <w:tc>
          <w:tcPr>
            <w:tcW w:w="172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sectPr>
      </w:pPr>
    </w:p>
    <w:bookmarkStart w:id="24" w:name="page25"/>
    <w:bookmarkEnd w:id="24"/>
    <w:p>
      <w:pPr>
        <w:ind w:left="260"/>
        <w:spacing w:after="0"/>
        <w:rPr>
          <w:sz w:val="20"/>
          <w:szCs w:val="20"/>
          <w:color w:val="auto"/>
        </w:rPr>
      </w:pPr>
      <w:r>
        <w:rPr>
          <w:rFonts w:ascii="Arial" w:cs="Arial" w:eastAsia="Arial" w:hAnsi="Arial"/>
          <w:sz w:val="18"/>
          <w:szCs w:val="18"/>
          <w:color w:val="auto"/>
        </w:rPr>
        <w:t>The following table sets forth amounts and percentages of our revenue generated from equipment sales (dollars in thousands).</w:t>
      </w:r>
    </w:p>
    <w:p>
      <w:pPr>
        <w:spacing w:after="0" w:line="162"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20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880" w:type="dxa"/>
            <w:vAlign w:val="bottom"/>
            <w:gridSpan w:val="3"/>
          </w:tcPr>
          <w:p>
            <w:pPr>
              <w:jc w:val="right"/>
              <w:ind w:right="179"/>
              <w:spacing w:after="0"/>
              <w:rPr>
                <w:sz w:val="20"/>
                <w:szCs w:val="20"/>
                <w:color w:val="auto"/>
              </w:rPr>
            </w:pPr>
            <w:r>
              <w:rPr>
                <w:rFonts w:ascii="Arial" w:cs="Arial" w:eastAsia="Arial" w:hAnsi="Arial"/>
                <w:sz w:val="16"/>
                <w:szCs w:val="16"/>
                <w:color w:val="auto"/>
              </w:rPr>
              <w:t>Three Months Ended</w:t>
            </w: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860" w:type="dxa"/>
            <w:vAlign w:val="bottom"/>
            <w:gridSpan w:val="3"/>
          </w:tcPr>
          <w:p>
            <w:pPr>
              <w:jc w:val="right"/>
              <w:ind w:right="179"/>
              <w:spacing w:after="0"/>
              <w:rPr>
                <w:sz w:val="20"/>
                <w:szCs w:val="20"/>
                <w:color w:val="auto"/>
              </w:rPr>
            </w:pPr>
            <w:r>
              <w:rPr>
                <w:rFonts w:ascii="Arial" w:cs="Arial" w:eastAsia="Arial" w:hAnsi="Arial"/>
                <w:sz w:val="16"/>
                <w:szCs w:val="16"/>
                <w:color w:val="auto"/>
              </w:rPr>
              <w:t>Three Months Ended</w:t>
            </w: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860" w:type="dxa"/>
            <w:vAlign w:val="bottom"/>
            <w:gridSpan w:val="3"/>
          </w:tcPr>
          <w:p>
            <w:pPr>
              <w:jc w:val="right"/>
              <w:ind w:right="259"/>
              <w:spacing w:after="0"/>
              <w:rPr>
                <w:sz w:val="20"/>
                <w:szCs w:val="20"/>
                <w:color w:val="auto"/>
              </w:rPr>
            </w:pPr>
            <w:r>
              <w:rPr>
                <w:rFonts w:ascii="Arial" w:cs="Arial" w:eastAsia="Arial" w:hAnsi="Arial"/>
                <w:sz w:val="16"/>
                <w:szCs w:val="16"/>
                <w:color w:val="auto"/>
              </w:rPr>
              <w:t>Six Months Ended</w:t>
            </w: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880" w:type="dxa"/>
            <w:vAlign w:val="bottom"/>
            <w:gridSpan w:val="3"/>
          </w:tcPr>
          <w:p>
            <w:pPr>
              <w:jc w:val="right"/>
              <w:ind w:right="279"/>
              <w:spacing w:after="0"/>
              <w:rPr>
                <w:sz w:val="20"/>
                <w:szCs w:val="20"/>
                <w:color w:val="auto"/>
              </w:rPr>
            </w:pPr>
            <w:r>
              <w:rPr>
                <w:rFonts w:ascii="Arial" w:cs="Arial" w:eastAsia="Arial" w:hAnsi="Arial"/>
                <w:sz w:val="16"/>
                <w:szCs w:val="16"/>
                <w:color w:val="auto"/>
              </w:rPr>
              <w:t>Six Months Ended</w:t>
            </w:r>
          </w:p>
        </w:tc>
        <w:tc>
          <w:tcPr>
            <w:tcW w:w="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20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880" w:type="dxa"/>
            <w:vAlign w:val="bottom"/>
            <w:gridSpan w:val="3"/>
          </w:tcPr>
          <w:p>
            <w:pPr>
              <w:jc w:val="right"/>
              <w:ind w:right="399"/>
              <w:spacing w:after="0"/>
              <w:rPr>
                <w:sz w:val="20"/>
                <w:szCs w:val="20"/>
                <w:color w:val="auto"/>
              </w:rPr>
            </w:pPr>
            <w:r>
              <w:rPr>
                <w:rFonts w:ascii="Arial" w:cs="Arial" w:eastAsia="Arial" w:hAnsi="Arial"/>
                <w:sz w:val="16"/>
                <w:szCs w:val="16"/>
                <w:color w:val="auto"/>
              </w:rPr>
              <w:t>June 30, 2020</w:t>
            </w: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860" w:type="dxa"/>
            <w:vAlign w:val="bottom"/>
            <w:gridSpan w:val="3"/>
          </w:tcPr>
          <w:p>
            <w:pPr>
              <w:jc w:val="right"/>
              <w:ind w:right="399"/>
              <w:spacing w:after="0"/>
              <w:rPr>
                <w:sz w:val="20"/>
                <w:szCs w:val="20"/>
                <w:color w:val="auto"/>
              </w:rPr>
            </w:pPr>
            <w:r>
              <w:rPr>
                <w:rFonts w:ascii="Arial" w:cs="Arial" w:eastAsia="Arial" w:hAnsi="Arial"/>
                <w:sz w:val="16"/>
                <w:szCs w:val="16"/>
                <w:color w:val="auto"/>
              </w:rPr>
              <w:t>June 30, 2019</w:t>
            </w: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860" w:type="dxa"/>
            <w:vAlign w:val="bottom"/>
            <w:gridSpan w:val="3"/>
          </w:tcPr>
          <w:p>
            <w:pPr>
              <w:jc w:val="right"/>
              <w:ind w:right="379"/>
              <w:spacing w:after="0"/>
              <w:rPr>
                <w:sz w:val="20"/>
                <w:szCs w:val="20"/>
                <w:color w:val="auto"/>
              </w:rPr>
            </w:pPr>
            <w:r>
              <w:rPr>
                <w:rFonts w:ascii="Arial" w:cs="Arial" w:eastAsia="Arial" w:hAnsi="Arial"/>
                <w:sz w:val="16"/>
                <w:szCs w:val="16"/>
                <w:color w:val="auto"/>
              </w:rPr>
              <w:t>June 30, 2020</w:t>
            </w: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880" w:type="dxa"/>
            <w:vAlign w:val="bottom"/>
            <w:gridSpan w:val="3"/>
          </w:tcPr>
          <w:p>
            <w:pPr>
              <w:jc w:val="right"/>
              <w:ind w:right="399"/>
              <w:spacing w:after="0"/>
              <w:rPr>
                <w:sz w:val="20"/>
                <w:szCs w:val="20"/>
                <w:color w:val="auto"/>
              </w:rPr>
            </w:pPr>
            <w:r>
              <w:rPr>
                <w:rFonts w:ascii="Arial" w:cs="Arial" w:eastAsia="Arial" w:hAnsi="Arial"/>
                <w:sz w:val="16"/>
                <w:szCs w:val="16"/>
                <w:color w:val="auto"/>
              </w:rPr>
              <w:t>June 30, 2019</w:t>
            </w:r>
          </w:p>
        </w:tc>
        <w:tc>
          <w:tcPr>
            <w:tcW w:w="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3"/>
        </w:trPr>
        <w:tc>
          <w:tcPr>
            <w:tcW w:w="208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3"/>
        </w:trPr>
        <w:tc>
          <w:tcPr>
            <w:tcW w:w="20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 of Total</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 of Total</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 of Total</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 of Total</w:t>
            </w:r>
          </w:p>
        </w:tc>
        <w:tc>
          <w:tcPr>
            <w:tcW w:w="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6"/>
        </w:trPr>
        <w:tc>
          <w:tcPr>
            <w:tcW w:w="20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60" w:type="dxa"/>
            <w:vAlign w:val="bottom"/>
            <w:gridSpan w:val="2"/>
          </w:tcPr>
          <w:p>
            <w:pPr>
              <w:ind w:left="80"/>
              <w:spacing w:after="0"/>
              <w:rPr>
                <w:sz w:val="20"/>
                <w:szCs w:val="20"/>
                <w:color w:val="auto"/>
              </w:rPr>
            </w:pPr>
            <w:r>
              <w:rPr>
                <w:rFonts w:ascii="Arial" w:cs="Arial" w:eastAsia="Arial" w:hAnsi="Arial"/>
                <w:sz w:val="16"/>
                <w:szCs w:val="16"/>
                <w:color w:val="auto"/>
              </w:rPr>
              <w:t>Revenue</w:t>
            </w:r>
          </w:p>
        </w:tc>
        <w:tc>
          <w:tcPr>
            <w:tcW w:w="920" w:type="dxa"/>
            <w:vAlign w:val="bottom"/>
          </w:tcPr>
          <w:p>
            <w:pPr>
              <w:jc w:val="right"/>
              <w:spacing w:after="0"/>
              <w:rPr>
                <w:sz w:val="20"/>
                <w:szCs w:val="20"/>
                <w:color w:val="auto"/>
              </w:rPr>
            </w:pPr>
            <w:r>
              <w:rPr>
                <w:rFonts w:ascii="Arial" w:cs="Arial" w:eastAsia="Arial" w:hAnsi="Arial"/>
                <w:sz w:val="16"/>
                <w:szCs w:val="16"/>
                <w:color w:val="auto"/>
              </w:rPr>
              <w:t>Revenue</w:t>
            </w: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60" w:type="dxa"/>
            <w:vAlign w:val="bottom"/>
            <w:gridSpan w:val="2"/>
          </w:tcPr>
          <w:p>
            <w:pPr>
              <w:ind w:left="60"/>
              <w:spacing w:after="0"/>
              <w:rPr>
                <w:sz w:val="20"/>
                <w:szCs w:val="20"/>
                <w:color w:val="auto"/>
              </w:rPr>
            </w:pPr>
            <w:r>
              <w:rPr>
                <w:rFonts w:ascii="Arial" w:cs="Arial" w:eastAsia="Arial" w:hAnsi="Arial"/>
                <w:sz w:val="16"/>
                <w:szCs w:val="16"/>
                <w:color w:val="auto"/>
              </w:rPr>
              <w:t>Revenue</w:t>
            </w:r>
          </w:p>
        </w:tc>
        <w:tc>
          <w:tcPr>
            <w:tcW w:w="900" w:type="dxa"/>
            <w:vAlign w:val="bottom"/>
          </w:tcPr>
          <w:p>
            <w:pPr>
              <w:jc w:val="right"/>
              <w:spacing w:after="0"/>
              <w:rPr>
                <w:sz w:val="20"/>
                <w:szCs w:val="20"/>
                <w:color w:val="auto"/>
              </w:rPr>
            </w:pPr>
            <w:r>
              <w:rPr>
                <w:rFonts w:ascii="Arial" w:cs="Arial" w:eastAsia="Arial" w:hAnsi="Arial"/>
                <w:sz w:val="16"/>
                <w:szCs w:val="16"/>
                <w:color w:val="auto"/>
              </w:rPr>
              <w:t>Revenue</w:t>
            </w: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60" w:type="dxa"/>
            <w:vAlign w:val="bottom"/>
            <w:gridSpan w:val="2"/>
          </w:tcPr>
          <w:p>
            <w:pPr>
              <w:ind w:left="60"/>
              <w:spacing w:after="0"/>
              <w:rPr>
                <w:sz w:val="20"/>
                <w:szCs w:val="20"/>
                <w:color w:val="auto"/>
              </w:rPr>
            </w:pPr>
            <w:r>
              <w:rPr>
                <w:rFonts w:ascii="Arial" w:cs="Arial" w:eastAsia="Arial" w:hAnsi="Arial"/>
                <w:sz w:val="16"/>
                <w:szCs w:val="16"/>
                <w:color w:val="auto"/>
              </w:rPr>
              <w:t>Revenue</w:t>
            </w:r>
          </w:p>
        </w:tc>
        <w:tc>
          <w:tcPr>
            <w:tcW w:w="900" w:type="dxa"/>
            <w:vAlign w:val="bottom"/>
          </w:tcPr>
          <w:p>
            <w:pPr>
              <w:jc w:val="right"/>
              <w:spacing w:after="0"/>
              <w:rPr>
                <w:sz w:val="20"/>
                <w:szCs w:val="20"/>
                <w:color w:val="auto"/>
              </w:rPr>
            </w:pPr>
            <w:r>
              <w:rPr>
                <w:rFonts w:ascii="Arial" w:cs="Arial" w:eastAsia="Arial" w:hAnsi="Arial"/>
                <w:sz w:val="16"/>
                <w:szCs w:val="16"/>
                <w:color w:val="auto"/>
              </w:rPr>
              <w:t>Revenue</w:t>
            </w: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60" w:type="dxa"/>
            <w:vAlign w:val="bottom"/>
            <w:gridSpan w:val="2"/>
          </w:tcPr>
          <w:p>
            <w:pPr>
              <w:ind w:left="60"/>
              <w:spacing w:after="0"/>
              <w:rPr>
                <w:sz w:val="20"/>
                <w:szCs w:val="20"/>
                <w:color w:val="auto"/>
              </w:rPr>
            </w:pPr>
            <w:r>
              <w:rPr>
                <w:rFonts w:ascii="Arial" w:cs="Arial" w:eastAsia="Arial" w:hAnsi="Arial"/>
                <w:sz w:val="16"/>
                <w:szCs w:val="16"/>
                <w:color w:val="auto"/>
              </w:rPr>
              <w:t>Revenue</w:t>
            </w:r>
          </w:p>
        </w:tc>
        <w:tc>
          <w:tcPr>
            <w:tcW w:w="920" w:type="dxa"/>
            <w:vAlign w:val="bottom"/>
          </w:tcPr>
          <w:p>
            <w:pPr>
              <w:jc w:val="right"/>
              <w:spacing w:after="0"/>
              <w:rPr>
                <w:sz w:val="20"/>
                <w:szCs w:val="20"/>
                <w:color w:val="auto"/>
              </w:rPr>
            </w:pPr>
            <w:r>
              <w:rPr>
                <w:rFonts w:ascii="Arial" w:cs="Arial" w:eastAsia="Arial" w:hAnsi="Arial"/>
                <w:sz w:val="16"/>
                <w:szCs w:val="16"/>
                <w:color w:val="auto"/>
              </w:rPr>
              <w:t>Revenue</w:t>
            </w:r>
          </w:p>
        </w:tc>
        <w:tc>
          <w:tcPr>
            <w:tcW w:w="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3"/>
        </w:trPr>
        <w:tc>
          <w:tcPr>
            <w:tcW w:w="2080" w:type="dxa"/>
            <w:vAlign w:val="bottom"/>
            <w:vMerge w:val="restart"/>
          </w:tcPr>
          <w:p>
            <w:pPr>
              <w:ind w:left="20"/>
              <w:spacing w:after="0"/>
              <w:rPr>
                <w:sz w:val="20"/>
                <w:szCs w:val="20"/>
                <w:color w:val="auto"/>
              </w:rPr>
            </w:pPr>
            <w:r>
              <w:rPr>
                <w:rFonts w:ascii="Arial" w:cs="Arial" w:eastAsia="Arial" w:hAnsi="Arial"/>
                <w:sz w:val="16"/>
                <w:szCs w:val="16"/>
                <w:color w:val="auto"/>
              </w:rPr>
              <w:t>Subscriber equipment sales:</w:t>
            </w:r>
          </w:p>
        </w:tc>
        <w:tc>
          <w:tcPr>
            <w:tcW w:w="1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2080" w:type="dxa"/>
            <w:vAlign w:val="bottom"/>
            <w:vMerge w:val="continue"/>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3"/>
        </w:trPr>
        <w:tc>
          <w:tcPr>
            <w:tcW w:w="2080" w:type="dxa"/>
            <w:vAlign w:val="bottom"/>
          </w:tcPr>
          <w:p>
            <w:pPr>
              <w:spacing w:after="0"/>
              <w:rPr>
                <w:sz w:val="2"/>
                <w:szCs w:val="2"/>
                <w:color w:val="auto"/>
              </w:rPr>
            </w:pPr>
          </w:p>
        </w:tc>
        <w:tc>
          <w:tcPr>
            <w:tcW w:w="16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208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6"/>
                <w:szCs w:val="16"/>
                <w:color w:val="auto"/>
              </w:rPr>
              <w:t>Duplex</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6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625</w:t>
            </w:r>
          </w:p>
        </w:tc>
        <w:tc>
          <w:tcPr>
            <w:tcW w:w="10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6"/>
                <w:szCs w:val="16"/>
                <w:color w:val="auto"/>
              </w:rPr>
              <w:t>2 %</w:t>
            </w:r>
          </w:p>
        </w:tc>
        <w:tc>
          <w:tcPr>
            <w:tcW w:w="1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4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306</w:t>
            </w:r>
          </w:p>
        </w:tc>
        <w:tc>
          <w:tcPr>
            <w:tcW w:w="12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6"/>
                <w:szCs w:val="16"/>
                <w:color w:val="auto"/>
              </w:rPr>
              <w:t>1 %</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6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1,029</w:t>
            </w:r>
          </w:p>
        </w:tc>
        <w:tc>
          <w:tcPr>
            <w:tcW w:w="10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6"/>
                <w:szCs w:val="16"/>
                <w:color w:val="auto"/>
              </w:rPr>
              <w:t>1 %</w:t>
            </w:r>
          </w:p>
        </w:tc>
        <w:tc>
          <w:tcPr>
            <w:tcW w:w="1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6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557</w:t>
            </w:r>
          </w:p>
        </w:tc>
        <w:tc>
          <w:tcPr>
            <w:tcW w:w="100" w:type="dxa"/>
            <w:vAlign w:val="bottom"/>
            <w:tcBorders>
              <w:bottom w:val="single" w:sz="8" w:color="CCEEFF"/>
            </w:tcBorders>
            <w:shd w:val="clear" w:color="auto" w:fill="CCEEFF"/>
          </w:tcPr>
          <w:p>
            <w:pPr>
              <w:spacing w:after="0"/>
              <w:rPr>
                <w:sz w:val="20"/>
                <w:szCs w:val="20"/>
                <w:color w:val="auto"/>
              </w:rPr>
            </w:pPr>
          </w:p>
        </w:tc>
        <w:tc>
          <w:tcPr>
            <w:tcW w:w="110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6"/>
                <w:szCs w:val="16"/>
                <w:color w:val="auto"/>
              </w:rPr>
              <w:t>— %</w:t>
            </w:r>
          </w:p>
        </w:tc>
        <w:tc>
          <w:tcPr>
            <w:tcW w:w="0" w:type="dxa"/>
            <w:vAlign w:val="bottom"/>
          </w:tcPr>
          <w:p>
            <w:pPr>
              <w:spacing w:after="0"/>
              <w:rPr>
                <w:sz w:val="1"/>
                <w:szCs w:val="1"/>
                <w:color w:val="auto"/>
              </w:rPr>
            </w:pPr>
          </w:p>
        </w:tc>
      </w:tr>
      <w:tr>
        <w:trPr>
          <w:trHeight w:val="223"/>
        </w:trPr>
        <w:tc>
          <w:tcPr>
            <w:tcW w:w="2080" w:type="dxa"/>
            <w:vAlign w:val="bottom"/>
          </w:tcPr>
          <w:p>
            <w:pPr>
              <w:ind w:left="220"/>
              <w:spacing w:after="0"/>
              <w:rPr>
                <w:sz w:val="20"/>
                <w:szCs w:val="20"/>
                <w:color w:val="auto"/>
              </w:rPr>
            </w:pPr>
            <w:r>
              <w:rPr>
                <w:rFonts w:ascii="Arial" w:cs="Arial" w:eastAsia="Arial" w:hAnsi="Arial"/>
                <w:sz w:val="16"/>
                <w:szCs w:val="16"/>
                <w:color w:val="auto"/>
              </w:rPr>
              <w:t>SPOT</w:t>
            </w:r>
          </w:p>
        </w:tc>
        <w:tc>
          <w:tcPr>
            <w:tcW w:w="160" w:type="dxa"/>
            <w:vAlign w:val="bottom"/>
          </w:tcPr>
          <w:p>
            <w:pPr>
              <w:spacing w:after="0"/>
              <w:rPr>
                <w:sz w:val="19"/>
                <w:szCs w:val="19"/>
                <w:color w:val="auto"/>
              </w:rPr>
            </w:pPr>
          </w:p>
        </w:tc>
        <w:tc>
          <w:tcPr>
            <w:tcW w:w="860" w:type="dxa"/>
            <w:vAlign w:val="bottom"/>
          </w:tcPr>
          <w:p>
            <w:pPr>
              <w:jc w:val="right"/>
              <w:ind w:right="59"/>
              <w:spacing w:after="0"/>
              <w:rPr>
                <w:sz w:val="20"/>
                <w:szCs w:val="20"/>
                <w:color w:val="auto"/>
              </w:rPr>
            </w:pPr>
            <w:r>
              <w:rPr>
                <w:rFonts w:ascii="Arial" w:cs="Arial" w:eastAsia="Arial" w:hAnsi="Arial"/>
                <w:sz w:val="16"/>
                <w:szCs w:val="16"/>
                <w:color w:val="auto"/>
              </w:rPr>
              <w:t>1,695</w:t>
            </w:r>
          </w:p>
        </w:tc>
        <w:tc>
          <w:tcPr>
            <w:tcW w:w="10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6</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40" w:type="dxa"/>
            <w:vAlign w:val="bottom"/>
          </w:tcPr>
          <w:p>
            <w:pPr>
              <w:jc w:val="right"/>
              <w:ind w:right="59"/>
              <w:spacing w:after="0"/>
              <w:rPr>
                <w:sz w:val="20"/>
                <w:szCs w:val="20"/>
                <w:color w:val="auto"/>
              </w:rPr>
            </w:pPr>
            <w:r>
              <w:rPr>
                <w:rFonts w:ascii="Arial" w:cs="Arial" w:eastAsia="Arial" w:hAnsi="Arial"/>
                <w:sz w:val="16"/>
                <w:szCs w:val="16"/>
                <w:color w:val="auto"/>
              </w:rPr>
              <w:t>2,186</w:t>
            </w:r>
          </w:p>
        </w:tc>
        <w:tc>
          <w:tcPr>
            <w:tcW w:w="12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7</w:t>
            </w: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60" w:type="dxa"/>
            <w:vAlign w:val="bottom"/>
          </w:tcPr>
          <w:p>
            <w:pPr>
              <w:jc w:val="right"/>
              <w:ind w:right="79"/>
              <w:spacing w:after="0"/>
              <w:rPr>
                <w:sz w:val="20"/>
                <w:szCs w:val="20"/>
                <w:color w:val="auto"/>
              </w:rPr>
            </w:pPr>
            <w:r>
              <w:rPr>
                <w:rFonts w:ascii="Arial" w:cs="Arial" w:eastAsia="Arial" w:hAnsi="Arial"/>
                <w:sz w:val="16"/>
                <w:szCs w:val="16"/>
                <w:color w:val="auto"/>
              </w:rPr>
              <w:t>3,102</w:t>
            </w:r>
          </w:p>
        </w:tc>
        <w:tc>
          <w:tcPr>
            <w:tcW w:w="10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5</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60" w:type="dxa"/>
            <w:vAlign w:val="bottom"/>
          </w:tcPr>
          <w:p>
            <w:pPr>
              <w:jc w:val="right"/>
              <w:ind w:right="59"/>
              <w:spacing w:after="0"/>
              <w:rPr>
                <w:sz w:val="20"/>
                <w:szCs w:val="20"/>
                <w:color w:val="auto"/>
              </w:rPr>
            </w:pPr>
            <w:r>
              <w:rPr>
                <w:rFonts w:ascii="Arial" w:cs="Arial" w:eastAsia="Arial" w:hAnsi="Arial"/>
                <w:sz w:val="16"/>
                <w:szCs w:val="16"/>
                <w:color w:val="auto"/>
              </w:rPr>
              <w:t>3,777</w:t>
            </w:r>
          </w:p>
        </w:tc>
        <w:tc>
          <w:tcPr>
            <w:tcW w:w="10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6</w:t>
            </w:r>
          </w:p>
        </w:tc>
        <w:tc>
          <w:tcPr>
            <w:tcW w:w="1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3"/>
        </w:trPr>
        <w:tc>
          <w:tcPr>
            <w:tcW w:w="2080" w:type="dxa"/>
            <w:vAlign w:val="bottom"/>
          </w:tcPr>
          <w:p>
            <w:pPr>
              <w:spacing w:after="0"/>
              <w:rPr>
                <w:sz w:val="2"/>
                <w:szCs w:val="2"/>
                <w:color w:val="auto"/>
              </w:rPr>
            </w:pPr>
          </w:p>
        </w:tc>
        <w:tc>
          <w:tcPr>
            <w:tcW w:w="16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9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9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208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6"/>
                <w:szCs w:val="16"/>
                <w:color w:val="auto"/>
              </w:rPr>
              <w:t>Commercial IoT</w:t>
            </w:r>
          </w:p>
        </w:tc>
        <w:tc>
          <w:tcPr>
            <w:tcW w:w="16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939</w:t>
            </w:r>
          </w:p>
        </w:tc>
        <w:tc>
          <w:tcPr>
            <w:tcW w:w="100" w:type="dxa"/>
            <w:vAlign w:val="bottom"/>
            <w:tcBorders>
              <w:bottom w:val="single" w:sz="8" w:color="CCEEFF"/>
            </w:tcBorders>
            <w:shd w:val="clear" w:color="auto" w:fill="CCEEFF"/>
          </w:tcPr>
          <w:p>
            <w:pPr>
              <w:spacing w:after="0"/>
              <w:rPr>
                <w:sz w:val="20"/>
                <w:szCs w:val="20"/>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w:t>
            </w:r>
          </w:p>
        </w:tc>
        <w:tc>
          <w:tcPr>
            <w:tcW w:w="16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84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1,972</w:t>
            </w:r>
          </w:p>
        </w:tc>
        <w:tc>
          <w:tcPr>
            <w:tcW w:w="12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w:t>
            </w:r>
          </w:p>
        </w:tc>
        <w:tc>
          <w:tcPr>
            <w:tcW w:w="18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2,352</w:t>
            </w:r>
          </w:p>
        </w:tc>
        <w:tc>
          <w:tcPr>
            <w:tcW w:w="10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w:t>
            </w:r>
          </w:p>
        </w:tc>
        <w:tc>
          <w:tcPr>
            <w:tcW w:w="18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4,044</w:t>
            </w:r>
          </w:p>
        </w:tc>
        <w:tc>
          <w:tcPr>
            <w:tcW w:w="100" w:type="dxa"/>
            <w:vAlign w:val="bottom"/>
            <w:tcBorders>
              <w:bottom w:val="single" w:sz="8" w:color="CCEEFF"/>
            </w:tcBorders>
            <w:shd w:val="clear" w:color="auto" w:fill="CCEEFF"/>
          </w:tcPr>
          <w:p>
            <w:pPr>
              <w:spacing w:after="0"/>
              <w:rPr>
                <w:sz w:val="20"/>
                <w:szCs w:val="20"/>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w:t>
            </w:r>
          </w:p>
        </w:tc>
        <w:tc>
          <w:tcPr>
            <w:tcW w:w="18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2080" w:type="dxa"/>
            <w:vAlign w:val="bottom"/>
          </w:tcPr>
          <w:p>
            <w:pPr>
              <w:ind w:left="220"/>
              <w:spacing w:after="0"/>
              <w:rPr>
                <w:sz w:val="20"/>
                <w:szCs w:val="20"/>
                <w:color w:val="auto"/>
              </w:rPr>
            </w:pPr>
            <w:r>
              <w:rPr>
                <w:rFonts w:ascii="Arial" w:cs="Arial" w:eastAsia="Arial" w:hAnsi="Arial"/>
                <w:sz w:val="16"/>
                <w:szCs w:val="16"/>
                <w:color w:val="auto"/>
              </w:rPr>
              <w:t>Other</w:t>
            </w:r>
          </w:p>
        </w:tc>
        <w:tc>
          <w:tcPr>
            <w:tcW w:w="160" w:type="dxa"/>
            <w:vAlign w:val="bottom"/>
          </w:tcPr>
          <w:p>
            <w:pPr>
              <w:spacing w:after="0"/>
              <w:rPr>
                <w:sz w:val="19"/>
                <w:szCs w:val="19"/>
                <w:color w:val="auto"/>
              </w:rPr>
            </w:pPr>
          </w:p>
        </w:tc>
        <w:tc>
          <w:tcPr>
            <w:tcW w:w="860" w:type="dxa"/>
            <w:vAlign w:val="bottom"/>
          </w:tcPr>
          <w:p>
            <w:pPr>
              <w:jc w:val="right"/>
              <w:ind w:right="59"/>
              <w:spacing w:after="0"/>
              <w:rPr>
                <w:sz w:val="20"/>
                <w:szCs w:val="20"/>
                <w:color w:val="auto"/>
              </w:rPr>
            </w:pPr>
            <w:r>
              <w:rPr>
                <w:rFonts w:ascii="Arial" w:cs="Arial" w:eastAsia="Arial" w:hAnsi="Arial"/>
                <w:sz w:val="16"/>
                <w:szCs w:val="16"/>
                <w:color w:val="auto"/>
              </w:rPr>
              <w:t>15</w:t>
            </w:r>
          </w:p>
        </w:tc>
        <w:tc>
          <w:tcPr>
            <w:tcW w:w="10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40" w:type="dxa"/>
            <w:vAlign w:val="bottom"/>
          </w:tcPr>
          <w:p>
            <w:pPr>
              <w:jc w:val="right"/>
              <w:ind w:right="59"/>
              <w:spacing w:after="0"/>
              <w:rPr>
                <w:sz w:val="20"/>
                <w:szCs w:val="20"/>
                <w:color w:val="auto"/>
              </w:rPr>
            </w:pPr>
            <w:r>
              <w:rPr>
                <w:rFonts w:ascii="Arial" w:cs="Arial" w:eastAsia="Arial" w:hAnsi="Arial"/>
                <w:sz w:val="16"/>
                <w:szCs w:val="16"/>
                <w:color w:val="auto"/>
              </w:rPr>
              <w:t>27</w:t>
            </w:r>
          </w:p>
        </w:tc>
        <w:tc>
          <w:tcPr>
            <w:tcW w:w="12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60" w:type="dxa"/>
            <w:vAlign w:val="bottom"/>
          </w:tcPr>
          <w:p>
            <w:pPr>
              <w:jc w:val="right"/>
              <w:ind w:right="79"/>
              <w:spacing w:after="0"/>
              <w:rPr>
                <w:sz w:val="20"/>
                <w:szCs w:val="20"/>
                <w:color w:val="auto"/>
              </w:rPr>
            </w:pPr>
            <w:r>
              <w:rPr>
                <w:rFonts w:ascii="Arial" w:cs="Arial" w:eastAsia="Arial" w:hAnsi="Arial"/>
                <w:sz w:val="16"/>
                <w:szCs w:val="16"/>
                <w:color w:val="auto"/>
              </w:rPr>
              <w:t>50</w:t>
            </w:r>
          </w:p>
        </w:tc>
        <w:tc>
          <w:tcPr>
            <w:tcW w:w="10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60" w:type="dxa"/>
            <w:vAlign w:val="bottom"/>
          </w:tcPr>
          <w:p>
            <w:pPr>
              <w:jc w:val="right"/>
              <w:ind w:right="59"/>
              <w:spacing w:after="0"/>
              <w:rPr>
                <w:sz w:val="20"/>
                <w:szCs w:val="20"/>
                <w:color w:val="auto"/>
              </w:rPr>
            </w:pPr>
            <w:r>
              <w:rPr>
                <w:rFonts w:ascii="Arial" w:cs="Arial" w:eastAsia="Arial" w:hAnsi="Arial"/>
                <w:sz w:val="16"/>
                <w:szCs w:val="16"/>
                <w:color w:val="auto"/>
              </w:rPr>
              <w:t>72</w:t>
            </w:r>
          </w:p>
        </w:tc>
        <w:tc>
          <w:tcPr>
            <w:tcW w:w="10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3"/>
        </w:trPr>
        <w:tc>
          <w:tcPr>
            <w:tcW w:w="208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72"/>
        </w:trPr>
        <w:tc>
          <w:tcPr>
            <w:tcW w:w="2080" w:type="dxa"/>
            <w:vAlign w:val="bottom"/>
            <w:tcBorders>
              <w:bottom w:val="single" w:sz="8" w:color="CCEEFF"/>
            </w:tcBorders>
            <w:shd w:val="clear" w:color="auto" w:fill="CCEEFF"/>
          </w:tcPr>
          <w:p>
            <w:pPr>
              <w:ind w:left="460"/>
              <w:spacing w:after="0"/>
              <w:rPr>
                <w:sz w:val="20"/>
                <w:szCs w:val="20"/>
                <w:color w:val="auto"/>
              </w:rPr>
            </w:pPr>
            <w:r>
              <w:rPr>
                <w:rFonts w:ascii="Arial" w:cs="Arial" w:eastAsia="Arial" w:hAnsi="Arial"/>
                <w:sz w:val="16"/>
                <w:szCs w:val="16"/>
                <w:color w:val="auto"/>
              </w:rPr>
              <w:t>Total</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60" w:type="dxa"/>
            <w:vAlign w:val="bottom"/>
            <w:tcBorders>
              <w:bottom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color w:val="auto"/>
              </w:rPr>
              <w:t>3,274</w:t>
            </w:r>
          </w:p>
        </w:tc>
        <w:tc>
          <w:tcPr>
            <w:tcW w:w="10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12</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4"/>
              </w:rPr>
              <w:t>%</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40" w:type="dxa"/>
            <w:vAlign w:val="bottom"/>
            <w:tcBorders>
              <w:bottom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color w:val="auto"/>
              </w:rPr>
              <w:t>4,491</w:t>
            </w:r>
          </w:p>
        </w:tc>
        <w:tc>
          <w:tcPr>
            <w:tcW w:w="12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14</w:t>
            </w: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98"/>
              </w:rPr>
              <w:t>%</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60" w:type="dxa"/>
            <w:vAlign w:val="bottom"/>
            <w:tcBorders>
              <w:bottom w:val="single" w:sz="8" w:color="auto"/>
            </w:tcBorders>
            <w:shd w:val="clear" w:color="auto" w:fill="CCEEFF"/>
          </w:tcPr>
          <w:p>
            <w:pPr>
              <w:jc w:val="right"/>
              <w:ind w:right="79"/>
              <w:spacing w:after="0"/>
              <w:rPr>
                <w:sz w:val="20"/>
                <w:szCs w:val="20"/>
                <w:color w:val="auto"/>
              </w:rPr>
            </w:pPr>
            <w:r>
              <w:rPr>
                <w:rFonts w:ascii="Arial" w:cs="Arial" w:eastAsia="Arial" w:hAnsi="Arial"/>
                <w:sz w:val="16"/>
                <w:szCs w:val="16"/>
                <w:color w:val="auto"/>
              </w:rPr>
              <w:t>6,533</w:t>
            </w:r>
          </w:p>
        </w:tc>
        <w:tc>
          <w:tcPr>
            <w:tcW w:w="10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10</w:t>
            </w: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98"/>
              </w:rPr>
              <w:t>%</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60" w:type="dxa"/>
            <w:vAlign w:val="bottom"/>
            <w:tcBorders>
              <w:bottom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color w:val="auto"/>
              </w:rPr>
              <w:t>8,450</w:t>
            </w:r>
          </w:p>
        </w:tc>
        <w:tc>
          <w:tcPr>
            <w:tcW w:w="10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13</w:t>
            </w: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98"/>
              </w:rPr>
              <w:t>%</w:t>
            </w:r>
          </w:p>
        </w:tc>
        <w:tc>
          <w:tcPr>
            <w:tcW w:w="0" w:type="dxa"/>
            <w:vAlign w:val="bottom"/>
          </w:tcPr>
          <w:p>
            <w:pPr>
              <w:spacing w:after="0"/>
              <w:rPr>
                <w:sz w:val="1"/>
                <w:szCs w:val="1"/>
                <w:color w:val="auto"/>
              </w:rPr>
            </w:pPr>
          </w:p>
        </w:tc>
      </w:tr>
      <w:tr>
        <w:trPr>
          <w:trHeight w:val="20"/>
        </w:trPr>
        <w:tc>
          <w:tcPr>
            <w:tcW w:w="208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ind w:left="260"/>
        <w:spacing w:after="0"/>
        <w:rPr>
          <w:sz w:val="20"/>
          <w:szCs w:val="20"/>
          <w:color w:val="auto"/>
        </w:rPr>
      </w:pPr>
      <w:r>
        <w:rPr>
          <w:rFonts w:ascii="Arial" w:cs="Arial" w:eastAsia="Arial" w:hAnsi="Arial"/>
          <w:sz w:val="18"/>
          <w:szCs w:val="18"/>
          <w:color w:val="auto"/>
        </w:rPr>
        <w:t>The following table sets forth our average number of subscribers and ARPU by type of revenue.</w:t>
      </w:r>
    </w:p>
    <w:p>
      <w:pPr>
        <w:spacing w:after="0" w:line="17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700" w:type="dxa"/>
            <w:vAlign w:val="bottom"/>
          </w:tcPr>
          <w:p>
            <w:pPr>
              <w:spacing w:after="0"/>
              <w:rPr>
                <w:sz w:val="20"/>
                <w:szCs w:val="20"/>
                <w:color w:val="auto"/>
              </w:rPr>
            </w:pPr>
          </w:p>
        </w:tc>
        <w:tc>
          <w:tcPr>
            <w:tcW w:w="2320" w:type="dxa"/>
            <w:vAlign w:val="bottom"/>
            <w:gridSpan w:val="6"/>
          </w:tcPr>
          <w:p>
            <w:pPr>
              <w:ind w:left="20"/>
              <w:spacing w:after="0"/>
              <w:rPr>
                <w:sz w:val="20"/>
                <w:szCs w:val="20"/>
                <w:color w:val="auto"/>
              </w:rPr>
            </w:pPr>
            <w:r>
              <w:rPr>
                <w:rFonts w:ascii="Arial" w:cs="Arial" w:eastAsia="Arial" w:hAnsi="Arial"/>
                <w:sz w:val="18"/>
                <w:szCs w:val="18"/>
                <w:color w:val="auto"/>
                <w:w w:val="94"/>
              </w:rPr>
              <w:t>Three Months Ended June 30,</w:t>
            </w:r>
          </w:p>
        </w:tc>
        <w:tc>
          <w:tcPr>
            <w:tcW w:w="120" w:type="dxa"/>
            <w:vAlign w:val="bottom"/>
          </w:tcPr>
          <w:p>
            <w:pPr>
              <w:spacing w:after="0"/>
              <w:rPr>
                <w:sz w:val="20"/>
                <w:szCs w:val="20"/>
                <w:color w:val="auto"/>
              </w:rPr>
            </w:pPr>
          </w:p>
        </w:tc>
        <w:tc>
          <w:tcPr>
            <w:tcW w:w="2100" w:type="dxa"/>
            <w:vAlign w:val="bottom"/>
            <w:gridSpan w:val="4"/>
          </w:tcPr>
          <w:p>
            <w:pPr>
              <w:jc w:val="right"/>
              <w:ind w:right="30"/>
              <w:spacing w:after="0"/>
              <w:rPr>
                <w:sz w:val="20"/>
                <w:szCs w:val="20"/>
                <w:color w:val="auto"/>
              </w:rPr>
            </w:pPr>
            <w:r>
              <w:rPr>
                <w:rFonts w:ascii="Arial" w:cs="Arial" w:eastAsia="Arial" w:hAnsi="Arial"/>
                <w:sz w:val="18"/>
                <w:szCs w:val="18"/>
                <w:color w:val="auto"/>
                <w:w w:val="89"/>
              </w:rPr>
              <w:t>Six Months Ended June 30,</w:t>
            </w:r>
          </w:p>
        </w:tc>
        <w:tc>
          <w:tcPr>
            <w:tcW w:w="0" w:type="dxa"/>
            <w:vAlign w:val="bottom"/>
          </w:tcPr>
          <w:p>
            <w:pPr>
              <w:spacing w:after="0"/>
              <w:rPr>
                <w:sz w:val="1"/>
                <w:szCs w:val="1"/>
                <w:color w:val="auto"/>
              </w:rPr>
            </w:pPr>
          </w:p>
        </w:tc>
      </w:tr>
      <w:tr>
        <w:trPr>
          <w:trHeight w:val="27"/>
        </w:trPr>
        <w:tc>
          <w:tcPr>
            <w:tcW w:w="67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67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40" w:type="dxa"/>
            <w:vAlign w:val="bottom"/>
          </w:tcPr>
          <w:p>
            <w:pPr>
              <w:jc w:val="right"/>
              <w:ind w:right="250"/>
              <w:spacing w:after="0"/>
              <w:rPr>
                <w:sz w:val="20"/>
                <w:szCs w:val="20"/>
                <w:color w:val="auto"/>
              </w:rPr>
            </w:pPr>
            <w:r>
              <w:rPr>
                <w:rFonts w:ascii="Arial" w:cs="Arial" w:eastAsia="Arial" w:hAnsi="Arial"/>
                <w:sz w:val="18"/>
                <w:szCs w:val="18"/>
                <w:color w:val="auto"/>
              </w:rPr>
              <w:t>2020</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40" w:type="dxa"/>
            <w:vAlign w:val="bottom"/>
          </w:tcPr>
          <w:p>
            <w:pPr>
              <w:jc w:val="right"/>
              <w:ind w:right="250"/>
              <w:spacing w:after="0"/>
              <w:rPr>
                <w:sz w:val="20"/>
                <w:szCs w:val="20"/>
                <w:color w:val="auto"/>
              </w:rPr>
            </w:pPr>
            <w:r>
              <w:rPr>
                <w:rFonts w:ascii="Arial" w:cs="Arial" w:eastAsia="Arial" w:hAnsi="Arial"/>
                <w:sz w:val="18"/>
                <w:szCs w:val="18"/>
                <w:color w:val="auto"/>
              </w:rPr>
              <w:t>2019</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40" w:type="dxa"/>
            <w:vAlign w:val="bottom"/>
          </w:tcPr>
          <w:p>
            <w:pPr>
              <w:jc w:val="right"/>
              <w:ind w:right="250"/>
              <w:spacing w:after="0"/>
              <w:rPr>
                <w:sz w:val="20"/>
                <w:szCs w:val="20"/>
                <w:color w:val="auto"/>
              </w:rPr>
            </w:pPr>
            <w:r>
              <w:rPr>
                <w:rFonts w:ascii="Arial" w:cs="Arial" w:eastAsia="Arial" w:hAnsi="Arial"/>
                <w:sz w:val="18"/>
                <w:szCs w:val="18"/>
                <w:color w:val="auto"/>
              </w:rPr>
              <w:t>2020</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40" w:type="dxa"/>
            <w:vAlign w:val="bottom"/>
          </w:tcPr>
          <w:p>
            <w:pPr>
              <w:jc w:val="right"/>
              <w:ind w:right="250"/>
              <w:spacing w:after="0"/>
              <w:rPr>
                <w:sz w:val="20"/>
                <w:szCs w:val="20"/>
                <w:color w:val="auto"/>
              </w:rPr>
            </w:pPr>
            <w:r>
              <w:rPr>
                <w:rFonts w:ascii="Arial" w:cs="Arial" w:eastAsia="Arial" w:hAnsi="Arial"/>
                <w:sz w:val="18"/>
                <w:szCs w:val="18"/>
                <w:color w:val="auto"/>
              </w:rPr>
              <w:t>2019</w:t>
            </w:r>
          </w:p>
        </w:tc>
        <w:tc>
          <w:tcPr>
            <w:tcW w:w="0" w:type="dxa"/>
            <w:vAlign w:val="bottom"/>
          </w:tcPr>
          <w:p>
            <w:pPr>
              <w:spacing w:after="0"/>
              <w:rPr>
                <w:sz w:val="1"/>
                <w:szCs w:val="1"/>
                <w:color w:val="auto"/>
              </w:rPr>
            </w:pPr>
          </w:p>
        </w:tc>
      </w:tr>
      <w:tr>
        <w:trPr>
          <w:trHeight w:val="27"/>
        </w:trPr>
        <w:tc>
          <w:tcPr>
            <w:tcW w:w="6700" w:type="dxa"/>
            <w:vAlign w:val="bottom"/>
            <w:vMerge w:val="restart"/>
          </w:tcPr>
          <w:p>
            <w:pPr>
              <w:ind w:left="20"/>
              <w:spacing w:after="0"/>
              <w:rPr>
                <w:sz w:val="20"/>
                <w:szCs w:val="20"/>
                <w:color w:val="auto"/>
              </w:rPr>
            </w:pPr>
            <w:r>
              <w:rPr>
                <w:rFonts w:ascii="Arial" w:cs="Arial" w:eastAsia="Arial" w:hAnsi="Arial"/>
                <w:sz w:val="18"/>
                <w:szCs w:val="18"/>
                <w:color w:val="auto"/>
              </w:rPr>
              <w:t>Average number of subscribers for the period:</w:t>
            </w:r>
          </w:p>
        </w:tc>
        <w:tc>
          <w:tcPr>
            <w:tcW w:w="22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6700" w:type="dxa"/>
            <w:vAlign w:val="bottom"/>
            <w:vMerge w:val="continue"/>
          </w:tcPr>
          <w:p>
            <w:pPr>
              <w:spacing w:after="0"/>
              <w:rPr>
                <w:sz w:val="20"/>
                <w:szCs w:val="20"/>
                <w:color w:val="auto"/>
              </w:rPr>
            </w:pPr>
          </w:p>
        </w:tc>
        <w:tc>
          <w:tcPr>
            <w:tcW w:w="22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67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0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Duplex</w:t>
            </w:r>
          </w:p>
        </w:tc>
        <w:tc>
          <w:tcPr>
            <w:tcW w:w="22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50,491</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58,654</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51,230</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59,595</w:t>
            </w:r>
          </w:p>
        </w:tc>
        <w:tc>
          <w:tcPr>
            <w:tcW w:w="0" w:type="dxa"/>
            <w:vAlign w:val="bottom"/>
          </w:tcPr>
          <w:p>
            <w:pPr>
              <w:spacing w:after="0"/>
              <w:rPr>
                <w:sz w:val="1"/>
                <w:szCs w:val="1"/>
                <w:color w:val="auto"/>
              </w:rPr>
            </w:pPr>
          </w:p>
        </w:tc>
      </w:tr>
      <w:tr>
        <w:trPr>
          <w:trHeight w:val="243"/>
        </w:trPr>
        <w:tc>
          <w:tcPr>
            <w:tcW w:w="6700" w:type="dxa"/>
            <w:vAlign w:val="bottom"/>
          </w:tcPr>
          <w:p>
            <w:pPr>
              <w:ind w:left="220"/>
              <w:spacing w:after="0"/>
              <w:rPr>
                <w:sz w:val="20"/>
                <w:szCs w:val="20"/>
                <w:color w:val="auto"/>
              </w:rPr>
            </w:pPr>
            <w:r>
              <w:rPr>
                <w:rFonts w:ascii="Arial" w:cs="Arial" w:eastAsia="Arial" w:hAnsi="Arial"/>
                <w:sz w:val="18"/>
                <w:szCs w:val="18"/>
                <w:color w:val="auto"/>
              </w:rPr>
              <w:t>SPOT</w:t>
            </w:r>
          </w:p>
        </w:tc>
        <w:tc>
          <w:tcPr>
            <w:tcW w:w="220" w:type="dxa"/>
            <w:vAlign w:val="bottom"/>
          </w:tcPr>
          <w:p>
            <w:pPr>
              <w:spacing w:after="0"/>
              <w:rPr>
                <w:sz w:val="21"/>
                <w:szCs w:val="21"/>
                <w:color w:val="auto"/>
              </w:rPr>
            </w:pPr>
          </w:p>
        </w:tc>
        <w:tc>
          <w:tcPr>
            <w:tcW w:w="840" w:type="dxa"/>
            <w:vAlign w:val="bottom"/>
          </w:tcPr>
          <w:p>
            <w:pPr>
              <w:jc w:val="right"/>
              <w:ind w:right="70"/>
              <w:spacing w:after="0"/>
              <w:rPr>
                <w:sz w:val="20"/>
                <w:szCs w:val="20"/>
                <w:color w:val="auto"/>
              </w:rPr>
            </w:pPr>
            <w:r>
              <w:rPr>
                <w:rFonts w:ascii="Arial" w:cs="Arial" w:eastAsia="Arial" w:hAnsi="Arial"/>
                <w:sz w:val="18"/>
                <w:szCs w:val="18"/>
                <w:color w:val="auto"/>
              </w:rPr>
              <w:t>264,395</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40" w:type="dxa"/>
            <w:vAlign w:val="bottom"/>
          </w:tcPr>
          <w:p>
            <w:pPr>
              <w:jc w:val="right"/>
              <w:ind w:right="70"/>
              <w:spacing w:after="0"/>
              <w:rPr>
                <w:sz w:val="20"/>
                <w:szCs w:val="20"/>
                <w:color w:val="auto"/>
              </w:rPr>
            </w:pPr>
            <w:r>
              <w:rPr>
                <w:rFonts w:ascii="Arial" w:cs="Arial" w:eastAsia="Arial" w:hAnsi="Arial"/>
                <w:sz w:val="18"/>
                <w:szCs w:val="18"/>
                <w:color w:val="auto"/>
              </w:rPr>
              <w:t>286,101</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40" w:type="dxa"/>
            <w:vAlign w:val="bottom"/>
          </w:tcPr>
          <w:p>
            <w:pPr>
              <w:jc w:val="right"/>
              <w:ind w:right="70"/>
              <w:spacing w:after="0"/>
              <w:rPr>
                <w:sz w:val="20"/>
                <w:szCs w:val="20"/>
                <w:color w:val="auto"/>
              </w:rPr>
            </w:pPr>
            <w:r>
              <w:rPr>
                <w:rFonts w:ascii="Arial" w:cs="Arial" w:eastAsia="Arial" w:hAnsi="Arial"/>
                <w:sz w:val="18"/>
                <w:szCs w:val="18"/>
                <w:color w:val="auto"/>
              </w:rPr>
              <w:t>266,961</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40" w:type="dxa"/>
            <w:vAlign w:val="bottom"/>
          </w:tcPr>
          <w:p>
            <w:pPr>
              <w:jc w:val="right"/>
              <w:ind w:right="70"/>
              <w:spacing w:after="0"/>
              <w:rPr>
                <w:sz w:val="20"/>
                <w:szCs w:val="20"/>
                <w:color w:val="auto"/>
              </w:rPr>
            </w:pPr>
            <w:r>
              <w:rPr>
                <w:rFonts w:ascii="Arial" w:cs="Arial" w:eastAsia="Arial" w:hAnsi="Arial"/>
                <w:sz w:val="18"/>
                <w:szCs w:val="18"/>
                <w:color w:val="auto"/>
              </w:rPr>
              <w:t>286,588</w:t>
            </w:r>
          </w:p>
        </w:tc>
        <w:tc>
          <w:tcPr>
            <w:tcW w:w="0" w:type="dxa"/>
            <w:vAlign w:val="bottom"/>
          </w:tcPr>
          <w:p>
            <w:pPr>
              <w:spacing w:after="0"/>
              <w:rPr>
                <w:sz w:val="1"/>
                <w:szCs w:val="1"/>
                <w:color w:val="auto"/>
              </w:rPr>
            </w:pPr>
          </w:p>
        </w:tc>
      </w:tr>
      <w:tr>
        <w:trPr>
          <w:trHeight w:val="27"/>
        </w:trPr>
        <w:tc>
          <w:tcPr>
            <w:tcW w:w="67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0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Commercial IoT</w:t>
            </w:r>
          </w:p>
        </w:tc>
        <w:tc>
          <w:tcPr>
            <w:tcW w:w="22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415,004</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400,193</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417,698</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394,321</w:t>
            </w:r>
          </w:p>
        </w:tc>
        <w:tc>
          <w:tcPr>
            <w:tcW w:w="0" w:type="dxa"/>
            <w:vAlign w:val="bottom"/>
          </w:tcPr>
          <w:p>
            <w:pPr>
              <w:spacing w:after="0"/>
              <w:rPr>
                <w:sz w:val="1"/>
                <w:szCs w:val="1"/>
                <w:color w:val="auto"/>
              </w:rPr>
            </w:pPr>
          </w:p>
        </w:tc>
      </w:tr>
      <w:tr>
        <w:trPr>
          <w:trHeight w:val="243"/>
        </w:trPr>
        <w:tc>
          <w:tcPr>
            <w:tcW w:w="6700" w:type="dxa"/>
            <w:vAlign w:val="bottom"/>
          </w:tcPr>
          <w:p>
            <w:pPr>
              <w:ind w:left="220"/>
              <w:spacing w:after="0"/>
              <w:rPr>
                <w:sz w:val="20"/>
                <w:szCs w:val="20"/>
                <w:color w:val="auto"/>
              </w:rPr>
            </w:pPr>
            <w:r>
              <w:rPr>
                <w:rFonts w:ascii="Arial" w:cs="Arial" w:eastAsia="Arial" w:hAnsi="Arial"/>
                <w:sz w:val="18"/>
                <w:szCs w:val="18"/>
                <w:color w:val="auto"/>
              </w:rPr>
              <w:t>IGO</w:t>
            </w:r>
          </w:p>
        </w:tc>
        <w:tc>
          <w:tcPr>
            <w:tcW w:w="220" w:type="dxa"/>
            <w:vAlign w:val="bottom"/>
          </w:tcPr>
          <w:p>
            <w:pPr>
              <w:spacing w:after="0"/>
              <w:rPr>
                <w:sz w:val="21"/>
                <w:szCs w:val="21"/>
                <w:color w:val="auto"/>
              </w:rPr>
            </w:pPr>
          </w:p>
        </w:tc>
        <w:tc>
          <w:tcPr>
            <w:tcW w:w="840" w:type="dxa"/>
            <w:vAlign w:val="bottom"/>
          </w:tcPr>
          <w:p>
            <w:pPr>
              <w:jc w:val="right"/>
              <w:ind w:right="70"/>
              <w:spacing w:after="0"/>
              <w:rPr>
                <w:sz w:val="20"/>
                <w:szCs w:val="20"/>
                <w:color w:val="auto"/>
              </w:rPr>
            </w:pPr>
            <w:r>
              <w:rPr>
                <w:rFonts w:ascii="Arial" w:cs="Arial" w:eastAsia="Arial" w:hAnsi="Arial"/>
                <w:sz w:val="18"/>
                <w:szCs w:val="18"/>
                <w:color w:val="auto"/>
              </w:rPr>
              <w:t>26,463</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40" w:type="dxa"/>
            <w:vAlign w:val="bottom"/>
          </w:tcPr>
          <w:p>
            <w:pPr>
              <w:jc w:val="right"/>
              <w:ind w:right="70"/>
              <w:spacing w:after="0"/>
              <w:rPr>
                <w:sz w:val="20"/>
                <w:szCs w:val="20"/>
                <w:color w:val="auto"/>
              </w:rPr>
            </w:pPr>
            <w:r>
              <w:rPr>
                <w:rFonts w:ascii="Arial" w:cs="Arial" w:eastAsia="Arial" w:hAnsi="Arial"/>
                <w:sz w:val="18"/>
                <w:szCs w:val="18"/>
                <w:color w:val="auto"/>
              </w:rPr>
              <w:t>26,930</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40" w:type="dxa"/>
            <w:vAlign w:val="bottom"/>
          </w:tcPr>
          <w:p>
            <w:pPr>
              <w:jc w:val="right"/>
              <w:ind w:right="70"/>
              <w:spacing w:after="0"/>
              <w:rPr>
                <w:sz w:val="20"/>
                <w:szCs w:val="20"/>
                <w:color w:val="auto"/>
              </w:rPr>
            </w:pPr>
            <w:r>
              <w:rPr>
                <w:rFonts w:ascii="Arial" w:cs="Arial" w:eastAsia="Arial" w:hAnsi="Arial"/>
                <w:sz w:val="18"/>
                <w:szCs w:val="18"/>
                <w:color w:val="auto"/>
              </w:rPr>
              <w:t>26,367</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40" w:type="dxa"/>
            <w:vAlign w:val="bottom"/>
          </w:tcPr>
          <w:p>
            <w:pPr>
              <w:jc w:val="right"/>
              <w:ind w:right="70"/>
              <w:spacing w:after="0"/>
              <w:rPr>
                <w:sz w:val="20"/>
                <w:szCs w:val="20"/>
                <w:color w:val="auto"/>
              </w:rPr>
            </w:pPr>
            <w:r>
              <w:rPr>
                <w:rFonts w:ascii="Arial" w:cs="Arial" w:eastAsia="Arial" w:hAnsi="Arial"/>
                <w:sz w:val="18"/>
                <w:szCs w:val="18"/>
                <w:color w:val="auto"/>
              </w:rPr>
              <w:t>26,859</w:t>
            </w:r>
          </w:p>
        </w:tc>
        <w:tc>
          <w:tcPr>
            <w:tcW w:w="0" w:type="dxa"/>
            <w:vAlign w:val="bottom"/>
          </w:tcPr>
          <w:p>
            <w:pPr>
              <w:spacing w:after="0"/>
              <w:rPr>
                <w:sz w:val="1"/>
                <w:szCs w:val="1"/>
                <w:color w:val="auto"/>
              </w:rPr>
            </w:pPr>
          </w:p>
        </w:tc>
      </w:tr>
      <w:tr>
        <w:trPr>
          <w:trHeight w:val="27"/>
        </w:trPr>
        <w:tc>
          <w:tcPr>
            <w:tcW w:w="67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70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Other</w:t>
            </w:r>
          </w:p>
        </w:tc>
        <w:tc>
          <w:tcPr>
            <w:tcW w:w="22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879</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929</w:t>
            </w:r>
          </w:p>
        </w:tc>
        <w:tc>
          <w:tcPr>
            <w:tcW w:w="10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885</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942</w:t>
            </w:r>
          </w:p>
        </w:tc>
        <w:tc>
          <w:tcPr>
            <w:tcW w:w="0" w:type="dxa"/>
            <w:vAlign w:val="bottom"/>
          </w:tcPr>
          <w:p>
            <w:pPr>
              <w:spacing w:after="0"/>
              <w:rPr>
                <w:sz w:val="1"/>
                <w:szCs w:val="1"/>
                <w:color w:val="auto"/>
              </w:rPr>
            </w:pPr>
          </w:p>
        </w:tc>
      </w:tr>
      <w:tr>
        <w:trPr>
          <w:trHeight w:val="263"/>
        </w:trPr>
        <w:tc>
          <w:tcPr>
            <w:tcW w:w="6700" w:type="dxa"/>
            <w:vAlign w:val="bottom"/>
          </w:tcPr>
          <w:p>
            <w:pPr>
              <w:ind w:left="460"/>
              <w:spacing w:after="0"/>
              <w:rPr>
                <w:sz w:val="20"/>
                <w:szCs w:val="20"/>
                <w:color w:val="auto"/>
              </w:rPr>
            </w:pPr>
            <w:r>
              <w:rPr>
                <w:rFonts w:ascii="Arial" w:cs="Arial" w:eastAsia="Arial" w:hAnsi="Arial"/>
                <w:sz w:val="18"/>
                <w:szCs w:val="18"/>
                <w:color w:val="auto"/>
              </w:rPr>
              <w:t>Total</w:t>
            </w:r>
          </w:p>
        </w:tc>
        <w:tc>
          <w:tcPr>
            <w:tcW w:w="220" w:type="dxa"/>
            <w:vAlign w:val="bottom"/>
            <w:tcBorders>
              <w:top w:val="single" w:sz="8" w:color="auto"/>
              <w:bottom w:val="single" w:sz="8" w:color="auto"/>
            </w:tcBorders>
          </w:tcPr>
          <w:p>
            <w:pPr>
              <w:spacing w:after="0"/>
              <w:rPr>
                <w:sz w:val="22"/>
                <w:szCs w:val="22"/>
                <w:color w:val="auto"/>
              </w:rPr>
            </w:pPr>
          </w:p>
        </w:tc>
        <w:tc>
          <w:tcPr>
            <w:tcW w:w="84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color w:val="auto"/>
              </w:rPr>
              <w:t>757,232</w:t>
            </w:r>
          </w:p>
        </w:tc>
        <w:tc>
          <w:tcPr>
            <w:tcW w:w="100" w:type="dxa"/>
            <w:vAlign w:val="bottom"/>
          </w:tcPr>
          <w:p>
            <w:pPr>
              <w:spacing w:after="0"/>
              <w:rPr>
                <w:sz w:val="22"/>
                <w:szCs w:val="22"/>
                <w:color w:val="auto"/>
              </w:rPr>
            </w:pPr>
          </w:p>
        </w:tc>
        <w:tc>
          <w:tcPr>
            <w:tcW w:w="220" w:type="dxa"/>
            <w:vAlign w:val="bottom"/>
            <w:tcBorders>
              <w:top w:val="single" w:sz="8" w:color="auto"/>
              <w:bottom w:val="single" w:sz="8" w:color="auto"/>
            </w:tcBorders>
          </w:tcPr>
          <w:p>
            <w:pPr>
              <w:spacing w:after="0"/>
              <w:rPr>
                <w:sz w:val="22"/>
                <w:szCs w:val="22"/>
                <w:color w:val="auto"/>
              </w:rPr>
            </w:pPr>
          </w:p>
        </w:tc>
        <w:tc>
          <w:tcPr>
            <w:tcW w:w="84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color w:val="auto"/>
              </w:rPr>
              <w:t>772,807</w:t>
            </w:r>
          </w:p>
        </w:tc>
        <w:tc>
          <w:tcPr>
            <w:tcW w:w="100" w:type="dxa"/>
            <w:vAlign w:val="bottom"/>
          </w:tcPr>
          <w:p>
            <w:pPr>
              <w:spacing w:after="0"/>
              <w:rPr>
                <w:sz w:val="22"/>
                <w:szCs w:val="22"/>
                <w:color w:val="auto"/>
              </w:rPr>
            </w:pPr>
          </w:p>
        </w:tc>
        <w:tc>
          <w:tcPr>
            <w:tcW w:w="120" w:type="dxa"/>
            <w:vAlign w:val="bottom"/>
            <w:tcBorders>
              <w:top w:val="single" w:sz="8" w:color="auto"/>
              <w:bottom w:val="single" w:sz="8" w:color="auto"/>
            </w:tcBorders>
          </w:tcPr>
          <w:p>
            <w:pPr>
              <w:spacing w:after="0"/>
              <w:rPr>
                <w:sz w:val="22"/>
                <w:szCs w:val="22"/>
                <w:color w:val="auto"/>
              </w:rPr>
            </w:pPr>
          </w:p>
        </w:tc>
        <w:tc>
          <w:tcPr>
            <w:tcW w:w="94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color w:val="auto"/>
              </w:rPr>
              <w:t>763,141</w:t>
            </w:r>
          </w:p>
        </w:tc>
        <w:tc>
          <w:tcPr>
            <w:tcW w:w="100" w:type="dxa"/>
            <w:vAlign w:val="bottom"/>
          </w:tcPr>
          <w:p>
            <w:pPr>
              <w:spacing w:after="0"/>
              <w:rPr>
                <w:sz w:val="22"/>
                <w:szCs w:val="22"/>
                <w:color w:val="auto"/>
              </w:rPr>
            </w:pPr>
          </w:p>
        </w:tc>
        <w:tc>
          <w:tcPr>
            <w:tcW w:w="220" w:type="dxa"/>
            <w:vAlign w:val="bottom"/>
            <w:tcBorders>
              <w:top w:val="single" w:sz="8" w:color="auto"/>
              <w:bottom w:val="single" w:sz="8" w:color="auto"/>
            </w:tcBorders>
          </w:tcPr>
          <w:p>
            <w:pPr>
              <w:spacing w:after="0"/>
              <w:rPr>
                <w:sz w:val="22"/>
                <w:szCs w:val="22"/>
                <w:color w:val="auto"/>
              </w:rPr>
            </w:pPr>
          </w:p>
        </w:tc>
        <w:tc>
          <w:tcPr>
            <w:tcW w:w="84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color w:val="auto"/>
              </w:rPr>
              <w:t>768,305</w:t>
            </w:r>
          </w:p>
        </w:tc>
        <w:tc>
          <w:tcPr>
            <w:tcW w:w="0" w:type="dxa"/>
            <w:vAlign w:val="bottom"/>
          </w:tcPr>
          <w:p>
            <w:pPr>
              <w:spacing w:after="0"/>
              <w:rPr>
                <w:sz w:val="1"/>
                <w:szCs w:val="1"/>
                <w:color w:val="auto"/>
              </w:rPr>
            </w:pPr>
          </w:p>
        </w:tc>
      </w:tr>
      <w:tr>
        <w:trPr>
          <w:trHeight w:val="20"/>
        </w:trPr>
        <w:tc>
          <w:tcPr>
            <w:tcW w:w="670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7"/>
        </w:trPr>
        <w:tc>
          <w:tcPr>
            <w:tcW w:w="670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8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8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9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84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6700" w:type="dxa"/>
            <w:vAlign w:val="bottom"/>
          </w:tcPr>
          <w:p>
            <w:pPr>
              <w:ind w:left="20"/>
              <w:spacing w:after="0"/>
              <w:rPr>
                <w:sz w:val="20"/>
                <w:szCs w:val="20"/>
                <w:color w:val="auto"/>
              </w:rPr>
            </w:pPr>
            <w:r>
              <w:rPr>
                <w:rFonts w:ascii="Arial" w:cs="Arial" w:eastAsia="Arial" w:hAnsi="Arial"/>
                <w:sz w:val="18"/>
                <w:szCs w:val="18"/>
                <w:color w:val="auto"/>
              </w:rPr>
              <w:t>ARPU (monthly):</w:t>
            </w:r>
          </w:p>
        </w:tc>
        <w:tc>
          <w:tcPr>
            <w:tcW w:w="22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67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0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Duplex</w:t>
            </w:r>
          </w:p>
        </w:tc>
        <w:tc>
          <w:tcPr>
            <w:tcW w:w="2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84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56.49</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84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51.32</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52.77</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84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49.43</w:t>
            </w:r>
          </w:p>
        </w:tc>
        <w:tc>
          <w:tcPr>
            <w:tcW w:w="0" w:type="dxa"/>
            <w:vAlign w:val="bottom"/>
          </w:tcPr>
          <w:p>
            <w:pPr>
              <w:spacing w:after="0"/>
              <w:rPr>
                <w:sz w:val="1"/>
                <w:szCs w:val="1"/>
                <w:color w:val="auto"/>
              </w:rPr>
            </w:pPr>
          </w:p>
        </w:tc>
      </w:tr>
      <w:tr>
        <w:trPr>
          <w:trHeight w:val="243"/>
        </w:trPr>
        <w:tc>
          <w:tcPr>
            <w:tcW w:w="6700" w:type="dxa"/>
            <w:vAlign w:val="bottom"/>
          </w:tcPr>
          <w:p>
            <w:pPr>
              <w:ind w:left="220"/>
              <w:spacing w:after="0"/>
              <w:rPr>
                <w:sz w:val="20"/>
                <w:szCs w:val="20"/>
                <w:color w:val="auto"/>
              </w:rPr>
            </w:pPr>
            <w:r>
              <w:rPr>
                <w:rFonts w:ascii="Arial" w:cs="Arial" w:eastAsia="Arial" w:hAnsi="Arial"/>
                <w:sz w:val="18"/>
                <w:szCs w:val="18"/>
                <w:color w:val="auto"/>
              </w:rPr>
              <w:t>SPOT</w:t>
            </w:r>
          </w:p>
        </w:tc>
        <w:tc>
          <w:tcPr>
            <w:tcW w:w="220" w:type="dxa"/>
            <w:vAlign w:val="bottom"/>
          </w:tcPr>
          <w:p>
            <w:pPr>
              <w:spacing w:after="0"/>
              <w:rPr>
                <w:sz w:val="21"/>
                <w:szCs w:val="21"/>
                <w:color w:val="auto"/>
              </w:rPr>
            </w:pPr>
          </w:p>
        </w:tc>
        <w:tc>
          <w:tcPr>
            <w:tcW w:w="840" w:type="dxa"/>
            <w:vAlign w:val="bottom"/>
          </w:tcPr>
          <w:p>
            <w:pPr>
              <w:jc w:val="right"/>
              <w:ind w:right="70"/>
              <w:spacing w:after="0"/>
              <w:rPr>
                <w:sz w:val="20"/>
                <w:szCs w:val="20"/>
                <w:color w:val="auto"/>
              </w:rPr>
            </w:pPr>
            <w:r>
              <w:rPr>
                <w:rFonts w:ascii="Arial" w:cs="Arial" w:eastAsia="Arial" w:hAnsi="Arial"/>
                <w:sz w:val="18"/>
                <w:szCs w:val="18"/>
                <w:color w:val="auto"/>
              </w:rPr>
              <w:t>14.60</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40" w:type="dxa"/>
            <w:vAlign w:val="bottom"/>
          </w:tcPr>
          <w:p>
            <w:pPr>
              <w:jc w:val="right"/>
              <w:ind w:right="70"/>
              <w:spacing w:after="0"/>
              <w:rPr>
                <w:sz w:val="20"/>
                <w:szCs w:val="20"/>
                <w:color w:val="auto"/>
              </w:rPr>
            </w:pPr>
            <w:r>
              <w:rPr>
                <w:rFonts w:ascii="Arial" w:cs="Arial" w:eastAsia="Arial" w:hAnsi="Arial"/>
                <w:sz w:val="18"/>
                <w:szCs w:val="18"/>
                <w:color w:val="auto"/>
              </w:rPr>
              <w:t>14.70</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40" w:type="dxa"/>
            <w:vAlign w:val="bottom"/>
          </w:tcPr>
          <w:p>
            <w:pPr>
              <w:jc w:val="right"/>
              <w:ind w:right="70"/>
              <w:spacing w:after="0"/>
              <w:rPr>
                <w:sz w:val="20"/>
                <w:szCs w:val="20"/>
                <w:color w:val="auto"/>
              </w:rPr>
            </w:pPr>
            <w:r>
              <w:rPr>
                <w:rFonts w:ascii="Arial" w:cs="Arial" w:eastAsia="Arial" w:hAnsi="Arial"/>
                <w:sz w:val="18"/>
                <w:szCs w:val="18"/>
                <w:color w:val="auto"/>
              </w:rPr>
              <w:t>14.80</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40" w:type="dxa"/>
            <w:vAlign w:val="bottom"/>
          </w:tcPr>
          <w:p>
            <w:pPr>
              <w:jc w:val="right"/>
              <w:ind w:right="70"/>
              <w:spacing w:after="0"/>
              <w:rPr>
                <w:sz w:val="20"/>
                <w:szCs w:val="20"/>
                <w:color w:val="auto"/>
              </w:rPr>
            </w:pPr>
            <w:r>
              <w:rPr>
                <w:rFonts w:ascii="Arial" w:cs="Arial" w:eastAsia="Arial" w:hAnsi="Arial"/>
                <w:sz w:val="18"/>
                <w:szCs w:val="18"/>
                <w:color w:val="auto"/>
              </w:rPr>
              <w:t>14.95</w:t>
            </w:r>
          </w:p>
        </w:tc>
        <w:tc>
          <w:tcPr>
            <w:tcW w:w="0" w:type="dxa"/>
            <w:vAlign w:val="bottom"/>
          </w:tcPr>
          <w:p>
            <w:pPr>
              <w:spacing w:after="0"/>
              <w:rPr>
                <w:sz w:val="1"/>
                <w:szCs w:val="1"/>
                <w:color w:val="auto"/>
              </w:rPr>
            </w:pPr>
          </w:p>
        </w:tc>
      </w:tr>
      <w:tr>
        <w:trPr>
          <w:trHeight w:val="27"/>
        </w:trPr>
        <w:tc>
          <w:tcPr>
            <w:tcW w:w="67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0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Commercial IoT</w:t>
            </w:r>
          </w:p>
        </w:tc>
        <w:tc>
          <w:tcPr>
            <w:tcW w:w="22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3.45</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3.63</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3.43</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3.40</w:t>
            </w:r>
          </w:p>
        </w:tc>
        <w:tc>
          <w:tcPr>
            <w:tcW w:w="0" w:type="dxa"/>
            <w:vAlign w:val="bottom"/>
          </w:tcPr>
          <w:p>
            <w:pPr>
              <w:spacing w:after="0"/>
              <w:rPr>
                <w:sz w:val="1"/>
                <w:szCs w:val="1"/>
                <w:color w:val="auto"/>
              </w:rPr>
            </w:pPr>
          </w:p>
        </w:tc>
      </w:tr>
      <w:tr>
        <w:trPr>
          <w:trHeight w:val="243"/>
        </w:trPr>
        <w:tc>
          <w:tcPr>
            <w:tcW w:w="6700" w:type="dxa"/>
            <w:vAlign w:val="bottom"/>
          </w:tcPr>
          <w:p>
            <w:pPr>
              <w:ind w:left="220"/>
              <w:spacing w:after="0"/>
              <w:rPr>
                <w:sz w:val="20"/>
                <w:szCs w:val="20"/>
                <w:color w:val="auto"/>
              </w:rPr>
            </w:pPr>
            <w:r>
              <w:rPr>
                <w:rFonts w:ascii="Arial" w:cs="Arial" w:eastAsia="Arial" w:hAnsi="Arial"/>
                <w:sz w:val="18"/>
                <w:szCs w:val="18"/>
                <w:color w:val="auto"/>
              </w:rPr>
              <w:t>IGO</w:t>
            </w:r>
          </w:p>
        </w:tc>
        <w:tc>
          <w:tcPr>
            <w:tcW w:w="220" w:type="dxa"/>
            <w:vAlign w:val="bottom"/>
          </w:tcPr>
          <w:p>
            <w:pPr>
              <w:spacing w:after="0"/>
              <w:rPr>
                <w:sz w:val="21"/>
                <w:szCs w:val="21"/>
                <w:color w:val="auto"/>
              </w:rPr>
            </w:pPr>
          </w:p>
        </w:tc>
        <w:tc>
          <w:tcPr>
            <w:tcW w:w="840" w:type="dxa"/>
            <w:vAlign w:val="bottom"/>
          </w:tcPr>
          <w:p>
            <w:pPr>
              <w:jc w:val="right"/>
              <w:ind w:right="70"/>
              <w:spacing w:after="0"/>
              <w:rPr>
                <w:sz w:val="20"/>
                <w:szCs w:val="20"/>
                <w:color w:val="auto"/>
              </w:rPr>
            </w:pPr>
            <w:r>
              <w:rPr>
                <w:rFonts w:ascii="Arial" w:cs="Arial" w:eastAsia="Arial" w:hAnsi="Arial"/>
                <w:sz w:val="18"/>
                <w:szCs w:val="18"/>
                <w:color w:val="auto"/>
              </w:rPr>
              <w:t>1.37</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40" w:type="dxa"/>
            <w:vAlign w:val="bottom"/>
          </w:tcPr>
          <w:p>
            <w:pPr>
              <w:jc w:val="right"/>
              <w:ind w:right="70"/>
              <w:spacing w:after="0"/>
              <w:rPr>
                <w:sz w:val="20"/>
                <w:szCs w:val="20"/>
                <w:color w:val="auto"/>
              </w:rPr>
            </w:pPr>
            <w:r>
              <w:rPr>
                <w:rFonts w:ascii="Arial" w:cs="Arial" w:eastAsia="Arial" w:hAnsi="Arial"/>
                <w:sz w:val="18"/>
                <w:szCs w:val="18"/>
                <w:color w:val="auto"/>
              </w:rPr>
              <w:t>2.22</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40" w:type="dxa"/>
            <w:vAlign w:val="bottom"/>
          </w:tcPr>
          <w:p>
            <w:pPr>
              <w:jc w:val="right"/>
              <w:ind w:right="70"/>
              <w:spacing w:after="0"/>
              <w:rPr>
                <w:sz w:val="20"/>
                <w:szCs w:val="20"/>
                <w:color w:val="auto"/>
              </w:rPr>
            </w:pPr>
            <w:r>
              <w:rPr>
                <w:rFonts w:ascii="Arial" w:cs="Arial" w:eastAsia="Arial" w:hAnsi="Arial"/>
                <w:sz w:val="18"/>
                <w:szCs w:val="18"/>
                <w:color w:val="auto"/>
              </w:rPr>
              <w:t>1.26</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40" w:type="dxa"/>
            <w:vAlign w:val="bottom"/>
          </w:tcPr>
          <w:p>
            <w:pPr>
              <w:jc w:val="right"/>
              <w:ind w:right="70"/>
              <w:spacing w:after="0"/>
              <w:rPr>
                <w:sz w:val="20"/>
                <w:szCs w:val="20"/>
                <w:color w:val="auto"/>
              </w:rPr>
            </w:pPr>
            <w:r>
              <w:rPr>
                <w:rFonts w:ascii="Arial" w:cs="Arial" w:eastAsia="Arial" w:hAnsi="Arial"/>
                <w:sz w:val="18"/>
                <w:szCs w:val="18"/>
                <w:color w:val="auto"/>
              </w:rPr>
              <w:t>2.14</w:t>
            </w:r>
          </w:p>
        </w:tc>
        <w:tc>
          <w:tcPr>
            <w:tcW w:w="0" w:type="dxa"/>
            <w:vAlign w:val="bottom"/>
          </w:tcPr>
          <w:p>
            <w:pPr>
              <w:spacing w:after="0"/>
              <w:rPr>
                <w:sz w:val="1"/>
                <w:szCs w:val="1"/>
                <w:color w:val="auto"/>
              </w:rPr>
            </w:pPr>
          </w:p>
        </w:tc>
      </w:tr>
    </w:tbl>
    <w:p>
      <w:pPr>
        <w:spacing w:after="0" w:line="350" w:lineRule="exact"/>
        <w:rPr>
          <w:sz w:val="20"/>
          <w:szCs w:val="20"/>
          <w:color w:val="auto"/>
        </w:rPr>
      </w:pPr>
    </w:p>
    <w:p>
      <w:pPr>
        <w:ind w:left="260"/>
        <w:spacing w:after="0"/>
        <w:rPr>
          <w:sz w:val="20"/>
          <w:szCs w:val="20"/>
          <w:color w:val="auto"/>
        </w:rPr>
      </w:pPr>
      <w:r>
        <w:rPr>
          <w:rFonts w:ascii="Arial" w:cs="Arial" w:eastAsia="Arial" w:hAnsi="Arial"/>
          <w:sz w:val="18"/>
          <w:szCs w:val="18"/>
          <w:color w:val="auto"/>
        </w:rPr>
        <w:t>The numbers reported in the above table are subject to immaterial rounding inherent in calculating averages.</w:t>
      </w:r>
    </w:p>
    <w:p>
      <w:pPr>
        <w:spacing w:after="0" w:line="252" w:lineRule="exact"/>
        <w:rPr>
          <w:sz w:val="20"/>
          <w:szCs w:val="20"/>
          <w:color w:val="auto"/>
        </w:rPr>
      </w:pPr>
    </w:p>
    <w:p>
      <w:pPr>
        <w:jc w:val="both"/>
        <w:ind w:firstLine="243"/>
        <w:spacing w:after="0" w:line="277" w:lineRule="auto"/>
        <w:rPr>
          <w:sz w:val="20"/>
          <w:szCs w:val="20"/>
          <w:color w:val="auto"/>
        </w:rPr>
      </w:pPr>
      <w:r>
        <w:rPr>
          <w:rFonts w:ascii="Arial" w:cs="Arial" w:eastAsia="Arial" w:hAnsi="Arial"/>
          <w:sz w:val="18"/>
          <w:szCs w:val="18"/>
          <w:color w:val="auto"/>
        </w:rPr>
        <w:t>We count "subscribers" based on the number of devices that are subject to agreements that entitle them to use our voice or data communications services rather than the number of persons or entities who own or lease those devices.</w:t>
      </w:r>
    </w:p>
    <w:p>
      <w:pPr>
        <w:spacing w:after="0" w:line="197" w:lineRule="exact"/>
        <w:rPr>
          <w:sz w:val="20"/>
          <w:szCs w:val="20"/>
          <w:color w:val="auto"/>
        </w:rPr>
      </w:pPr>
    </w:p>
    <w:p>
      <w:pPr>
        <w:jc w:val="both"/>
        <w:ind w:firstLine="243"/>
        <w:spacing w:after="0" w:line="277" w:lineRule="auto"/>
        <w:rPr>
          <w:sz w:val="20"/>
          <w:szCs w:val="20"/>
          <w:color w:val="auto"/>
        </w:rPr>
      </w:pPr>
      <w:r>
        <w:rPr>
          <w:rFonts w:ascii="Arial" w:cs="Arial" w:eastAsia="Arial" w:hAnsi="Arial"/>
          <w:sz w:val="18"/>
          <w:szCs w:val="18"/>
          <w:color w:val="auto"/>
        </w:rPr>
        <w:t>Engineering and other service revenue includes revenue generated primarily from certain governmental and engineering service contracts which are not subscriber driven. Accordingly, we do not present ARPU for engineering and other service revenue in the table above.</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Service Revenue</w:t>
      </w:r>
    </w:p>
    <w:p>
      <w:pPr>
        <w:spacing w:after="0" w:line="252" w:lineRule="exact"/>
        <w:rPr>
          <w:sz w:val="20"/>
          <w:szCs w:val="20"/>
          <w:color w:val="auto"/>
        </w:rPr>
      </w:pPr>
    </w:p>
    <w:p>
      <w:pPr>
        <w:jc w:val="both"/>
        <w:ind w:firstLine="243"/>
        <w:spacing w:after="0" w:line="257" w:lineRule="auto"/>
        <w:rPr>
          <w:sz w:val="20"/>
          <w:szCs w:val="20"/>
          <w:color w:val="auto"/>
        </w:rPr>
      </w:pPr>
      <w:r>
        <w:rPr>
          <w:rFonts w:ascii="Arial" w:cs="Arial" w:eastAsia="Arial" w:hAnsi="Arial"/>
          <w:sz w:val="18"/>
          <w:szCs w:val="18"/>
          <w:color w:val="auto"/>
        </w:rPr>
        <w:t>Duplex service revenue decreased 5% and 8%, respectively, for the three and six months ended June 30, 2020 due primarily to a decrease in average subscribers of 14% for both periods. The decrease in revenue due to fewer average subscribers was partially offset by increases in ARPU of 10% and 7%, respectively, for both the three and six month periods ended June 30, 2020. The decrease in average subscribers was due to lower gross activations resulting from fewer equipment sales over the last twelve months as well as normal churn in the subscriber base. The increase in ARPU was driven by the timing of revenue recognition for our usage-based subscribers.</w:t>
      </w:r>
    </w:p>
    <w:p>
      <w:pPr>
        <w:spacing w:after="0" w:line="215" w:lineRule="exact"/>
        <w:rPr>
          <w:sz w:val="20"/>
          <w:szCs w:val="20"/>
          <w:color w:val="auto"/>
        </w:rPr>
      </w:pPr>
    </w:p>
    <w:p>
      <w:pPr>
        <w:jc w:val="both"/>
        <w:ind w:firstLine="243"/>
        <w:spacing w:after="0" w:line="277" w:lineRule="auto"/>
        <w:rPr>
          <w:sz w:val="20"/>
          <w:szCs w:val="20"/>
          <w:color w:val="auto"/>
        </w:rPr>
      </w:pPr>
      <w:r>
        <w:rPr>
          <w:rFonts w:ascii="Arial" w:cs="Arial" w:eastAsia="Arial" w:hAnsi="Arial"/>
          <w:sz w:val="18"/>
          <w:szCs w:val="18"/>
          <w:color w:val="auto"/>
        </w:rPr>
        <w:t>SPOT service revenue decreased 8% for both the three and six months ended June 30, 2020 due primarily to lower ARPU after adjusting for non-revenue-producing subscribers, which were included in our subscriber count during the first half of 2019</w:t>
      </w:r>
    </w:p>
    <w:p>
      <w:pPr>
        <w:sectPr>
          <w:pgSz w:w="11900" w:h="16838" w:orient="portrait"/>
          <w:cols w:equalWidth="0" w:num="1">
            <w:col w:w="11240"/>
          </w:cols>
          <w:pgMar w:left="320" w:top="895" w:right="339" w:bottom="1440" w:gutter="0" w:footer="0" w:header="0"/>
        </w:sectPr>
      </w:pPr>
    </w:p>
    <w:p>
      <w:pPr>
        <w:spacing w:after="0" w:line="200" w:lineRule="exact"/>
        <w:rPr>
          <w:sz w:val="20"/>
          <w:szCs w:val="20"/>
          <w:color w:val="auto"/>
        </w:rPr>
      </w:pPr>
    </w:p>
    <w:p>
      <w:pPr>
        <w:spacing w:after="0" w:line="308"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97790</wp:posOffset>
            </wp:positionV>
            <wp:extent cx="7132320" cy="171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type w:val="continuous"/>
        </w:sectPr>
      </w:pPr>
    </w:p>
    <w:bookmarkStart w:id="25" w:name="page26"/>
    <w:bookmarkEnd w:id="25"/>
    <w:p>
      <w:pPr>
        <w:jc w:val="both"/>
        <w:spacing w:after="0" w:line="279" w:lineRule="auto"/>
        <w:rPr>
          <w:sz w:val="20"/>
          <w:szCs w:val="20"/>
          <w:color w:val="auto"/>
        </w:rPr>
      </w:pPr>
      <w:r>
        <w:rPr>
          <w:rFonts w:ascii="Arial" w:cs="Arial" w:eastAsia="Arial" w:hAnsi="Arial"/>
          <w:sz w:val="17"/>
          <w:szCs w:val="17"/>
          <w:color w:val="auto"/>
        </w:rPr>
        <w:t>and were subsequently involuntarily deactivated. Over the last twelve months, we deactivated approximately 12,000 non-revenue-generating customers, particularly in Latin America, resulting from a cleanup of our subscriber base. Excluding this involuntary churn, average subscribers would have decreased 3% for both the three and six month periods. The decrease in ARPU was due to lower service plans rolled out to new subscribers in mid-2019 as well as revenue recorded for an event sponsorship in the first quarter of 2019 that did not recur in the first quarter of 2020.</w:t>
      </w:r>
    </w:p>
    <w:p>
      <w:pPr>
        <w:spacing w:after="0" w:line="198" w:lineRule="exact"/>
        <w:rPr>
          <w:sz w:val="20"/>
          <w:szCs w:val="20"/>
          <w:color w:val="auto"/>
        </w:rPr>
      </w:pPr>
    </w:p>
    <w:p>
      <w:pPr>
        <w:jc w:val="both"/>
        <w:ind w:firstLine="243"/>
        <w:spacing w:after="0" w:line="273" w:lineRule="auto"/>
        <w:rPr>
          <w:sz w:val="20"/>
          <w:szCs w:val="20"/>
          <w:color w:val="auto"/>
        </w:rPr>
      </w:pPr>
      <w:r>
        <w:rPr>
          <w:rFonts w:ascii="Arial" w:cs="Arial" w:eastAsia="Arial" w:hAnsi="Arial"/>
          <w:sz w:val="17"/>
          <w:szCs w:val="17"/>
          <w:color w:val="auto"/>
        </w:rPr>
        <w:t>Commercial IoT service revenue decreased 1% and increased 7%, respectively, for the three and six months ended June 30, 2020. For the three month period, the decrease in revenue was due to a 5% decline in ARPU driven by service pricing adjustments related to COVID-19 made for certain of our customers and unfavorable exchange rate movements. The decrease in ARPU was offset by a 4% increase in average subscribers. For the six month period, the increase in revenue was due to a 6% increase in average subscribers and a 1% increase in ARPU. Average subscribers were higher during the three and six month periods in 2020 compared to 2019 despite end of period subscribers declining from 421,000 at December 31, 2019 to 414,000 at June 30, 2020 following lower activations and higher churn in recent months resulting from the impact of COVID-19.</w:t>
      </w:r>
    </w:p>
    <w:p>
      <w:pPr>
        <w:spacing w:after="0" w:line="205" w:lineRule="exact"/>
        <w:rPr>
          <w:sz w:val="20"/>
          <w:szCs w:val="20"/>
          <w:color w:val="auto"/>
        </w:rPr>
      </w:pPr>
    </w:p>
    <w:p>
      <w:pPr>
        <w:jc w:val="both"/>
        <w:ind w:firstLine="243"/>
        <w:spacing w:after="0" w:line="263" w:lineRule="auto"/>
        <w:rPr>
          <w:sz w:val="20"/>
          <w:szCs w:val="20"/>
          <w:color w:val="auto"/>
        </w:rPr>
      </w:pPr>
      <w:r>
        <w:rPr>
          <w:rFonts w:ascii="Arial" w:cs="Arial" w:eastAsia="Arial" w:hAnsi="Arial"/>
          <w:sz w:val="18"/>
          <w:szCs w:val="18"/>
          <w:color w:val="auto"/>
        </w:rPr>
        <w:t>Engineering and other service revenue increased $2.0 million and $6.3 million, respectively, for the three and six months ended June 30, 2020 compared to the same periods in 2019. These increases were driven by a higher volume of engineering services contracts during 2020, including the completion of certain milestones as discussed in Note 2: Revenue to our condensed consolidated financial statements.</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Subscriber Equipment Sales</w:t>
      </w:r>
    </w:p>
    <w:p>
      <w:pPr>
        <w:spacing w:after="0" w:line="252" w:lineRule="exact"/>
        <w:rPr>
          <w:sz w:val="20"/>
          <w:szCs w:val="20"/>
          <w:color w:val="auto"/>
        </w:rPr>
      </w:pPr>
    </w:p>
    <w:p>
      <w:pPr>
        <w:jc w:val="both"/>
        <w:ind w:firstLine="243"/>
        <w:spacing w:after="0" w:line="255" w:lineRule="auto"/>
        <w:rPr>
          <w:sz w:val="20"/>
          <w:szCs w:val="20"/>
          <w:color w:val="auto"/>
        </w:rPr>
      </w:pPr>
      <w:r>
        <w:rPr>
          <w:rFonts w:ascii="Arial" w:cs="Arial" w:eastAsia="Arial" w:hAnsi="Arial"/>
          <w:sz w:val="18"/>
          <w:szCs w:val="18"/>
          <w:color w:val="auto"/>
        </w:rPr>
        <w:t>Revenue from Duplex equipment sales increased $0.3 million and $0.5 million, respectively, for the three and six months ended June 30, 2020 compared to the same period in 2019. For both the three and six month periods, the increase in revenue was driven by sales of our Sat-Fi2® Remote Antenna Station ("RAS") device launched in October 2019, and sales of our improved Sat-Fi2® device launched in September 2019, which expand the use cases for the Sat-Fi2® device. Higher volume and pricing contributed to the increase in revenue from these devices; Sat-Fi2® RAS is sold at a higher selling price than other Duplex devices. Since the launch of our Sat-Fi2® RAS device, we have developed derivatives of this device, including a marine version, which also contributed to the increase in revenue during the year.</w:t>
      </w:r>
    </w:p>
    <w:p>
      <w:pPr>
        <w:spacing w:after="0" w:line="219" w:lineRule="exact"/>
        <w:rPr>
          <w:sz w:val="20"/>
          <w:szCs w:val="20"/>
          <w:color w:val="auto"/>
        </w:rPr>
      </w:pPr>
    </w:p>
    <w:p>
      <w:pPr>
        <w:jc w:val="both"/>
        <w:ind w:firstLine="243"/>
        <w:spacing w:after="0" w:line="293" w:lineRule="auto"/>
        <w:rPr>
          <w:sz w:val="20"/>
          <w:szCs w:val="20"/>
          <w:color w:val="auto"/>
        </w:rPr>
      </w:pPr>
      <w:r>
        <w:rPr>
          <w:rFonts w:ascii="Arial" w:cs="Arial" w:eastAsia="Arial" w:hAnsi="Arial"/>
          <w:sz w:val="16"/>
          <w:szCs w:val="16"/>
          <w:color w:val="auto"/>
        </w:rPr>
        <w:t>Revenue from SPOT equipment sales decreased $0.5 million and $0.7 million, respectively, for the three and six months ended June 30, 2020 compared to the same periods in 2019. We sell component parts to our manufacturer to use in final products. During the three and six months ended June 30, 2020 production of certain devices (and related volume of component part sales to our primary product manufacturer) decreased as compared to the prior year period due to sufficient inventory on hand to meet expected demand as well as supply chain delays caused by COVID-19, contributing $0.2 million and $0.6 million, respectively, to the revenue decrease. For the three month period, the remaining decrease in revenue was due primarily to lower volume of SPOT Gen3® sales. For the six month period, lower pricing for all of our SPOT products was offset by higher volume of SPOT X® sales.</w:t>
      </w:r>
    </w:p>
    <w:p>
      <w:pPr>
        <w:spacing w:after="0" w:line="191" w:lineRule="exact"/>
        <w:rPr>
          <w:sz w:val="20"/>
          <w:szCs w:val="20"/>
          <w:color w:val="auto"/>
        </w:rPr>
      </w:pPr>
    </w:p>
    <w:p>
      <w:pPr>
        <w:jc w:val="both"/>
        <w:ind w:firstLine="243"/>
        <w:spacing w:after="0" w:line="263" w:lineRule="auto"/>
        <w:rPr>
          <w:sz w:val="20"/>
          <w:szCs w:val="20"/>
          <w:color w:val="auto"/>
        </w:rPr>
      </w:pPr>
      <w:r>
        <w:rPr>
          <w:rFonts w:ascii="Arial" w:cs="Arial" w:eastAsia="Arial" w:hAnsi="Arial"/>
          <w:sz w:val="18"/>
          <w:szCs w:val="18"/>
          <w:color w:val="auto"/>
        </w:rPr>
        <w:t>Revenue from Commercial IoT equipment sales decreased $1.0 million and $1.7 million, respectively, for the three and six months ended June 30, 2020 compared to the same periods in 2019. A decrease in demand for our Commercial IoT products resulting from the impact of COVID-19, particularly from our customers operating in the oil and gas industry, drove the variance in revenue.</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Operating Expenses</w:t>
      </w:r>
    </w:p>
    <w:p>
      <w:pPr>
        <w:spacing w:after="0" w:line="256" w:lineRule="exact"/>
        <w:rPr>
          <w:sz w:val="20"/>
          <w:szCs w:val="20"/>
          <w:color w:val="auto"/>
        </w:rPr>
      </w:pPr>
    </w:p>
    <w:p>
      <w:pPr>
        <w:jc w:val="both"/>
        <w:ind w:firstLine="243"/>
        <w:spacing w:after="0" w:line="286" w:lineRule="auto"/>
        <w:rPr>
          <w:sz w:val="20"/>
          <w:szCs w:val="20"/>
          <w:color w:val="auto"/>
        </w:rPr>
      </w:pPr>
      <w:r>
        <w:rPr>
          <w:rFonts w:ascii="Arial" w:cs="Arial" w:eastAsia="Arial" w:hAnsi="Arial"/>
          <w:sz w:val="17"/>
          <w:szCs w:val="17"/>
          <w:color w:val="auto"/>
        </w:rPr>
        <w:t>Total operating expenses decreased 4% for each of the three and six months ended June 30, 2020 compared to the same periods in 2019. Lower cost of services, cost of subscriber equipment sales and management, general and administrative costs contributed to the decrease in total operating expenses during the respective periods. The main contributors to the variance in operating expenses are explained in further detail below.</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Cost of Services</w:t>
      </w:r>
    </w:p>
    <w:p>
      <w:pPr>
        <w:spacing w:after="0" w:line="252" w:lineRule="exact"/>
        <w:rPr>
          <w:sz w:val="20"/>
          <w:szCs w:val="20"/>
          <w:color w:val="auto"/>
        </w:rPr>
      </w:pPr>
    </w:p>
    <w:p>
      <w:pPr>
        <w:jc w:val="both"/>
        <w:ind w:firstLine="243"/>
        <w:spacing w:after="0" w:line="273" w:lineRule="auto"/>
        <w:rPr>
          <w:sz w:val="20"/>
          <w:szCs w:val="20"/>
          <w:color w:val="auto"/>
        </w:rPr>
      </w:pPr>
      <w:r>
        <w:rPr>
          <w:rFonts w:ascii="Arial" w:cs="Arial" w:eastAsia="Arial" w:hAnsi="Arial"/>
          <w:sz w:val="17"/>
          <w:szCs w:val="17"/>
          <w:color w:val="auto"/>
        </w:rPr>
        <w:t>Cost of services decreased $0.7 million and $1.9 million, respectively, for the three and six months ended June 30, 2020 compared to the same periods in 2019. For both the three and six month periods, lower research and development costs of $0.6 million and $1.0 million, respectively, as well as lower maintenance costs of $0.2 million for both periods, contributed to the decrease in expense. Lower research and development costs are driven by the timing of new product development and lower maintenance costs are due to revisions to contract terms with certain vendors for gateway and software maintenance. For the six month period, lower personnel and contractor costs of $0.3 million also contributed to the decrease in expense, due primarily to the timing of capital projects. Other smaller items contributed to the remaining variances.</w:t>
      </w:r>
    </w:p>
    <w:p>
      <w:pPr>
        <w:spacing w:after="0" w:line="200" w:lineRule="exact"/>
        <w:rPr>
          <w:sz w:val="20"/>
          <w:szCs w:val="20"/>
          <w:color w:val="auto"/>
        </w:rPr>
      </w:pPr>
    </w:p>
    <w:p>
      <w:pPr>
        <w:spacing w:after="0" w:line="3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sectPr>
      </w:pPr>
    </w:p>
    <w:bookmarkStart w:id="26" w:name="page27"/>
    <w:bookmarkEnd w:id="26"/>
    <w:p>
      <w:pPr>
        <w:spacing w:after="0"/>
        <w:rPr>
          <w:sz w:val="20"/>
          <w:szCs w:val="20"/>
          <w:color w:val="auto"/>
        </w:rPr>
      </w:pPr>
      <w:r>
        <w:rPr>
          <w:rFonts w:ascii="Arial" w:cs="Arial" w:eastAsia="Arial" w:hAnsi="Arial"/>
          <w:sz w:val="18"/>
          <w:szCs w:val="18"/>
          <w:i w:val="1"/>
          <w:iCs w:val="1"/>
          <w:color w:val="auto"/>
        </w:rPr>
        <w:t>Cost of Subscriber Equipment Sales</w:t>
      </w:r>
    </w:p>
    <w:p>
      <w:pPr>
        <w:spacing w:after="0" w:line="252" w:lineRule="exact"/>
        <w:rPr>
          <w:sz w:val="20"/>
          <w:szCs w:val="20"/>
          <w:color w:val="auto"/>
        </w:rPr>
      </w:pPr>
    </w:p>
    <w:p>
      <w:pPr>
        <w:jc w:val="both"/>
        <w:ind w:firstLine="243"/>
        <w:spacing w:after="0" w:line="272" w:lineRule="auto"/>
        <w:rPr>
          <w:sz w:val="20"/>
          <w:szCs w:val="20"/>
          <w:color w:val="auto"/>
        </w:rPr>
      </w:pPr>
      <w:r>
        <w:rPr>
          <w:rFonts w:ascii="Arial" w:cs="Arial" w:eastAsia="Arial" w:hAnsi="Arial"/>
          <w:sz w:val="17"/>
          <w:szCs w:val="17"/>
          <w:color w:val="auto"/>
        </w:rPr>
        <w:t>Cost of subscriber equipment sales decreased $0.6 million and $1.1 million, respectively, for the three and six months ended June 30, 2020 from the same periods in 2019. This decrease for both periods is generally consistent with the decline in total revenue generated from subscriber equipment sales, particularly driven by the decrease in Commercial IoT equipment. Offsetting the decrease in cost of subscriber equipment sales for the quarter was the recognition of tariffs. As previously disclosed in Note 10: Contingencies of our 2019 Annual Report, in September 2019, U.S Customs and Border Protection ("CBP") issued a ruling related to the classification of certain of our core products imported from China, resulting in 25% tariffs upon import. During the three and six months ended June 30, 2020, we recorded $0.2 million and $0.4 million, respectively, for tariffs, which increased our cost of subscriber equipment during the period (and was not incurred during the same periods in 2019).</w:t>
      </w: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Marketing, General and Administrative</w:t>
      </w:r>
    </w:p>
    <w:p>
      <w:pPr>
        <w:spacing w:after="0" w:line="252" w:lineRule="exact"/>
        <w:rPr>
          <w:sz w:val="20"/>
          <w:szCs w:val="20"/>
          <w:color w:val="auto"/>
        </w:rPr>
      </w:pPr>
    </w:p>
    <w:p>
      <w:pPr>
        <w:jc w:val="both"/>
        <w:ind w:firstLine="243"/>
        <w:spacing w:after="0" w:line="273" w:lineRule="auto"/>
        <w:rPr>
          <w:sz w:val="20"/>
          <w:szCs w:val="20"/>
          <w:color w:val="auto"/>
        </w:rPr>
      </w:pPr>
      <w:r>
        <w:rPr>
          <w:rFonts w:ascii="Arial" w:cs="Arial" w:eastAsia="Arial" w:hAnsi="Arial"/>
          <w:sz w:val="17"/>
          <w:szCs w:val="17"/>
          <w:color w:val="auto"/>
        </w:rPr>
        <w:t>Marketing, general and administrative expenses ("MG&amp;A") decreased $0.8 million and $1.3 million for the three and six months ended June 30, 2020, respectively, compared to the same periods in 2019. We experienced lower MG&amp;A costs during 2020 due in part to the impact of COVID-19. During the three and six month periods, these reductions were driven primarily by: 1) lower subscriber acquisition costs (including advertising and trade shows) of $0.5 million and $1.0 million, respectively, 2) lower performance-based compensation costs of $0.7 million and $0.9 million, respectively, and 3) lower travel costs of $0.4 million and $0.5 million, respectively. These decreases were offset by higher professional and legal fees of $0.4 million and $0.9 million, respectively, related to strategic opportunities. Other smaller items contributed to the remaining variances.</w:t>
      </w: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Other Income (Expense)</w:t>
      </w: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Interest Income and Expense</w:t>
      </w:r>
    </w:p>
    <w:p>
      <w:pPr>
        <w:spacing w:after="0" w:line="252" w:lineRule="exact"/>
        <w:rPr>
          <w:sz w:val="20"/>
          <w:szCs w:val="20"/>
          <w:color w:val="auto"/>
        </w:rPr>
      </w:pPr>
    </w:p>
    <w:p>
      <w:pPr>
        <w:jc w:val="both"/>
        <w:ind w:firstLine="243"/>
        <w:spacing w:after="0" w:line="259" w:lineRule="auto"/>
        <w:rPr>
          <w:sz w:val="20"/>
          <w:szCs w:val="20"/>
          <w:color w:val="auto"/>
        </w:rPr>
      </w:pPr>
      <w:r>
        <w:rPr>
          <w:rFonts w:ascii="Arial" w:cs="Arial" w:eastAsia="Arial" w:hAnsi="Arial"/>
          <w:sz w:val="18"/>
          <w:szCs w:val="18"/>
          <w:color w:val="auto"/>
        </w:rPr>
        <w:t>Interest income and expense, net, decreased $1.3 million and $0.2 million, respectively, during the three and six months ended June 30, 2020, compared to the same periods in 2019. For each of the three and six month periods, the decrease was driven by lower gross interest costs of $1.6 million and $0.1 million, respectively, and lower interest income of $0.4 million and $0.7 million, respectively; these items were offset by higher capitalized interest of $0.1 million and $0.8 million, respectively (which decreases interest expense).</w:t>
      </w:r>
    </w:p>
    <w:p>
      <w:pPr>
        <w:spacing w:after="0" w:line="214" w:lineRule="exact"/>
        <w:rPr>
          <w:sz w:val="20"/>
          <w:szCs w:val="20"/>
          <w:color w:val="auto"/>
        </w:rPr>
      </w:pPr>
    </w:p>
    <w:p>
      <w:pPr>
        <w:jc w:val="both"/>
        <w:ind w:firstLine="243"/>
        <w:spacing w:after="0" w:line="287" w:lineRule="auto"/>
        <w:rPr>
          <w:sz w:val="20"/>
          <w:szCs w:val="20"/>
          <w:color w:val="auto"/>
        </w:rPr>
      </w:pPr>
      <w:r>
        <w:rPr>
          <w:rFonts w:ascii="Arial" w:cs="Arial" w:eastAsia="Arial" w:hAnsi="Arial"/>
          <w:sz w:val="16"/>
          <w:szCs w:val="16"/>
          <w:color w:val="auto"/>
        </w:rPr>
        <w:t>Gross interest costs were impacted by lower interest associated with the Facility Agreement and the Loan Agreement with Thermo offset by higher interest on the Second Lien Term Loan Facility that we entered into in November 2019. For the three and six month periods, interest costs associated with the Facility Agreement decreased $5.0 million (including $1.3 million of amortization of deferred financing costs) and $9.7 million (including $2.6 million of deferred financing costs), respectively, and interest costs associated with the Loan Agreement with Thermo decreased $4.8 million (including $1.0 million of accretion of debt discount) and $6.5 million (including $1.3 million of accretion of debt discount), respectively; these decreases were offset by $8.2 million of interest (including $1.1 million of accretion of debt discount and amortization of deferred financing costs) and $16.1 million of interest (including $2.1 million of accretion of debt discount and amortization of deferred financing costs), respectively, associated with the Second Lien Term Loan Facility. Lower interest costs for the Facility Agreement were due to the modification of the Facility Agreement in November 2019, which reduced the principal balance outstanding (resulting in lower interest expense) and the balance of deferred financing costs (resulting in lower amortization of deferred financing costs), as well as a decrease in the interest rate driven by a reduction in LIBOR. Lower interest costs for the Loan Agreement with Thermo was driven by Thermo's conversion of the entire principal balance outstanding under the Loan Agreement in February 2020 (which resulted in no interest expense or accretion of debt discount after the date of conversion as the balances were written off upon conversion).</w:t>
      </w: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38" w:right="339" w:bottom="1440" w:gutter="0" w:footer="0" w:header="0"/>
        </w:sectPr>
      </w:pPr>
    </w:p>
    <w:bookmarkStart w:id="27" w:name="page28"/>
    <w:bookmarkEnd w:id="27"/>
    <w:p>
      <w:pPr>
        <w:spacing w:after="0"/>
        <w:rPr>
          <w:sz w:val="20"/>
          <w:szCs w:val="20"/>
          <w:color w:val="auto"/>
        </w:rPr>
      </w:pPr>
      <w:r>
        <w:rPr>
          <w:rFonts w:ascii="Arial" w:cs="Arial" w:eastAsia="Arial" w:hAnsi="Arial"/>
          <w:sz w:val="18"/>
          <w:szCs w:val="18"/>
          <w:i w:val="1"/>
          <w:iCs w:val="1"/>
          <w:color w:val="auto"/>
        </w:rPr>
        <w:t>Derivative Gain</w:t>
      </w:r>
    </w:p>
    <w:p>
      <w:pPr>
        <w:spacing w:after="0" w:line="252" w:lineRule="exact"/>
        <w:rPr>
          <w:sz w:val="20"/>
          <w:szCs w:val="20"/>
          <w:color w:val="auto"/>
        </w:rPr>
      </w:pPr>
    </w:p>
    <w:p>
      <w:pPr>
        <w:jc w:val="both"/>
        <w:ind w:right="20" w:firstLine="243"/>
        <w:spacing w:after="0" w:line="277" w:lineRule="auto"/>
        <w:rPr>
          <w:sz w:val="20"/>
          <w:szCs w:val="20"/>
          <w:color w:val="auto"/>
        </w:rPr>
      </w:pPr>
      <w:r>
        <w:rPr>
          <w:rFonts w:ascii="Arial" w:cs="Arial" w:eastAsia="Arial" w:hAnsi="Arial"/>
          <w:sz w:val="18"/>
          <w:szCs w:val="18"/>
          <w:color w:val="auto"/>
        </w:rPr>
        <w:t>Derivative gains were $1.2 million and $35.1 million for the three months ended June 30, 2020 and June 30, 2019, respectively. Derivative gains were $0.3 million and $92.1 million for the six months ended June 30, 2020 and June 30, 2019, respectively.</w:t>
      </w:r>
    </w:p>
    <w:p>
      <w:pPr>
        <w:spacing w:after="0" w:line="197" w:lineRule="exact"/>
        <w:rPr>
          <w:sz w:val="20"/>
          <w:szCs w:val="20"/>
          <w:color w:val="auto"/>
        </w:rPr>
      </w:pPr>
    </w:p>
    <w:p>
      <w:pPr>
        <w:jc w:val="both"/>
        <w:ind w:firstLine="243"/>
        <w:spacing w:after="0" w:line="273" w:lineRule="auto"/>
        <w:rPr>
          <w:sz w:val="20"/>
          <w:szCs w:val="20"/>
          <w:color w:val="auto"/>
        </w:rPr>
      </w:pPr>
      <w:r>
        <w:rPr>
          <w:rFonts w:ascii="Arial" w:cs="Arial" w:eastAsia="Arial" w:hAnsi="Arial"/>
          <w:sz w:val="17"/>
          <w:szCs w:val="17"/>
          <w:color w:val="auto"/>
        </w:rPr>
        <w:t>We recognize gains or losses due to the change in the value of certain embedded features within our debt instruments that require standalone derivative accounting. The gains recorded during the three and six months ended June 30, 2020 were primarily impacted by fluctuations in the discount yield used in the valuation of the embedded derivative associated with our Second Lien Term Loan Facility Agreement. The gains recorded during the three and six months ended June 30, 2019 were impacted primarily by the assumed high probability of conversion of the Loan Agreement with Thermo, which occurred in February 2020, and decreased the value of our derivative liabilities. See Note 6: Fair Value Measurements to our condensed consolidated financial statements for further discussion of the computation of the fair value of our derivatives.</w:t>
      </w:r>
    </w:p>
    <w:p>
      <w:pPr>
        <w:spacing w:after="0" w:line="20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Foreign Currency (Loss) Gain</w:t>
      </w:r>
    </w:p>
    <w:p>
      <w:pPr>
        <w:spacing w:after="0" w:line="252" w:lineRule="exact"/>
        <w:rPr>
          <w:sz w:val="20"/>
          <w:szCs w:val="20"/>
          <w:color w:val="auto"/>
        </w:rPr>
      </w:pPr>
    </w:p>
    <w:p>
      <w:pPr>
        <w:jc w:val="both"/>
        <w:ind w:firstLine="243"/>
        <w:spacing w:after="0" w:line="273" w:lineRule="auto"/>
        <w:rPr>
          <w:sz w:val="20"/>
          <w:szCs w:val="20"/>
          <w:color w:val="auto"/>
        </w:rPr>
      </w:pPr>
      <w:r>
        <w:rPr>
          <w:rFonts w:ascii="Arial" w:cs="Arial" w:eastAsia="Arial" w:hAnsi="Arial"/>
          <w:sz w:val="17"/>
          <w:szCs w:val="17"/>
          <w:color w:val="auto"/>
        </w:rPr>
        <w:t>Foreign currency (loss) gain fluctuated by $0.4 million to a gain of $1.3 million for the three months ended June 30, 2020 from a gain of $0.9 million for the same period in 2019. Foreign currency (loss) gain fluctuated by $8.6 million to a loss of $7.6 million for the six months ended June 30, 2020 from a gain of $1.0 million for the same period in 2019. Changes in foreign currency gains and losses are driven by the significant financial statement items we have denominated in various currencies. The strengthening of the U.S. dollar relative to the Brazilian real and the Canadian dollar during the six months ended June 30, 2020 unfavorably impacted our condensed consolidated statement of operations $4.7 million and $1.8 million, respectively, due primarily to the remeasurement of certain balances at the end of each reporting period.</w:t>
      </w: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Overview</w:t>
      </w:r>
    </w:p>
    <w:p>
      <w:pPr>
        <w:spacing w:after="0" w:line="252" w:lineRule="exact"/>
        <w:rPr>
          <w:sz w:val="20"/>
          <w:szCs w:val="20"/>
          <w:color w:val="auto"/>
        </w:rPr>
      </w:pPr>
    </w:p>
    <w:p>
      <w:pPr>
        <w:jc w:val="both"/>
        <w:ind w:firstLine="243"/>
        <w:spacing w:after="0" w:line="269" w:lineRule="auto"/>
        <w:rPr>
          <w:sz w:val="20"/>
          <w:szCs w:val="20"/>
          <w:color w:val="auto"/>
        </w:rPr>
      </w:pPr>
      <w:r>
        <w:rPr>
          <w:rFonts w:ascii="Arial" w:cs="Arial" w:eastAsia="Arial" w:hAnsi="Arial"/>
          <w:sz w:val="17"/>
          <w:szCs w:val="17"/>
          <w:color w:val="auto"/>
        </w:rPr>
        <w:t>Our principal liquidity requirements include paying our debt service obligations and funding our operating costs. Our principal sources of liquidity include cash on hand, cash flows from operations and anticipated proceeds from the exercise of warrants held by our Second Lien Term Loan Facility lenders. Our operating cash flows are likely to continue to be negatively impacted by COVID-19, as previously discussed. The uncertainties due to COVID-19 continue to evolve and we are monitoring our financial position as circumstances develop. We expect to use proceeds from the exercise of warrants to pay the next scheduled principal payment due under the Facility Agreement in June 2021 and to meet our obligations to raise no less than $45.0 million of equity prior to March 31, 2021; however, to the extent that our stock price remains under the strike price of these warrants, we may be required to raise other funds to meet our loan agreement obligations. A longer-term source of liquidity also includes restricted cash held in our debt service reserve account. Although there are uncertainties related to the future impact from COVID-19 and our ability to maintain compliance with financial covenants, we currently expect that sources of liquidity over the next twelve months will be sufficient to cover our obligations. If we are unable to remain in compliance over the next twelve months, we may need to raise Equity Cure Contributions in future periods.</w:t>
      </w:r>
    </w:p>
    <w:p>
      <w:pPr>
        <w:spacing w:after="0" w:line="212" w:lineRule="exact"/>
        <w:rPr>
          <w:sz w:val="20"/>
          <w:szCs w:val="20"/>
          <w:color w:val="auto"/>
        </w:rPr>
      </w:pPr>
    </w:p>
    <w:p>
      <w:pPr>
        <w:jc w:val="both"/>
        <w:ind w:firstLine="243"/>
        <w:spacing w:after="0" w:line="311" w:lineRule="auto"/>
        <w:rPr>
          <w:sz w:val="20"/>
          <w:szCs w:val="20"/>
          <w:color w:val="auto"/>
        </w:rPr>
      </w:pPr>
      <w:r>
        <w:rPr>
          <w:rFonts w:ascii="Arial" w:cs="Arial" w:eastAsia="Arial" w:hAnsi="Arial"/>
          <w:sz w:val="16"/>
          <w:szCs w:val="16"/>
          <w:color w:val="auto"/>
        </w:rPr>
        <w:t>As of June 30, 2020, we held cash and cash equivalents of $12.1 million and restricted cash of $54.9 million. As of December 31, 2019, we held cash and cash equivalents of $7.6 million and restricted cash of $51.5 million. The noncurrent portion of restricted cash on our condensed consolidated balance sheet will generally be used towards the final scheduled payment due upon maturity of the Facility Agreement in December 2022.</w:t>
      </w:r>
    </w:p>
    <w:p>
      <w:pPr>
        <w:spacing w:after="0" w:line="176" w:lineRule="exact"/>
        <w:rPr>
          <w:sz w:val="20"/>
          <w:szCs w:val="20"/>
          <w:color w:val="auto"/>
        </w:rPr>
      </w:pPr>
    </w:p>
    <w:p>
      <w:pPr>
        <w:jc w:val="both"/>
        <w:ind w:firstLine="243"/>
        <w:spacing w:after="0" w:line="263" w:lineRule="auto"/>
        <w:rPr>
          <w:sz w:val="20"/>
          <w:szCs w:val="20"/>
          <w:color w:val="auto"/>
        </w:rPr>
      </w:pPr>
      <w:r>
        <w:rPr>
          <w:rFonts w:ascii="Arial" w:cs="Arial" w:eastAsia="Arial" w:hAnsi="Arial"/>
          <w:sz w:val="18"/>
          <w:szCs w:val="18"/>
          <w:color w:val="auto"/>
        </w:rPr>
        <w:t>The carrying amount of our long-term debt outstanding was $324.2 million at June 30, 2020, compared to $464.2 million at December 31, 2019. At June 30, 2020, the current portion of our debt outstanding was $45.0 million and represents the scheduled principal repayment under the Facility Agreement due within one year of the balance sheet date. We had no current debt outstanding at December 31, 2019.</w:t>
      </w:r>
    </w:p>
    <w:p>
      <w:pPr>
        <w:spacing w:after="0" w:line="211" w:lineRule="exact"/>
        <w:rPr>
          <w:sz w:val="20"/>
          <w:szCs w:val="20"/>
          <w:color w:val="auto"/>
        </w:rPr>
      </w:pPr>
    </w:p>
    <w:p>
      <w:pPr>
        <w:jc w:val="both"/>
        <w:ind w:firstLine="243"/>
        <w:spacing w:after="0" w:line="257" w:lineRule="auto"/>
        <w:rPr>
          <w:sz w:val="20"/>
          <w:szCs w:val="20"/>
          <w:color w:val="auto"/>
        </w:rPr>
      </w:pPr>
      <w:r>
        <w:rPr>
          <w:rFonts w:ascii="Arial" w:cs="Arial" w:eastAsia="Arial" w:hAnsi="Arial"/>
          <w:sz w:val="18"/>
          <w:szCs w:val="18"/>
          <w:color w:val="auto"/>
        </w:rPr>
        <w:t>The $94.9 million decrease in the carrying amount of our total debt balance was due primarily to the conversion of the Loan Agreement with Thermo in February 2020 into shares of common stock, resulting in a $116.5 million reduction in net debt. This decrease was offset by 1) a higher carrying value of the Second Lien Term Loan Facility of $15.1 million due to the accrual of PIK interest and the accretion of debt discount, 2) a higher carrying value of the Facility Agreement of $1.6 million due to amortization of deferred financing costs, and 3) the issuance of the PPP Loan (defined below) in April 2020 of $5.0 million.</w:t>
      </w: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sectPr>
      </w:pPr>
    </w:p>
    <w:bookmarkStart w:id="28" w:name="page29"/>
    <w:bookmarkEnd w:id="28"/>
    <w:p>
      <w:pPr>
        <w:spacing w:after="0"/>
        <w:rPr>
          <w:sz w:val="20"/>
          <w:szCs w:val="20"/>
          <w:color w:val="auto"/>
        </w:rPr>
      </w:pPr>
      <w:r>
        <w:rPr>
          <w:rFonts w:ascii="Arial" w:cs="Arial" w:eastAsia="Arial" w:hAnsi="Arial"/>
          <w:sz w:val="18"/>
          <w:szCs w:val="18"/>
          <w:b w:val="1"/>
          <w:bCs w:val="1"/>
          <w:i w:val="1"/>
          <w:iCs w:val="1"/>
          <w:color w:val="auto"/>
        </w:rPr>
        <w:t>Indebtedness and Available Credit</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First Lien Facility Agreement</w:t>
      </w:r>
    </w:p>
    <w:p>
      <w:pPr>
        <w:spacing w:after="0" w:line="252" w:lineRule="exact"/>
        <w:rPr>
          <w:sz w:val="20"/>
          <w:szCs w:val="20"/>
          <w:color w:val="auto"/>
        </w:rPr>
      </w:pPr>
    </w:p>
    <w:p>
      <w:pPr>
        <w:jc w:val="both"/>
        <w:ind w:firstLine="243"/>
        <w:spacing w:after="0" w:line="263" w:lineRule="auto"/>
        <w:rPr>
          <w:sz w:val="20"/>
          <w:szCs w:val="20"/>
          <w:color w:val="auto"/>
        </w:rPr>
      </w:pPr>
      <w:r>
        <w:rPr>
          <w:rFonts w:ascii="Arial" w:cs="Arial" w:eastAsia="Arial" w:hAnsi="Arial"/>
          <w:sz w:val="18"/>
          <w:szCs w:val="18"/>
          <w:color w:val="auto"/>
        </w:rPr>
        <w:t>In 2009, we entered into the Facility Agreement, which was amended and restated in July 2013, August 2015, June 2017 and November 2019. The Facility Agreement is scheduled to mature in December 2022. As of June 30, 2020, the principal amount outstanding under the Facility Agreement was $190.1 million, of which $45.0 million was recorded as current debt based on the contractual terms of the loan.</w:t>
      </w:r>
    </w:p>
    <w:p>
      <w:pPr>
        <w:spacing w:after="0" w:line="211" w:lineRule="exact"/>
        <w:rPr>
          <w:sz w:val="20"/>
          <w:szCs w:val="20"/>
          <w:color w:val="auto"/>
        </w:rPr>
      </w:pPr>
    </w:p>
    <w:p>
      <w:pPr>
        <w:jc w:val="both"/>
        <w:ind w:firstLine="243"/>
        <w:spacing w:after="0" w:line="272" w:lineRule="auto"/>
        <w:rPr>
          <w:sz w:val="20"/>
          <w:szCs w:val="20"/>
          <w:color w:val="auto"/>
        </w:rPr>
      </w:pPr>
      <w:r>
        <w:rPr>
          <w:rFonts w:ascii="Arial" w:cs="Arial" w:eastAsia="Arial" w:hAnsi="Arial"/>
          <w:sz w:val="17"/>
          <w:szCs w:val="17"/>
          <w:color w:val="auto"/>
        </w:rPr>
        <w:t>The Facility Agreement contains customary events of default and requires that we satisfy various financial and non-financial covenants. The compliance calculations of the financial covenants of the Facility Agreement permit us to include certain cash funds we receive from the issuance of our common stock and/or subordinated indebtedness. We refer to these funds as "Equity Cure Contributions". If we violate any covenants and are unable to obtain a sufficient Equity Cure Contribution or a waiver, or are unable to make payments to satisfy our debt obligations under the Facility Agreement and are unable to obtain a waiver, we would be in default under the Facility Agreement, and the lenders could accelerate payment of the indebtedness. As of June 30, 2020, we were in compliance with respect to the covenants of the Facility Agreement. We continue to monitor the impact of COVID-19 on our results of operations and liquidity relative to compliance with financial covenants, as previously discussed.</w:t>
      </w:r>
    </w:p>
    <w:p>
      <w:pPr>
        <w:spacing w:after="0" w:line="204" w:lineRule="exact"/>
        <w:rPr>
          <w:sz w:val="20"/>
          <w:szCs w:val="20"/>
          <w:color w:val="auto"/>
        </w:rPr>
      </w:pPr>
    </w:p>
    <w:p>
      <w:pPr>
        <w:jc w:val="both"/>
        <w:ind w:firstLine="243"/>
        <w:spacing w:after="0" w:line="259" w:lineRule="auto"/>
        <w:rPr>
          <w:sz w:val="20"/>
          <w:szCs w:val="20"/>
          <w:color w:val="auto"/>
        </w:rPr>
      </w:pPr>
      <w:r>
        <w:rPr>
          <w:rFonts w:ascii="Arial" w:cs="Arial" w:eastAsia="Arial" w:hAnsi="Arial"/>
          <w:sz w:val="18"/>
          <w:szCs w:val="18"/>
          <w:color w:val="auto"/>
        </w:rPr>
        <w:t>The Facility Agreement requires that we maintain a debt service reserve account that is pledged to secure our obligations under the Facility Agreement. The required balance in the debt service reserve account must equal at least $50.9 million. As of June 30, 2020, the balance in the debt service reserve account was $51.2 million and is classified as non-current on our condensed consolidated balance sheet as it is expected to be used towards the final scheduled payment due upon maturity of the Facility Agreement in December 2022.</w:t>
      </w:r>
    </w:p>
    <w:p>
      <w:pPr>
        <w:spacing w:after="0" w:line="214" w:lineRule="exact"/>
        <w:rPr>
          <w:sz w:val="20"/>
          <w:szCs w:val="20"/>
          <w:color w:val="auto"/>
        </w:rPr>
      </w:pPr>
    </w:p>
    <w:p>
      <w:pPr>
        <w:jc w:val="both"/>
        <w:ind w:firstLine="243"/>
        <w:spacing w:after="0" w:line="254" w:lineRule="auto"/>
        <w:rPr>
          <w:sz w:val="20"/>
          <w:szCs w:val="20"/>
          <w:color w:val="auto"/>
        </w:rPr>
      </w:pPr>
      <w:r>
        <w:rPr>
          <w:rFonts w:ascii="Arial" w:cs="Arial" w:eastAsia="Arial" w:hAnsi="Arial"/>
          <w:sz w:val="18"/>
          <w:szCs w:val="18"/>
          <w:color w:val="auto"/>
        </w:rPr>
        <w:t>The amended and restated Facility Agreement includes a requirement that we raise no less than $45.0 million of equity prior to March 31, 2021 via the cash exercise of outstanding warrants or other equity to be applied towards the principal payment due on June 30, 2021 and then, if applicable, to the next scheduled principal payments. We currently expect to fulfill this requirement with proceeds from the remaining warrants issued to the Second Lien Term Loan Facility lenders in November 2019; in December 2019, we received proceeds of $3.6 million from the exercise of a portion of warrants issued to the Second Lien Term Loan Facility Agreement lenders, which is retained in the equity proceeds account under the Facility Agreement and is recorded in current restricted cash on our condensed consolidated balance sheet as of June 30, 2020 and is expected to be used to fulfill a portion of the $45.0 million requirement discussed above.</w:t>
      </w:r>
    </w:p>
    <w:p>
      <w:pPr>
        <w:spacing w:after="0" w:line="222" w:lineRule="exact"/>
        <w:rPr>
          <w:sz w:val="20"/>
          <w:szCs w:val="20"/>
          <w:color w:val="auto"/>
        </w:rPr>
      </w:pPr>
    </w:p>
    <w:p>
      <w:pPr>
        <w:jc w:val="both"/>
        <w:ind w:firstLine="283"/>
        <w:spacing w:after="0" w:line="277" w:lineRule="auto"/>
        <w:rPr>
          <w:sz w:val="20"/>
          <w:szCs w:val="20"/>
          <w:color w:val="auto"/>
        </w:rPr>
      </w:pPr>
      <w:r>
        <w:rPr>
          <w:rFonts w:ascii="Arial" w:cs="Arial" w:eastAsia="Arial" w:hAnsi="Arial"/>
          <w:sz w:val="18"/>
          <w:szCs w:val="18"/>
          <w:color w:val="auto"/>
        </w:rPr>
        <w:t>See Note 4: Long-Term Debt and Other Financing Arrangements to our condensed consolidated financial statements for further discussion of the Facility Agreement.</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Second Lien Facility Agreement</w:t>
      </w:r>
    </w:p>
    <w:p>
      <w:pPr>
        <w:spacing w:after="0" w:line="252" w:lineRule="exact"/>
        <w:rPr>
          <w:sz w:val="20"/>
          <w:szCs w:val="20"/>
          <w:color w:val="auto"/>
        </w:rPr>
      </w:pPr>
    </w:p>
    <w:p>
      <w:pPr>
        <w:jc w:val="both"/>
        <w:ind w:firstLine="243"/>
        <w:spacing w:after="0" w:line="257" w:lineRule="auto"/>
        <w:rPr>
          <w:sz w:val="20"/>
          <w:szCs w:val="20"/>
          <w:color w:val="auto"/>
        </w:rPr>
      </w:pPr>
      <w:r>
        <w:rPr>
          <w:rFonts w:ascii="Arial" w:cs="Arial" w:eastAsia="Arial" w:hAnsi="Arial"/>
          <w:sz w:val="18"/>
          <w:szCs w:val="18"/>
          <w:color w:val="auto"/>
        </w:rPr>
        <w:t>In 2019, we entered into a $199.0 million Second Lien Term Loan Facility with Thermo, EchoStar Corporation and certain other unaffiliated lenders. The Second Lien Term Loan Facility is scheduled to mature in November 2025. The loans under the Second Lien Term Loan Facility bear interest at a blended rate of 13.5% per annum to be paid-in-kind (or in cash at our option, subject to restrictions in the Facility Agreement). The cash proceeds from this loan were net of a 3% original issue discount. As of June 30, 2020, the principal amount outstanding under the Second Lien Term Loan Facility was $215.5 million.</w:t>
      </w:r>
    </w:p>
    <w:p>
      <w:pPr>
        <w:spacing w:after="0" w:line="215" w:lineRule="exact"/>
        <w:rPr>
          <w:sz w:val="20"/>
          <w:szCs w:val="20"/>
          <w:color w:val="auto"/>
        </w:rPr>
      </w:pPr>
    </w:p>
    <w:p>
      <w:pPr>
        <w:jc w:val="both"/>
        <w:ind w:firstLine="243"/>
        <w:spacing w:after="0" w:line="308" w:lineRule="auto"/>
        <w:rPr>
          <w:sz w:val="20"/>
          <w:szCs w:val="20"/>
          <w:color w:val="auto"/>
        </w:rPr>
      </w:pPr>
      <w:r>
        <w:rPr>
          <w:rFonts w:ascii="Arial" w:cs="Arial" w:eastAsia="Arial" w:hAnsi="Arial"/>
          <w:sz w:val="17"/>
          <w:szCs w:val="17"/>
          <w:color w:val="auto"/>
        </w:rPr>
        <w:t>As additional consideration for the loan, we issued the lenders warrants to purchase 124.5 million shares of common stock an exercise price of $0.38 per share. These warrants expire on March 31, 2021. As of June 30, 2020, approximately 115.0 million warrants remain outstanding.</w:t>
      </w:r>
    </w:p>
    <w:p>
      <w:pPr>
        <w:spacing w:after="0" w:line="173" w:lineRule="exact"/>
        <w:rPr>
          <w:sz w:val="20"/>
          <w:szCs w:val="20"/>
          <w:color w:val="auto"/>
        </w:rPr>
      </w:pPr>
    </w:p>
    <w:p>
      <w:pPr>
        <w:jc w:val="both"/>
        <w:ind w:firstLine="243"/>
        <w:spacing w:after="0" w:line="277" w:lineRule="auto"/>
        <w:rPr>
          <w:sz w:val="20"/>
          <w:szCs w:val="20"/>
          <w:color w:val="auto"/>
        </w:rPr>
      </w:pPr>
      <w:r>
        <w:rPr>
          <w:rFonts w:ascii="Arial" w:cs="Arial" w:eastAsia="Arial" w:hAnsi="Arial"/>
          <w:sz w:val="18"/>
          <w:szCs w:val="18"/>
          <w:color w:val="auto"/>
        </w:rPr>
        <w:t>The Second Lien Term Loan Facility contains customary events of default and requires us to satisfy various financial and non-financial covenants. As of June 30, 2020, we were in compliance with all the covenants of the Second Lien Term Loan Facility.</w:t>
      </w:r>
    </w:p>
    <w:p>
      <w:pPr>
        <w:spacing w:after="0" w:line="197" w:lineRule="exact"/>
        <w:rPr>
          <w:sz w:val="20"/>
          <w:szCs w:val="20"/>
          <w:color w:val="auto"/>
        </w:rPr>
      </w:pPr>
    </w:p>
    <w:p>
      <w:pPr>
        <w:jc w:val="both"/>
        <w:ind w:firstLine="283"/>
        <w:spacing w:after="0" w:line="277" w:lineRule="auto"/>
        <w:rPr>
          <w:sz w:val="20"/>
          <w:szCs w:val="20"/>
          <w:color w:val="auto"/>
        </w:rPr>
      </w:pPr>
      <w:r>
        <w:rPr>
          <w:rFonts w:ascii="Arial" w:cs="Arial" w:eastAsia="Arial" w:hAnsi="Arial"/>
          <w:sz w:val="18"/>
          <w:szCs w:val="18"/>
          <w:color w:val="auto"/>
        </w:rPr>
        <w:t>See Note 4: Long-Term Debt and Other Financing Arrangements to our condensed consolidated financial statements for further discussion of the Second Lien Term Loan Facility.</w:t>
      </w:r>
    </w:p>
    <w:p>
      <w:pPr>
        <w:spacing w:after="0" w:line="200" w:lineRule="exact"/>
        <w:rPr>
          <w:sz w:val="20"/>
          <w:szCs w:val="20"/>
          <w:color w:val="auto"/>
        </w:rPr>
      </w:pPr>
    </w:p>
    <w:p>
      <w:pPr>
        <w:spacing w:after="0" w:line="3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sectPr>
      </w:pPr>
    </w:p>
    <w:bookmarkStart w:id="29" w:name="page30"/>
    <w:bookmarkEnd w:id="29"/>
    <w:p>
      <w:pPr>
        <w:spacing w:after="0"/>
        <w:rPr>
          <w:sz w:val="20"/>
          <w:szCs w:val="20"/>
          <w:color w:val="auto"/>
        </w:rPr>
      </w:pPr>
      <w:r>
        <w:rPr>
          <w:rFonts w:ascii="Arial" w:cs="Arial" w:eastAsia="Arial" w:hAnsi="Arial"/>
          <w:sz w:val="18"/>
          <w:szCs w:val="18"/>
          <w:i w:val="1"/>
          <w:iCs w:val="1"/>
          <w:color w:val="auto"/>
        </w:rPr>
        <w:t>Thermo Agreement</w:t>
      </w:r>
    </w:p>
    <w:p>
      <w:pPr>
        <w:spacing w:after="0" w:line="252" w:lineRule="exact"/>
        <w:rPr>
          <w:sz w:val="20"/>
          <w:szCs w:val="20"/>
          <w:color w:val="auto"/>
        </w:rPr>
      </w:pPr>
    </w:p>
    <w:p>
      <w:pPr>
        <w:jc w:val="both"/>
        <w:ind w:firstLine="283"/>
        <w:spacing w:after="0" w:line="259" w:lineRule="auto"/>
        <w:rPr>
          <w:sz w:val="20"/>
          <w:szCs w:val="20"/>
          <w:color w:val="auto"/>
        </w:rPr>
      </w:pPr>
      <w:r>
        <w:rPr>
          <w:rFonts w:ascii="Arial" w:cs="Arial" w:eastAsia="Arial" w:hAnsi="Arial"/>
          <w:sz w:val="18"/>
          <w:szCs w:val="18"/>
          <w:color w:val="auto"/>
        </w:rPr>
        <w:t>We had an amended and restated loan agreement with Thermo (the “Loan Agreement”). Our obligations to Thermo under the Loan Agreement were subordinated to all of our obligations under the Facility Agreement and the Second Lien Term Loan Facility. The Loan Agreement was convertible into shares of common stock at a conversion price of $0.69 (as adjusted) per share of common stock and accrued interest at 12% per annum, which we capitalized and added to the outstanding principal in lieu of cash payments.</w:t>
      </w:r>
    </w:p>
    <w:p>
      <w:pPr>
        <w:spacing w:after="0" w:line="214" w:lineRule="exact"/>
        <w:rPr>
          <w:sz w:val="20"/>
          <w:szCs w:val="20"/>
          <w:color w:val="auto"/>
        </w:rPr>
      </w:pPr>
    </w:p>
    <w:p>
      <w:pPr>
        <w:jc w:val="both"/>
        <w:ind w:firstLine="283"/>
        <w:spacing w:after="0" w:line="308" w:lineRule="auto"/>
        <w:rPr>
          <w:sz w:val="20"/>
          <w:szCs w:val="20"/>
          <w:color w:val="auto"/>
        </w:rPr>
      </w:pPr>
      <w:r>
        <w:rPr>
          <w:rFonts w:ascii="Arial" w:cs="Arial" w:eastAsia="Arial" w:hAnsi="Arial"/>
          <w:sz w:val="17"/>
          <w:szCs w:val="17"/>
          <w:color w:val="auto"/>
        </w:rPr>
        <w:t>On February 19, 2020, Thermo converted the entire principal balance outstanding under the Loan Agreement, which totaled $137.4 million and included accrued interest since inception of $93.9 million. This conversion resulted in the issuance of 200.1 million shares of common stock.</w:t>
      </w:r>
    </w:p>
    <w:p>
      <w:pPr>
        <w:spacing w:after="0" w:line="173" w:lineRule="exact"/>
        <w:rPr>
          <w:sz w:val="20"/>
          <w:szCs w:val="20"/>
          <w:color w:val="auto"/>
        </w:rPr>
      </w:pPr>
    </w:p>
    <w:p>
      <w:pPr>
        <w:jc w:val="both"/>
        <w:ind w:firstLine="243"/>
        <w:spacing w:after="0" w:line="277" w:lineRule="auto"/>
        <w:rPr>
          <w:sz w:val="20"/>
          <w:szCs w:val="20"/>
          <w:color w:val="auto"/>
        </w:rPr>
      </w:pPr>
      <w:r>
        <w:rPr>
          <w:rFonts w:ascii="Arial" w:cs="Arial" w:eastAsia="Arial" w:hAnsi="Arial"/>
          <w:sz w:val="18"/>
          <w:szCs w:val="18"/>
          <w:color w:val="auto"/>
        </w:rPr>
        <w:t>See Note 4: Long-Term Debt and Other Financing Arrangements to our condensed consolidated financial statements for further discussion of the Thermo Agreements.</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8.00% Convertible Senior Notes Issued in 2013</w:t>
      </w:r>
    </w:p>
    <w:p>
      <w:pPr>
        <w:spacing w:after="0" w:line="252" w:lineRule="exact"/>
        <w:rPr>
          <w:sz w:val="20"/>
          <w:szCs w:val="20"/>
          <w:color w:val="auto"/>
        </w:rPr>
      </w:pPr>
    </w:p>
    <w:p>
      <w:pPr>
        <w:jc w:val="both"/>
        <w:ind w:firstLine="283"/>
        <w:spacing w:after="0" w:line="296" w:lineRule="auto"/>
        <w:rPr>
          <w:sz w:val="20"/>
          <w:szCs w:val="20"/>
          <w:color w:val="auto"/>
        </w:rPr>
      </w:pPr>
      <w:r>
        <w:rPr>
          <w:rFonts w:ascii="Arial" w:cs="Arial" w:eastAsia="Arial" w:hAnsi="Arial"/>
          <w:sz w:val="16"/>
          <w:szCs w:val="16"/>
          <w:color w:val="auto"/>
        </w:rPr>
        <w:t>Our 2013 8.00% Notes are convertible into shares of our common stock at a conversion price of $0.69 (as adjusted) per share of common stock. As of June 30, 2020, the principal amount outstanding of the 2013 8.00% Notes was $1.4 million. The 2013 8.00% Notes will mature on April 1, 2028, subject to various call and put features. Interest on the 2013 8.00% Notes is payable semi-annually in arrears on April 1 and October 1 of each year. We pay interest in cash at a rate of 5.75% per annum and by issuing additional 2013 8.00% Notes at a rate of 2.25% per annum. The indenture governing the 2013 8.00% Notes provides for customary events of default. As of June 30, 2020, we were in compliance under the terms of the 2013 8.00% Notes and the Indenture.</w:t>
      </w:r>
    </w:p>
    <w:p>
      <w:pPr>
        <w:spacing w:after="0" w:line="188" w:lineRule="exact"/>
        <w:rPr>
          <w:sz w:val="20"/>
          <w:szCs w:val="20"/>
          <w:color w:val="auto"/>
        </w:rPr>
      </w:pPr>
    </w:p>
    <w:p>
      <w:pPr>
        <w:jc w:val="both"/>
        <w:ind w:firstLine="283"/>
        <w:spacing w:after="0" w:line="277" w:lineRule="auto"/>
        <w:rPr>
          <w:sz w:val="20"/>
          <w:szCs w:val="20"/>
          <w:color w:val="auto"/>
        </w:rPr>
      </w:pPr>
      <w:r>
        <w:rPr>
          <w:rFonts w:ascii="Arial" w:cs="Arial" w:eastAsia="Arial" w:hAnsi="Arial"/>
          <w:sz w:val="18"/>
          <w:szCs w:val="18"/>
          <w:color w:val="auto"/>
        </w:rPr>
        <w:t>See Note 4: Long-Term Debt and Other Financing Arrangements to our condensed consolidated financial statements for further discussion of the 2013 8.00% Notes.</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Payroll Protection Program Loan</w:t>
      </w:r>
    </w:p>
    <w:p>
      <w:pPr>
        <w:spacing w:after="0" w:line="252" w:lineRule="exact"/>
        <w:rPr>
          <w:sz w:val="20"/>
          <w:szCs w:val="20"/>
          <w:color w:val="auto"/>
        </w:rPr>
      </w:pPr>
    </w:p>
    <w:p>
      <w:pPr>
        <w:jc w:val="both"/>
        <w:ind w:firstLine="243"/>
        <w:spacing w:after="0" w:line="254" w:lineRule="auto"/>
        <w:rPr>
          <w:sz w:val="20"/>
          <w:szCs w:val="20"/>
          <w:color w:val="auto"/>
        </w:rPr>
      </w:pPr>
      <w:r>
        <w:rPr>
          <w:rFonts w:ascii="Arial" w:cs="Arial" w:eastAsia="Arial" w:hAnsi="Arial"/>
          <w:sz w:val="18"/>
          <w:szCs w:val="18"/>
          <w:color w:val="auto"/>
        </w:rPr>
        <w:t>As previously discussed, we sought relief under the CARES Act, including receiving a $5.0 million loan under the payroll protection program (the "PPP") in April 2020 (the "PPP Loan"). As of June 30, 2020, the principal amount outstanding under the PPP Loan was $5.0 million, which is classified as non-current based on the contractual terms of the loan (as modified). The Company expects to apply for loan forgiveness, in accordance with the terms of the CARES Act, based on payroll and other allowable costs incurred since the date of the loan. Any amount not forgiven by the Small Business Administration (the "SBA") is subject to an interest rate of 1.00% per annum commencing on the date of the loan with principal and interest payments beginning after the SBA has concluded on forgiveness, subject to the PPP rules. Our first and second lien lenders will require us to accelerate the repayment of any portion of the loan amount that is not forgiven.</w:t>
      </w:r>
    </w:p>
    <w:p>
      <w:pPr>
        <w:spacing w:after="0" w:line="222" w:lineRule="exact"/>
        <w:rPr>
          <w:sz w:val="20"/>
          <w:szCs w:val="20"/>
          <w:color w:val="auto"/>
        </w:rPr>
      </w:pPr>
    </w:p>
    <w:p>
      <w:pPr>
        <w:jc w:val="both"/>
        <w:ind w:firstLine="283"/>
        <w:spacing w:after="0" w:line="277" w:lineRule="auto"/>
        <w:rPr>
          <w:sz w:val="20"/>
          <w:szCs w:val="20"/>
          <w:color w:val="auto"/>
        </w:rPr>
      </w:pPr>
      <w:r>
        <w:rPr>
          <w:rFonts w:ascii="Arial" w:cs="Arial" w:eastAsia="Arial" w:hAnsi="Arial"/>
          <w:sz w:val="18"/>
          <w:szCs w:val="18"/>
          <w:color w:val="auto"/>
        </w:rPr>
        <w:t>See Note 4: Long-Term Debt and Other Financing Arrangements to our condensed consolidated financial statements for further discussion of the PPP Loan.</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Flows for the six months ended June 30, 2020 and 2019</w:t>
      </w:r>
    </w:p>
    <w:p>
      <w:pPr>
        <w:spacing w:after="0" w:line="252" w:lineRule="exact"/>
        <w:rPr>
          <w:sz w:val="20"/>
          <w:szCs w:val="20"/>
          <w:color w:val="auto"/>
        </w:rPr>
      </w:pPr>
    </w:p>
    <w:p>
      <w:pPr>
        <w:ind w:left="260"/>
        <w:spacing w:after="0"/>
        <w:rPr>
          <w:sz w:val="20"/>
          <w:szCs w:val="20"/>
          <w:color w:val="auto"/>
        </w:rPr>
      </w:pPr>
      <w:r>
        <w:rPr>
          <w:rFonts w:ascii="Arial" w:cs="Arial" w:eastAsia="Arial" w:hAnsi="Arial"/>
          <w:sz w:val="18"/>
          <w:szCs w:val="18"/>
          <w:color w:val="auto"/>
        </w:rPr>
        <w:t>The following table shows our cash flows from operating, investing and financing activities (in thousands):</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8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3000" w:type="dxa"/>
            <w:vAlign w:val="bottom"/>
            <w:gridSpan w:val="4"/>
          </w:tcPr>
          <w:p>
            <w:pPr>
              <w:jc w:val="right"/>
              <w:ind w:right="890"/>
              <w:spacing w:after="0"/>
              <w:rPr>
                <w:sz w:val="20"/>
                <w:szCs w:val="20"/>
                <w:color w:val="auto"/>
              </w:rPr>
            </w:pPr>
            <w:r>
              <w:rPr>
                <w:rFonts w:ascii="Arial" w:cs="Arial" w:eastAsia="Arial" w:hAnsi="Arial"/>
                <w:sz w:val="18"/>
                <w:szCs w:val="18"/>
                <w:color w:val="auto"/>
              </w:rPr>
              <w:t>Six Months Ended</w:t>
            </w:r>
          </w:p>
        </w:tc>
      </w:tr>
      <w:tr>
        <w:trPr>
          <w:trHeight w:val="27"/>
        </w:trPr>
        <w:tc>
          <w:tcPr>
            <w:tcW w:w="782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gridSpan w:val="2"/>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22"/>
        </w:trPr>
        <w:tc>
          <w:tcPr>
            <w:tcW w:w="78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340" w:type="dxa"/>
            <w:vAlign w:val="bottom"/>
            <w:gridSpan w:val="2"/>
          </w:tcPr>
          <w:p>
            <w:pPr>
              <w:ind w:left="180"/>
              <w:spacing w:after="0"/>
              <w:rPr>
                <w:sz w:val="20"/>
                <w:szCs w:val="20"/>
                <w:color w:val="auto"/>
              </w:rPr>
            </w:pPr>
            <w:r>
              <w:rPr>
                <w:rFonts w:ascii="Arial" w:cs="Arial" w:eastAsia="Arial" w:hAnsi="Arial"/>
                <w:sz w:val="18"/>
                <w:szCs w:val="18"/>
                <w:color w:val="auto"/>
              </w:rPr>
              <w:t>June 30,</w:t>
            </w:r>
          </w:p>
        </w:tc>
        <w:tc>
          <w:tcPr>
            <w:tcW w:w="320" w:type="dxa"/>
            <w:vAlign w:val="bottom"/>
          </w:tcPr>
          <w:p>
            <w:pPr>
              <w:spacing w:after="0"/>
              <w:rPr>
                <w:sz w:val="19"/>
                <w:szCs w:val="19"/>
                <w:color w:val="auto"/>
              </w:rPr>
            </w:pPr>
          </w:p>
        </w:tc>
        <w:tc>
          <w:tcPr>
            <w:tcW w:w="1340" w:type="dxa"/>
            <w:vAlign w:val="bottom"/>
          </w:tcPr>
          <w:p>
            <w:pPr>
              <w:jc w:val="right"/>
              <w:ind w:right="430"/>
              <w:spacing w:after="0"/>
              <w:rPr>
                <w:sz w:val="20"/>
                <w:szCs w:val="20"/>
                <w:color w:val="auto"/>
              </w:rPr>
            </w:pPr>
            <w:r>
              <w:rPr>
                <w:rFonts w:ascii="Arial" w:cs="Arial" w:eastAsia="Arial" w:hAnsi="Arial"/>
                <w:sz w:val="18"/>
                <w:szCs w:val="18"/>
                <w:color w:val="auto"/>
              </w:rPr>
              <w:t>June 30,</w:t>
            </w:r>
          </w:p>
        </w:tc>
      </w:tr>
      <w:tr>
        <w:trPr>
          <w:trHeight w:val="230"/>
        </w:trPr>
        <w:tc>
          <w:tcPr>
            <w:tcW w:w="78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240" w:type="dxa"/>
            <w:vAlign w:val="bottom"/>
          </w:tcPr>
          <w:p>
            <w:pPr>
              <w:jc w:val="right"/>
              <w:ind w:right="490"/>
              <w:spacing w:after="0"/>
              <w:rPr>
                <w:sz w:val="20"/>
                <w:szCs w:val="20"/>
                <w:color w:val="auto"/>
              </w:rPr>
            </w:pPr>
            <w:r>
              <w:rPr>
                <w:rFonts w:ascii="Arial" w:cs="Arial" w:eastAsia="Arial" w:hAnsi="Arial"/>
                <w:sz w:val="18"/>
                <w:szCs w:val="18"/>
                <w:color w:val="auto"/>
              </w:rPr>
              <w:t>2020</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340" w:type="dxa"/>
            <w:vAlign w:val="bottom"/>
          </w:tcPr>
          <w:p>
            <w:pPr>
              <w:jc w:val="right"/>
              <w:ind w:right="550"/>
              <w:spacing w:after="0"/>
              <w:rPr>
                <w:sz w:val="20"/>
                <w:szCs w:val="20"/>
                <w:color w:val="auto"/>
              </w:rPr>
            </w:pPr>
            <w:r>
              <w:rPr>
                <w:rFonts w:ascii="Arial" w:cs="Arial" w:eastAsia="Arial" w:hAnsi="Arial"/>
                <w:sz w:val="18"/>
                <w:szCs w:val="18"/>
                <w:color w:val="auto"/>
              </w:rPr>
              <w:t>2019</w:t>
            </w:r>
          </w:p>
        </w:tc>
      </w:tr>
      <w:tr>
        <w:trPr>
          <w:trHeight w:val="27"/>
        </w:trPr>
        <w:tc>
          <w:tcPr>
            <w:tcW w:w="78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44"/>
        </w:trPr>
        <w:tc>
          <w:tcPr>
            <w:tcW w:w="78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cash provided by operating activities</w:t>
            </w: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24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8,859</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1,810</w:t>
            </w:r>
          </w:p>
        </w:tc>
      </w:tr>
      <w:tr>
        <w:trPr>
          <w:trHeight w:val="243"/>
        </w:trPr>
        <w:tc>
          <w:tcPr>
            <w:tcW w:w="7820" w:type="dxa"/>
            <w:vAlign w:val="bottom"/>
          </w:tcPr>
          <w:p>
            <w:pPr>
              <w:ind w:left="20"/>
              <w:spacing w:after="0"/>
              <w:rPr>
                <w:sz w:val="20"/>
                <w:szCs w:val="20"/>
                <w:color w:val="auto"/>
              </w:rPr>
            </w:pPr>
            <w:r>
              <w:rPr>
                <w:rFonts w:ascii="Arial" w:cs="Arial" w:eastAsia="Arial" w:hAnsi="Arial"/>
                <w:sz w:val="18"/>
                <w:szCs w:val="18"/>
                <w:color w:val="auto"/>
              </w:rPr>
              <w:t>Net cash used in investing activities</w:t>
            </w:r>
          </w:p>
        </w:tc>
        <w:tc>
          <w:tcPr>
            <w:tcW w:w="280" w:type="dxa"/>
            <w:vAlign w:val="bottom"/>
          </w:tcPr>
          <w:p>
            <w:pPr>
              <w:spacing w:after="0"/>
              <w:rPr>
                <w:sz w:val="21"/>
                <w:szCs w:val="21"/>
                <w:color w:val="auto"/>
              </w:rPr>
            </w:pPr>
          </w:p>
        </w:tc>
        <w:tc>
          <w:tcPr>
            <w:tcW w:w="1240" w:type="dxa"/>
            <w:vAlign w:val="bottom"/>
          </w:tcPr>
          <w:p>
            <w:pPr>
              <w:jc w:val="right"/>
              <w:ind w:right="30"/>
              <w:spacing w:after="0"/>
              <w:rPr>
                <w:sz w:val="20"/>
                <w:szCs w:val="20"/>
                <w:color w:val="auto"/>
              </w:rPr>
            </w:pPr>
            <w:r>
              <w:rPr>
                <w:rFonts w:ascii="Arial" w:cs="Arial" w:eastAsia="Arial" w:hAnsi="Arial"/>
                <w:sz w:val="18"/>
                <w:szCs w:val="18"/>
                <w:color w:val="auto"/>
              </w:rPr>
              <w:t>(4,879)</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(5,097)</w:t>
            </w:r>
          </w:p>
        </w:tc>
      </w:tr>
      <w:tr>
        <w:trPr>
          <w:trHeight w:val="27"/>
        </w:trPr>
        <w:tc>
          <w:tcPr>
            <w:tcW w:w="78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78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cash provided by financing activities</w:t>
            </w:r>
          </w:p>
        </w:tc>
        <w:tc>
          <w:tcPr>
            <w:tcW w:w="28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3,969</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13,737</w:t>
            </w:r>
          </w:p>
        </w:tc>
      </w:tr>
      <w:tr>
        <w:trPr>
          <w:trHeight w:val="243"/>
        </w:trPr>
        <w:tc>
          <w:tcPr>
            <w:tcW w:w="7820" w:type="dxa"/>
            <w:vAlign w:val="bottom"/>
          </w:tcPr>
          <w:p>
            <w:pPr>
              <w:ind w:left="20"/>
              <w:spacing w:after="0"/>
              <w:rPr>
                <w:sz w:val="20"/>
                <w:szCs w:val="20"/>
                <w:color w:val="auto"/>
              </w:rPr>
            </w:pPr>
            <w:r>
              <w:rPr>
                <w:rFonts w:ascii="Arial" w:cs="Arial" w:eastAsia="Arial" w:hAnsi="Arial"/>
                <w:sz w:val="18"/>
                <w:szCs w:val="18"/>
                <w:color w:val="auto"/>
              </w:rPr>
              <w:t>Effect of exchange rate changes on cash, cash equivalents and restricted cash</w:t>
            </w:r>
          </w:p>
        </w:tc>
        <w:tc>
          <w:tcPr>
            <w:tcW w:w="280" w:type="dxa"/>
            <w:vAlign w:val="bottom"/>
          </w:tcPr>
          <w:p>
            <w:pPr>
              <w:spacing w:after="0"/>
              <w:rPr>
                <w:sz w:val="21"/>
                <w:szCs w:val="21"/>
                <w:color w:val="auto"/>
              </w:rPr>
            </w:pPr>
          </w:p>
        </w:tc>
        <w:tc>
          <w:tcPr>
            <w:tcW w:w="1240" w:type="dxa"/>
            <w:vAlign w:val="bottom"/>
          </w:tcPr>
          <w:p>
            <w:pPr>
              <w:jc w:val="right"/>
              <w:ind w:right="30"/>
              <w:spacing w:after="0"/>
              <w:rPr>
                <w:sz w:val="20"/>
                <w:szCs w:val="20"/>
                <w:color w:val="auto"/>
              </w:rPr>
            </w:pPr>
            <w:r>
              <w:rPr>
                <w:rFonts w:ascii="Arial" w:cs="Arial" w:eastAsia="Arial" w:hAnsi="Arial"/>
                <w:sz w:val="18"/>
                <w:szCs w:val="18"/>
                <w:color w:val="auto"/>
              </w:rPr>
              <w:t>(148)</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340" w:type="dxa"/>
            <w:vAlign w:val="bottom"/>
          </w:tcPr>
          <w:p>
            <w:pPr>
              <w:jc w:val="right"/>
              <w:ind w:right="50"/>
              <w:spacing w:after="0"/>
              <w:rPr>
                <w:sz w:val="20"/>
                <w:szCs w:val="20"/>
                <w:color w:val="auto"/>
              </w:rPr>
            </w:pPr>
            <w:r>
              <w:rPr>
                <w:rFonts w:ascii="Arial" w:cs="Arial" w:eastAsia="Arial" w:hAnsi="Arial"/>
                <w:sz w:val="18"/>
                <w:szCs w:val="18"/>
                <w:color w:val="auto"/>
              </w:rPr>
              <w:t>43</w:t>
            </w:r>
          </w:p>
        </w:tc>
      </w:tr>
      <w:tr>
        <w:trPr>
          <w:trHeight w:val="27"/>
        </w:trPr>
        <w:tc>
          <w:tcPr>
            <w:tcW w:w="78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89"/>
        </w:trPr>
        <w:tc>
          <w:tcPr>
            <w:tcW w:w="78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increase in cash, cash equivalents and restricted cash</w:t>
            </w:r>
          </w:p>
        </w:tc>
        <w:tc>
          <w:tcPr>
            <w:tcW w:w="28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24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7,801</w:t>
            </w:r>
          </w:p>
        </w:tc>
        <w:tc>
          <w:tcPr>
            <w:tcW w:w="100" w:type="dxa"/>
            <w:vAlign w:val="bottom"/>
            <w:tcBorders>
              <w:bottom w:val="single" w:sz="8" w:color="CCEEFF"/>
            </w:tcBorders>
            <w:shd w:val="clear" w:color="auto" w:fill="CCEEFF"/>
          </w:tcPr>
          <w:p>
            <w:pPr>
              <w:spacing w:after="0"/>
              <w:rPr>
                <w:sz w:val="24"/>
                <w:szCs w:val="24"/>
                <w:color w:val="auto"/>
              </w:rPr>
            </w:pPr>
          </w:p>
        </w:tc>
        <w:tc>
          <w:tcPr>
            <w:tcW w:w="32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rPr>
              <w:t>10,493</w:t>
            </w:r>
          </w:p>
        </w:tc>
      </w:tr>
      <w:tr>
        <w:trPr>
          <w:trHeight w:val="20"/>
        </w:trPr>
        <w:tc>
          <w:tcPr>
            <w:tcW w:w="78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2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34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38" w:right="339" w:bottom="1440" w:gutter="0" w:footer="0" w:header="0"/>
        </w:sectPr>
      </w:pPr>
    </w:p>
    <w:bookmarkStart w:id="30" w:name="page31"/>
    <w:bookmarkEnd w:id="30"/>
    <w:p>
      <w:pPr>
        <w:spacing w:after="0"/>
        <w:rPr>
          <w:sz w:val="20"/>
          <w:szCs w:val="20"/>
          <w:color w:val="auto"/>
        </w:rPr>
      </w:pPr>
      <w:r>
        <w:rPr>
          <w:rFonts w:ascii="Arial" w:cs="Arial" w:eastAsia="Arial" w:hAnsi="Arial"/>
          <w:sz w:val="18"/>
          <w:szCs w:val="18"/>
          <w:i w:val="1"/>
          <w:iCs w:val="1"/>
          <w:color w:val="auto"/>
        </w:rPr>
        <w:t>Cash Flows Provided by Operating Activities</w:t>
      </w:r>
    </w:p>
    <w:p>
      <w:pPr>
        <w:spacing w:after="0" w:line="252" w:lineRule="exact"/>
        <w:rPr>
          <w:sz w:val="20"/>
          <w:szCs w:val="20"/>
          <w:color w:val="auto"/>
        </w:rPr>
      </w:pPr>
    </w:p>
    <w:p>
      <w:pPr>
        <w:jc w:val="both"/>
        <w:ind w:firstLine="243"/>
        <w:spacing w:after="0" w:line="270" w:lineRule="auto"/>
        <w:rPr>
          <w:sz w:val="20"/>
          <w:szCs w:val="20"/>
          <w:color w:val="auto"/>
        </w:rPr>
      </w:pPr>
      <w:r>
        <w:rPr>
          <w:rFonts w:ascii="Arial" w:cs="Arial" w:eastAsia="Arial" w:hAnsi="Arial"/>
          <w:sz w:val="17"/>
          <w:szCs w:val="17"/>
          <w:color w:val="auto"/>
        </w:rPr>
        <w:t>Net cash provided by operations includes primarily cash receipts from subscribers related to the purchase of equipment and satellite voice and data services as well as cash received from the performance of engineering and other service contracts. We use cash in operating activities primarily for personnel costs, inventory purchases and other general corporate expenditures. Net cash provided by operating activities during the six months ended June 30, 2020 was $8.9 million compared to $1.8 million during the same period in 2019. The increase was due primarily to higher net income after adjusting for non-cash items due to an increase in revenue as well as a reduction in operating expenses. Offsetting the increase due to higher net income after adjusting for non-cash items were unfavorable working capital changes due primarily to the timing of vendor payments. A decrease in our deferred revenue balance during the first half of 2020 also resulted in an unfavorable impact to cash flows from operations. These items were offset partially by lower inventory purchases and favorable changes in prepaid and other current assets, driven in part by the final installment of $3.7 million received in January 2020 from the 2018 settlement of a business economic loss claim.</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Cash Flows Used in Investing Activities</w:t>
      </w:r>
    </w:p>
    <w:p>
      <w:pPr>
        <w:spacing w:after="0" w:line="252" w:lineRule="exact"/>
        <w:rPr>
          <w:sz w:val="20"/>
          <w:szCs w:val="20"/>
          <w:color w:val="auto"/>
        </w:rPr>
      </w:pPr>
    </w:p>
    <w:p>
      <w:pPr>
        <w:jc w:val="both"/>
        <w:ind w:firstLine="243"/>
        <w:spacing w:after="0" w:line="259" w:lineRule="auto"/>
        <w:rPr>
          <w:sz w:val="20"/>
          <w:szCs w:val="20"/>
          <w:color w:val="auto"/>
        </w:rPr>
      </w:pPr>
      <w:r>
        <w:rPr>
          <w:rFonts w:ascii="Arial" w:cs="Arial" w:eastAsia="Arial" w:hAnsi="Arial"/>
          <w:sz w:val="18"/>
          <w:szCs w:val="18"/>
          <w:color w:val="auto"/>
        </w:rPr>
        <w:t>Net cash used in investing activities was $4.9 million for the six months ended June 30, 2020 compared to $5.1 million for the same period in 2019. During 2020, the nature of our capital expenditures was related to the procurement and deployment of new antennas for our gateways, which will continue for the near future. During 2019, the nature of our capital expenditures was related costs to bring our newly developed products into production, including software and other back-office efforts.</w:t>
      </w:r>
    </w:p>
    <w:p>
      <w:pPr>
        <w:spacing w:after="0" w:line="21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Cash Flows Provided by Financing Activities</w:t>
      </w:r>
    </w:p>
    <w:p>
      <w:pPr>
        <w:spacing w:after="0" w:line="252" w:lineRule="exact"/>
        <w:rPr>
          <w:sz w:val="20"/>
          <w:szCs w:val="20"/>
          <w:color w:val="auto"/>
        </w:rPr>
      </w:pPr>
    </w:p>
    <w:p>
      <w:pPr>
        <w:jc w:val="both"/>
        <w:ind w:firstLine="243"/>
        <w:spacing w:after="0" w:line="275" w:lineRule="auto"/>
        <w:rPr>
          <w:sz w:val="20"/>
          <w:szCs w:val="20"/>
          <w:color w:val="auto"/>
        </w:rPr>
      </w:pPr>
      <w:r>
        <w:rPr>
          <w:rFonts w:ascii="Arial" w:cs="Arial" w:eastAsia="Arial" w:hAnsi="Arial"/>
          <w:sz w:val="17"/>
          <w:szCs w:val="17"/>
          <w:color w:val="auto"/>
        </w:rPr>
        <w:t>Net cash provided by financing activities was $4.0 million and $13.7 million, respectively, during each of the six month periods ended June 30, 2020 and 2019. In April 2020, we received proceeds of $5.0 million from the PPP Loan (discussed above); these proceeds were partially offset by the timing of payments for debt financing costs from our refinancing in 2019. During the first six months of 2019, the Company raised $62.0 million from our Subordinated Loan Agreement (as discussed in our 2019 Annual Report), which was used predominantly to fund the June 2019 principal and interest payment under our Facility Agreement. Other smaller items contributed to the remaining items in each period.</w:t>
      </w:r>
    </w:p>
    <w:p>
      <w:pPr>
        <w:spacing w:after="0" w:line="20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Contractual Obligations and Commitments</w:t>
      </w:r>
    </w:p>
    <w:p>
      <w:pPr>
        <w:spacing w:after="0" w:line="252" w:lineRule="exact"/>
        <w:rPr>
          <w:sz w:val="20"/>
          <w:szCs w:val="20"/>
          <w:color w:val="auto"/>
        </w:rPr>
      </w:pPr>
    </w:p>
    <w:p>
      <w:pPr>
        <w:ind w:left="260"/>
        <w:spacing w:after="0"/>
        <w:rPr>
          <w:sz w:val="20"/>
          <w:szCs w:val="20"/>
          <w:color w:val="auto"/>
        </w:rPr>
      </w:pPr>
      <w:r>
        <w:rPr>
          <w:rFonts w:ascii="Arial" w:cs="Arial" w:eastAsia="Arial" w:hAnsi="Arial"/>
          <w:sz w:val="18"/>
          <w:szCs w:val="18"/>
          <w:color w:val="auto"/>
        </w:rPr>
        <w:t>There have been no significant changes to our contractual obligations and commitments since December 31, 2019.</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Transactions</w:t>
      </w:r>
    </w:p>
    <w:p>
      <w:pPr>
        <w:spacing w:after="0" w:line="256" w:lineRule="exact"/>
        <w:rPr>
          <w:sz w:val="20"/>
          <w:szCs w:val="20"/>
          <w:color w:val="auto"/>
        </w:rPr>
      </w:pPr>
    </w:p>
    <w:p>
      <w:pPr>
        <w:ind w:left="260"/>
        <w:spacing w:after="0"/>
        <w:rPr>
          <w:sz w:val="20"/>
          <w:szCs w:val="20"/>
          <w:color w:val="auto"/>
        </w:rPr>
      </w:pPr>
      <w:r>
        <w:rPr>
          <w:rFonts w:ascii="Arial" w:cs="Arial" w:eastAsia="Arial" w:hAnsi="Arial"/>
          <w:sz w:val="18"/>
          <w:szCs w:val="18"/>
          <w:color w:val="auto"/>
        </w:rPr>
        <w:t>We have no material off-balance sheet transactions.</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Issued Accounting Pronouncements</w:t>
      </w:r>
    </w:p>
    <w:p>
      <w:pPr>
        <w:spacing w:after="0" w:line="256" w:lineRule="exact"/>
        <w:rPr>
          <w:sz w:val="20"/>
          <w:szCs w:val="20"/>
          <w:color w:val="auto"/>
        </w:rPr>
      </w:pPr>
    </w:p>
    <w:p>
      <w:pPr>
        <w:jc w:val="both"/>
        <w:ind w:firstLine="243"/>
        <w:spacing w:after="0" w:line="263" w:lineRule="auto"/>
        <w:rPr>
          <w:sz w:val="20"/>
          <w:szCs w:val="20"/>
          <w:color w:val="auto"/>
        </w:rPr>
      </w:pPr>
      <w:r>
        <w:rPr>
          <w:rFonts w:ascii="Arial" w:cs="Arial" w:eastAsia="Arial" w:hAnsi="Arial"/>
          <w:sz w:val="18"/>
          <w:szCs w:val="18"/>
          <w:color w:val="auto"/>
        </w:rPr>
        <w:t xml:space="preserve">For a discussion of recently issued accounting guidance and the expected impact that the guidance could have on our condensed consolidated financial statements, see </w:t>
      </w:r>
      <w:r>
        <w:rPr>
          <w:rFonts w:ascii="Arial" w:cs="Arial" w:eastAsia="Arial" w:hAnsi="Arial"/>
          <w:sz w:val="18"/>
          <w:szCs w:val="18"/>
          <w:i w:val="1"/>
          <w:iCs w:val="1"/>
          <w:color w:val="auto"/>
        </w:rPr>
        <w:t>Recently Issued Accounting Pronouncements</w:t>
      </w:r>
      <w:r>
        <w:rPr>
          <w:rFonts w:ascii="Arial" w:cs="Arial" w:eastAsia="Arial" w:hAnsi="Arial"/>
          <w:sz w:val="18"/>
          <w:szCs w:val="18"/>
          <w:color w:val="auto"/>
        </w:rPr>
        <w:t xml:space="preserve"> in Note 1: Basis of Presentation to our condensed consolidated financial statements in Part 1, Item 1 of this Report.</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Quantitative and Qualitative Disclosures About Market Risk.</w:t>
      </w:r>
    </w:p>
    <w:p>
      <w:pPr>
        <w:spacing w:after="0" w:line="229" w:lineRule="exact"/>
        <w:rPr>
          <w:sz w:val="20"/>
          <w:szCs w:val="20"/>
          <w:color w:val="auto"/>
        </w:rPr>
      </w:pPr>
    </w:p>
    <w:p>
      <w:pPr>
        <w:jc w:val="both"/>
        <w:ind w:firstLine="243"/>
        <w:spacing w:after="0" w:line="271" w:lineRule="auto"/>
        <w:rPr>
          <w:sz w:val="20"/>
          <w:szCs w:val="20"/>
          <w:color w:val="auto"/>
        </w:rPr>
      </w:pPr>
      <w:r>
        <w:rPr>
          <w:rFonts w:ascii="Arial" w:cs="Arial" w:eastAsia="Arial" w:hAnsi="Arial"/>
          <w:sz w:val="17"/>
          <w:szCs w:val="17"/>
          <w:color w:val="auto"/>
        </w:rPr>
        <w:t>Our services and products are sold, distributed or available in over 120 countries. Our international sales are denominated primarily in Canadian dollars, Brazilian reais and euros. In some cases, insufficient supplies of U.S. currency may require us to accept payment in other foreign currencies. We reduce our currency exchange risk from revenues in currencies other than the U.S. dollar by requiring payment in U.S. dollars whenever possible and purchasing foreign currencies on the spot market when rates are favorable. We currently do not purchase hedging instruments to hedge foreign currencies. We are obligated to enter into currency hedges with the lenders to the Facility Agreement no later than 90 days after any fiscal quarter during which more than 25% of revenues is denominated in a single currency other than U.S. or Canadian dollars. Otherwise, we cannot enter into hedging agreements other than interest rate cap agreements or other hedges described above without the consent of the agent for the Facility Agreement, and with that consent the counterparties may only be the lenders to the Facility Agreement.</w:t>
      </w:r>
    </w:p>
    <w:p>
      <w:pPr>
        <w:spacing w:after="0" w:line="205" w:lineRule="exact"/>
        <w:rPr>
          <w:sz w:val="20"/>
          <w:szCs w:val="20"/>
          <w:color w:val="auto"/>
        </w:rPr>
      </w:pPr>
    </w:p>
    <w:p>
      <w:pPr>
        <w:jc w:val="both"/>
        <w:ind w:firstLine="243"/>
        <w:spacing w:after="0" w:line="342" w:lineRule="auto"/>
        <w:rPr>
          <w:sz w:val="20"/>
          <w:szCs w:val="20"/>
          <w:color w:val="auto"/>
        </w:rPr>
      </w:pPr>
      <w:r>
        <w:rPr>
          <w:rFonts w:ascii="Arial" w:cs="Arial" w:eastAsia="Arial" w:hAnsi="Arial"/>
          <w:sz w:val="16"/>
          <w:szCs w:val="16"/>
          <w:color w:val="auto"/>
        </w:rPr>
        <w:t>We also have operations in Argentina, which is considered to have a highly inflationary economy. We continue to monitor the significant uncertainty surrounding current Argentinian exchange mechanisms. Operations in this country are not considered significant to our consolidated operations.</w:t>
      </w:r>
    </w:p>
    <w:p>
      <w:pPr>
        <w:sectPr>
          <w:pgSz w:w="11900" w:h="16838" w:orient="portrait"/>
          <w:cols w:equalWidth="0" w:num="1">
            <w:col w:w="11240"/>
          </w:cols>
          <w:pgMar w:left="320" w:top="895" w:right="339" w:bottom="1440" w:gutter="0" w:footer="0" w:header="0"/>
        </w:sectPr>
      </w:pPr>
    </w:p>
    <w:p>
      <w:pPr>
        <w:spacing w:after="0" w:line="200" w:lineRule="exact"/>
        <w:rPr>
          <w:sz w:val="20"/>
          <w:szCs w:val="20"/>
          <w:color w:val="auto"/>
        </w:rPr>
      </w:pPr>
    </w:p>
    <w:p>
      <w:pPr>
        <w:spacing w:after="0" w:line="261"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97790</wp:posOffset>
            </wp:positionV>
            <wp:extent cx="7132320" cy="1714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type w:val="continuous"/>
        </w:sectPr>
      </w:pPr>
    </w:p>
    <w:bookmarkStart w:id="31" w:name="page32"/>
    <w:bookmarkEnd w:id="31"/>
    <w:p>
      <w:pPr>
        <w:jc w:val="both"/>
        <w:ind w:firstLine="243"/>
        <w:spacing w:after="0" w:line="263" w:lineRule="auto"/>
        <w:rPr>
          <w:sz w:val="20"/>
          <w:szCs w:val="20"/>
          <w:color w:val="auto"/>
        </w:rPr>
      </w:pPr>
      <w:r>
        <w:rPr>
          <w:rFonts w:ascii="Arial" w:cs="Arial" w:eastAsia="Arial" w:hAnsi="Arial"/>
          <w:sz w:val="18"/>
          <w:szCs w:val="18"/>
          <w:color w:val="auto"/>
        </w:rPr>
        <w:t>Our interest rate risk arises from our variable rate debt under our Facility Agreement, under which loans bear interest at a floating rate based on the LIBOR. We have $190.1 million in principal outstanding under the Facility Agreement. A 1.0% change in interest rates would result in a change to interest expense of approximately $1.9 million annually.</w:t>
      </w:r>
    </w:p>
    <w:p>
      <w:pPr>
        <w:spacing w:after="0" w:line="211" w:lineRule="exact"/>
        <w:rPr>
          <w:sz w:val="20"/>
          <w:szCs w:val="20"/>
          <w:color w:val="auto"/>
        </w:rPr>
      </w:pPr>
    </w:p>
    <w:p>
      <w:pPr>
        <w:jc w:val="both"/>
        <w:ind w:firstLine="243"/>
        <w:spacing w:after="0" w:line="277" w:lineRule="auto"/>
        <w:rPr>
          <w:sz w:val="20"/>
          <w:szCs w:val="20"/>
          <w:color w:val="auto"/>
        </w:rPr>
      </w:pPr>
      <w:r>
        <w:rPr>
          <w:rFonts w:ascii="Arial" w:cs="Arial" w:eastAsia="Arial" w:hAnsi="Arial"/>
          <w:sz w:val="18"/>
          <w:szCs w:val="18"/>
          <w:color w:val="auto"/>
        </w:rPr>
        <w:t>See Note 6: Fair Value Measurements in our condensed consolidated financial statements for discussion of our financial assets and liabilities measured at fair market value and the market factors affecting changes in fair market value of each.</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Controls and Procedures.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 Evaluation of disclosure controls and procedures.</w:t>
      </w:r>
    </w:p>
    <w:p>
      <w:pPr>
        <w:spacing w:after="0" w:line="225" w:lineRule="exact"/>
        <w:rPr>
          <w:sz w:val="20"/>
          <w:szCs w:val="20"/>
          <w:color w:val="auto"/>
        </w:rPr>
      </w:pPr>
    </w:p>
    <w:p>
      <w:pPr>
        <w:jc w:val="both"/>
        <w:ind w:firstLine="243"/>
        <w:spacing w:after="0" w:line="255" w:lineRule="auto"/>
        <w:rPr>
          <w:sz w:val="20"/>
          <w:szCs w:val="20"/>
          <w:color w:val="auto"/>
        </w:rPr>
      </w:pPr>
      <w:r>
        <w:rPr>
          <w:rFonts w:ascii="Arial" w:cs="Arial" w:eastAsia="Arial" w:hAnsi="Arial"/>
          <w:sz w:val="18"/>
          <w:szCs w:val="18"/>
          <w:color w:val="auto"/>
        </w:rPr>
        <w:t xml:space="preserve">Our management, with the participation of our Principal Executive Officer and Principal Financial Officer, evaluated the effectiveness of our disclosure controls and procedures pursuant to Rule 13a-15(b) under the Securities Exchange Act of 1934 as of June 30, 2020, the end of the period covered by this Report. This evaluation was based on the guidelines established in </w:t>
      </w:r>
      <w:r>
        <w:rPr>
          <w:rFonts w:ascii="Arial" w:cs="Arial" w:eastAsia="Arial" w:hAnsi="Arial"/>
          <w:sz w:val="18"/>
          <w:szCs w:val="18"/>
          <w:i w:val="1"/>
          <w:iCs w:val="1"/>
          <w:color w:val="auto"/>
        </w:rPr>
        <w:t>Internal Control - Integrated Framework</w:t>
      </w:r>
      <w:r>
        <w:rPr>
          <w:rFonts w:ascii="Arial" w:cs="Arial" w:eastAsia="Arial" w:hAnsi="Arial"/>
          <w:sz w:val="18"/>
          <w:szCs w:val="18"/>
          <w:color w:val="auto"/>
        </w:rPr>
        <w:t xml:space="preserve"> issued in 2013 by the Committee of Sponsoring Organizations of the Treadway Commission (COSO). In designing and evaluating the disclosure controls and procedures, management recognized that any controls and procedures, no matter how well designed and operated, can provide only reasonable assurance of achieving the desired control objectives.</w:t>
      </w:r>
    </w:p>
    <w:p>
      <w:pPr>
        <w:spacing w:after="0" w:line="192" w:lineRule="exact"/>
        <w:rPr>
          <w:sz w:val="20"/>
          <w:szCs w:val="20"/>
          <w:color w:val="auto"/>
        </w:rPr>
      </w:pPr>
    </w:p>
    <w:p>
      <w:pPr>
        <w:jc w:val="both"/>
        <w:ind w:firstLine="243"/>
        <w:spacing w:after="0" w:line="275" w:lineRule="auto"/>
        <w:rPr>
          <w:sz w:val="20"/>
          <w:szCs w:val="20"/>
          <w:color w:val="auto"/>
        </w:rPr>
      </w:pPr>
      <w:r>
        <w:rPr>
          <w:rFonts w:ascii="Arial" w:cs="Arial" w:eastAsia="Arial" w:hAnsi="Arial"/>
          <w:sz w:val="17"/>
          <w:szCs w:val="17"/>
          <w:color w:val="auto"/>
        </w:rPr>
        <w:t>Based on this evaluation, each of our Principal Executive Officer and Principal Financial Officer concluded that as of June 30, 2020 our disclosure controls and procedures were effective to provide reasonable assurance that information we are required to disclose in reports that we file or submit under the Exchange Act is recorded, processed, summarized and reported within the time periods specified in Securities and Exchange Commission rules and forms, and that such information is accumulated and communicated to our management, including our Principal Executive Officer and Principal Financial Officer, as appropriate, to allow timely decisions regarding required disclosure.</w:t>
      </w:r>
    </w:p>
    <w:p>
      <w:pPr>
        <w:spacing w:after="0" w:line="176" w:lineRule="exact"/>
        <w:rPr>
          <w:sz w:val="20"/>
          <w:szCs w:val="20"/>
          <w:color w:val="auto"/>
        </w:rPr>
      </w:pPr>
    </w:p>
    <w:p>
      <w:pPr>
        <w:jc w:val="both"/>
        <w:ind w:right="20" w:firstLine="243"/>
        <w:spacing w:after="0" w:line="277" w:lineRule="auto"/>
        <w:rPr>
          <w:sz w:val="20"/>
          <w:szCs w:val="20"/>
          <w:color w:val="auto"/>
        </w:rPr>
      </w:pPr>
      <w:r>
        <w:rPr>
          <w:rFonts w:ascii="Arial" w:cs="Arial" w:eastAsia="Arial" w:hAnsi="Arial"/>
          <w:sz w:val="18"/>
          <w:szCs w:val="18"/>
          <w:color w:val="auto"/>
        </w:rPr>
        <w:t>We believe that the condensed consolidated financial statements included in this Report fairly present, in all material respects, our condensed consolidated financial position and results of operations for the six months ended June 30, 2020.</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(b) Changes in internal control over financial reporting.</w:t>
      </w:r>
    </w:p>
    <w:p>
      <w:pPr>
        <w:spacing w:after="0" w:line="252" w:lineRule="exact"/>
        <w:rPr>
          <w:sz w:val="20"/>
          <w:szCs w:val="20"/>
          <w:color w:val="auto"/>
        </w:rPr>
      </w:pPr>
    </w:p>
    <w:p>
      <w:pPr>
        <w:jc w:val="both"/>
        <w:ind w:firstLine="243"/>
        <w:spacing w:after="0" w:line="271" w:lineRule="auto"/>
        <w:rPr>
          <w:sz w:val="20"/>
          <w:szCs w:val="20"/>
          <w:color w:val="auto"/>
        </w:rPr>
      </w:pPr>
      <w:r>
        <w:rPr>
          <w:rFonts w:ascii="Arial" w:cs="Arial" w:eastAsia="Arial" w:hAnsi="Arial"/>
          <w:sz w:val="17"/>
          <w:szCs w:val="17"/>
          <w:color w:val="auto"/>
        </w:rPr>
        <w:t>As of June 30, 2020, our management, with the participation of our Principal Executive Officer and Principal Financial Officer, evaluated our internal control over financial reporting. Although our employees have followed remote work arrangements caused by COVID-19, these circumstances have not adversely affected the Company's ability to maintain operations, including adequate financial reporting systems, internal control over financial reporting and disclosure controls and procedures. Additionally, in April 2020, we implemented a new billing system which resulted in our subscribers migrating to the new system. As a result of this migration, there were anticipated changes to our internal control over financial reporting, none of which adversely affected the Company's internal control over financial reporting. Based on this evaluation, our Principal Executive Officer and Principal Financial Officer concluded that no changes in our internal control over financial reporting occurred during the quarter ended June 30, 2020 have materially affected, or are reasonably likely to materially affect, our internal control over financial reporting.</w:t>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38" w:right="339" w:bottom="1440" w:gutter="0" w:footer="0" w:header="0"/>
        </w:sectPr>
      </w:pPr>
    </w:p>
    <w:bookmarkStart w:id="32" w:name="page33"/>
    <w:bookmarkEnd w:id="32"/>
    <w:p>
      <w:pPr>
        <w:spacing w:after="0"/>
        <w:rPr>
          <w:sz w:val="20"/>
          <w:szCs w:val="20"/>
          <w:color w:val="auto"/>
        </w:rPr>
      </w:pPr>
      <w:r>
        <w:rPr>
          <w:rFonts w:ascii="Arial" w:cs="Arial" w:eastAsia="Arial" w:hAnsi="Arial"/>
          <w:sz w:val="18"/>
          <w:szCs w:val="18"/>
          <w:b w:val="1"/>
          <w:bCs w:val="1"/>
          <w:color w:val="auto"/>
        </w:rPr>
        <w:t>PART II: OTHER INFORMATION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Legal Proceedings.</w:t>
      </w:r>
    </w:p>
    <w:p>
      <w:pPr>
        <w:spacing w:after="0" w:line="256" w:lineRule="exact"/>
        <w:rPr>
          <w:sz w:val="20"/>
          <w:szCs w:val="20"/>
          <w:color w:val="auto"/>
        </w:rPr>
      </w:pPr>
    </w:p>
    <w:p>
      <w:pPr>
        <w:ind w:left="260"/>
        <w:spacing w:after="0"/>
        <w:rPr>
          <w:sz w:val="20"/>
          <w:szCs w:val="20"/>
          <w:color w:val="auto"/>
        </w:rPr>
      </w:pPr>
      <w:r>
        <w:rPr>
          <w:rFonts w:ascii="Arial" w:cs="Arial" w:eastAsia="Arial" w:hAnsi="Arial"/>
          <w:sz w:val="18"/>
          <w:szCs w:val="18"/>
          <w:color w:val="auto"/>
        </w:rPr>
        <w:t>None.</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1A. Risk Factors.</w:t>
      </w:r>
    </w:p>
    <w:p>
      <w:pPr>
        <w:spacing w:after="0" w:line="256" w:lineRule="exact"/>
        <w:rPr>
          <w:sz w:val="20"/>
          <w:szCs w:val="20"/>
          <w:color w:val="auto"/>
        </w:rPr>
      </w:pPr>
    </w:p>
    <w:p>
      <w:pPr>
        <w:jc w:val="both"/>
        <w:ind w:firstLine="243"/>
        <w:spacing w:after="0" w:line="275" w:lineRule="auto"/>
        <w:rPr>
          <w:sz w:val="20"/>
          <w:szCs w:val="20"/>
          <w:color w:val="auto"/>
        </w:rPr>
      </w:pPr>
      <w:r>
        <w:rPr>
          <w:rFonts w:ascii="Arial" w:cs="Arial" w:eastAsia="Arial" w:hAnsi="Arial"/>
          <w:sz w:val="17"/>
          <w:szCs w:val="17"/>
          <w:color w:val="auto"/>
        </w:rPr>
        <w:t>You should carefully consider the risks described in this Report and all of the other reports that we file from time to time with the SEC, in evaluating and understanding us and our business. Additional risks not presently known or that we currently deem immaterial may also impact our business operations and the risks identified in this Report may adversely affect our business in ways we do not currently anticipate. Our financial condition or results of operations also could be materially adversely affected by any of these risks. Except as set forth below, as of the date of this report, there have been no material changes to our risk factors we previously disclosed in Part I. Item 1A. "Risk Factors" of our 2019 Annual Report.</w:t>
      </w:r>
    </w:p>
    <w:p>
      <w:pPr>
        <w:spacing w:after="0" w:line="199" w:lineRule="exact"/>
        <w:rPr>
          <w:sz w:val="20"/>
          <w:szCs w:val="20"/>
          <w:color w:val="auto"/>
        </w:rPr>
      </w:pPr>
    </w:p>
    <w:p>
      <w:pPr>
        <w:jc w:val="both"/>
        <w:spacing w:after="0" w:line="282" w:lineRule="auto"/>
        <w:rPr>
          <w:sz w:val="20"/>
          <w:szCs w:val="20"/>
          <w:color w:val="auto"/>
        </w:rPr>
      </w:pPr>
      <w:r>
        <w:rPr>
          <w:rFonts w:ascii="Arial" w:cs="Arial" w:eastAsia="Arial" w:hAnsi="Arial"/>
          <w:sz w:val="18"/>
          <w:szCs w:val="18"/>
          <w:b w:val="1"/>
          <w:bCs w:val="1"/>
          <w:color w:val="auto"/>
        </w:rPr>
        <w:t>The effect of an epidemic or pandemic, including the current COVID-19 pandemic, could have an adverse impact on our operations and the operations of our customers and may have a material adverse impact on our financial condition and results of operations.</w:t>
      </w:r>
    </w:p>
    <w:p>
      <w:pPr>
        <w:spacing w:after="0" w:line="98" w:lineRule="exact"/>
        <w:rPr>
          <w:sz w:val="20"/>
          <w:szCs w:val="20"/>
          <w:color w:val="auto"/>
        </w:rPr>
      </w:pPr>
    </w:p>
    <w:p>
      <w:pPr>
        <w:jc w:val="both"/>
        <w:ind w:firstLine="243"/>
        <w:spacing w:after="0" w:line="263" w:lineRule="auto"/>
        <w:rPr>
          <w:sz w:val="20"/>
          <w:szCs w:val="20"/>
          <w:color w:val="auto"/>
        </w:rPr>
      </w:pPr>
      <w:r>
        <w:rPr>
          <w:rFonts w:ascii="Arial" w:cs="Arial" w:eastAsia="Arial" w:hAnsi="Arial"/>
          <w:sz w:val="18"/>
          <w:szCs w:val="18"/>
          <w:color w:val="auto"/>
        </w:rPr>
        <w:t>An epidemic or pandemic could significantly disrupt our operations, including, but not limited to, our workforce, supply chain, regulatory processes and market demand of our products. An epidemic or pandemic could also significantly impact our customers, including their demand for and ability to pay for our services and equipment.</w:t>
      </w:r>
    </w:p>
    <w:p>
      <w:pPr>
        <w:spacing w:after="0" w:line="103" w:lineRule="exact"/>
        <w:rPr>
          <w:sz w:val="20"/>
          <w:szCs w:val="20"/>
          <w:color w:val="auto"/>
        </w:rPr>
      </w:pPr>
    </w:p>
    <w:p>
      <w:pPr>
        <w:jc w:val="both"/>
        <w:ind w:firstLine="243"/>
        <w:spacing w:after="0" w:line="263" w:lineRule="auto"/>
        <w:rPr>
          <w:sz w:val="20"/>
          <w:szCs w:val="20"/>
          <w:color w:val="auto"/>
        </w:rPr>
      </w:pPr>
      <w:r>
        <w:rPr>
          <w:rFonts w:ascii="Arial" w:cs="Arial" w:eastAsia="Arial" w:hAnsi="Arial"/>
          <w:sz w:val="18"/>
          <w:szCs w:val="18"/>
          <w:color w:val="auto"/>
        </w:rPr>
        <w:t>In March 2020, the World Health Organization declared the outbreak of a novel coronavirus (“COVID-19”) a global pandemic. International, federal, state and local governments have taken measures to combat this pandemic, including “stay at home” orders, social distancing and closures of non-essential businesses.</w:t>
      </w:r>
    </w:p>
    <w:p>
      <w:pPr>
        <w:spacing w:after="0" w:line="116" w:lineRule="exact"/>
        <w:rPr>
          <w:sz w:val="20"/>
          <w:szCs w:val="20"/>
          <w:color w:val="auto"/>
        </w:rPr>
      </w:pPr>
    </w:p>
    <w:p>
      <w:pPr>
        <w:jc w:val="both"/>
        <w:ind w:firstLine="243"/>
        <w:spacing w:after="0" w:line="286" w:lineRule="auto"/>
        <w:rPr>
          <w:sz w:val="20"/>
          <w:szCs w:val="20"/>
          <w:color w:val="auto"/>
        </w:rPr>
      </w:pPr>
      <w:r>
        <w:rPr>
          <w:rFonts w:ascii="Arial" w:cs="Arial" w:eastAsia="Arial" w:hAnsi="Arial"/>
          <w:sz w:val="17"/>
          <w:szCs w:val="17"/>
          <w:color w:val="auto"/>
        </w:rPr>
        <w:t>We are currently experiencing a reduction in sales of our subscriber equipment, which could result in fewer subscriber activations in future periods, and challenges in the collection of outstanding receivables from certain our customers, specifically those concentrated in the oil and gas and retail industries. These factors may negatively impact our results of operations and our ability to maintain compliance with our debt covenants.</w:t>
      </w:r>
    </w:p>
    <w:p>
      <w:pPr>
        <w:spacing w:after="0" w:line="98" w:lineRule="exact"/>
        <w:rPr>
          <w:sz w:val="20"/>
          <w:szCs w:val="20"/>
          <w:color w:val="auto"/>
        </w:rPr>
      </w:pPr>
    </w:p>
    <w:p>
      <w:pPr>
        <w:jc w:val="both"/>
        <w:ind w:firstLine="243"/>
        <w:spacing w:after="0" w:line="259" w:lineRule="auto"/>
        <w:rPr>
          <w:sz w:val="20"/>
          <w:szCs w:val="20"/>
          <w:color w:val="auto"/>
        </w:rPr>
      </w:pPr>
      <w:r>
        <w:rPr>
          <w:rFonts w:ascii="Arial" w:cs="Arial" w:eastAsia="Arial" w:hAnsi="Arial"/>
          <w:sz w:val="18"/>
          <w:szCs w:val="18"/>
          <w:color w:val="auto"/>
        </w:rPr>
        <w:t>We source our products from both domestic and foreign contract manufacturers, with the largest concentration in China. Policies were put in place in China to reduce the transmission of COVID-19, which may impact the availability of labor at our manufacturing facility as well as the interruption of components and products moving through our supply chain. If facilities close or produce low volume due to COVID-19, we may have difficulty sourcing products to sell in the future and may incur additional costs and lost revenue.</w:t>
      </w:r>
    </w:p>
    <w:p>
      <w:pPr>
        <w:spacing w:after="0" w:line="65" w:lineRule="exact"/>
        <w:rPr>
          <w:sz w:val="20"/>
          <w:szCs w:val="20"/>
          <w:color w:val="auto"/>
        </w:rPr>
      </w:pPr>
    </w:p>
    <w:p>
      <w:pPr>
        <w:jc w:val="both"/>
        <w:ind w:firstLine="243"/>
        <w:spacing w:after="0" w:line="232" w:lineRule="auto"/>
        <w:rPr>
          <w:sz w:val="20"/>
          <w:szCs w:val="20"/>
          <w:color w:val="auto"/>
        </w:rPr>
      </w:pPr>
      <w:r>
        <w:rPr>
          <w:rFonts w:ascii="Arial" w:cs="Arial" w:eastAsia="Arial" w:hAnsi="Arial"/>
          <w:sz w:val="17"/>
          <w:szCs w:val="17"/>
          <w:color w:val="auto"/>
        </w:rPr>
        <w:t>The extent to which COVID-19 could impact our operations and financial condition will depend on future developments that are highly uncertain and cannot be predicted, including new information that may emerge concerning the severity of the virus and the actions to contain its impact. We are not able at this time to estimate the full impact of COVID-19 on our financial or operational results, but the impact could be material. Among other things, we expect that we may not remain in compliance with certain financial covenants in our Facility Agreement over the next twelve months. If we are not able to maintain compliance, we may need to cure the noncompliance with one or more Equity Cure Contributions or seek a waiver of the affected covenants. There is no assurance that the Company will be able to do this successfully, and if we do not, our lenders would be able to exercise their remedies under the Facility Agreement, including accelerating maturity of all our obligations under the Facility Agreement.</w:t>
      </w:r>
    </w:p>
    <w:p>
      <w:pPr>
        <w:spacing w:after="0" w:line="203" w:lineRule="exact"/>
        <w:rPr>
          <w:sz w:val="20"/>
          <w:szCs w:val="20"/>
          <w:color w:val="auto"/>
        </w:rPr>
      </w:pPr>
    </w:p>
    <w:p>
      <w:pPr>
        <w:ind w:right="180" w:firstLine="243"/>
        <w:spacing w:after="0" w:line="261" w:lineRule="auto"/>
        <w:rPr>
          <w:sz w:val="20"/>
          <w:szCs w:val="20"/>
          <w:color w:val="auto"/>
        </w:rPr>
      </w:pPr>
      <w:r>
        <w:rPr>
          <w:rFonts w:ascii="Arial" w:cs="Arial" w:eastAsia="Arial" w:hAnsi="Arial"/>
          <w:sz w:val="18"/>
          <w:szCs w:val="18"/>
          <w:color w:val="auto"/>
        </w:rPr>
        <w:t>Further, the COVID-19 pandemic may also affect our operating and financial results in a manner that is not presently known to us or that we currently do not expect to present significant risks to our operations or financial results.</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Unregistered Sales of Equity Securities and Use of Proceeds.</w:t>
      </w: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Defaults upon Senior Securities.</w:t>
      </w: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33" w:name="page34"/>
    <w:bookmarkEnd w:id="33"/>
    <w:p>
      <w:pPr>
        <w:spacing w:after="0"/>
        <w:rPr>
          <w:sz w:val="20"/>
          <w:szCs w:val="20"/>
          <w:color w:val="auto"/>
        </w:rPr>
      </w:pPr>
      <w:r>
        <w:rPr>
          <w:rFonts w:ascii="Arial" w:cs="Arial" w:eastAsia="Arial" w:hAnsi="Arial"/>
          <w:sz w:val="18"/>
          <w:szCs w:val="18"/>
          <w:b w:val="1"/>
          <w:bCs w:val="1"/>
          <w:color w:val="auto"/>
        </w:rPr>
        <w:t>Item 4. Mine Safety Disclosures.</w:t>
      </w: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5. Other Information.</w:t>
      </w:r>
    </w:p>
    <w:p>
      <w:pPr>
        <w:spacing w:after="0" w:line="256"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440" w:type="dxa"/>
            <w:vAlign w:val="bottom"/>
          </w:tcPr>
          <w:p>
            <w:pPr>
              <w:spacing w:after="0"/>
              <w:rPr>
                <w:sz w:val="20"/>
                <w:szCs w:val="20"/>
                <w:color w:val="auto"/>
              </w:rPr>
            </w:pPr>
            <w:r>
              <w:rPr>
                <w:rFonts w:ascii="Arial" w:cs="Arial" w:eastAsia="Arial" w:hAnsi="Arial"/>
                <w:sz w:val="18"/>
                <w:szCs w:val="18"/>
                <w:color w:val="auto"/>
              </w:rPr>
              <w:t>None.</w:t>
            </w:r>
          </w:p>
        </w:tc>
        <w:tc>
          <w:tcPr>
            <w:tcW w:w="1040" w:type="dxa"/>
            <w:vAlign w:val="bottom"/>
          </w:tcPr>
          <w:p>
            <w:pPr>
              <w:spacing w:after="0"/>
              <w:rPr>
                <w:sz w:val="20"/>
                <w:szCs w:val="20"/>
                <w:color w:val="auto"/>
              </w:rPr>
            </w:pPr>
          </w:p>
        </w:tc>
        <w:tc>
          <w:tcPr>
            <w:tcW w:w="8760" w:type="dxa"/>
            <w:vAlign w:val="bottom"/>
          </w:tcPr>
          <w:p>
            <w:pPr>
              <w:spacing w:after="0"/>
              <w:rPr>
                <w:sz w:val="20"/>
                <w:szCs w:val="20"/>
                <w:color w:val="auto"/>
              </w:rPr>
            </w:pPr>
          </w:p>
        </w:tc>
      </w:tr>
      <w:tr>
        <w:trPr>
          <w:trHeight w:val="459"/>
        </w:trPr>
        <w:tc>
          <w:tcPr>
            <w:tcW w:w="1440" w:type="dxa"/>
            <w:vAlign w:val="bottom"/>
          </w:tcPr>
          <w:p>
            <w:pPr>
              <w:spacing w:after="0"/>
              <w:rPr>
                <w:sz w:val="20"/>
                <w:szCs w:val="20"/>
                <w:color w:val="auto"/>
              </w:rPr>
            </w:pPr>
            <w:r>
              <w:rPr>
                <w:rFonts w:ascii="Arial" w:cs="Arial" w:eastAsia="Arial" w:hAnsi="Arial"/>
                <w:sz w:val="18"/>
                <w:szCs w:val="18"/>
                <w:b w:val="1"/>
                <w:bCs w:val="1"/>
                <w:color w:val="auto"/>
              </w:rPr>
              <w:t>Item 6. Exhibits.</w:t>
            </w:r>
          </w:p>
        </w:tc>
        <w:tc>
          <w:tcPr>
            <w:tcW w:w="1040" w:type="dxa"/>
            <w:vAlign w:val="bottom"/>
          </w:tcPr>
          <w:p>
            <w:pPr>
              <w:spacing w:after="0"/>
              <w:rPr>
                <w:sz w:val="24"/>
                <w:szCs w:val="24"/>
                <w:color w:val="auto"/>
              </w:rPr>
            </w:pPr>
          </w:p>
        </w:tc>
        <w:tc>
          <w:tcPr>
            <w:tcW w:w="8760" w:type="dxa"/>
            <w:vAlign w:val="bottom"/>
          </w:tcPr>
          <w:p>
            <w:pPr>
              <w:spacing w:after="0"/>
              <w:rPr>
                <w:sz w:val="24"/>
                <w:szCs w:val="24"/>
                <w:color w:val="auto"/>
              </w:rPr>
            </w:pPr>
          </w:p>
        </w:tc>
      </w:tr>
      <w:tr>
        <w:trPr>
          <w:trHeight w:val="562"/>
        </w:trPr>
        <w:tc>
          <w:tcPr>
            <w:tcW w:w="1440" w:type="dxa"/>
            <w:vAlign w:val="bottom"/>
          </w:tcPr>
          <w:p>
            <w:pPr>
              <w:ind w:left="20"/>
              <w:spacing w:after="0"/>
              <w:rPr>
                <w:sz w:val="20"/>
                <w:szCs w:val="20"/>
                <w:color w:val="auto"/>
              </w:rPr>
            </w:pPr>
            <w:r>
              <w:rPr>
                <w:rFonts w:ascii="Arial" w:cs="Arial" w:eastAsia="Arial" w:hAnsi="Arial"/>
                <w:sz w:val="18"/>
                <w:szCs w:val="18"/>
                <w:b w:val="1"/>
                <w:bCs w:val="1"/>
                <w:color w:val="auto"/>
              </w:rPr>
              <w:t>Exhibit</w:t>
            </w:r>
          </w:p>
        </w:tc>
        <w:tc>
          <w:tcPr>
            <w:tcW w:w="1040" w:type="dxa"/>
            <w:vAlign w:val="bottom"/>
          </w:tcPr>
          <w:p>
            <w:pPr>
              <w:spacing w:after="0"/>
              <w:rPr>
                <w:sz w:val="24"/>
                <w:szCs w:val="24"/>
                <w:color w:val="auto"/>
              </w:rPr>
            </w:pPr>
          </w:p>
        </w:tc>
        <w:tc>
          <w:tcPr>
            <w:tcW w:w="8760" w:type="dxa"/>
            <w:vAlign w:val="bottom"/>
          </w:tcPr>
          <w:p>
            <w:pPr>
              <w:spacing w:after="0"/>
              <w:rPr>
                <w:sz w:val="24"/>
                <w:szCs w:val="24"/>
                <w:color w:val="auto"/>
              </w:rPr>
            </w:pPr>
          </w:p>
        </w:tc>
      </w:tr>
      <w:tr>
        <w:trPr>
          <w:trHeight w:val="234"/>
        </w:trPr>
        <w:tc>
          <w:tcPr>
            <w:tcW w:w="1440" w:type="dxa"/>
            <w:vAlign w:val="bottom"/>
          </w:tcPr>
          <w:p>
            <w:pPr>
              <w:ind w:left="20"/>
              <w:spacing w:after="0"/>
              <w:rPr>
                <w:sz w:val="20"/>
                <w:szCs w:val="20"/>
                <w:color w:val="auto"/>
              </w:rPr>
            </w:pPr>
            <w:r>
              <w:rPr>
                <w:rFonts w:ascii="Arial" w:cs="Arial" w:eastAsia="Arial" w:hAnsi="Arial"/>
                <w:sz w:val="18"/>
                <w:szCs w:val="18"/>
                <w:b w:val="1"/>
                <w:bCs w:val="1"/>
                <w:color w:val="auto"/>
              </w:rPr>
              <w:t>Number</w:t>
            </w:r>
          </w:p>
        </w:tc>
        <w:tc>
          <w:tcPr>
            <w:tcW w:w="9800" w:type="dxa"/>
            <w:vAlign w:val="bottom"/>
            <w:gridSpan w:val="2"/>
          </w:tcPr>
          <w:p>
            <w:pPr>
              <w:ind w:left="160"/>
              <w:spacing w:after="0"/>
              <w:rPr>
                <w:sz w:val="20"/>
                <w:szCs w:val="20"/>
                <w:color w:val="auto"/>
              </w:rPr>
            </w:pPr>
            <w:r>
              <w:rPr>
                <w:rFonts w:ascii="Arial" w:cs="Arial" w:eastAsia="Arial" w:hAnsi="Arial"/>
                <w:sz w:val="18"/>
                <w:szCs w:val="18"/>
                <w:b w:val="1"/>
                <w:bCs w:val="1"/>
                <w:color w:val="auto"/>
              </w:rPr>
              <w:t>Description</w:t>
            </w:r>
          </w:p>
        </w:tc>
      </w:tr>
      <w:tr>
        <w:trPr>
          <w:trHeight w:val="27"/>
        </w:trPr>
        <w:tc>
          <w:tcPr>
            <w:tcW w:w="144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8760" w:type="dxa"/>
            <w:vAlign w:val="bottom"/>
            <w:tcBorders>
              <w:bottom w:val="single" w:sz="8" w:color="auto"/>
            </w:tcBorders>
          </w:tcPr>
          <w:p>
            <w:pPr>
              <w:spacing w:after="0"/>
              <w:rPr>
                <w:sz w:val="2"/>
                <w:szCs w:val="2"/>
                <w:color w:val="auto"/>
              </w:rPr>
            </w:pPr>
          </w:p>
        </w:tc>
      </w:tr>
      <w:tr>
        <w:trPr>
          <w:trHeight w:val="263"/>
        </w:trPr>
        <w:tc>
          <w:tcPr>
            <w:tcW w:w="1440" w:type="dxa"/>
            <w:vAlign w:val="bottom"/>
          </w:tcPr>
          <w:p>
            <w:pPr>
              <w:ind w:left="20"/>
              <w:spacing w:after="0"/>
              <w:rPr>
                <w:sz w:val="20"/>
                <w:szCs w:val="20"/>
                <w:color w:val="auto"/>
              </w:rPr>
            </w:pPr>
            <w:r>
              <w:rPr>
                <w:rFonts w:ascii="Arial" w:cs="Arial" w:eastAsia="Arial" w:hAnsi="Arial"/>
                <w:sz w:val="18"/>
                <w:szCs w:val="18"/>
                <w:color w:val="auto"/>
              </w:rPr>
              <w:t>31.1</w:t>
            </w:r>
          </w:p>
        </w:tc>
        <w:tc>
          <w:tcPr>
            <w:tcW w:w="1040" w:type="dxa"/>
            <w:vAlign w:val="bottom"/>
          </w:tcPr>
          <w:p>
            <w:pPr>
              <w:ind w:left="160"/>
              <w:spacing w:after="0"/>
              <w:rPr>
                <w:rFonts w:ascii="Arial" w:cs="Arial" w:eastAsia="Arial" w:hAnsi="Arial"/>
                <w:sz w:val="18"/>
                <w:szCs w:val="18"/>
                <w:u w:val="single" w:color="auto"/>
                <w:color w:val="0000FF"/>
                <w:w w:val="90"/>
              </w:rPr>
            </w:pPr>
            <w:hyperlink w:anchor="page36">
              <w:r>
                <w:rPr>
                  <w:rFonts w:ascii="Arial" w:cs="Arial" w:eastAsia="Arial" w:hAnsi="Arial"/>
                  <w:sz w:val="18"/>
                  <w:szCs w:val="18"/>
                  <w:u w:val="single" w:color="auto"/>
                  <w:color w:val="0000FF"/>
                  <w:w w:val="90"/>
                </w:rPr>
                <w:t>Section 302</w:t>
              </w:r>
            </w:hyperlink>
          </w:p>
        </w:tc>
        <w:tc>
          <w:tcPr>
            <w:tcW w:w="8760" w:type="dxa"/>
            <w:vAlign w:val="bottom"/>
          </w:tcPr>
          <w:p>
            <w:pPr>
              <w:ind w:left="20"/>
              <w:spacing w:after="0"/>
              <w:rPr>
                <w:rFonts w:ascii="Arial" w:cs="Arial" w:eastAsia="Arial" w:hAnsi="Arial"/>
                <w:sz w:val="18"/>
                <w:szCs w:val="18"/>
                <w:u w:val="single" w:color="auto"/>
                <w:color w:val="0000FF"/>
              </w:rPr>
            </w:pPr>
            <w:hyperlink w:anchor="page36">
              <w:r>
                <w:rPr>
                  <w:rFonts w:ascii="Arial" w:cs="Arial" w:eastAsia="Arial" w:hAnsi="Arial"/>
                  <w:sz w:val="18"/>
                  <w:szCs w:val="18"/>
                  <w:u w:val="single" w:color="auto"/>
                  <w:color w:val="0000FF"/>
                </w:rPr>
                <w:t>Certification of the Principal Executive Officer</w:t>
              </w:r>
            </w:hyperlink>
          </w:p>
        </w:tc>
      </w:tr>
      <w:tr>
        <w:trPr>
          <w:trHeight w:val="270"/>
        </w:trPr>
        <w:tc>
          <w:tcPr>
            <w:tcW w:w="1440" w:type="dxa"/>
            <w:vAlign w:val="bottom"/>
          </w:tcPr>
          <w:p>
            <w:pPr>
              <w:ind w:left="20"/>
              <w:spacing w:after="0"/>
              <w:rPr>
                <w:sz w:val="20"/>
                <w:szCs w:val="20"/>
                <w:color w:val="auto"/>
              </w:rPr>
            </w:pPr>
            <w:r>
              <w:rPr>
                <w:rFonts w:ascii="Arial" w:cs="Arial" w:eastAsia="Arial" w:hAnsi="Arial"/>
                <w:sz w:val="18"/>
                <w:szCs w:val="18"/>
                <w:color w:val="auto"/>
              </w:rPr>
              <w:t>31.2</w:t>
            </w:r>
          </w:p>
        </w:tc>
        <w:tc>
          <w:tcPr>
            <w:tcW w:w="1040" w:type="dxa"/>
            <w:vAlign w:val="bottom"/>
          </w:tcPr>
          <w:p>
            <w:pPr>
              <w:ind w:left="160"/>
              <w:spacing w:after="0"/>
              <w:rPr>
                <w:rFonts w:ascii="Arial" w:cs="Arial" w:eastAsia="Arial" w:hAnsi="Arial"/>
                <w:sz w:val="18"/>
                <w:szCs w:val="18"/>
                <w:u w:val="single" w:color="auto"/>
                <w:color w:val="0000FF"/>
                <w:w w:val="90"/>
              </w:rPr>
            </w:pPr>
            <w:hyperlink w:anchor="page37">
              <w:r>
                <w:rPr>
                  <w:rFonts w:ascii="Arial" w:cs="Arial" w:eastAsia="Arial" w:hAnsi="Arial"/>
                  <w:sz w:val="18"/>
                  <w:szCs w:val="18"/>
                  <w:u w:val="single" w:color="auto"/>
                  <w:color w:val="0000FF"/>
                  <w:w w:val="90"/>
                </w:rPr>
                <w:t>Section 302</w:t>
              </w:r>
            </w:hyperlink>
          </w:p>
        </w:tc>
        <w:tc>
          <w:tcPr>
            <w:tcW w:w="8760" w:type="dxa"/>
            <w:vAlign w:val="bottom"/>
          </w:tcPr>
          <w:p>
            <w:pPr>
              <w:ind w:left="20"/>
              <w:spacing w:after="0"/>
              <w:rPr>
                <w:rFonts w:ascii="Arial" w:cs="Arial" w:eastAsia="Arial" w:hAnsi="Arial"/>
                <w:sz w:val="18"/>
                <w:szCs w:val="18"/>
                <w:u w:val="single" w:color="auto"/>
                <w:color w:val="0000FF"/>
              </w:rPr>
            </w:pPr>
            <w:hyperlink w:anchor="page37">
              <w:r>
                <w:rPr>
                  <w:rFonts w:ascii="Arial" w:cs="Arial" w:eastAsia="Arial" w:hAnsi="Arial"/>
                  <w:sz w:val="18"/>
                  <w:szCs w:val="18"/>
                  <w:u w:val="single" w:color="auto"/>
                  <w:color w:val="0000FF"/>
                </w:rPr>
                <w:t>Certification of the Principal Financial Officer</w:t>
              </w:r>
            </w:hyperlink>
          </w:p>
        </w:tc>
      </w:tr>
      <w:tr>
        <w:trPr>
          <w:trHeight w:val="270"/>
        </w:trPr>
        <w:tc>
          <w:tcPr>
            <w:tcW w:w="1440" w:type="dxa"/>
            <w:vAlign w:val="bottom"/>
          </w:tcPr>
          <w:p>
            <w:pPr>
              <w:ind w:left="20"/>
              <w:spacing w:after="0"/>
              <w:rPr>
                <w:sz w:val="20"/>
                <w:szCs w:val="20"/>
                <w:color w:val="auto"/>
              </w:rPr>
            </w:pPr>
            <w:r>
              <w:rPr>
                <w:rFonts w:ascii="Arial" w:cs="Arial" w:eastAsia="Arial" w:hAnsi="Arial"/>
                <w:sz w:val="18"/>
                <w:szCs w:val="18"/>
                <w:color w:val="auto"/>
              </w:rPr>
              <w:t>32.1</w:t>
            </w:r>
          </w:p>
        </w:tc>
        <w:tc>
          <w:tcPr>
            <w:tcW w:w="1040" w:type="dxa"/>
            <w:vAlign w:val="bottom"/>
          </w:tcPr>
          <w:p>
            <w:pPr>
              <w:ind w:left="160"/>
              <w:spacing w:after="0"/>
              <w:rPr>
                <w:rFonts w:ascii="Arial" w:cs="Arial" w:eastAsia="Arial" w:hAnsi="Arial"/>
                <w:sz w:val="18"/>
                <w:szCs w:val="18"/>
                <w:u w:val="single" w:color="auto"/>
                <w:color w:val="0000FF"/>
                <w:w w:val="90"/>
              </w:rPr>
            </w:pPr>
            <w:hyperlink w:anchor="page38">
              <w:r>
                <w:rPr>
                  <w:rFonts w:ascii="Arial" w:cs="Arial" w:eastAsia="Arial" w:hAnsi="Arial"/>
                  <w:sz w:val="18"/>
                  <w:szCs w:val="18"/>
                  <w:u w:val="single" w:color="auto"/>
                  <w:color w:val="0000FF"/>
                  <w:w w:val="90"/>
                </w:rPr>
                <w:t>Section 906</w:t>
              </w:r>
            </w:hyperlink>
          </w:p>
        </w:tc>
        <w:tc>
          <w:tcPr>
            <w:tcW w:w="8760" w:type="dxa"/>
            <w:vAlign w:val="bottom"/>
          </w:tcPr>
          <w:p>
            <w:pPr>
              <w:ind w:left="20"/>
              <w:spacing w:after="0"/>
              <w:rPr>
                <w:rFonts w:ascii="Arial" w:cs="Arial" w:eastAsia="Arial" w:hAnsi="Arial"/>
                <w:sz w:val="18"/>
                <w:szCs w:val="18"/>
                <w:u w:val="single" w:color="auto"/>
                <w:color w:val="0000FF"/>
              </w:rPr>
            </w:pPr>
            <w:hyperlink w:anchor="page38">
              <w:r>
                <w:rPr>
                  <w:rFonts w:ascii="Arial" w:cs="Arial" w:eastAsia="Arial" w:hAnsi="Arial"/>
                  <w:sz w:val="18"/>
                  <w:szCs w:val="18"/>
                  <w:u w:val="single" w:color="auto"/>
                  <w:color w:val="0000FF"/>
                </w:rPr>
                <w:t>Certification of the Principal Executive Officer</w:t>
              </w:r>
            </w:hyperlink>
          </w:p>
        </w:tc>
      </w:tr>
      <w:tr>
        <w:trPr>
          <w:trHeight w:val="270"/>
        </w:trPr>
        <w:tc>
          <w:tcPr>
            <w:tcW w:w="1440" w:type="dxa"/>
            <w:vAlign w:val="bottom"/>
          </w:tcPr>
          <w:p>
            <w:pPr>
              <w:ind w:left="20"/>
              <w:spacing w:after="0"/>
              <w:rPr>
                <w:sz w:val="20"/>
                <w:szCs w:val="20"/>
                <w:color w:val="auto"/>
              </w:rPr>
            </w:pPr>
            <w:r>
              <w:rPr>
                <w:rFonts w:ascii="Arial" w:cs="Arial" w:eastAsia="Arial" w:hAnsi="Arial"/>
                <w:sz w:val="18"/>
                <w:szCs w:val="18"/>
                <w:color w:val="auto"/>
              </w:rPr>
              <w:t>32.2</w:t>
            </w:r>
          </w:p>
        </w:tc>
        <w:tc>
          <w:tcPr>
            <w:tcW w:w="1040" w:type="dxa"/>
            <w:vAlign w:val="bottom"/>
          </w:tcPr>
          <w:p>
            <w:pPr>
              <w:ind w:left="160"/>
              <w:spacing w:after="0"/>
              <w:rPr>
                <w:rFonts w:ascii="Arial" w:cs="Arial" w:eastAsia="Arial" w:hAnsi="Arial"/>
                <w:sz w:val="18"/>
                <w:szCs w:val="18"/>
                <w:u w:val="single" w:color="auto"/>
                <w:color w:val="0000FF"/>
                <w:w w:val="90"/>
              </w:rPr>
            </w:pPr>
            <w:hyperlink w:anchor="page39">
              <w:r>
                <w:rPr>
                  <w:rFonts w:ascii="Arial" w:cs="Arial" w:eastAsia="Arial" w:hAnsi="Arial"/>
                  <w:sz w:val="18"/>
                  <w:szCs w:val="18"/>
                  <w:u w:val="single" w:color="auto"/>
                  <w:color w:val="0000FF"/>
                  <w:w w:val="90"/>
                </w:rPr>
                <w:t>Section 906</w:t>
              </w:r>
            </w:hyperlink>
          </w:p>
        </w:tc>
        <w:tc>
          <w:tcPr>
            <w:tcW w:w="8760" w:type="dxa"/>
            <w:vAlign w:val="bottom"/>
          </w:tcPr>
          <w:p>
            <w:pPr>
              <w:ind w:left="20"/>
              <w:spacing w:after="0"/>
              <w:rPr>
                <w:rFonts w:ascii="Arial" w:cs="Arial" w:eastAsia="Arial" w:hAnsi="Arial"/>
                <w:sz w:val="18"/>
                <w:szCs w:val="18"/>
                <w:u w:val="single" w:color="auto"/>
                <w:color w:val="0000FF"/>
              </w:rPr>
            </w:pPr>
            <w:hyperlink w:anchor="page39">
              <w:r>
                <w:rPr>
                  <w:rFonts w:ascii="Arial" w:cs="Arial" w:eastAsia="Arial" w:hAnsi="Arial"/>
                  <w:sz w:val="18"/>
                  <w:szCs w:val="18"/>
                  <w:u w:val="single" w:color="auto"/>
                  <w:color w:val="0000FF"/>
                </w:rPr>
                <w:t>Certification of the Principal Financial Officer</w:t>
              </w:r>
            </w:hyperlink>
          </w:p>
        </w:tc>
      </w:tr>
      <w:tr>
        <w:trPr>
          <w:trHeight w:val="243"/>
        </w:trPr>
        <w:tc>
          <w:tcPr>
            <w:tcW w:w="1440" w:type="dxa"/>
            <w:vAlign w:val="bottom"/>
          </w:tcPr>
          <w:p>
            <w:pPr>
              <w:ind w:left="20"/>
              <w:spacing w:after="0"/>
              <w:rPr>
                <w:sz w:val="20"/>
                <w:szCs w:val="20"/>
                <w:color w:val="auto"/>
              </w:rPr>
            </w:pPr>
            <w:r>
              <w:rPr>
                <w:rFonts w:ascii="Arial" w:cs="Arial" w:eastAsia="Arial" w:hAnsi="Arial"/>
                <w:sz w:val="18"/>
                <w:szCs w:val="18"/>
                <w:color w:val="auto"/>
              </w:rPr>
              <w:t>101.INS</w:t>
            </w:r>
          </w:p>
        </w:tc>
        <w:tc>
          <w:tcPr>
            <w:tcW w:w="9800" w:type="dxa"/>
            <w:vAlign w:val="bottom"/>
            <w:gridSpan w:val="2"/>
          </w:tcPr>
          <w:p>
            <w:pPr>
              <w:ind w:left="160"/>
              <w:spacing w:after="0"/>
              <w:rPr>
                <w:sz w:val="20"/>
                <w:szCs w:val="20"/>
                <w:color w:val="auto"/>
              </w:rPr>
            </w:pPr>
            <w:r>
              <w:rPr>
                <w:rFonts w:ascii="Arial" w:cs="Arial" w:eastAsia="Arial" w:hAnsi="Arial"/>
                <w:sz w:val="18"/>
                <w:szCs w:val="18"/>
                <w:color w:val="auto"/>
              </w:rPr>
              <w:t>XBRL Instance Document</w:t>
            </w:r>
          </w:p>
        </w:tc>
      </w:tr>
      <w:tr>
        <w:trPr>
          <w:trHeight w:val="270"/>
        </w:trPr>
        <w:tc>
          <w:tcPr>
            <w:tcW w:w="1440" w:type="dxa"/>
            <w:vAlign w:val="bottom"/>
          </w:tcPr>
          <w:p>
            <w:pPr>
              <w:ind w:left="20"/>
              <w:spacing w:after="0"/>
              <w:rPr>
                <w:sz w:val="20"/>
                <w:szCs w:val="20"/>
                <w:color w:val="auto"/>
              </w:rPr>
            </w:pPr>
            <w:r>
              <w:rPr>
                <w:rFonts w:ascii="Arial" w:cs="Arial" w:eastAsia="Arial" w:hAnsi="Arial"/>
                <w:sz w:val="18"/>
                <w:szCs w:val="18"/>
                <w:color w:val="auto"/>
              </w:rPr>
              <w:t>101.CAL</w:t>
            </w:r>
          </w:p>
        </w:tc>
        <w:tc>
          <w:tcPr>
            <w:tcW w:w="9800" w:type="dxa"/>
            <w:vAlign w:val="bottom"/>
            <w:gridSpan w:val="2"/>
          </w:tcPr>
          <w:p>
            <w:pPr>
              <w:ind w:left="160"/>
              <w:spacing w:after="0"/>
              <w:rPr>
                <w:sz w:val="20"/>
                <w:szCs w:val="20"/>
                <w:color w:val="auto"/>
              </w:rPr>
            </w:pPr>
            <w:r>
              <w:rPr>
                <w:rFonts w:ascii="Arial" w:cs="Arial" w:eastAsia="Arial" w:hAnsi="Arial"/>
                <w:sz w:val="18"/>
                <w:szCs w:val="18"/>
                <w:color w:val="auto"/>
              </w:rPr>
              <w:t>XBRL Taxonomy Extension Calculation Linkbase Document</w:t>
            </w:r>
          </w:p>
        </w:tc>
      </w:tr>
      <w:tr>
        <w:trPr>
          <w:trHeight w:val="270"/>
        </w:trPr>
        <w:tc>
          <w:tcPr>
            <w:tcW w:w="1440" w:type="dxa"/>
            <w:vAlign w:val="bottom"/>
          </w:tcPr>
          <w:p>
            <w:pPr>
              <w:ind w:left="20"/>
              <w:spacing w:after="0"/>
              <w:rPr>
                <w:sz w:val="20"/>
                <w:szCs w:val="20"/>
                <w:color w:val="auto"/>
              </w:rPr>
            </w:pPr>
            <w:r>
              <w:rPr>
                <w:rFonts w:ascii="Arial" w:cs="Arial" w:eastAsia="Arial" w:hAnsi="Arial"/>
                <w:sz w:val="18"/>
                <w:szCs w:val="18"/>
                <w:color w:val="auto"/>
              </w:rPr>
              <w:t>101.DEF</w:t>
            </w:r>
          </w:p>
        </w:tc>
        <w:tc>
          <w:tcPr>
            <w:tcW w:w="9800" w:type="dxa"/>
            <w:vAlign w:val="bottom"/>
            <w:gridSpan w:val="2"/>
          </w:tcPr>
          <w:p>
            <w:pPr>
              <w:ind w:left="160"/>
              <w:spacing w:after="0"/>
              <w:rPr>
                <w:sz w:val="20"/>
                <w:szCs w:val="20"/>
                <w:color w:val="auto"/>
              </w:rPr>
            </w:pPr>
            <w:r>
              <w:rPr>
                <w:rFonts w:ascii="Arial" w:cs="Arial" w:eastAsia="Arial" w:hAnsi="Arial"/>
                <w:sz w:val="18"/>
                <w:szCs w:val="18"/>
                <w:color w:val="auto"/>
              </w:rPr>
              <w:t>XBRL Taxonomy Extension Definition Linkbase Document</w:t>
            </w:r>
          </w:p>
        </w:tc>
      </w:tr>
      <w:tr>
        <w:trPr>
          <w:trHeight w:val="270"/>
        </w:trPr>
        <w:tc>
          <w:tcPr>
            <w:tcW w:w="1440" w:type="dxa"/>
            <w:vAlign w:val="bottom"/>
          </w:tcPr>
          <w:p>
            <w:pPr>
              <w:ind w:left="20"/>
              <w:spacing w:after="0"/>
              <w:rPr>
                <w:sz w:val="20"/>
                <w:szCs w:val="20"/>
                <w:color w:val="auto"/>
              </w:rPr>
            </w:pPr>
            <w:r>
              <w:rPr>
                <w:rFonts w:ascii="Arial" w:cs="Arial" w:eastAsia="Arial" w:hAnsi="Arial"/>
                <w:sz w:val="18"/>
                <w:szCs w:val="18"/>
                <w:color w:val="auto"/>
              </w:rPr>
              <w:t>101.PRE</w:t>
            </w:r>
          </w:p>
        </w:tc>
        <w:tc>
          <w:tcPr>
            <w:tcW w:w="9800" w:type="dxa"/>
            <w:vAlign w:val="bottom"/>
            <w:gridSpan w:val="2"/>
          </w:tcPr>
          <w:p>
            <w:pPr>
              <w:ind w:left="160"/>
              <w:spacing w:after="0"/>
              <w:rPr>
                <w:sz w:val="20"/>
                <w:szCs w:val="20"/>
                <w:color w:val="auto"/>
              </w:rPr>
            </w:pPr>
            <w:r>
              <w:rPr>
                <w:rFonts w:ascii="Arial" w:cs="Arial" w:eastAsia="Arial" w:hAnsi="Arial"/>
                <w:sz w:val="18"/>
                <w:szCs w:val="18"/>
                <w:color w:val="auto"/>
              </w:rPr>
              <w:t>XBRL Taxonomy Extension Presentation Linkbase Document</w:t>
            </w:r>
          </w:p>
        </w:tc>
      </w:tr>
      <w:tr>
        <w:trPr>
          <w:trHeight w:val="270"/>
        </w:trPr>
        <w:tc>
          <w:tcPr>
            <w:tcW w:w="1440" w:type="dxa"/>
            <w:vAlign w:val="bottom"/>
          </w:tcPr>
          <w:p>
            <w:pPr>
              <w:ind w:left="20"/>
              <w:spacing w:after="0"/>
              <w:rPr>
                <w:sz w:val="20"/>
                <w:szCs w:val="20"/>
                <w:color w:val="auto"/>
              </w:rPr>
            </w:pPr>
            <w:r>
              <w:rPr>
                <w:rFonts w:ascii="Arial" w:cs="Arial" w:eastAsia="Arial" w:hAnsi="Arial"/>
                <w:sz w:val="18"/>
                <w:szCs w:val="18"/>
                <w:color w:val="auto"/>
              </w:rPr>
              <w:t>101.LAB</w:t>
            </w:r>
          </w:p>
        </w:tc>
        <w:tc>
          <w:tcPr>
            <w:tcW w:w="9800" w:type="dxa"/>
            <w:vAlign w:val="bottom"/>
            <w:gridSpan w:val="2"/>
          </w:tcPr>
          <w:p>
            <w:pPr>
              <w:ind w:left="160"/>
              <w:spacing w:after="0"/>
              <w:rPr>
                <w:sz w:val="20"/>
                <w:szCs w:val="20"/>
                <w:color w:val="auto"/>
              </w:rPr>
            </w:pPr>
            <w:r>
              <w:rPr>
                <w:rFonts w:ascii="Arial" w:cs="Arial" w:eastAsia="Arial" w:hAnsi="Arial"/>
                <w:sz w:val="18"/>
                <w:szCs w:val="18"/>
                <w:color w:val="auto"/>
              </w:rPr>
              <w:t>XBRL Taxonomy Extension Label Linkbase Document</w:t>
            </w:r>
          </w:p>
        </w:tc>
      </w:tr>
      <w:tr>
        <w:trPr>
          <w:trHeight w:val="877"/>
        </w:trPr>
        <w:tc>
          <w:tcPr>
            <w:tcW w:w="14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8760" w:type="dxa"/>
            <w:vAlign w:val="bottom"/>
          </w:tcPr>
          <w:p>
            <w:pPr>
              <w:ind w:left="3060"/>
              <w:spacing w:after="0"/>
              <w:rPr>
                <w:sz w:val="20"/>
                <w:szCs w:val="20"/>
                <w:color w:val="auto"/>
              </w:rPr>
            </w:pPr>
            <w:r>
              <w:rPr>
                <w:rFonts w:ascii="Arial" w:cs="Arial" w:eastAsia="Arial" w:hAnsi="Arial"/>
                <w:sz w:val="18"/>
                <w:szCs w:val="18"/>
                <w:color w:val="auto"/>
              </w:rPr>
              <w:t>31</w:t>
            </w:r>
          </w:p>
        </w:tc>
      </w:tr>
      <w:tr>
        <w:trPr>
          <w:trHeight w:val="115"/>
        </w:trPr>
        <w:tc>
          <w:tcPr>
            <w:tcW w:w="1440" w:type="dxa"/>
            <w:vAlign w:val="bottom"/>
            <w:tcBorders>
              <w:bottom w:val="single" w:sz="8" w:color="9A9A9A"/>
            </w:tcBorders>
          </w:tcPr>
          <w:p>
            <w:pPr>
              <w:spacing w:after="0"/>
              <w:rPr>
                <w:sz w:val="10"/>
                <w:szCs w:val="10"/>
                <w:color w:val="auto"/>
              </w:rPr>
            </w:pPr>
          </w:p>
        </w:tc>
        <w:tc>
          <w:tcPr>
            <w:tcW w:w="1040" w:type="dxa"/>
            <w:vAlign w:val="bottom"/>
            <w:tcBorders>
              <w:bottom w:val="single" w:sz="8" w:color="9A9A9A"/>
            </w:tcBorders>
          </w:tcPr>
          <w:p>
            <w:pPr>
              <w:spacing w:after="0"/>
              <w:rPr>
                <w:sz w:val="10"/>
                <w:szCs w:val="10"/>
                <w:color w:val="auto"/>
              </w:rPr>
            </w:pPr>
          </w:p>
        </w:tc>
        <w:tc>
          <w:tcPr>
            <w:tcW w:w="8760" w:type="dxa"/>
            <w:vAlign w:val="bottom"/>
            <w:tcBorders>
              <w:bottom w:val="single" w:sz="8" w:color="9A9A9A"/>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7128510</wp:posOffset>
            </wp:positionH>
            <wp:positionV relativeFrom="paragraph">
              <wp:posOffset>-8255</wp:posOffset>
            </wp:positionV>
            <wp:extent cx="8255" cy="889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8890" cy="1714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8890" cy="171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34" w:name="page35"/>
    <w:bookmarkEnd w:id="34"/>
    <w:p>
      <w:pPr>
        <w:jc w:val="center"/>
        <w:ind w:right="-71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firstLine="243"/>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319"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GLOBALSTAR, INC.</w:t>
      </w:r>
    </w:p>
    <w:p>
      <w:pPr>
        <w:spacing w:after="0" w:line="333" w:lineRule="exact"/>
        <w:rPr>
          <w:sz w:val="20"/>
          <w:szCs w:val="20"/>
          <w:color w:val="auto"/>
        </w:rPr>
      </w:pPr>
    </w:p>
    <w:p>
      <w:pPr>
        <w:ind w:left="280"/>
        <w:spacing w:after="0"/>
        <w:tabs>
          <w:tab w:leader="none" w:pos="3980" w:val="left"/>
          <w:tab w:leader="none" w:pos="4420" w:val="left"/>
        </w:tabs>
        <w:rPr>
          <w:sz w:val="20"/>
          <w:szCs w:val="20"/>
          <w:color w:val="auto"/>
        </w:rPr>
      </w:pPr>
      <w:r>
        <w:rPr>
          <w:rFonts w:ascii="Arial" w:cs="Arial" w:eastAsia="Arial" w:hAnsi="Arial"/>
          <w:sz w:val="18"/>
          <w:szCs w:val="18"/>
          <w:color w:val="auto"/>
        </w:rPr>
        <w:t>Date: August 6, 2020</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David B. Kagan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2807970</wp:posOffset>
            </wp:positionH>
            <wp:positionV relativeFrom="paragraph">
              <wp:posOffset>31750</wp:posOffset>
            </wp:positionV>
            <wp:extent cx="4311650" cy="825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4311650" cy="8255"/>
                    </a:xfrm>
                    <a:prstGeom prst="rect">
                      <a:avLst/>
                    </a:prstGeom>
                    <a:noFill/>
                  </pic:spPr>
                </pic:pic>
              </a:graphicData>
            </a:graphic>
          </wp:anchor>
        </w:drawing>
      </w:r>
    </w:p>
    <w:p>
      <w:pPr>
        <w:spacing w:after="0" w:line="57" w:lineRule="exact"/>
        <w:rPr>
          <w:sz w:val="20"/>
          <w:szCs w:val="20"/>
          <w:color w:val="auto"/>
        </w:rPr>
      </w:pPr>
    </w:p>
    <w:p>
      <w:pPr>
        <w:ind w:left="4440"/>
        <w:spacing w:after="0"/>
        <w:rPr>
          <w:sz w:val="20"/>
          <w:szCs w:val="20"/>
          <w:color w:val="auto"/>
        </w:rPr>
      </w:pPr>
      <w:r>
        <w:rPr>
          <w:rFonts w:ascii="Arial" w:cs="Arial" w:eastAsia="Arial" w:hAnsi="Arial"/>
          <w:sz w:val="18"/>
          <w:szCs w:val="18"/>
          <w:color w:val="auto"/>
        </w:rPr>
        <w:t>David B. Kagan</w:t>
      </w:r>
    </w:p>
    <w:p>
      <w:pPr>
        <w:spacing w:after="0" w:line="63" w:lineRule="exact"/>
        <w:rPr>
          <w:sz w:val="20"/>
          <w:szCs w:val="20"/>
          <w:color w:val="auto"/>
        </w:rPr>
      </w:pPr>
    </w:p>
    <w:p>
      <w:pPr>
        <w:ind w:left="4440"/>
        <w:spacing w:after="0"/>
        <w:rPr>
          <w:sz w:val="20"/>
          <w:szCs w:val="20"/>
          <w:color w:val="auto"/>
        </w:rPr>
      </w:pPr>
      <w:r>
        <w:rPr>
          <w:rFonts w:ascii="Arial" w:cs="Arial" w:eastAsia="Arial" w:hAnsi="Arial"/>
          <w:sz w:val="18"/>
          <w:szCs w:val="18"/>
          <w:i w:val="1"/>
          <w:iCs w:val="1"/>
          <w:color w:val="auto"/>
        </w:rPr>
        <w:t>Chief Executive Officer (Principal Executive Officer)</w:t>
      </w:r>
    </w:p>
    <w:p>
      <w:pPr>
        <w:spacing w:after="0" w:line="320" w:lineRule="exact"/>
        <w:rPr>
          <w:sz w:val="20"/>
          <w:szCs w:val="20"/>
          <w:color w:val="auto"/>
        </w:rPr>
      </w:pPr>
    </w:p>
    <w:p>
      <w:pPr>
        <w:ind w:left="4440"/>
        <w:spacing w:after="0"/>
        <w:rPr>
          <w:sz w:val="20"/>
          <w:szCs w:val="20"/>
          <w:color w:val="auto"/>
        </w:rPr>
      </w:pPr>
      <w:r>
        <w:rPr>
          <w:rFonts w:ascii="Arial" w:cs="Arial" w:eastAsia="Arial" w:hAnsi="Arial"/>
          <w:sz w:val="18"/>
          <w:szCs w:val="18"/>
          <w:color w:val="auto"/>
        </w:rPr>
        <w:t>/s/ Rebecca S. Clary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2807970</wp:posOffset>
            </wp:positionH>
            <wp:positionV relativeFrom="paragraph">
              <wp:posOffset>31750</wp:posOffset>
            </wp:positionV>
            <wp:extent cx="4311650" cy="825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4311650" cy="8255"/>
                    </a:xfrm>
                    <a:prstGeom prst="rect">
                      <a:avLst/>
                    </a:prstGeom>
                    <a:noFill/>
                  </pic:spPr>
                </pic:pic>
              </a:graphicData>
            </a:graphic>
          </wp:anchor>
        </w:drawing>
      </w:r>
    </w:p>
    <w:p>
      <w:pPr>
        <w:spacing w:after="0" w:line="57" w:lineRule="exact"/>
        <w:rPr>
          <w:sz w:val="20"/>
          <w:szCs w:val="20"/>
          <w:color w:val="auto"/>
        </w:rPr>
      </w:pPr>
    </w:p>
    <w:p>
      <w:pPr>
        <w:ind w:left="4440"/>
        <w:spacing w:after="0"/>
        <w:rPr>
          <w:sz w:val="20"/>
          <w:szCs w:val="20"/>
          <w:color w:val="auto"/>
        </w:rPr>
      </w:pPr>
      <w:r>
        <w:rPr>
          <w:rFonts w:ascii="Arial" w:cs="Arial" w:eastAsia="Arial" w:hAnsi="Arial"/>
          <w:sz w:val="18"/>
          <w:szCs w:val="18"/>
          <w:color w:val="auto"/>
        </w:rPr>
        <w:t>Rebecca S. Clary</w:t>
      </w:r>
    </w:p>
    <w:p>
      <w:pPr>
        <w:spacing w:after="0" w:line="63" w:lineRule="exact"/>
        <w:rPr>
          <w:sz w:val="20"/>
          <w:szCs w:val="20"/>
          <w:color w:val="auto"/>
        </w:rPr>
      </w:pPr>
    </w:p>
    <w:p>
      <w:pPr>
        <w:ind w:left="4440"/>
        <w:spacing w:after="0"/>
        <w:rPr>
          <w:sz w:val="20"/>
          <w:szCs w:val="20"/>
          <w:color w:val="auto"/>
        </w:rPr>
      </w:pPr>
      <w:r>
        <w:rPr>
          <w:rFonts w:ascii="Arial" w:cs="Arial" w:eastAsia="Arial" w:hAnsi="Arial"/>
          <w:sz w:val="18"/>
          <w:szCs w:val="18"/>
          <w:i w:val="1"/>
          <w:iCs w:val="1"/>
          <w:color w:val="auto"/>
        </w:rPr>
        <w:t>Chief Financial Officer (Principal Financial Officer)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ind w:left="5540"/>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0520"/>
          </w:cols>
          <w:pgMar w:left="320" w:top="891" w:right="1059" w:bottom="1440" w:gutter="0" w:footer="0" w:header="0"/>
        </w:sectPr>
      </w:pPr>
    </w:p>
    <w:bookmarkStart w:id="35" w:name="page36"/>
    <w:bookmarkEnd w:id="35"/>
    <w:p>
      <w:pPr>
        <w:jc w:val="right"/>
        <w:spacing w:after="0"/>
        <w:rPr>
          <w:sz w:val="20"/>
          <w:szCs w:val="20"/>
          <w:color w:val="auto"/>
        </w:rPr>
      </w:pPr>
      <w:r>
        <w:rPr>
          <w:rFonts w:ascii="Arial" w:cs="Arial" w:eastAsia="Arial" w:hAnsi="Arial"/>
          <w:sz w:val="18"/>
          <w:szCs w:val="18"/>
          <w:b w:val="1"/>
          <w:bCs w:val="1"/>
          <w:color w:val="auto"/>
        </w:rPr>
        <w:t>Exhibit 31.1</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Chief Executive Officer</w:t>
      </w: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I, David B. Kagan, certify that:</w:t>
      </w:r>
    </w:p>
    <w:p>
      <w:pPr>
        <w:spacing w:after="0" w:line="252" w:lineRule="exact"/>
        <w:rPr>
          <w:sz w:val="20"/>
          <w:szCs w:val="20"/>
          <w:color w:val="auto"/>
        </w:rPr>
      </w:pPr>
    </w:p>
    <w:p>
      <w:pPr>
        <w:ind w:left="340" w:hanging="332"/>
        <w:spacing w:after="0"/>
        <w:tabs>
          <w:tab w:leader="none" w:pos="3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Globalstar, Inc.;</w:t>
      </w:r>
    </w:p>
    <w:p>
      <w:pPr>
        <w:spacing w:after="0" w:line="252" w:lineRule="exact"/>
        <w:rPr>
          <w:rFonts w:ascii="Arial" w:cs="Arial" w:eastAsia="Arial" w:hAnsi="Arial"/>
          <w:sz w:val="18"/>
          <w:szCs w:val="18"/>
          <w:color w:val="auto"/>
        </w:rPr>
      </w:pPr>
    </w:p>
    <w:p>
      <w:pPr>
        <w:jc w:val="both"/>
        <w:ind w:left="340" w:right="440" w:hanging="332"/>
        <w:spacing w:after="0" w:line="263" w:lineRule="auto"/>
        <w:tabs>
          <w:tab w:leader="none" w:pos="3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210" w:lineRule="exact"/>
        <w:rPr>
          <w:rFonts w:ascii="Arial" w:cs="Arial" w:eastAsia="Arial" w:hAnsi="Arial"/>
          <w:sz w:val="18"/>
          <w:szCs w:val="18"/>
          <w:color w:val="auto"/>
        </w:rPr>
      </w:pPr>
    </w:p>
    <w:p>
      <w:pPr>
        <w:ind w:left="340" w:right="400" w:hanging="332"/>
        <w:spacing w:after="0" w:line="308" w:lineRule="auto"/>
        <w:tabs>
          <w:tab w:leader="none" w:pos="340" w:val="left"/>
        </w:tabs>
        <w:numPr>
          <w:ilvl w:val="0"/>
          <w:numId w:val="11"/>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73" w:lineRule="exact"/>
        <w:rPr>
          <w:rFonts w:ascii="Arial" w:cs="Arial" w:eastAsia="Arial" w:hAnsi="Arial"/>
          <w:sz w:val="17"/>
          <w:szCs w:val="17"/>
          <w:color w:val="auto"/>
        </w:rPr>
      </w:pPr>
    </w:p>
    <w:p>
      <w:pPr>
        <w:ind w:left="340" w:right="300" w:hanging="332"/>
        <w:spacing w:after="0" w:line="342" w:lineRule="auto"/>
        <w:tabs>
          <w:tab w:leader="none" w:pos="340" w:val="left"/>
        </w:tabs>
        <w:numPr>
          <w:ilvl w:val="0"/>
          <w:numId w:val="11"/>
        </w:numPr>
        <w:rPr>
          <w:rFonts w:ascii="Arial" w:cs="Arial" w:eastAsia="Arial" w:hAnsi="Arial"/>
          <w:sz w:val="16"/>
          <w:szCs w:val="16"/>
          <w:color w:val="auto"/>
        </w:rPr>
      </w:pPr>
      <w:r>
        <w:rPr>
          <w:rFonts w:ascii="Arial" w:cs="Arial" w:eastAsia="Arial" w:hAnsi="Arial"/>
          <w:sz w:val="16"/>
          <w:szCs w:val="16"/>
          <w:color w:val="auto"/>
        </w:rPr>
        <w:t>I am responsible for establishing and maintaining disclosure controls and procedures (as defined in Exchange Act Rules 13a-15(e) and 15(d)-15(e)) and internal control over financial reporting (as defined in Exchange Act Rule 13a-15(f) and 15d-15(f)) for the registrant and have:</w:t>
      </w:r>
    </w:p>
    <w:p>
      <w:pPr>
        <w:spacing w:after="0" w:line="150" w:lineRule="exact"/>
        <w:rPr>
          <w:rFonts w:ascii="Arial" w:cs="Arial" w:eastAsia="Arial" w:hAnsi="Arial"/>
          <w:sz w:val="16"/>
          <w:szCs w:val="16"/>
          <w:color w:val="auto"/>
        </w:rPr>
      </w:pPr>
    </w:p>
    <w:p>
      <w:pPr>
        <w:jc w:val="both"/>
        <w:ind w:left="980" w:right="60" w:hanging="324"/>
        <w:spacing w:after="0" w:line="263" w:lineRule="auto"/>
        <w:tabs>
          <w:tab w:leader="none" w:pos="977" w:val="left"/>
        </w:tabs>
        <w:numPr>
          <w:ilvl w:val="1"/>
          <w:numId w:val="11"/>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my supervision, to ensure that material information relating to the registrant, including its consolidated subsidiaries, is made known to me by others within those entities, particularly during the period in which this report is being prepared;</w:t>
      </w:r>
    </w:p>
    <w:p>
      <w:pPr>
        <w:spacing w:after="0" w:line="210" w:lineRule="exact"/>
        <w:rPr>
          <w:rFonts w:ascii="Arial" w:cs="Arial" w:eastAsia="Arial" w:hAnsi="Arial"/>
          <w:sz w:val="18"/>
          <w:szCs w:val="18"/>
          <w:color w:val="auto"/>
        </w:rPr>
      </w:pPr>
    </w:p>
    <w:p>
      <w:pPr>
        <w:ind w:left="980" w:right="360" w:hanging="324"/>
        <w:spacing w:after="0" w:line="263" w:lineRule="auto"/>
        <w:tabs>
          <w:tab w:leader="none" w:pos="974" w:val="left"/>
        </w:tabs>
        <w:numPr>
          <w:ilvl w:val="1"/>
          <w:numId w:val="11"/>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my supervision, to provide reasonable assurance regarding the reliability of financial reporting and the preparation of financial statements for external purposes in accordance with generally accepted accounting principles;</w:t>
      </w:r>
    </w:p>
    <w:p>
      <w:pPr>
        <w:spacing w:after="0" w:line="210" w:lineRule="exact"/>
        <w:rPr>
          <w:rFonts w:ascii="Arial" w:cs="Arial" w:eastAsia="Arial" w:hAnsi="Arial"/>
          <w:sz w:val="18"/>
          <w:szCs w:val="18"/>
          <w:color w:val="auto"/>
        </w:rPr>
      </w:pPr>
    </w:p>
    <w:p>
      <w:pPr>
        <w:ind w:left="980" w:right="540" w:hanging="324"/>
        <w:spacing w:after="0" w:line="342" w:lineRule="auto"/>
        <w:tabs>
          <w:tab w:leader="none" w:pos="977" w:val="left"/>
        </w:tabs>
        <w:numPr>
          <w:ilvl w:val="1"/>
          <w:numId w:val="11"/>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my conclusion about the effectiveness of the disclosure controls and procedures, as of the end of the period covered by this report based on such evaluation; and</w:t>
      </w:r>
    </w:p>
    <w:p>
      <w:pPr>
        <w:spacing w:after="0" w:line="150" w:lineRule="exact"/>
        <w:rPr>
          <w:rFonts w:ascii="Arial" w:cs="Arial" w:eastAsia="Arial" w:hAnsi="Arial"/>
          <w:sz w:val="16"/>
          <w:szCs w:val="16"/>
          <w:color w:val="auto"/>
        </w:rPr>
      </w:pPr>
    </w:p>
    <w:p>
      <w:pPr>
        <w:ind w:left="980" w:right="60" w:hanging="324"/>
        <w:spacing w:after="0" w:line="263" w:lineRule="auto"/>
        <w:tabs>
          <w:tab w:leader="none" w:pos="974" w:val="left"/>
        </w:tabs>
        <w:numPr>
          <w:ilvl w:val="1"/>
          <w:numId w:val="11"/>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that has materially affected, or is reasonably likely to materially affect, the registrant’s internal control over financial reporting; and</w:t>
      </w:r>
    </w:p>
    <w:p>
      <w:pPr>
        <w:spacing w:after="0" w:line="210" w:lineRule="exact"/>
        <w:rPr>
          <w:rFonts w:ascii="Arial" w:cs="Arial" w:eastAsia="Arial" w:hAnsi="Arial"/>
          <w:sz w:val="18"/>
          <w:szCs w:val="18"/>
          <w:color w:val="auto"/>
        </w:rPr>
      </w:pPr>
    </w:p>
    <w:p>
      <w:pPr>
        <w:ind w:left="340" w:right="60" w:hanging="332"/>
        <w:spacing w:after="0" w:line="277" w:lineRule="auto"/>
        <w:tabs>
          <w:tab w:leader="none" w:pos="3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I have disclosed, based on my most recent evaluation of internal control over financial reporting, to the registrant’s auditors and the audit committee of the registrant’s board of directors:</w:t>
      </w:r>
    </w:p>
    <w:p>
      <w:pPr>
        <w:spacing w:after="0" w:line="197" w:lineRule="exact"/>
        <w:rPr>
          <w:rFonts w:ascii="Arial" w:cs="Arial" w:eastAsia="Arial" w:hAnsi="Arial"/>
          <w:sz w:val="18"/>
          <w:szCs w:val="18"/>
          <w:color w:val="auto"/>
        </w:rPr>
      </w:pPr>
    </w:p>
    <w:p>
      <w:pPr>
        <w:ind w:left="980" w:right="780" w:hanging="324"/>
        <w:spacing w:after="0" w:line="342" w:lineRule="auto"/>
        <w:tabs>
          <w:tab w:leader="none" w:pos="977" w:val="left"/>
        </w:tabs>
        <w:numPr>
          <w:ilvl w:val="1"/>
          <w:numId w:val="11"/>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50" w:lineRule="exact"/>
        <w:rPr>
          <w:rFonts w:ascii="Arial" w:cs="Arial" w:eastAsia="Arial" w:hAnsi="Arial"/>
          <w:sz w:val="16"/>
          <w:szCs w:val="16"/>
          <w:color w:val="auto"/>
        </w:rPr>
      </w:pPr>
    </w:p>
    <w:p>
      <w:pPr>
        <w:ind w:left="980" w:right="480" w:hanging="324"/>
        <w:spacing w:after="0" w:line="277" w:lineRule="auto"/>
        <w:tabs>
          <w:tab w:leader="none" w:pos="974" w:val="left"/>
        </w:tabs>
        <w:numPr>
          <w:ilvl w:val="1"/>
          <w:numId w:val="11"/>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346" w:lineRule="exact"/>
        <w:rPr>
          <w:sz w:val="20"/>
          <w:szCs w:val="20"/>
          <w:color w:val="auto"/>
        </w:rPr>
      </w:pPr>
    </w:p>
    <w:tbl>
      <w:tblPr>
        <w:tblLayout w:type="fixed"/>
        <w:tblInd w:w="20" w:type="dxa"/>
        <w:tblCellMar>
          <w:top w:w="0" w:type="dxa"/>
          <w:left w:w="0" w:type="dxa"/>
          <w:bottom w:w="0" w:type="dxa"/>
          <w:right w:w="0" w:type="dxa"/>
        </w:tblCellMar>
      </w:tblPr>
      <w:tr>
        <w:trPr>
          <w:trHeight w:val="230"/>
        </w:trPr>
        <w:tc>
          <w:tcPr>
            <w:tcW w:w="780" w:type="dxa"/>
            <w:vAlign w:val="bottom"/>
          </w:tcPr>
          <w:p>
            <w:pPr>
              <w:spacing w:after="0"/>
              <w:rPr>
                <w:sz w:val="20"/>
                <w:szCs w:val="20"/>
                <w:color w:val="auto"/>
              </w:rPr>
            </w:pPr>
            <w:r>
              <w:rPr>
                <w:rFonts w:ascii="Arial" w:cs="Arial" w:eastAsia="Arial" w:hAnsi="Arial"/>
                <w:sz w:val="18"/>
                <w:szCs w:val="18"/>
                <w:color w:val="auto"/>
              </w:rPr>
              <w:t>Date:</w:t>
            </w:r>
          </w:p>
        </w:tc>
        <w:tc>
          <w:tcPr>
            <w:tcW w:w="5220" w:type="dxa"/>
            <w:vAlign w:val="bottom"/>
          </w:tcPr>
          <w:p>
            <w:pPr>
              <w:spacing w:after="0"/>
              <w:rPr>
                <w:sz w:val="20"/>
                <w:szCs w:val="20"/>
                <w:color w:val="auto"/>
              </w:rPr>
            </w:pPr>
            <w:r>
              <w:rPr>
                <w:rFonts w:ascii="Arial" w:cs="Arial" w:eastAsia="Arial" w:hAnsi="Arial"/>
                <w:sz w:val="18"/>
                <w:szCs w:val="18"/>
                <w:color w:val="auto"/>
              </w:rPr>
              <w:t>August 6, 2020</w:t>
            </w:r>
          </w:p>
        </w:tc>
      </w:tr>
      <w:tr>
        <w:trPr>
          <w:trHeight w:val="432"/>
        </w:trPr>
        <w:tc>
          <w:tcPr>
            <w:tcW w:w="780" w:type="dxa"/>
            <w:vAlign w:val="bottom"/>
          </w:tcPr>
          <w:p>
            <w:pPr>
              <w:spacing w:after="0"/>
              <w:rPr>
                <w:sz w:val="20"/>
                <w:szCs w:val="20"/>
                <w:color w:val="auto"/>
              </w:rPr>
            </w:pPr>
            <w:r>
              <w:rPr>
                <w:rFonts w:ascii="Arial" w:cs="Arial" w:eastAsia="Arial" w:hAnsi="Arial"/>
                <w:sz w:val="18"/>
                <w:szCs w:val="18"/>
                <w:color w:val="auto"/>
              </w:rPr>
              <w:t>By:</w:t>
            </w:r>
          </w:p>
        </w:tc>
        <w:tc>
          <w:tcPr>
            <w:tcW w:w="5220" w:type="dxa"/>
            <w:vAlign w:val="bottom"/>
          </w:tcPr>
          <w:p>
            <w:pPr>
              <w:spacing w:after="0"/>
              <w:rPr>
                <w:sz w:val="20"/>
                <w:szCs w:val="20"/>
                <w:color w:val="auto"/>
              </w:rPr>
            </w:pPr>
            <w:r>
              <w:rPr>
                <w:rFonts w:ascii="Arial" w:cs="Arial" w:eastAsia="Arial" w:hAnsi="Arial"/>
                <w:sz w:val="18"/>
                <w:szCs w:val="18"/>
                <w:color w:val="auto"/>
              </w:rPr>
              <w:t>/s/ David B. Kagan</w:t>
            </w:r>
          </w:p>
        </w:tc>
      </w:tr>
      <w:tr>
        <w:trPr>
          <w:trHeight w:val="27"/>
        </w:trPr>
        <w:tc>
          <w:tcPr>
            <w:tcW w:w="780" w:type="dxa"/>
            <w:vAlign w:val="bottom"/>
          </w:tcPr>
          <w:p>
            <w:pPr>
              <w:spacing w:after="0"/>
              <w:rPr>
                <w:sz w:val="2"/>
                <w:szCs w:val="2"/>
                <w:color w:val="auto"/>
              </w:rPr>
            </w:pPr>
          </w:p>
        </w:tc>
        <w:tc>
          <w:tcPr>
            <w:tcW w:w="5220" w:type="dxa"/>
            <w:vAlign w:val="bottom"/>
            <w:tcBorders>
              <w:bottom w:val="single" w:sz="8" w:color="auto"/>
            </w:tcBorders>
          </w:tcPr>
          <w:p>
            <w:pPr>
              <w:spacing w:after="0"/>
              <w:rPr>
                <w:sz w:val="2"/>
                <w:szCs w:val="2"/>
                <w:color w:val="auto"/>
              </w:rPr>
            </w:pPr>
          </w:p>
        </w:tc>
      </w:tr>
      <w:tr>
        <w:trPr>
          <w:trHeight w:val="237"/>
        </w:trPr>
        <w:tc>
          <w:tcPr>
            <w:tcW w:w="780" w:type="dxa"/>
            <w:vAlign w:val="bottom"/>
          </w:tcPr>
          <w:p>
            <w:pPr>
              <w:spacing w:after="0"/>
              <w:rPr>
                <w:sz w:val="20"/>
                <w:szCs w:val="20"/>
                <w:color w:val="auto"/>
              </w:rPr>
            </w:pPr>
          </w:p>
        </w:tc>
        <w:tc>
          <w:tcPr>
            <w:tcW w:w="5220" w:type="dxa"/>
            <w:vAlign w:val="bottom"/>
          </w:tcPr>
          <w:p>
            <w:pPr>
              <w:spacing w:after="0"/>
              <w:rPr>
                <w:sz w:val="20"/>
                <w:szCs w:val="20"/>
                <w:color w:val="auto"/>
              </w:rPr>
            </w:pPr>
            <w:r>
              <w:rPr>
                <w:rFonts w:ascii="Arial" w:cs="Arial" w:eastAsia="Arial" w:hAnsi="Arial"/>
                <w:sz w:val="18"/>
                <w:szCs w:val="18"/>
                <w:color w:val="auto"/>
              </w:rPr>
              <w:t>David B. Kagan</w:t>
            </w:r>
          </w:p>
        </w:tc>
      </w:tr>
      <w:tr>
        <w:trPr>
          <w:trHeight w:val="270"/>
        </w:trPr>
        <w:tc>
          <w:tcPr>
            <w:tcW w:w="780" w:type="dxa"/>
            <w:vAlign w:val="bottom"/>
          </w:tcPr>
          <w:p>
            <w:pPr>
              <w:spacing w:after="0"/>
              <w:rPr>
                <w:sz w:val="23"/>
                <w:szCs w:val="23"/>
                <w:color w:val="auto"/>
              </w:rPr>
            </w:pPr>
          </w:p>
        </w:tc>
        <w:tc>
          <w:tcPr>
            <w:tcW w:w="5220" w:type="dxa"/>
            <w:vAlign w:val="bottom"/>
          </w:tcPr>
          <w:p>
            <w:pPr>
              <w:spacing w:after="0"/>
              <w:rPr>
                <w:sz w:val="20"/>
                <w:szCs w:val="20"/>
                <w:color w:val="auto"/>
              </w:rPr>
            </w:pPr>
            <w:r>
              <w:rPr>
                <w:rFonts w:ascii="Arial" w:cs="Arial" w:eastAsia="Arial" w:hAnsi="Arial"/>
                <w:sz w:val="18"/>
                <w:szCs w:val="18"/>
                <w:i w:val="1"/>
                <w:iCs w:val="1"/>
                <w:color w:val="auto"/>
              </w:rPr>
              <w:t>Chief Executive Officer (Principal Executive Officer)</w:t>
            </w:r>
          </w:p>
        </w:tc>
      </w:tr>
    </w:tbl>
    <w:p>
      <w:pPr>
        <w:sectPr>
          <w:pgSz w:w="11900" w:h="16838" w:orient="portrait"/>
          <w:cols w:equalWidth="0" w:num="1">
            <w:col w:w="11240"/>
          </w:cols>
          <w:pgMar w:left="320" w:top="891" w:right="339" w:bottom="1440" w:gutter="0" w:footer="0" w:header="0"/>
        </w:sectPr>
      </w:pPr>
    </w:p>
    <w:bookmarkStart w:id="36" w:name="page37"/>
    <w:bookmarkEnd w:id="36"/>
    <w:p>
      <w:pPr>
        <w:jc w:val="right"/>
        <w:spacing w:after="0"/>
        <w:rPr>
          <w:sz w:val="20"/>
          <w:szCs w:val="20"/>
          <w:color w:val="auto"/>
        </w:rPr>
      </w:pPr>
      <w:r>
        <w:rPr>
          <w:rFonts w:ascii="Arial" w:cs="Arial" w:eastAsia="Arial" w:hAnsi="Arial"/>
          <w:sz w:val="18"/>
          <w:szCs w:val="18"/>
          <w:b w:val="1"/>
          <w:bCs w:val="1"/>
          <w:color w:val="auto"/>
        </w:rPr>
        <w:t>Exhibit 31.2</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Chief Financial Officer</w:t>
      </w: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I, Rebecca S. Clary certify that:</w:t>
      </w:r>
    </w:p>
    <w:p>
      <w:pPr>
        <w:spacing w:after="0" w:line="252" w:lineRule="exact"/>
        <w:rPr>
          <w:sz w:val="20"/>
          <w:szCs w:val="20"/>
          <w:color w:val="auto"/>
        </w:rPr>
      </w:pPr>
    </w:p>
    <w:p>
      <w:pPr>
        <w:ind w:left="340" w:hanging="332"/>
        <w:spacing w:after="0"/>
        <w:tabs>
          <w:tab w:leader="none" w:pos="3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Globalstar, Inc.;</w:t>
      </w:r>
    </w:p>
    <w:p>
      <w:pPr>
        <w:spacing w:after="0" w:line="252" w:lineRule="exact"/>
        <w:rPr>
          <w:rFonts w:ascii="Arial" w:cs="Arial" w:eastAsia="Arial" w:hAnsi="Arial"/>
          <w:sz w:val="18"/>
          <w:szCs w:val="18"/>
          <w:color w:val="auto"/>
        </w:rPr>
      </w:pPr>
    </w:p>
    <w:p>
      <w:pPr>
        <w:jc w:val="both"/>
        <w:ind w:left="340" w:right="440" w:hanging="332"/>
        <w:spacing w:after="0" w:line="263" w:lineRule="auto"/>
        <w:tabs>
          <w:tab w:leader="none" w:pos="3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210" w:lineRule="exact"/>
        <w:rPr>
          <w:rFonts w:ascii="Arial" w:cs="Arial" w:eastAsia="Arial" w:hAnsi="Arial"/>
          <w:sz w:val="18"/>
          <w:szCs w:val="18"/>
          <w:color w:val="auto"/>
        </w:rPr>
      </w:pPr>
    </w:p>
    <w:p>
      <w:pPr>
        <w:ind w:left="340" w:right="400" w:hanging="332"/>
        <w:spacing w:after="0" w:line="308" w:lineRule="auto"/>
        <w:tabs>
          <w:tab w:leader="none" w:pos="340" w:val="left"/>
        </w:tabs>
        <w:numPr>
          <w:ilvl w:val="0"/>
          <w:numId w:val="12"/>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73" w:lineRule="exact"/>
        <w:rPr>
          <w:rFonts w:ascii="Arial" w:cs="Arial" w:eastAsia="Arial" w:hAnsi="Arial"/>
          <w:sz w:val="17"/>
          <w:szCs w:val="17"/>
          <w:color w:val="auto"/>
        </w:rPr>
      </w:pPr>
    </w:p>
    <w:p>
      <w:pPr>
        <w:ind w:left="340" w:right="300" w:hanging="332"/>
        <w:spacing w:after="0" w:line="342" w:lineRule="auto"/>
        <w:tabs>
          <w:tab w:leader="none" w:pos="340" w:val="left"/>
        </w:tabs>
        <w:numPr>
          <w:ilvl w:val="0"/>
          <w:numId w:val="12"/>
        </w:numPr>
        <w:rPr>
          <w:rFonts w:ascii="Arial" w:cs="Arial" w:eastAsia="Arial" w:hAnsi="Arial"/>
          <w:sz w:val="16"/>
          <w:szCs w:val="16"/>
          <w:color w:val="auto"/>
        </w:rPr>
      </w:pPr>
      <w:r>
        <w:rPr>
          <w:rFonts w:ascii="Arial" w:cs="Arial" w:eastAsia="Arial" w:hAnsi="Arial"/>
          <w:sz w:val="16"/>
          <w:szCs w:val="16"/>
          <w:color w:val="auto"/>
        </w:rPr>
        <w:t>I am responsible for establishing and maintaining disclosure controls and procedures (as defined in Exchange Act Rules 13a-15(e) and 15(d)-15(e)) and internal control over financial reporting (as defined in Exchange Act Rule 13a-15(f) and 15d-15(f)) for the registrant and have:</w:t>
      </w:r>
    </w:p>
    <w:p>
      <w:pPr>
        <w:spacing w:after="0" w:line="150" w:lineRule="exact"/>
        <w:rPr>
          <w:rFonts w:ascii="Arial" w:cs="Arial" w:eastAsia="Arial" w:hAnsi="Arial"/>
          <w:sz w:val="16"/>
          <w:szCs w:val="16"/>
          <w:color w:val="auto"/>
        </w:rPr>
      </w:pPr>
    </w:p>
    <w:p>
      <w:pPr>
        <w:jc w:val="both"/>
        <w:ind w:left="980" w:right="60" w:hanging="324"/>
        <w:spacing w:after="0" w:line="263" w:lineRule="auto"/>
        <w:tabs>
          <w:tab w:leader="none" w:pos="977" w:val="left"/>
        </w:tabs>
        <w:numPr>
          <w:ilvl w:val="1"/>
          <w:numId w:val="12"/>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my supervision, to ensure that material information relating to the registrant, including its consolidated subsidiaries, is made known to me by others within those entities, particularly during the period in which this report is being prepared;</w:t>
      </w:r>
    </w:p>
    <w:p>
      <w:pPr>
        <w:spacing w:after="0" w:line="210" w:lineRule="exact"/>
        <w:rPr>
          <w:rFonts w:ascii="Arial" w:cs="Arial" w:eastAsia="Arial" w:hAnsi="Arial"/>
          <w:sz w:val="18"/>
          <w:szCs w:val="18"/>
          <w:color w:val="auto"/>
        </w:rPr>
      </w:pPr>
    </w:p>
    <w:p>
      <w:pPr>
        <w:ind w:left="980" w:right="360" w:hanging="324"/>
        <w:spacing w:after="0" w:line="263" w:lineRule="auto"/>
        <w:tabs>
          <w:tab w:leader="none" w:pos="974" w:val="left"/>
        </w:tabs>
        <w:numPr>
          <w:ilvl w:val="1"/>
          <w:numId w:val="12"/>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my supervision, to provide reasonable assurance regarding the reliability of financial reporting and the preparation of financial statements for external purposes in accordance with generally accepted accounting principles;</w:t>
      </w:r>
    </w:p>
    <w:p>
      <w:pPr>
        <w:spacing w:after="0" w:line="210" w:lineRule="exact"/>
        <w:rPr>
          <w:rFonts w:ascii="Arial" w:cs="Arial" w:eastAsia="Arial" w:hAnsi="Arial"/>
          <w:sz w:val="18"/>
          <w:szCs w:val="18"/>
          <w:color w:val="auto"/>
        </w:rPr>
      </w:pPr>
    </w:p>
    <w:p>
      <w:pPr>
        <w:ind w:left="980" w:right="540" w:hanging="324"/>
        <w:spacing w:after="0" w:line="342" w:lineRule="auto"/>
        <w:tabs>
          <w:tab w:leader="none" w:pos="977" w:val="left"/>
        </w:tabs>
        <w:numPr>
          <w:ilvl w:val="1"/>
          <w:numId w:val="12"/>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my conclusion about the effectiveness of the disclosure controls and procedures, as of the end of the period covered by this report based on such evaluation; and</w:t>
      </w:r>
    </w:p>
    <w:p>
      <w:pPr>
        <w:spacing w:after="0" w:line="150" w:lineRule="exact"/>
        <w:rPr>
          <w:rFonts w:ascii="Arial" w:cs="Arial" w:eastAsia="Arial" w:hAnsi="Arial"/>
          <w:sz w:val="16"/>
          <w:szCs w:val="16"/>
          <w:color w:val="auto"/>
        </w:rPr>
      </w:pPr>
    </w:p>
    <w:p>
      <w:pPr>
        <w:ind w:left="980" w:right="60" w:hanging="324"/>
        <w:spacing w:after="0" w:line="263" w:lineRule="auto"/>
        <w:tabs>
          <w:tab w:leader="none" w:pos="974" w:val="left"/>
        </w:tabs>
        <w:numPr>
          <w:ilvl w:val="1"/>
          <w:numId w:val="12"/>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that has materially affected, or is reasonably likely to materially affect, the registrant’s internal control over financial reporting; and</w:t>
      </w:r>
    </w:p>
    <w:p>
      <w:pPr>
        <w:spacing w:after="0" w:line="210" w:lineRule="exact"/>
        <w:rPr>
          <w:rFonts w:ascii="Arial" w:cs="Arial" w:eastAsia="Arial" w:hAnsi="Arial"/>
          <w:sz w:val="18"/>
          <w:szCs w:val="18"/>
          <w:color w:val="auto"/>
        </w:rPr>
      </w:pPr>
    </w:p>
    <w:p>
      <w:pPr>
        <w:ind w:left="340" w:right="60" w:hanging="332"/>
        <w:spacing w:after="0" w:line="277" w:lineRule="auto"/>
        <w:tabs>
          <w:tab w:leader="none" w:pos="3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I have disclosed, based on my most recent evaluation of internal control over financial reporting, to the registrant’s auditors and the audit committee of the registrant’s board of directors:</w:t>
      </w:r>
    </w:p>
    <w:p>
      <w:pPr>
        <w:spacing w:after="0" w:line="197" w:lineRule="exact"/>
        <w:rPr>
          <w:rFonts w:ascii="Arial" w:cs="Arial" w:eastAsia="Arial" w:hAnsi="Arial"/>
          <w:sz w:val="18"/>
          <w:szCs w:val="18"/>
          <w:color w:val="auto"/>
        </w:rPr>
      </w:pPr>
    </w:p>
    <w:p>
      <w:pPr>
        <w:ind w:left="980" w:right="780" w:hanging="324"/>
        <w:spacing w:after="0" w:line="342" w:lineRule="auto"/>
        <w:tabs>
          <w:tab w:leader="none" w:pos="977" w:val="left"/>
        </w:tabs>
        <w:numPr>
          <w:ilvl w:val="1"/>
          <w:numId w:val="12"/>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50" w:lineRule="exact"/>
        <w:rPr>
          <w:rFonts w:ascii="Arial" w:cs="Arial" w:eastAsia="Arial" w:hAnsi="Arial"/>
          <w:sz w:val="16"/>
          <w:szCs w:val="16"/>
          <w:color w:val="auto"/>
        </w:rPr>
      </w:pPr>
    </w:p>
    <w:p>
      <w:pPr>
        <w:ind w:left="980" w:right="480" w:hanging="324"/>
        <w:spacing w:after="0" w:line="277" w:lineRule="auto"/>
        <w:tabs>
          <w:tab w:leader="none" w:pos="974" w:val="left"/>
        </w:tabs>
        <w:numPr>
          <w:ilvl w:val="1"/>
          <w:numId w:val="12"/>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346" w:lineRule="exact"/>
        <w:rPr>
          <w:sz w:val="20"/>
          <w:szCs w:val="20"/>
          <w:color w:val="auto"/>
        </w:rPr>
      </w:pPr>
    </w:p>
    <w:tbl>
      <w:tblPr>
        <w:tblLayout w:type="fixed"/>
        <w:tblInd w:w="20" w:type="dxa"/>
        <w:tblCellMar>
          <w:top w:w="0" w:type="dxa"/>
          <w:left w:w="0" w:type="dxa"/>
          <w:bottom w:w="0" w:type="dxa"/>
          <w:right w:w="0" w:type="dxa"/>
        </w:tblCellMar>
      </w:tblPr>
      <w:tr>
        <w:trPr>
          <w:trHeight w:val="230"/>
        </w:trPr>
        <w:tc>
          <w:tcPr>
            <w:tcW w:w="780" w:type="dxa"/>
            <w:vAlign w:val="bottom"/>
          </w:tcPr>
          <w:p>
            <w:pPr>
              <w:spacing w:after="0"/>
              <w:rPr>
                <w:sz w:val="20"/>
                <w:szCs w:val="20"/>
                <w:color w:val="auto"/>
              </w:rPr>
            </w:pPr>
            <w:r>
              <w:rPr>
                <w:rFonts w:ascii="Arial" w:cs="Arial" w:eastAsia="Arial" w:hAnsi="Arial"/>
                <w:sz w:val="18"/>
                <w:szCs w:val="18"/>
                <w:color w:val="auto"/>
              </w:rPr>
              <w:t>Date:</w:t>
            </w:r>
          </w:p>
        </w:tc>
        <w:tc>
          <w:tcPr>
            <w:tcW w:w="5220" w:type="dxa"/>
            <w:vAlign w:val="bottom"/>
          </w:tcPr>
          <w:p>
            <w:pPr>
              <w:spacing w:after="0"/>
              <w:rPr>
                <w:sz w:val="20"/>
                <w:szCs w:val="20"/>
                <w:color w:val="auto"/>
              </w:rPr>
            </w:pPr>
            <w:r>
              <w:rPr>
                <w:rFonts w:ascii="Arial" w:cs="Arial" w:eastAsia="Arial" w:hAnsi="Arial"/>
                <w:sz w:val="18"/>
                <w:szCs w:val="18"/>
                <w:color w:val="auto"/>
              </w:rPr>
              <w:t>August 6, 2020</w:t>
            </w:r>
          </w:p>
        </w:tc>
      </w:tr>
      <w:tr>
        <w:trPr>
          <w:trHeight w:val="432"/>
        </w:trPr>
        <w:tc>
          <w:tcPr>
            <w:tcW w:w="780" w:type="dxa"/>
            <w:vAlign w:val="bottom"/>
          </w:tcPr>
          <w:p>
            <w:pPr>
              <w:spacing w:after="0"/>
              <w:rPr>
                <w:sz w:val="20"/>
                <w:szCs w:val="20"/>
                <w:color w:val="auto"/>
              </w:rPr>
            </w:pPr>
            <w:r>
              <w:rPr>
                <w:rFonts w:ascii="Arial" w:cs="Arial" w:eastAsia="Arial" w:hAnsi="Arial"/>
                <w:sz w:val="18"/>
                <w:szCs w:val="18"/>
                <w:color w:val="auto"/>
              </w:rPr>
              <w:t>By:</w:t>
            </w:r>
          </w:p>
        </w:tc>
        <w:tc>
          <w:tcPr>
            <w:tcW w:w="5220" w:type="dxa"/>
            <w:vAlign w:val="bottom"/>
          </w:tcPr>
          <w:p>
            <w:pPr>
              <w:spacing w:after="0"/>
              <w:rPr>
                <w:sz w:val="20"/>
                <w:szCs w:val="20"/>
                <w:color w:val="auto"/>
              </w:rPr>
            </w:pPr>
            <w:r>
              <w:rPr>
                <w:rFonts w:ascii="Arial" w:cs="Arial" w:eastAsia="Arial" w:hAnsi="Arial"/>
                <w:sz w:val="18"/>
                <w:szCs w:val="18"/>
                <w:color w:val="auto"/>
              </w:rPr>
              <w:t>/s/ Rebecca S. Clary</w:t>
            </w:r>
          </w:p>
        </w:tc>
      </w:tr>
      <w:tr>
        <w:trPr>
          <w:trHeight w:val="27"/>
        </w:trPr>
        <w:tc>
          <w:tcPr>
            <w:tcW w:w="780" w:type="dxa"/>
            <w:vAlign w:val="bottom"/>
          </w:tcPr>
          <w:p>
            <w:pPr>
              <w:spacing w:after="0"/>
              <w:rPr>
                <w:sz w:val="2"/>
                <w:szCs w:val="2"/>
                <w:color w:val="auto"/>
              </w:rPr>
            </w:pPr>
          </w:p>
        </w:tc>
        <w:tc>
          <w:tcPr>
            <w:tcW w:w="5220" w:type="dxa"/>
            <w:vAlign w:val="bottom"/>
            <w:tcBorders>
              <w:bottom w:val="single" w:sz="8" w:color="auto"/>
            </w:tcBorders>
          </w:tcPr>
          <w:p>
            <w:pPr>
              <w:spacing w:after="0"/>
              <w:rPr>
                <w:sz w:val="2"/>
                <w:szCs w:val="2"/>
                <w:color w:val="auto"/>
              </w:rPr>
            </w:pPr>
          </w:p>
        </w:tc>
      </w:tr>
      <w:tr>
        <w:trPr>
          <w:trHeight w:val="237"/>
        </w:trPr>
        <w:tc>
          <w:tcPr>
            <w:tcW w:w="780" w:type="dxa"/>
            <w:vAlign w:val="bottom"/>
          </w:tcPr>
          <w:p>
            <w:pPr>
              <w:spacing w:after="0"/>
              <w:rPr>
                <w:sz w:val="20"/>
                <w:szCs w:val="20"/>
                <w:color w:val="auto"/>
              </w:rPr>
            </w:pPr>
          </w:p>
        </w:tc>
        <w:tc>
          <w:tcPr>
            <w:tcW w:w="5220" w:type="dxa"/>
            <w:vAlign w:val="bottom"/>
          </w:tcPr>
          <w:p>
            <w:pPr>
              <w:spacing w:after="0"/>
              <w:rPr>
                <w:sz w:val="20"/>
                <w:szCs w:val="20"/>
                <w:color w:val="auto"/>
              </w:rPr>
            </w:pPr>
            <w:r>
              <w:rPr>
                <w:rFonts w:ascii="Arial" w:cs="Arial" w:eastAsia="Arial" w:hAnsi="Arial"/>
                <w:sz w:val="18"/>
                <w:szCs w:val="18"/>
                <w:color w:val="auto"/>
              </w:rPr>
              <w:t>Rebecca S. Clary</w:t>
            </w:r>
          </w:p>
        </w:tc>
      </w:tr>
      <w:tr>
        <w:trPr>
          <w:trHeight w:val="270"/>
        </w:trPr>
        <w:tc>
          <w:tcPr>
            <w:tcW w:w="780" w:type="dxa"/>
            <w:vAlign w:val="bottom"/>
          </w:tcPr>
          <w:p>
            <w:pPr>
              <w:spacing w:after="0"/>
              <w:rPr>
                <w:sz w:val="23"/>
                <w:szCs w:val="23"/>
                <w:color w:val="auto"/>
              </w:rPr>
            </w:pPr>
          </w:p>
        </w:tc>
        <w:tc>
          <w:tcPr>
            <w:tcW w:w="5220" w:type="dxa"/>
            <w:vAlign w:val="bottom"/>
          </w:tcPr>
          <w:p>
            <w:pPr>
              <w:spacing w:after="0"/>
              <w:rPr>
                <w:sz w:val="20"/>
                <w:szCs w:val="20"/>
                <w:color w:val="auto"/>
              </w:rPr>
            </w:pPr>
            <w:r>
              <w:rPr>
                <w:rFonts w:ascii="Arial" w:cs="Arial" w:eastAsia="Arial" w:hAnsi="Arial"/>
                <w:sz w:val="18"/>
                <w:szCs w:val="18"/>
                <w:i w:val="1"/>
                <w:iCs w:val="1"/>
                <w:color w:val="auto"/>
              </w:rPr>
              <w:t>Chief Financial Officer (Principal Financial Officer)</w:t>
            </w:r>
          </w:p>
        </w:tc>
      </w:tr>
    </w:tbl>
    <w:p>
      <w:pPr>
        <w:sectPr>
          <w:pgSz w:w="11900" w:h="16838" w:orient="portrait"/>
          <w:cols w:equalWidth="0" w:num="1">
            <w:col w:w="11240"/>
          </w:cols>
          <w:pgMar w:left="320" w:top="891" w:right="339" w:bottom="1440" w:gutter="0" w:footer="0" w:header="0"/>
        </w:sectPr>
      </w:pPr>
    </w:p>
    <w:bookmarkStart w:id="37" w:name="page38"/>
    <w:bookmarkEnd w:id="37"/>
    <w:p>
      <w:pPr>
        <w:jc w:val="right"/>
        <w:spacing w:after="0"/>
        <w:rPr>
          <w:sz w:val="20"/>
          <w:szCs w:val="20"/>
          <w:color w:val="auto"/>
        </w:rPr>
      </w:pPr>
      <w:r>
        <w:rPr>
          <w:rFonts w:ascii="Arial" w:cs="Arial" w:eastAsia="Arial" w:hAnsi="Arial"/>
          <w:sz w:val="18"/>
          <w:szCs w:val="18"/>
          <w:b w:val="1"/>
          <w:bCs w:val="1"/>
          <w:color w:val="auto"/>
        </w:rPr>
        <w:t>Exhibit 32.1</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 Section 906 of the Sarbanes-Oxley Act of 2002</w:t>
      </w:r>
    </w:p>
    <w:p>
      <w:pPr>
        <w:spacing w:after="0" w:line="256" w:lineRule="exact"/>
        <w:rPr>
          <w:sz w:val="20"/>
          <w:szCs w:val="20"/>
          <w:color w:val="auto"/>
        </w:rPr>
      </w:pPr>
    </w:p>
    <w:p>
      <w:pPr>
        <w:jc w:val="both"/>
        <w:ind w:firstLine="243"/>
        <w:spacing w:after="0" w:line="277" w:lineRule="auto"/>
        <w:rPr>
          <w:sz w:val="20"/>
          <w:szCs w:val="20"/>
          <w:color w:val="auto"/>
        </w:rPr>
      </w:pPr>
      <w:r>
        <w:rPr>
          <w:rFonts w:ascii="Arial" w:cs="Arial" w:eastAsia="Arial" w:hAnsi="Arial"/>
          <w:sz w:val="18"/>
          <w:szCs w:val="18"/>
          <w:color w:val="auto"/>
        </w:rPr>
        <w:t>Pursuant to section 906 of the Sarbanes-Oxley Act of 2002 (subsections (a) and (b) of Section 1350, Chapter 63 of Title 18, United States Code), the undersigned officer of Globalstar, Inc. (the “Company”), does hereby certify that:</w:t>
      </w:r>
    </w:p>
    <w:p>
      <w:pPr>
        <w:spacing w:after="0" w:line="170" w:lineRule="exact"/>
        <w:rPr>
          <w:sz w:val="20"/>
          <w:szCs w:val="20"/>
          <w:color w:val="auto"/>
        </w:rPr>
      </w:pPr>
    </w:p>
    <w:p>
      <w:pPr>
        <w:jc w:val="both"/>
        <w:ind w:firstLine="243"/>
        <w:spacing w:after="0" w:line="263" w:lineRule="auto"/>
        <w:rPr>
          <w:sz w:val="20"/>
          <w:szCs w:val="20"/>
          <w:color w:val="auto"/>
        </w:rPr>
      </w:pPr>
      <w:r>
        <w:rPr>
          <w:rFonts w:ascii="Arial" w:cs="Arial" w:eastAsia="Arial" w:hAnsi="Arial"/>
          <w:sz w:val="18"/>
          <w:szCs w:val="18"/>
          <w:color w:val="auto"/>
        </w:rPr>
        <w:t>This quarterly report on Form 10-Q for the quarter ended June 30, 2020 of the Company fully complies with the requirements of section 13(a) or 15(d) of the Securities Exchange Act of 1934 and the information contained in the Form 10-Q fairly presents, in all material respects, the financial condition and results of operations of the Company.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ind w:left="20"/>
        <w:spacing w:after="0"/>
        <w:tabs>
          <w:tab w:leader="none" w:pos="700" w:val="left"/>
          <w:tab w:leader="none" w:pos="5060" w:val="left"/>
          <w:tab w:leader="none" w:pos="5520" w:val="left"/>
        </w:tabs>
        <w:rPr>
          <w:sz w:val="20"/>
          <w:szCs w:val="20"/>
          <w:color w:val="auto"/>
        </w:rPr>
      </w:pPr>
      <w:r>
        <w:rPr>
          <w:rFonts w:ascii="Arial" w:cs="Arial" w:eastAsia="Arial" w:hAnsi="Arial"/>
          <w:sz w:val="18"/>
          <w:szCs w:val="18"/>
          <w:color w:val="auto"/>
        </w:rPr>
        <w:t>Date:</w:t>
      </w:r>
      <w:r>
        <w:rPr>
          <w:sz w:val="20"/>
          <w:szCs w:val="20"/>
          <w:color w:val="auto"/>
        </w:rPr>
        <w:tab/>
      </w:r>
      <w:r>
        <w:rPr>
          <w:rFonts w:ascii="Arial" w:cs="Arial" w:eastAsia="Arial" w:hAnsi="Arial"/>
          <w:sz w:val="18"/>
          <w:szCs w:val="18"/>
          <w:color w:val="auto"/>
        </w:rPr>
        <w:t>August 6, 2020</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David B. Kagan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3502660</wp:posOffset>
            </wp:positionH>
            <wp:positionV relativeFrom="paragraph">
              <wp:posOffset>31750</wp:posOffset>
            </wp:positionV>
            <wp:extent cx="3497580" cy="825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3497580" cy="8255"/>
                    </a:xfrm>
                    <a:prstGeom prst="rect">
                      <a:avLst/>
                    </a:prstGeom>
                    <a:noFill/>
                  </pic:spPr>
                </pic:pic>
              </a:graphicData>
            </a:graphic>
          </wp:anchor>
        </w:drawing>
      </w:r>
    </w:p>
    <w:p>
      <w:pPr>
        <w:spacing w:after="0" w:line="57" w:lineRule="exact"/>
        <w:rPr>
          <w:sz w:val="20"/>
          <w:szCs w:val="20"/>
          <w:color w:val="auto"/>
        </w:rPr>
      </w:pPr>
    </w:p>
    <w:p>
      <w:pPr>
        <w:ind w:left="5540"/>
        <w:spacing w:after="0"/>
        <w:rPr>
          <w:sz w:val="20"/>
          <w:szCs w:val="20"/>
          <w:color w:val="auto"/>
        </w:rPr>
      </w:pPr>
      <w:r>
        <w:rPr>
          <w:rFonts w:ascii="Arial" w:cs="Arial" w:eastAsia="Arial" w:hAnsi="Arial"/>
          <w:sz w:val="18"/>
          <w:szCs w:val="18"/>
          <w:color w:val="auto"/>
        </w:rPr>
        <w:t>David B. Kagan</w:t>
      </w:r>
    </w:p>
    <w:p>
      <w:pPr>
        <w:spacing w:after="0" w:line="63" w:lineRule="exact"/>
        <w:rPr>
          <w:sz w:val="20"/>
          <w:szCs w:val="20"/>
          <w:color w:val="auto"/>
        </w:rPr>
      </w:pPr>
    </w:p>
    <w:p>
      <w:pPr>
        <w:ind w:left="5540"/>
        <w:spacing w:after="0"/>
        <w:rPr>
          <w:sz w:val="20"/>
          <w:szCs w:val="20"/>
          <w:color w:val="auto"/>
        </w:rPr>
      </w:pPr>
      <w:r>
        <w:rPr>
          <w:rFonts w:ascii="Arial" w:cs="Arial" w:eastAsia="Arial" w:hAnsi="Arial"/>
          <w:sz w:val="18"/>
          <w:szCs w:val="18"/>
          <w:i w:val="1"/>
          <w:iCs w:val="1"/>
          <w:color w:val="auto"/>
        </w:rPr>
        <w:t>Chief Executive Officer (Principal Executive Officer)</w:t>
      </w:r>
    </w:p>
    <w:p>
      <w:pPr>
        <w:sectPr>
          <w:pgSz w:w="11900" w:h="16838" w:orient="portrait"/>
          <w:cols w:equalWidth="0" w:num="1">
            <w:col w:w="11240"/>
          </w:cols>
          <w:pgMar w:left="320" w:top="891" w:right="339" w:bottom="1440" w:gutter="0" w:footer="0" w:header="0"/>
        </w:sectPr>
      </w:pPr>
    </w:p>
    <w:bookmarkStart w:id="38" w:name="page39"/>
    <w:bookmarkEnd w:id="38"/>
    <w:p>
      <w:pPr>
        <w:jc w:val="right"/>
        <w:spacing w:after="0"/>
        <w:rPr>
          <w:sz w:val="20"/>
          <w:szCs w:val="20"/>
          <w:color w:val="auto"/>
        </w:rPr>
      </w:pPr>
      <w:r>
        <w:rPr>
          <w:rFonts w:ascii="Arial" w:cs="Arial" w:eastAsia="Arial" w:hAnsi="Arial"/>
          <w:sz w:val="18"/>
          <w:szCs w:val="18"/>
          <w:b w:val="1"/>
          <w:bCs w:val="1"/>
          <w:color w:val="auto"/>
        </w:rPr>
        <w:t>Exhibit 32.2</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 Section 906 of the Sarbanes-Oxley Act of 2002</w:t>
      </w:r>
    </w:p>
    <w:p>
      <w:pPr>
        <w:spacing w:after="0" w:line="256" w:lineRule="exact"/>
        <w:rPr>
          <w:sz w:val="20"/>
          <w:szCs w:val="20"/>
          <w:color w:val="auto"/>
        </w:rPr>
      </w:pPr>
    </w:p>
    <w:p>
      <w:pPr>
        <w:jc w:val="both"/>
        <w:ind w:firstLine="243"/>
        <w:spacing w:after="0" w:line="277" w:lineRule="auto"/>
        <w:rPr>
          <w:sz w:val="20"/>
          <w:szCs w:val="20"/>
          <w:color w:val="auto"/>
        </w:rPr>
      </w:pPr>
      <w:r>
        <w:rPr>
          <w:rFonts w:ascii="Arial" w:cs="Arial" w:eastAsia="Arial" w:hAnsi="Arial"/>
          <w:sz w:val="18"/>
          <w:szCs w:val="18"/>
          <w:color w:val="auto"/>
        </w:rPr>
        <w:t>Pursuant to section 906 of the Sarbanes-Oxley Act of 2002 (subsections (a) and (b) of Section 1350, Chapter 63 of Title 18, United States Code), the undersigned officer of Globalstar, Inc. (the “Company”), does hereby certify that:</w:t>
      </w:r>
    </w:p>
    <w:p>
      <w:pPr>
        <w:spacing w:after="0" w:line="170" w:lineRule="exact"/>
        <w:rPr>
          <w:sz w:val="20"/>
          <w:szCs w:val="20"/>
          <w:color w:val="auto"/>
        </w:rPr>
      </w:pPr>
    </w:p>
    <w:p>
      <w:pPr>
        <w:jc w:val="both"/>
        <w:ind w:firstLine="243"/>
        <w:spacing w:after="0" w:line="263" w:lineRule="auto"/>
        <w:rPr>
          <w:sz w:val="20"/>
          <w:szCs w:val="20"/>
          <w:color w:val="auto"/>
        </w:rPr>
      </w:pPr>
      <w:r>
        <w:rPr>
          <w:rFonts w:ascii="Arial" w:cs="Arial" w:eastAsia="Arial" w:hAnsi="Arial"/>
          <w:sz w:val="18"/>
          <w:szCs w:val="18"/>
          <w:color w:val="auto"/>
        </w:rPr>
        <w:t>This quarterly report on Form 10-Q for the quarter ended June 30, 2020 of the Company fully complies with the requirements of section 13(a) or 15(d) of the Securities Exchange Act of 1934 and the information contained in the Form 10-Q fairly presents, in all material respects, the financial condition and results of operations of the Company.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ind w:left="20"/>
        <w:spacing w:after="0"/>
        <w:tabs>
          <w:tab w:leader="none" w:pos="700" w:val="left"/>
          <w:tab w:leader="none" w:pos="5060" w:val="left"/>
          <w:tab w:leader="none" w:pos="5520" w:val="left"/>
        </w:tabs>
        <w:rPr>
          <w:sz w:val="20"/>
          <w:szCs w:val="20"/>
          <w:color w:val="auto"/>
        </w:rPr>
      </w:pPr>
      <w:r>
        <w:rPr>
          <w:rFonts w:ascii="Arial" w:cs="Arial" w:eastAsia="Arial" w:hAnsi="Arial"/>
          <w:sz w:val="18"/>
          <w:szCs w:val="18"/>
          <w:color w:val="auto"/>
        </w:rPr>
        <w:t>Date:</w:t>
      </w:r>
      <w:r>
        <w:rPr>
          <w:sz w:val="20"/>
          <w:szCs w:val="20"/>
          <w:color w:val="auto"/>
        </w:rPr>
        <w:tab/>
      </w:r>
      <w:r>
        <w:rPr>
          <w:rFonts w:ascii="Arial" w:cs="Arial" w:eastAsia="Arial" w:hAnsi="Arial"/>
          <w:sz w:val="18"/>
          <w:szCs w:val="18"/>
          <w:color w:val="auto"/>
        </w:rPr>
        <w:t>August 6, 2020</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Rebecca S. Clary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3502660</wp:posOffset>
            </wp:positionH>
            <wp:positionV relativeFrom="paragraph">
              <wp:posOffset>31750</wp:posOffset>
            </wp:positionV>
            <wp:extent cx="3497580" cy="825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3497580" cy="8255"/>
                    </a:xfrm>
                    <a:prstGeom prst="rect">
                      <a:avLst/>
                    </a:prstGeom>
                    <a:noFill/>
                  </pic:spPr>
                </pic:pic>
              </a:graphicData>
            </a:graphic>
          </wp:anchor>
        </w:drawing>
      </w:r>
    </w:p>
    <w:p>
      <w:pPr>
        <w:spacing w:after="0" w:line="57" w:lineRule="exact"/>
        <w:rPr>
          <w:sz w:val="20"/>
          <w:szCs w:val="20"/>
          <w:color w:val="auto"/>
        </w:rPr>
      </w:pPr>
    </w:p>
    <w:p>
      <w:pPr>
        <w:ind w:left="5540"/>
        <w:spacing w:after="0"/>
        <w:rPr>
          <w:sz w:val="20"/>
          <w:szCs w:val="20"/>
          <w:color w:val="auto"/>
        </w:rPr>
      </w:pPr>
      <w:r>
        <w:rPr>
          <w:rFonts w:ascii="Arial" w:cs="Arial" w:eastAsia="Arial" w:hAnsi="Arial"/>
          <w:sz w:val="18"/>
          <w:szCs w:val="18"/>
          <w:color w:val="auto"/>
        </w:rPr>
        <w:t>Rebecca S. Clary</w:t>
      </w:r>
    </w:p>
    <w:p>
      <w:pPr>
        <w:spacing w:after="0" w:line="63" w:lineRule="exact"/>
        <w:rPr>
          <w:sz w:val="20"/>
          <w:szCs w:val="20"/>
          <w:color w:val="auto"/>
        </w:rPr>
      </w:pPr>
    </w:p>
    <w:p>
      <w:pPr>
        <w:ind w:left="5540"/>
        <w:spacing w:after="0"/>
        <w:rPr>
          <w:sz w:val="20"/>
          <w:szCs w:val="20"/>
          <w:color w:val="auto"/>
        </w:rPr>
      </w:pPr>
      <w:r>
        <w:rPr>
          <w:rFonts w:ascii="Arial" w:cs="Arial" w:eastAsia="Arial" w:hAnsi="Arial"/>
          <w:sz w:val="18"/>
          <w:szCs w:val="18"/>
          <w:i w:val="1"/>
          <w:iCs w:val="1"/>
          <w:color w:val="auto"/>
        </w:rPr>
        <w:t>Chief Financial Officer (Principal Financial Officer)</w:t>
      </w:r>
    </w:p>
    <w:sectPr>
      <w:pgSz w:w="11900" w:h="16838" w:orient="portrait"/>
      <w:cols w:equalWidth="0" w:num="1">
        <w:col w:w="11240"/>
      </w:cols>
      <w:pgMar w:left="320" w:top="891"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EB141F2"/>
    <w:multiLevelType w:val="hybridMultilevel"/>
    <w:lvl w:ilvl="0">
      <w:lvlJc w:val="left"/>
      <w:lvlText w:val="☒"/>
      <w:numFmt w:val="bullet"/>
      <w:start w:val="1"/>
    </w:lvl>
  </w:abstractNum>
  <w:abstractNum w:abstractNumId="1">
    <w:nsid w:val="41B71EFB"/>
    <w:multiLevelType w:val="hybridMultilevel"/>
    <w:lvl w:ilvl="0">
      <w:lvlJc w:val="left"/>
      <w:lvlText w:val="☐"/>
      <w:numFmt w:val="bullet"/>
      <w:start w:val="1"/>
    </w:lvl>
  </w:abstractNum>
  <w:abstractNum w:abstractNumId="2">
    <w:nsid w:val="79E2A9E3"/>
    <w:multiLevelType w:val="hybridMultilevel"/>
    <w:lvl w:ilvl="0">
      <w:lvlJc w:val="left"/>
      <w:lvlText w:val="%1."/>
      <w:numFmt w:val="decimal"/>
      <w:start w:val="2"/>
    </w:lvl>
  </w:abstractNum>
  <w:abstractNum w:abstractNumId="3">
    <w:nsid w:val="7545E146"/>
    <w:multiLevelType w:val="hybridMultilevel"/>
    <w:lvl w:ilvl="0">
      <w:lvlJc w:val="left"/>
      <w:lvlText w:val="%1."/>
      <w:numFmt w:val="decimal"/>
      <w:start w:val="4"/>
    </w:lvl>
  </w:abstractNum>
  <w:abstractNum w:abstractNumId="4">
    <w:nsid w:val="515F007C"/>
    <w:multiLevelType w:val="hybridMultilevel"/>
    <w:lvl w:ilvl="0">
      <w:lvlJc w:val="left"/>
      <w:lvlText w:val="%1"/>
      <w:numFmt w:val="upperLetter"/>
      <w:start w:val="68"/>
    </w:lvl>
  </w:abstractNum>
  <w:abstractNum w:abstractNumId="5">
    <w:nsid w:val="5BD062C2"/>
    <w:multiLevelType w:val="hybridMultilevel"/>
    <w:lvl w:ilvl="0">
      <w:lvlJc w:val="left"/>
      <w:lvlText w:val="•"/>
      <w:numFmt w:val="bullet"/>
      <w:start w:val="1"/>
    </w:lvl>
  </w:abstractNum>
  <w:abstractNum w:abstractNumId="6">
    <w:nsid w:val="12200854"/>
    <w:multiLevelType w:val="hybridMultilevel"/>
    <w:lvl w:ilvl="0">
      <w:lvlJc w:val="left"/>
      <w:lvlText w:val="•"/>
      <w:numFmt w:val="bullet"/>
      <w:start w:val="1"/>
    </w:lvl>
  </w:abstractNum>
  <w:abstractNum w:abstractNumId="7">
    <w:nsid w:val="4DB127F8"/>
    <w:multiLevelType w:val="hybridMultilevel"/>
    <w:lvl w:ilvl="0">
      <w:lvlJc w:val="left"/>
      <w:lvlText w:val="•"/>
      <w:numFmt w:val="bullet"/>
      <w:start w:val="1"/>
    </w:lvl>
  </w:abstractNum>
  <w:abstractNum w:abstractNumId="8">
    <w:nsid w:val="216231B"/>
    <w:multiLevelType w:val="hybridMultilevel"/>
    <w:lvl w:ilvl="0">
      <w:lvlJc w:val="left"/>
      <w:lvlText w:val="•"/>
      <w:numFmt w:val="bullet"/>
      <w:start w:val="1"/>
    </w:lvl>
  </w:abstractNum>
  <w:abstractNum w:abstractNumId="9">
    <w:nsid w:val="1F16E9E8"/>
    <w:multiLevelType w:val="hybridMultilevel"/>
    <w:lvl w:ilvl="0">
      <w:lvlJc w:val="left"/>
      <w:lvlText w:val="•"/>
      <w:numFmt w:val="bullet"/>
      <w:start w:val="1"/>
    </w:lvl>
  </w:abstractNum>
  <w:abstractNum w:abstractNumId="10">
    <w:nsid w:val="1190CDE7"/>
    <w:multiLevelType w:val="hybridMultilevel"/>
    <w:lvl w:ilvl="0">
      <w:lvlJc w:val="left"/>
      <w:lvlText w:val="%1."/>
      <w:numFmt w:val="decimal"/>
      <w:start w:val="1"/>
    </w:lvl>
    <w:lvl w:ilvl="1">
      <w:lvlJc w:val="left"/>
      <w:lvlText w:val="(%2)"/>
      <w:numFmt w:val="lowerLetter"/>
      <w:start w:val="1"/>
    </w:lvl>
  </w:abstractNum>
  <w:abstractNum w:abstractNumId="11">
    <w:nsid w:val="66EF438D"/>
    <w:multiLevelType w:val="hybridMultilevel"/>
    <w:lvl w:ilvl="0">
      <w:lvlJc w:val="left"/>
      <w:lvlText w:val="%1."/>
      <w:numFmt w:val="decimal"/>
      <w:start w:val="1"/>
    </w:lvl>
    <w:lvl w:ilvl="1">
      <w:lvlJc w:val="left"/>
      <w:lvlText w:val="(%2)"/>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2020-08-06T16:28:33Z</dcterms:created>
  <dcterms:modified xsi:type="dcterms:W3CDTF">2020-08-06T16:28:33Z</dcterms:modified>
</cp:coreProperties>
</file>