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Washington, D.C. 20549</w:t>
      </w:r>
    </w:p>
    <w:p>
      <w:pPr>
        <w:spacing w:after="0" w:line="155"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SCHEDULE 14A</w:t>
      </w:r>
    </w:p>
    <w:p>
      <w:pPr>
        <w:spacing w:after="0" w:line="172"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Proxy Statement Pursuant to Section 14(a) of</w:t>
      </w:r>
    </w:p>
    <w:p>
      <w:pPr>
        <w:spacing w:after="0" w:line="15" w:lineRule="exact"/>
        <w:rPr>
          <w:sz w:val="24"/>
          <w:szCs w:val="24"/>
          <w:color w:val="auto"/>
        </w:rPr>
      </w:pPr>
    </w:p>
    <w:p>
      <w:pPr>
        <w:jc w:val="center"/>
        <w:ind w:right="-619"/>
        <w:spacing w:after="0"/>
        <w:tabs>
          <w:tab w:leader="none" w:pos="120" w:val="left"/>
        </w:tabs>
        <w:rPr>
          <w:sz w:val="20"/>
          <w:szCs w:val="20"/>
          <w:color w:val="auto"/>
        </w:rPr>
      </w:pPr>
      <w:r>
        <w:rPr>
          <w:rFonts w:ascii="Arial" w:cs="Arial" w:eastAsia="Arial" w:hAnsi="Arial"/>
          <w:sz w:val="11"/>
          <w:szCs w:val="11"/>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Filed by the Registrant x</w:t>
      </w:r>
    </w:p>
    <w:p>
      <w:pPr>
        <w:spacing w:after="0" w:line="13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w:t>
      </w:r>
    </w:p>
    <w:p>
      <w:pPr>
        <w:spacing w:after="0" w:line="114" w:lineRule="exact"/>
        <w:rPr>
          <w:sz w:val="24"/>
          <w:szCs w:val="24"/>
          <w:color w:val="auto"/>
        </w:rPr>
      </w:pPr>
    </w:p>
    <w:p>
      <w:pPr>
        <w:ind w:left="1100" w:hanging="511"/>
        <w:spacing w:after="0"/>
        <w:tabs>
          <w:tab w:leader="none" w:pos="11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32" w:lineRule="exact"/>
        <w:rPr>
          <w:rFonts w:ascii="MS PGothic" w:cs="MS PGothic" w:eastAsia="MS PGothic" w:hAnsi="MS PGothic"/>
          <w:sz w:val="12"/>
          <w:szCs w:val="12"/>
          <w:color w:val="auto"/>
        </w:rPr>
      </w:pPr>
    </w:p>
    <w:p>
      <w:pPr>
        <w:ind w:left="1100" w:hanging="511"/>
        <w:spacing w:after="0"/>
        <w:tabs>
          <w:tab w:leader="none" w:pos="11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4" w:lineRule="exact"/>
        <w:rPr>
          <w:sz w:val="24"/>
          <w:szCs w:val="24"/>
          <w:color w:val="auto"/>
        </w:rPr>
      </w:pPr>
    </w:p>
    <w:p>
      <w:pPr>
        <w:ind w:left="1100" w:hanging="511"/>
        <w:spacing w:after="0"/>
        <w:tabs>
          <w:tab w:leader="none" w:pos="110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Definitive Proxy Statement</w:t>
      </w:r>
    </w:p>
    <w:p>
      <w:pPr>
        <w:spacing w:after="0" w:line="7" w:lineRule="exact"/>
        <w:rPr>
          <w:sz w:val="24"/>
          <w:szCs w:val="24"/>
          <w:color w:val="auto"/>
        </w:rPr>
      </w:pPr>
    </w:p>
    <w:p>
      <w:pPr>
        <w:ind w:left="1100" w:hanging="511"/>
        <w:spacing w:after="0"/>
        <w:tabs>
          <w:tab w:leader="none" w:pos="11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32" w:lineRule="exact"/>
        <w:rPr>
          <w:rFonts w:ascii="MS PGothic" w:cs="MS PGothic" w:eastAsia="MS PGothic" w:hAnsi="MS PGothic"/>
          <w:sz w:val="12"/>
          <w:szCs w:val="12"/>
          <w:color w:val="auto"/>
        </w:rPr>
      </w:pPr>
    </w:p>
    <w:p>
      <w:pPr>
        <w:ind w:left="1100" w:hanging="511"/>
        <w:spacing w:after="0"/>
        <w:tabs>
          <w:tab w:leader="none" w:pos="11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87"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9525</wp:posOffset>
            </wp:positionV>
            <wp:extent cx="64350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112395</wp:posOffset>
            </wp:positionV>
            <wp:extent cx="64350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pacing w:after="0" w:line="166" w:lineRule="exact"/>
        <w:rPr>
          <w:sz w:val="24"/>
          <w:szCs w:val="24"/>
          <w:color w:val="auto"/>
        </w:rPr>
      </w:pPr>
    </w:p>
    <w:p>
      <w:pPr>
        <w:ind w:left="392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the appropriate box):</w:t>
      </w:r>
    </w:p>
    <w:p>
      <w:pPr>
        <w:spacing w:after="0" w:line="150" w:lineRule="exact"/>
        <w:rPr>
          <w:sz w:val="24"/>
          <w:szCs w:val="24"/>
          <w:color w:val="auto"/>
        </w:rPr>
      </w:pPr>
    </w:p>
    <w:p>
      <w:pPr>
        <w:ind w:left="1060" w:hanging="471"/>
        <w:spacing w:after="0"/>
        <w:tabs>
          <w:tab w:leader="none" w:pos="10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15" w:lineRule="exact"/>
        <w:rPr>
          <w:sz w:val="24"/>
          <w:szCs w:val="24"/>
          <w:color w:val="auto"/>
        </w:rPr>
      </w:pPr>
    </w:p>
    <w:p>
      <w:pPr>
        <w:ind w:left="1060" w:hanging="471"/>
        <w:spacing w:after="0"/>
        <w:tabs>
          <w:tab w:leader="none" w:pos="10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32" w:lineRule="exact"/>
        <w:rPr>
          <w:rFonts w:ascii="MS PGothic" w:cs="MS PGothic" w:eastAsia="MS PGothic" w:hAnsi="MS PGothic"/>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78"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96" w:lineRule="exact"/>
        <w:rPr>
          <w:rFonts w:ascii="Arial" w:cs="Arial" w:eastAsia="Arial" w:hAnsi="Arial"/>
          <w:sz w:val="12"/>
          <w:szCs w:val="12"/>
          <w:color w:val="auto"/>
        </w:rPr>
      </w:pPr>
    </w:p>
    <w:p>
      <w:pPr>
        <w:ind w:left="1460"/>
        <w:spacing w:after="0"/>
        <w:rPr>
          <w:rFonts w:ascii="Arial" w:cs="Arial" w:eastAsia="Arial" w:hAnsi="Arial"/>
          <w:sz w:val="12"/>
          <w:szCs w:val="12"/>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w:t>
      </w:r>
    </w:p>
    <w:p>
      <w:pPr>
        <w:spacing w:after="0" w:line="9"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determined):</w:t>
      </w:r>
    </w:p>
    <w:p>
      <w:pPr>
        <w:spacing w:after="0" w:line="77"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96"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96" w:lineRule="exact"/>
        <w:rPr>
          <w:rFonts w:ascii="Arial" w:cs="Arial" w:eastAsia="Arial" w:hAnsi="Arial"/>
          <w:sz w:val="12"/>
          <w:szCs w:val="12"/>
          <w:color w:val="auto"/>
        </w:rPr>
      </w:pPr>
    </w:p>
    <w:p>
      <w:pPr>
        <w:ind w:left="1060" w:hanging="471"/>
        <w:spacing w:after="0"/>
        <w:tabs>
          <w:tab w:leader="none" w:pos="10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25" w:lineRule="exact"/>
        <w:rPr>
          <w:rFonts w:ascii="MS PGothic" w:cs="MS PGothic" w:eastAsia="MS PGothic" w:hAnsi="MS PGothic"/>
          <w:sz w:val="12"/>
          <w:szCs w:val="12"/>
          <w:color w:val="auto"/>
        </w:rPr>
      </w:pPr>
    </w:p>
    <w:p>
      <w:pPr>
        <w:ind w:left="1060" w:hanging="471"/>
        <w:spacing w:after="0" w:line="233" w:lineRule="auto"/>
        <w:tabs>
          <w:tab w:leader="none" w:pos="10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96"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96"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96" w:lineRule="exact"/>
        <w:rPr>
          <w:rFonts w:ascii="Arial" w:cs="Arial" w:eastAsia="Arial" w:hAnsi="Arial"/>
          <w:sz w:val="12"/>
          <w:szCs w:val="12"/>
          <w:color w:val="auto"/>
        </w:rPr>
      </w:pPr>
    </w:p>
    <w:p>
      <w:pPr>
        <w:ind w:left="1460" w:hanging="408"/>
        <w:spacing w:after="0"/>
        <w:tabs>
          <w:tab w:leader="none" w:pos="146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-1481455</wp:posOffset>
            </wp:positionV>
            <wp:extent cx="64350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-1332865</wp:posOffset>
            </wp:positionV>
            <wp:extent cx="64350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-1109980</wp:posOffset>
            </wp:positionV>
            <wp:extent cx="64350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-961390</wp:posOffset>
            </wp:positionV>
            <wp:extent cx="64350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-812800</wp:posOffset>
            </wp:positionV>
            <wp:extent cx="643509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-389890</wp:posOffset>
            </wp:positionV>
            <wp:extent cx="64350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-241300</wp:posOffset>
            </wp:positionV>
            <wp:extent cx="64350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-92710</wp:posOffset>
            </wp:positionV>
            <wp:extent cx="64350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49530</wp:posOffset>
            </wp:positionV>
            <wp:extent cx="64350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ectPr>
          <w:pgSz w:w="11900" w:h="16838" w:orient="portrait"/>
          <w:cols w:equalWidth="0" w:num="1">
            <w:col w:w="10660"/>
          </w:cols>
          <w:pgMar w:left="300" w:top="1063" w:right="9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648970</wp:posOffset>
            </wp:positionV>
            <wp:extent cx="1811655" cy="4337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1655"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Arial" w:cs="Arial" w:eastAsia="Arial" w:hAnsi="Arial"/>
          <w:sz w:val="10"/>
          <w:szCs w:val="10"/>
          <w:b w:val="1"/>
          <w:bCs w:val="1"/>
          <w:color w:val="54585A"/>
        </w:rPr>
        <w:t>Date</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0"/>
          <w:szCs w:val="10"/>
          <w:color w:val="54585A"/>
        </w:rPr>
        <w:t>June 27, 2023</w:t>
      </w:r>
    </w:p>
    <w:p>
      <w:pPr>
        <w:spacing w:after="0" w:line="269" w:lineRule="exact"/>
        <w:rPr>
          <w:sz w:val="20"/>
          <w:szCs w:val="20"/>
          <w:color w:val="auto"/>
        </w:rPr>
      </w:pPr>
    </w:p>
    <w:p>
      <w:pPr>
        <w:ind w:left="940"/>
        <w:spacing w:after="0"/>
        <w:rPr>
          <w:sz w:val="20"/>
          <w:szCs w:val="20"/>
          <w:color w:val="auto"/>
        </w:rPr>
      </w:pPr>
      <w:r>
        <w:rPr>
          <w:rFonts w:ascii="Arial" w:cs="Arial" w:eastAsia="Arial" w:hAnsi="Arial"/>
          <w:sz w:val="10"/>
          <w:szCs w:val="10"/>
          <w:b w:val="1"/>
          <w:bCs w:val="1"/>
          <w:color w:val="54585A"/>
        </w:rPr>
        <w:t>Time</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0"/>
          <w:szCs w:val="10"/>
          <w:color w:val="54585A"/>
        </w:rPr>
        <w:t>10:00 a.m. Central Time</w:t>
      </w:r>
    </w:p>
    <w:p>
      <w:pPr>
        <w:spacing w:after="0" w:line="269" w:lineRule="exact"/>
        <w:rPr>
          <w:sz w:val="20"/>
          <w:szCs w:val="20"/>
          <w:color w:val="auto"/>
        </w:rPr>
      </w:pPr>
    </w:p>
    <w:p>
      <w:pPr>
        <w:ind w:left="940"/>
        <w:spacing w:after="0"/>
        <w:rPr>
          <w:sz w:val="20"/>
          <w:szCs w:val="20"/>
          <w:color w:val="auto"/>
        </w:rPr>
      </w:pPr>
      <w:r>
        <w:rPr>
          <w:rFonts w:ascii="Arial" w:cs="Arial" w:eastAsia="Arial" w:hAnsi="Arial"/>
          <w:sz w:val="10"/>
          <w:szCs w:val="10"/>
          <w:b w:val="1"/>
          <w:bCs w:val="1"/>
          <w:color w:val="54585A"/>
        </w:rPr>
        <w:t>Place</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0"/>
          <w:szCs w:val="10"/>
          <w:color w:val="54585A"/>
        </w:rPr>
        <w:t>1351 Holiday Square Blvd.,</w:t>
      </w:r>
    </w:p>
    <w:p>
      <w:pPr>
        <w:ind w:left="940"/>
        <w:spacing w:after="0"/>
        <w:rPr>
          <w:sz w:val="20"/>
          <w:szCs w:val="20"/>
          <w:color w:val="auto"/>
        </w:rPr>
      </w:pPr>
      <w:r>
        <w:rPr>
          <w:rFonts w:ascii="Arial" w:cs="Arial" w:eastAsia="Arial" w:hAnsi="Arial"/>
          <w:sz w:val="10"/>
          <w:szCs w:val="10"/>
          <w:color w:val="54585A"/>
        </w:rPr>
        <w:t>Covington, LA 70433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EB6C10"/>
        </w:rPr>
        <w:t>Your vote is important.</w:t>
      </w:r>
    </w:p>
    <w:p>
      <w:pPr>
        <w:spacing w:after="0" w:line="148" w:lineRule="exact"/>
        <w:rPr>
          <w:sz w:val="20"/>
          <w:szCs w:val="20"/>
          <w:color w:val="auto"/>
        </w:rPr>
      </w:pPr>
    </w:p>
    <w:p>
      <w:pPr>
        <w:jc w:val="both"/>
        <w:ind w:right="60"/>
        <w:spacing w:after="0" w:line="385" w:lineRule="auto"/>
        <w:rPr>
          <w:sz w:val="20"/>
          <w:szCs w:val="20"/>
          <w:color w:val="auto"/>
        </w:rPr>
      </w:pPr>
      <w:r>
        <w:rPr>
          <w:rFonts w:ascii="Arial" w:cs="Arial" w:eastAsia="Arial" w:hAnsi="Arial"/>
          <w:sz w:val="10"/>
          <w:szCs w:val="10"/>
          <w:color w:val="54585A"/>
        </w:rPr>
        <w:t>To ensure that your shares are voted at the meeting, we encourage you to act promptly.</w:t>
      </w:r>
    </w:p>
    <w:p>
      <w:pPr>
        <w:spacing w:after="0" w:line="72" w:lineRule="exact"/>
        <w:rPr>
          <w:sz w:val="20"/>
          <w:szCs w:val="20"/>
          <w:color w:val="auto"/>
        </w:rPr>
      </w:pPr>
    </w:p>
    <w:p>
      <w:pPr>
        <w:spacing w:after="0" w:line="321" w:lineRule="auto"/>
        <w:rPr>
          <w:sz w:val="20"/>
          <w:szCs w:val="20"/>
          <w:color w:val="auto"/>
        </w:rPr>
      </w:pPr>
      <w:r>
        <w:rPr>
          <w:rFonts w:ascii="Arial" w:cs="Arial" w:eastAsia="Arial" w:hAnsi="Arial"/>
          <w:sz w:val="11"/>
          <w:szCs w:val="11"/>
          <w:color w:val="54585A"/>
        </w:rPr>
        <w:t xml:space="preserve">Important Notice Regarding the Availability of Proxy Materials for the Stockholder Meeting to Be Held on June 27, 2023. The proxy statement and annual report are available at </w:t>
      </w:r>
      <w:r>
        <w:rPr>
          <w:rFonts w:ascii="Arial" w:cs="Arial" w:eastAsia="Arial" w:hAnsi="Arial"/>
          <w:sz w:val="11"/>
          <w:szCs w:val="11"/>
          <w:i w:val="1"/>
          <w:iCs w:val="1"/>
          <w:color w:val="54585A"/>
        </w:rPr>
        <w:t>www.globalstar.com</w:t>
      </w:r>
      <w:r>
        <w:rPr>
          <w:rFonts w:ascii="Arial" w:cs="Arial" w:eastAsia="Arial" w:hAnsi="Arial"/>
          <w:sz w:val="11"/>
          <w:szCs w:val="11"/>
          <w:color w:val="54585A"/>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EB6C10"/>
        </w:rPr>
        <w:t>Notice of Annual</w:t>
      </w:r>
    </w:p>
    <w:p>
      <w:pPr>
        <w:spacing w:after="0" w:line="14" w:lineRule="exact"/>
        <w:rPr>
          <w:sz w:val="20"/>
          <w:szCs w:val="20"/>
          <w:color w:val="auto"/>
        </w:rPr>
      </w:pPr>
    </w:p>
    <w:p>
      <w:pPr>
        <w:spacing w:after="0"/>
        <w:rPr>
          <w:sz w:val="20"/>
          <w:szCs w:val="20"/>
          <w:color w:val="auto"/>
        </w:rPr>
      </w:pPr>
      <w:r>
        <w:rPr>
          <w:rFonts w:ascii="Arial" w:cs="Arial" w:eastAsia="Arial" w:hAnsi="Arial"/>
          <w:sz w:val="36"/>
          <w:szCs w:val="36"/>
          <w:color w:val="EB6C10"/>
        </w:rPr>
        <w:t>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Dear Stockholder:</w:t>
      </w:r>
    </w:p>
    <w:p>
      <w:pPr>
        <w:spacing w:after="0" w:line="68" w:lineRule="exact"/>
        <w:rPr>
          <w:sz w:val="20"/>
          <w:szCs w:val="20"/>
          <w:color w:val="auto"/>
        </w:rPr>
      </w:pPr>
    </w:p>
    <w:p>
      <w:pPr>
        <w:spacing w:after="0" w:line="326" w:lineRule="auto"/>
        <w:rPr>
          <w:sz w:val="20"/>
          <w:szCs w:val="20"/>
          <w:color w:val="auto"/>
        </w:rPr>
      </w:pPr>
      <w:r>
        <w:rPr>
          <w:rFonts w:ascii="Arial" w:cs="Arial" w:eastAsia="Arial" w:hAnsi="Arial"/>
          <w:sz w:val="11"/>
          <w:szCs w:val="11"/>
          <w:color w:val="54585A"/>
        </w:rPr>
        <w:t>It is my pleasure to invite you to attend the 2023 Annual Meeting of Stockholders (the “Annual Meeting”) of Globalstar, Inc. (“we,” “us,” “Globalstar,” or the “Company”). The meeting will be held at our headquarters at 1351 Holiday Square Blvd., Covington, LA 70433 at 10:00 a.m. Central Time on June 27, 2023. At the meeting, shareholders will be asked to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173990</wp:posOffset>
            </wp:positionV>
            <wp:extent cx="51835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3505" cy="571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202565</wp:posOffset>
            </wp:positionV>
            <wp:extent cx="182880" cy="182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Elect James F. Lynch and Timothy E. Taylor as our two Class B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98425</wp:posOffset>
            </wp:positionV>
            <wp:extent cx="51835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83505" cy="571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138430</wp:posOffset>
            </wp:positionV>
            <wp:extent cx="182880" cy="182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306"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Ratify the selection of Ernst &amp; Young LLP as our independent registered public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518350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3505" cy="188595"/>
                    </a:xfrm>
                    <a:prstGeom prst="rect">
                      <a:avLst/>
                    </a:prstGeom>
                    <a:noFill/>
                  </pic:spPr>
                </pic:pic>
              </a:graphicData>
            </a:graphic>
          </wp:anchor>
        </w:drawing>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75565</wp:posOffset>
            </wp:positionV>
            <wp:extent cx="518350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3505" cy="188595"/>
                    </a:xfrm>
                    <a:prstGeom prst="rect">
                      <a:avLst/>
                    </a:prstGeom>
                    <a:noFill/>
                  </pic:spPr>
                </pic:pic>
              </a:graphicData>
            </a:graphic>
          </wp:anchor>
        </w:drawing>
      </w:r>
    </w:p>
    <w:p>
      <w:pPr>
        <w:spacing w:after="0" w:line="162" w:lineRule="exact"/>
        <w:rPr>
          <w:sz w:val="20"/>
          <w:szCs w:val="20"/>
          <w:color w:val="auto"/>
        </w:rPr>
      </w:pPr>
    </w:p>
    <w:p>
      <w:pPr>
        <w:ind w:left="920" w:right="380"/>
        <w:spacing w:after="0" w:line="281" w:lineRule="auto"/>
        <w:rPr>
          <w:sz w:val="20"/>
          <w:szCs w:val="20"/>
          <w:color w:val="auto"/>
        </w:rPr>
      </w:pPr>
      <w:r>
        <w:rPr>
          <w:rFonts w:ascii="Arial" w:cs="Arial" w:eastAsia="Arial" w:hAnsi="Arial"/>
          <w:sz w:val="10"/>
          <w:szCs w:val="10"/>
          <w:b w:val="1"/>
          <w:bCs w:val="1"/>
          <w:color w:val="54585A"/>
        </w:rPr>
        <w:t>Approve, on an advisory basis, the frequency with which shareholders will be provided an advisory vote on the compensation of our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51835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3505" cy="5715"/>
                    </a:xfrm>
                    <a:prstGeom prst="rect">
                      <a:avLst/>
                    </a:prstGeom>
                    <a:noFill/>
                  </pic:spPr>
                </pic:pic>
              </a:graphicData>
            </a:graphic>
          </wp:anchor>
        </w:drawing>
      </w:r>
    </w:p>
    <w:p>
      <w:pPr>
        <w:spacing w:after="0" w:line="26" w:lineRule="exact"/>
        <w:rPr>
          <w:sz w:val="20"/>
          <w:szCs w:val="20"/>
          <w:color w:val="auto"/>
        </w:rPr>
      </w:pPr>
    </w:p>
    <w:p>
      <w:pPr>
        <w:ind w:left="920" w:right="240"/>
        <w:spacing w:after="0" w:line="252" w:lineRule="auto"/>
        <w:rPr>
          <w:sz w:val="20"/>
          <w:szCs w:val="20"/>
          <w:color w:val="auto"/>
        </w:rPr>
      </w:pPr>
      <w:r>
        <w:rPr>
          <w:rFonts w:ascii="Arial" w:cs="Arial" w:eastAsia="Arial" w:hAnsi="Arial"/>
          <w:sz w:val="10"/>
          <w:szCs w:val="10"/>
          <w:b w:val="1"/>
          <w:bCs w:val="1"/>
          <w:color w:val="54585A"/>
        </w:rPr>
        <w:t>Approve the Company’s entry into the Guaranty of certain of the Company’s obligations under its Prepayment Agreements with an affiliate of the Thermo Companies, which is beneficially held by and under the control of James Monroe III, our Executive Chairman and controlling stockholder (“Thermo”). Only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-189230</wp:posOffset>
            </wp:positionV>
            <wp:extent cx="182880" cy="182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0"/>
          <w:szCs w:val="10"/>
          <w:b w:val="1"/>
          <w:bCs w:val="1"/>
          <w:color w:val="54585A"/>
        </w:rPr>
        <w:t>not affiliated with Thermo will be permitted to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wp:posOffset>
            </wp:positionV>
            <wp:extent cx="51835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3505" cy="571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54585A"/>
        </w:rPr>
        <w:t>We may also consider any other matters that may properly be brought before the meeting.</w:t>
      </w:r>
    </w:p>
    <w:p>
      <w:pPr>
        <w:spacing w:after="0" w:line="153" w:lineRule="exact"/>
        <w:rPr>
          <w:sz w:val="20"/>
          <w:szCs w:val="20"/>
          <w:color w:val="auto"/>
        </w:rPr>
      </w:pPr>
    </w:p>
    <w:p>
      <w:pPr>
        <w:ind w:right="60"/>
        <w:spacing w:after="0" w:line="325" w:lineRule="auto"/>
        <w:rPr>
          <w:sz w:val="20"/>
          <w:szCs w:val="20"/>
          <w:color w:val="auto"/>
        </w:rPr>
      </w:pPr>
      <w:r>
        <w:rPr>
          <w:rFonts w:ascii="Arial" w:cs="Arial" w:eastAsia="Arial" w:hAnsi="Arial"/>
          <w:sz w:val="11"/>
          <w:szCs w:val="11"/>
          <w:color w:val="54585A"/>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2022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54585A"/>
        </w:rPr>
        <w:t>We look forward to seeing you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54585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457200" cy="228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200" cy="2286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James Monroe III</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i w:val="1"/>
          <w:iCs w:val="1"/>
          <w:color w:val="54585A"/>
        </w:rPr>
        <w:t>Executive Chairman of the Board</w:t>
      </w:r>
    </w:p>
    <w:p>
      <w:pPr>
        <w:spacing w:after="0" w:line="23" w:lineRule="exact"/>
        <w:rPr>
          <w:sz w:val="20"/>
          <w:szCs w:val="20"/>
          <w:color w:val="auto"/>
        </w:rPr>
      </w:pPr>
    </w:p>
    <w:p>
      <w:pPr>
        <w:spacing w:after="0"/>
        <w:rPr>
          <w:sz w:val="20"/>
          <w:szCs w:val="20"/>
          <w:color w:val="auto"/>
        </w:rPr>
      </w:pPr>
      <w:r>
        <w:rPr>
          <w:rFonts w:ascii="Arial" w:cs="Arial" w:eastAsia="Arial" w:hAnsi="Arial"/>
          <w:sz w:val="10"/>
          <w:szCs w:val="10"/>
          <w:color w:val="54585A"/>
        </w:rPr>
        <w:t>Covington, Louisiana</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54585A"/>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496570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60" w:space="640"/>
            <w:col w:w="8140"/>
          </w:cols>
          <w:pgMar w:left="640" w:top="1002" w:right="3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20"/>
        <w:spacing w:after="0"/>
        <w:rPr>
          <w:sz w:val="20"/>
          <w:szCs w:val="20"/>
          <w:color w:val="auto"/>
        </w:rPr>
      </w:pPr>
      <w:r>
        <w:rPr>
          <w:rFonts w:ascii="Arial" w:cs="Arial" w:eastAsia="Arial" w:hAnsi="Arial"/>
          <w:sz w:val="30"/>
          <w:szCs w:val="30"/>
          <w:color w:val="54585A"/>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Annual Meeting and Other Information</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1</w:t>
            </w:r>
          </w:p>
        </w:tc>
        <w:tc>
          <w:tcPr>
            <w:tcW w:w="0" w:type="dxa"/>
            <w:vAlign w:val="bottom"/>
          </w:tcPr>
          <w:p>
            <w:pPr>
              <w:spacing w:after="0"/>
              <w:rPr>
                <w:sz w:val="1"/>
                <w:szCs w:val="1"/>
                <w:color w:val="auto"/>
              </w:rPr>
            </w:pPr>
          </w:p>
        </w:tc>
      </w:tr>
      <w:tr>
        <w:trPr>
          <w:trHeight w:val="307"/>
        </w:trPr>
        <w:tc>
          <w:tcPr>
            <w:tcW w:w="10500" w:type="dxa"/>
            <w:vAlign w:val="bottom"/>
          </w:tcPr>
          <w:p>
            <w:pPr>
              <w:ind w:left="5240"/>
              <w:spacing w:after="0"/>
              <w:rPr>
                <w:sz w:val="20"/>
                <w:szCs w:val="20"/>
                <w:color w:val="auto"/>
              </w:rPr>
            </w:pPr>
            <w:r>
              <w:rPr>
                <w:rFonts w:ascii="Arial" w:cs="Arial" w:eastAsia="Arial" w:hAnsi="Arial"/>
                <w:sz w:val="11"/>
                <w:szCs w:val="11"/>
                <w:color w:val="54585A"/>
              </w:rPr>
              <w:t>Information about the Meeting, Voting and Attendance</w:t>
            </w:r>
          </w:p>
        </w:tc>
        <w:tc>
          <w:tcPr>
            <w:tcW w:w="800" w:type="dxa"/>
            <w:vAlign w:val="bottom"/>
          </w:tcPr>
          <w:p>
            <w:pPr>
              <w:jc w:val="right"/>
              <w:spacing w:after="0"/>
              <w:rPr>
                <w:sz w:val="20"/>
                <w:szCs w:val="20"/>
                <w:color w:val="auto"/>
              </w:rPr>
            </w:pPr>
            <w:r>
              <w:rPr>
                <w:rFonts w:ascii="Arial" w:cs="Arial" w:eastAsia="Arial" w:hAnsi="Arial"/>
                <w:sz w:val="11"/>
                <w:szCs w:val="11"/>
                <w:color w:val="54585A"/>
              </w:rPr>
              <w:t>1</w:t>
            </w:r>
          </w:p>
        </w:tc>
        <w:tc>
          <w:tcPr>
            <w:tcW w:w="0" w:type="dxa"/>
            <w:vAlign w:val="bottom"/>
          </w:tcPr>
          <w:p>
            <w:pPr>
              <w:spacing w:after="0"/>
              <w:rPr>
                <w:sz w:val="1"/>
                <w:szCs w:val="1"/>
                <w:color w:val="auto"/>
              </w:rPr>
            </w:pPr>
          </w:p>
        </w:tc>
      </w:tr>
      <w:tr>
        <w:trPr>
          <w:trHeight w:val="314"/>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Board of Directors and Corporate Governance</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5</w:t>
            </w:r>
          </w:p>
        </w:tc>
        <w:tc>
          <w:tcPr>
            <w:tcW w:w="0" w:type="dxa"/>
            <w:vAlign w:val="bottom"/>
          </w:tcPr>
          <w:p>
            <w:pPr>
              <w:spacing w:after="0"/>
              <w:rPr>
                <w:sz w:val="1"/>
                <w:szCs w:val="1"/>
                <w:color w:val="auto"/>
              </w:rPr>
            </w:pPr>
          </w:p>
        </w:tc>
      </w:tr>
      <w:tr>
        <w:trPr>
          <w:trHeight w:val="307"/>
        </w:trPr>
        <w:tc>
          <w:tcPr>
            <w:tcW w:w="10500" w:type="dxa"/>
            <w:vAlign w:val="bottom"/>
          </w:tcPr>
          <w:p>
            <w:pPr>
              <w:ind w:left="5240"/>
              <w:spacing w:after="0"/>
              <w:rPr>
                <w:sz w:val="20"/>
                <w:szCs w:val="20"/>
                <w:color w:val="auto"/>
              </w:rPr>
            </w:pPr>
            <w:r>
              <w:rPr>
                <w:rFonts w:ascii="Arial" w:cs="Arial" w:eastAsia="Arial" w:hAnsi="Arial"/>
                <w:sz w:val="11"/>
                <w:szCs w:val="11"/>
                <w:color w:val="54585A"/>
              </w:rPr>
              <w:t>Information about the Board and its Committees</w:t>
            </w:r>
          </w:p>
        </w:tc>
        <w:tc>
          <w:tcPr>
            <w:tcW w:w="800" w:type="dxa"/>
            <w:vAlign w:val="bottom"/>
          </w:tcPr>
          <w:p>
            <w:pPr>
              <w:jc w:val="right"/>
              <w:spacing w:after="0"/>
              <w:rPr>
                <w:sz w:val="20"/>
                <w:szCs w:val="20"/>
                <w:color w:val="auto"/>
              </w:rPr>
            </w:pPr>
            <w:r>
              <w:rPr>
                <w:rFonts w:ascii="Arial" w:cs="Arial" w:eastAsia="Arial" w:hAnsi="Arial"/>
                <w:sz w:val="11"/>
                <w:szCs w:val="11"/>
                <w:color w:val="54585A"/>
              </w:rPr>
              <w:t>5</w:t>
            </w:r>
          </w:p>
        </w:tc>
        <w:tc>
          <w:tcPr>
            <w:tcW w:w="0" w:type="dxa"/>
            <w:vAlign w:val="bottom"/>
          </w:tcPr>
          <w:p>
            <w:pPr>
              <w:spacing w:after="0"/>
              <w:rPr>
                <w:sz w:val="1"/>
                <w:szCs w:val="1"/>
                <w:color w:val="auto"/>
              </w:rPr>
            </w:pPr>
          </w:p>
        </w:tc>
      </w:tr>
      <w:tr>
        <w:trPr>
          <w:trHeight w:val="314"/>
        </w:trPr>
        <w:tc>
          <w:tcPr>
            <w:tcW w:w="10500" w:type="dxa"/>
            <w:vAlign w:val="bottom"/>
          </w:tcPr>
          <w:p>
            <w:pPr>
              <w:ind w:left="5240"/>
              <w:spacing w:after="0"/>
              <w:rPr>
                <w:sz w:val="20"/>
                <w:szCs w:val="20"/>
                <w:color w:val="auto"/>
              </w:rPr>
            </w:pPr>
            <w:r>
              <w:rPr>
                <w:rFonts w:ascii="Arial" w:cs="Arial" w:eastAsia="Arial" w:hAnsi="Arial"/>
                <w:sz w:val="11"/>
                <w:szCs w:val="11"/>
                <w:b w:val="1"/>
                <w:bCs w:val="1"/>
                <w:color w:val="EB6C10"/>
              </w:rPr>
              <w:t xml:space="preserve">Proposal 1 </w:t>
            </w:r>
            <w:r>
              <w:rPr>
                <w:rFonts w:ascii="Arial" w:cs="Arial" w:eastAsia="Arial" w:hAnsi="Arial"/>
                <w:sz w:val="11"/>
                <w:szCs w:val="11"/>
                <w:b w:val="1"/>
                <w:bCs w:val="1"/>
                <w:color w:val="54585A"/>
              </w:rPr>
              <w:t>/</w:t>
            </w:r>
            <w:r>
              <w:rPr>
                <w:rFonts w:ascii="Arial" w:cs="Arial" w:eastAsia="Arial" w:hAnsi="Arial"/>
                <w:sz w:val="11"/>
                <w:szCs w:val="11"/>
                <w:b w:val="1"/>
                <w:bCs w:val="1"/>
                <w:color w:val="EB6C10"/>
              </w:rPr>
              <w:t xml:space="preserve"> </w:t>
            </w:r>
            <w:r>
              <w:rPr>
                <w:rFonts w:ascii="Arial" w:cs="Arial" w:eastAsia="Arial" w:hAnsi="Arial"/>
                <w:sz w:val="11"/>
                <w:szCs w:val="11"/>
                <w:color w:val="54585A"/>
              </w:rPr>
              <w:t>Election of Directors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EB6C10"/>
              </w:rPr>
              <w:t>17</w:t>
            </w:r>
          </w:p>
        </w:tc>
        <w:tc>
          <w:tcPr>
            <w:tcW w:w="0" w:type="dxa"/>
            <w:vAlign w:val="bottom"/>
          </w:tcPr>
          <w:p>
            <w:pPr>
              <w:spacing w:after="0"/>
              <w:rPr>
                <w:sz w:val="1"/>
                <w:szCs w:val="1"/>
                <w:color w:val="auto"/>
              </w:rPr>
            </w:pPr>
          </w:p>
        </w:tc>
      </w:tr>
      <w:tr>
        <w:trPr>
          <w:trHeight w:val="307"/>
        </w:trPr>
        <w:tc>
          <w:tcPr>
            <w:tcW w:w="10500" w:type="dxa"/>
            <w:vAlign w:val="bottom"/>
          </w:tcPr>
          <w:p>
            <w:pPr>
              <w:ind w:left="5240"/>
              <w:spacing w:after="0"/>
              <w:rPr>
                <w:sz w:val="20"/>
                <w:szCs w:val="20"/>
                <w:color w:val="auto"/>
              </w:rPr>
            </w:pPr>
            <w:r>
              <w:rPr>
                <w:rFonts w:ascii="Arial" w:cs="Arial" w:eastAsia="Arial" w:hAnsi="Arial"/>
                <w:sz w:val="11"/>
                <w:szCs w:val="11"/>
                <w:color w:val="54585A"/>
              </w:rPr>
              <w:t>Compensation of Directors</w:t>
            </w:r>
          </w:p>
        </w:tc>
        <w:tc>
          <w:tcPr>
            <w:tcW w:w="800" w:type="dxa"/>
            <w:vAlign w:val="bottom"/>
          </w:tcPr>
          <w:p>
            <w:pPr>
              <w:jc w:val="right"/>
              <w:spacing w:after="0"/>
              <w:rPr>
                <w:sz w:val="20"/>
                <w:szCs w:val="20"/>
                <w:color w:val="auto"/>
              </w:rPr>
            </w:pPr>
            <w:r>
              <w:rPr>
                <w:rFonts w:ascii="Arial" w:cs="Arial" w:eastAsia="Arial" w:hAnsi="Arial"/>
                <w:sz w:val="11"/>
                <w:szCs w:val="11"/>
                <w:color w:val="54585A"/>
              </w:rPr>
              <w:t>18</w:t>
            </w:r>
          </w:p>
        </w:tc>
        <w:tc>
          <w:tcPr>
            <w:tcW w:w="0" w:type="dxa"/>
            <w:vAlign w:val="bottom"/>
          </w:tcPr>
          <w:p>
            <w:pPr>
              <w:spacing w:after="0"/>
              <w:rPr>
                <w:sz w:val="1"/>
                <w:szCs w:val="1"/>
                <w:color w:val="auto"/>
              </w:rPr>
            </w:pPr>
          </w:p>
        </w:tc>
      </w:tr>
      <w:tr>
        <w:trPr>
          <w:trHeight w:val="323"/>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Audit Matters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19</w:t>
            </w:r>
          </w:p>
        </w:tc>
        <w:tc>
          <w:tcPr>
            <w:tcW w:w="0" w:type="dxa"/>
            <w:vAlign w:val="bottom"/>
          </w:tcPr>
          <w:p>
            <w:pPr>
              <w:spacing w:after="0"/>
              <w:rPr>
                <w:sz w:val="1"/>
                <w:szCs w:val="1"/>
                <w:color w:val="auto"/>
              </w:rPr>
            </w:pPr>
          </w:p>
        </w:tc>
      </w:tr>
      <w:tr>
        <w:trPr>
          <w:trHeight w:val="306"/>
        </w:trPr>
        <w:tc>
          <w:tcPr>
            <w:tcW w:w="10500" w:type="dxa"/>
            <w:vAlign w:val="bottom"/>
          </w:tcPr>
          <w:p>
            <w:pPr>
              <w:ind w:left="5240"/>
              <w:spacing w:after="0"/>
              <w:rPr>
                <w:sz w:val="20"/>
                <w:szCs w:val="20"/>
                <w:color w:val="auto"/>
              </w:rPr>
            </w:pPr>
            <w:r>
              <w:rPr>
                <w:rFonts w:ascii="Arial" w:cs="Arial" w:eastAsia="Arial" w:hAnsi="Arial"/>
                <w:sz w:val="11"/>
                <w:szCs w:val="11"/>
                <w:b w:val="1"/>
                <w:bCs w:val="1"/>
                <w:color w:val="1D8DB8"/>
              </w:rPr>
              <w:t xml:space="preserve">Proposal 2 </w:t>
            </w:r>
            <w:r>
              <w:rPr>
                <w:rFonts w:ascii="Arial" w:cs="Arial" w:eastAsia="Arial" w:hAnsi="Arial"/>
                <w:sz w:val="11"/>
                <w:szCs w:val="11"/>
                <w:b w:val="1"/>
                <w:bCs w:val="1"/>
                <w:color w:val="54585A"/>
              </w:rPr>
              <w:t>/</w:t>
            </w:r>
            <w:r>
              <w:rPr>
                <w:rFonts w:ascii="Arial" w:cs="Arial" w:eastAsia="Arial" w:hAnsi="Arial"/>
                <w:sz w:val="11"/>
                <w:szCs w:val="11"/>
                <w:b w:val="1"/>
                <w:bCs w:val="1"/>
                <w:color w:val="1D8DB8"/>
              </w:rPr>
              <w:t xml:space="preserve"> </w:t>
            </w:r>
            <w:r>
              <w:rPr>
                <w:rFonts w:ascii="Arial" w:cs="Arial" w:eastAsia="Arial" w:hAnsi="Arial"/>
                <w:sz w:val="11"/>
                <w:szCs w:val="11"/>
                <w:color w:val="54585A"/>
              </w:rPr>
              <w:t>Ratification of Independent Registered Public Accounting Firm</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1D8DB8"/>
              </w:rPr>
              <w:t>19</w:t>
            </w:r>
          </w:p>
        </w:tc>
        <w:tc>
          <w:tcPr>
            <w:tcW w:w="0" w:type="dxa"/>
            <w:vAlign w:val="bottom"/>
          </w:tcPr>
          <w:p>
            <w:pPr>
              <w:spacing w:after="0"/>
              <w:rPr>
                <w:sz w:val="1"/>
                <w:szCs w:val="1"/>
                <w:color w:val="auto"/>
              </w:rPr>
            </w:pPr>
          </w:p>
        </w:tc>
      </w:tr>
      <w:tr>
        <w:trPr>
          <w:trHeight w:val="315"/>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Executive Officers and Compensation</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21</w:t>
            </w:r>
          </w:p>
        </w:tc>
        <w:tc>
          <w:tcPr>
            <w:tcW w:w="0" w:type="dxa"/>
            <w:vAlign w:val="bottom"/>
          </w:tcPr>
          <w:p>
            <w:pPr>
              <w:spacing w:after="0"/>
              <w:rPr>
                <w:sz w:val="1"/>
                <w:szCs w:val="1"/>
                <w:color w:val="auto"/>
              </w:rPr>
            </w:pPr>
          </w:p>
        </w:tc>
      </w:tr>
      <w:tr>
        <w:trPr>
          <w:trHeight w:val="298"/>
        </w:trPr>
        <w:tc>
          <w:tcPr>
            <w:tcW w:w="10500" w:type="dxa"/>
            <w:vAlign w:val="bottom"/>
          </w:tcPr>
          <w:p>
            <w:pPr>
              <w:ind w:left="5240"/>
              <w:spacing w:after="0"/>
              <w:rPr>
                <w:sz w:val="20"/>
                <w:szCs w:val="20"/>
                <w:color w:val="auto"/>
              </w:rPr>
            </w:pPr>
            <w:r>
              <w:rPr>
                <w:rFonts w:ascii="Arial" w:cs="Arial" w:eastAsia="Arial" w:hAnsi="Arial"/>
                <w:sz w:val="11"/>
                <w:szCs w:val="11"/>
                <w:color w:val="54585A"/>
              </w:rPr>
              <w:t>Executive Officers</w:t>
            </w:r>
          </w:p>
        </w:tc>
        <w:tc>
          <w:tcPr>
            <w:tcW w:w="800" w:type="dxa"/>
            <w:vAlign w:val="bottom"/>
          </w:tcPr>
          <w:p>
            <w:pPr>
              <w:jc w:val="right"/>
              <w:spacing w:after="0"/>
              <w:rPr>
                <w:sz w:val="20"/>
                <w:szCs w:val="20"/>
                <w:color w:val="auto"/>
              </w:rPr>
            </w:pPr>
            <w:r>
              <w:rPr>
                <w:rFonts w:ascii="Arial" w:cs="Arial" w:eastAsia="Arial" w:hAnsi="Arial"/>
                <w:sz w:val="11"/>
                <w:szCs w:val="11"/>
                <w:color w:val="54585A"/>
              </w:rPr>
              <w:t>21</w:t>
            </w:r>
          </w:p>
        </w:tc>
        <w:tc>
          <w:tcPr>
            <w:tcW w:w="0" w:type="dxa"/>
            <w:vAlign w:val="bottom"/>
          </w:tcPr>
          <w:p>
            <w:pPr>
              <w:spacing w:after="0"/>
              <w:rPr>
                <w:sz w:val="1"/>
                <w:szCs w:val="1"/>
                <w:color w:val="auto"/>
              </w:rPr>
            </w:pPr>
          </w:p>
        </w:tc>
      </w:tr>
      <w:tr>
        <w:trPr>
          <w:trHeight w:val="315"/>
        </w:trPr>
        <w:tc>
          <w:tcPr>
            <w:tcW w:w="10500" w:type="dxa"/>
            <w:vAlign w:val="bottom"/>
          </w:tcPr>
          <w:p>
            <w:pPr>
              <w:ind w:left="5240"/>
              <w:spacing w:after="0"/>
              <w:rPr>
                <w:sz w:val="20"/>
                <w:szCs w:val="20"/>
                <w:color w:val="auto"/>
              </w:rPr>
            </w:pPr>
            <w:r>
              <w:rPr>
                <w:rFonts w:ascii="Arial" w:cs="Arial" w:eastAsia="Arial" w:hAnsi="Arial"/>
                <w:sz w:val="11"/>
                <w:szCs w:val="11"/>
                <w:color w:val="54585A"/>
              </w:rPr>
              <w:t>Compensation Discussion and Analysis</w:t>
            </w:r>
          </w:p>
        </w:tc>
        <w:tc>
          <w:tcPr>
            <w:tcW w:w="800" w:type="dxa"/>
            <w:vAlign w:val="bottom"/>
          </w:tcPr>
          <w:p>
            <w:pPr>
              <w:jc w:val="right"/>
              <w:spacing w:after="0"/>
              <w:rPr>
                <w:sz w:val="20"/>
                <w:szCs w:val="20"/>
                <w:color w:val="auto"/>
              </w:rPr>
            </w:pPr>
            <w:r>
              <w:rPr>
                <w:rFonts w:ascii="Arial" w:cs="Arial" w:eastAsia="Arial" w:hAnsi="Arial"/>
                <w:sz w:val="11"/>
                <w:szCs w:val="11"/>
                <w:color w:val="54585A"/>
              </w:rPr>
              <w:t>21</w:t>
            </w:r>
          </w:p>
        </w:tc>
        <w:tc>
          <w:tcPr>
            <w:tcW w:w="0" w:type="dxa"/>
            <w:vAlign w:val="bottom"/>
          </w:tcPr>
          <w:p>
            <w:pPr>
              <w:spacing w:after="0"/>
              <w:rPr>
                <w:sz w:val="1"/>
                <w:szCs w:val="1"/>
                <w:color w:val="auto"/>
              </w:rPr>
            </w:pPr>
          </w:p>
        </w:tc>
      </w:tr>
      <w:tr>
        <w:trPr>
          <w:trHeight w:val="323"/>
        </w:trPr>
        <w:tc>
          <w:tcPr>
            <w:tcW w:w="10500" w:type="dxa"/>
            <w:vAlign w:val="bottom"/>
          </w:tcPr>
          <w:p>
            <w:pPr>
              <w:ind w:left="5240"/>
              <w:spacing w:after="0"/>
              <w:rPr>
                <w:sz w:val="20"/>
                <w:szCs w:val="20"/>
                <w:color w:val="auto"/>
              </w:rPr>
            </w:pPr>
            <w:r>
              <w:rPr>
                <w:rFonts w:ascii="Arial" w:cs="Arial" w:eastAsia="Arial" w:hAnsi="Arial"/>
                <w:sz w:val="11"/>
                <w:szCs w:val="11"/>
                <w:b w:val="1"/>
                <w:bCs w:val="1"/>
                <w:color w:val="63C237"/>
              </w:rPr>
              <w:t xml:space="preserve">Proposal 3 </w:t>
            </w:r>
            <w:r>
              <w:rPr>
                <w:rFonts w:ascii="Arial" w:cs="Arial" w:eastAsia="Arial" w:hAnsi="Arial"/>
                <w:sz w:val="11"/>
                <w:szCs w:val="11"/>
                <w:b w:val="1"/>
                <w:bCs w:val="1"/>
                <w:color w:val="54585A"/>
              </w:rPr>
              <w:t>/</w:t>
            </w:r>
            <w:r>
              <w:rPr>
                <w:rFonts w:ascii="Arial" w:cs="Arial" w:eastAsia="Arial" w:hAnsi="Arial"/>
                <w:sz w:val="11"/>
                <w:szCs w:val="11"/>
                <w:b w:val="1"/>
                <w:bCs w:val="1"/>
                <w:color w:val="63C237"/>
              </w:rPr>
              <w:t xml:space="preserve"> </w:t>
            </w:r>
            <w:r>
              <w:rPr>
                <w:rFonts w:ascii="Arial" w:cs="Arial" w:eastAsia="Arial" w:hAnsi="Arial"/>
                <w:sz w:val="11"/>
                <w:szCs w:val="11"/>
                <w:color w:val="54585A"/>
              </w:rPr>
              <w:t>Advisory Vote on Named Executive Officer Compensation</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63C237"/>
              </w:rPr>
              <w:t>24</w:t>
            </w:r>
          </w:p>
        </w:tc>
        <w:tc>
          <w:tcPr>
            <w:tcW w:w="0" w:type="dxa"/>
            <w:vAlign w:val="bottom"/>
          </w:tcPr>
          <w:p>
            <w:pPr>
              <w:spacing w:after="0"/>
              <w:rPr>
                <w:sz w:val="1"/>
                <w:szCs w:val="1"/>
                <w:color w:val="auto"/>
              </w:rPr>
            </w:pPr>
          </w:p>
        </w:tc>
      </w:tr>
      <w:tr>
        <w:trPr>
          <w:trHeight w:val="306"/>
        </w:trPr>
        <w:tc>
          <w:tcPr>
            <w:tcW w:w="10500" w:type="dxa"/>
            <w:vAlign w:val="bottom"/>
          </w:tcPr>
          <w:p>
            <w:pPr>
              <w:ind w:left="5240"/>
              <w:spacing w:after="0"/>
              <w:rPr>
                <w:sz w:val="20"/>
                <w:szCs w:val="20"/>
                <w:color w:val="auto"/>
              </w:rPr>
            </w:pPr>
            <w:r>
              <w:rPr>
                <w:rFonts w:ascii="Arial" w:cs="Arial" w:eastAsia="Arial" w:hAnsi="Arial"/>
                <w:sz w:val="11"/>
                <w:szCs w:val="11"/>
                <w:b w:val="1"/>
                <w:bCs w:val="1"/>
                <w:color w:val="FFD900"/>
              </w:rPr>
              <w:t xml:space="preserve">Proposal 4 </w:t>
            </w:r>
            <w:r>
              <w:rPr>
                <w:rFonts w:ascii="Arial" w:cs="Arial" w:eastAsia="Arial" w:hAnsi="Arial"/>
                <w:sz w:val="11"/>
                <w:szCs w:val="11"/>
                <w:b w:val="1"/>
                <w:bCs w:val="1"/>
                <w:color w:val="54585A"/>
              </w:rPr>
              <w:t>/</w:t>
            </w:r>
            <w:r>
              <w:rPr>
                <w:rFonts w:ascii="Arial" w:cs="Arial" w:eastAsia="Arial" w:hAnsi="Arial"/>
                <w:sz w:val="11"/>
                <w:szCs w:val="11"/>
                <w:b w:val="1"/>
                <w:bCs w:val="1"/>
                <w:color w:val="FFD900"/>
              </w:rPr>
              <w:t xml:space="preserve"> </w:t>
            </w:r>
            <w:r>
              <w:rPr>
                <w:rFonts w:ascii="Arial" w:cs="Arial" w:eastAsia="Arial" w:hAnsi="Arial"/>
                <w:sz w:val="11"/>
                <w:szCs w:val="11"/>
                <w:color w:val="54585A"/>
              </w:rPr>
              <w:t>Advisory Vote on Frequency of Future Advisory Votes on Executive Compensation</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FFDE0F"/>
              </w:rPr>
              <w:t>25</w:t>
            </w:r>
          </w:p>
        </w:tc>
        <w:tc>
          <w:tcPr>
            <w:tcW w:w="0" w:type="dxa"/>
            <w:vAlign w:val="bottom"/>
          </w:tcPr>
          <w:p>
            <w:pPr>
              <w:spacing w:after="0"/>
              <w:rPr>
                <w:sz w:val="1"/>
                <w:szCs w:val="1"/>
                <w:color w:val="auto"/>
              </w:rPr>
            </w:pPr>
          </w:p>
        </w:tc>
      </w:tr>
      <w:tr>
        <w:trPr>
          <w:trHeight w:val="307"/>
        </w:trPr>
        <w:tc>
          <w:tcPr>
            <w:tcW w:w="10500" w:type="dxa"/>
            <w:vAlign w:val="bottom"/>
          </w:tcPr>
          <w:p>
            <w:pPr>
              <w:ind w:left="5240"/>
              <w:spacing w:after="0"/>
              <w:rPr>
                <w:sz w:val="20"/>
                <w:szCs w:val="20"/>
                <w:color w:val="auto"/>
              </w:rPr>
            </w:pPr>
            <w:r>
              <w:rPr>
                <w:rFonts w:ascii="Arial" w:cs="Arial" w:eastAsia="Arial" w:hAnsi="Arial"/>
                <w:sz w:val="11"/>
                <w:szCs w:val="11"/>
                <w:color w:val="54585A"/>
              </w:rPr>
              <w:t>Summary Compensation Table</w:t>
            </w:r>
          </w:p>
        </w:tc>
        <w:tc>
          <w:tcPr>
            <w:tcW w:w="800" w:type="dxa"/>
            <w:vAlign w:val="bottom"/>
          </w:tcPr>
          <w:p>
            <w:pPr>
              <w:jc w:val="right"/>
              <w:spacing w:after="0"/>
              <w:rPr>
                <w:sz w:val="20"/>
                <w:szCs w:val="20"/>
                <w:color w:val="auto"/>
              </w:rPr>
            </w:pPr>
            <w:r>
              <w:rPr>
                <w:rFonts w:ascii="Arial" w:cs="Arial" w:eastAsia="Arial" w:hAnsi="Arial"/>
                <w:sz w:val="11"/>
                <w:szCs w:val="11"/>
                <w:color w:val="54585A"/>
              </w:rPr>
              <w:t>26</w:t>
            </w:r>
          </w:p>
        </w:tc>
        <w:tc>
          <w:tcPr>
            <w:tcW w:w="0" w:type="dxa"/>
            <w:vAlign w:val="bottom"/>
          </w:tcPr>
          <w:p>
            <w:pPr>
              <w:spacing w:after="0"/>
              <w:rPr>
                <w:sz w:val="1"/>
                <w:szCs w:val="1"/>
                <w:color w:val="auto"/>
              </w:rPr>
            </w:pPr>
          </w:p>
        </w:tc>
      </w:tr>
      <w:tr>
        <w:trPr>
          <w:trHeight w:val="306"/>
        </w:trPr>
        <w:tc>
          <w:tcPr>
            <w:tcW w:w="10500" w:type="dxa"/>
            <w:vAlign w:val="bottom"/>
          </w:tcPr>
          <w:p>
            <w:pPr>
              <w:ind w:left="5240"/>
              <w:spacing w:after="0"/>
              <w:rPr>
                <w:sz w:val="20"/>
                <w:szCs w:val="20"/>
                <w:color w:val="auto"/>
              </w:rPr>
            </w:pPr>
            <w:r>
              <w:rPr>
                <w:rFonts w:ascii="Arial" w:cs="Arial" w:eastAsia="Arial" w:hAnsi="Arial"/>
                <w:sz w:val="11"/>
                <w:szCs w:val="11"/>
                <w:color w:val="54585A"/>
              </w:rPr>
              <w:t>Equity Compensation</w:t>
            </w:r>
          </w:p>
        </w:tc>
        <w:tc>
          <w:tcPr>
            <w:tcW w:w="800" w:type="dxa"/>
            <w:vAlign w:val="bottom"/>
          </w:tcPr>
          <w:p>
            <w:pPr>
              <w:jc w:val="right"/>
              <w:spacing w:after="0"/>
              <w:rPr>
                <w:sz w:val="20"/>
                <w:szCs w:val="20"/>
                <w:color w:val="auto"/>
              </w:rPr>
            </w:pPr>
            <w:r>
              <w:rPr>
                <w:rFonts w:ascii="Arial" w:cs="Arial" w:eastAsia="Arial" w:hAnsi="Arial"/>
                <w:sz w:val="11"/>
                <w:szCs w:val="11"/>
                <w:color w:val="54585A"/>
              </w:rPr>
              <w:t>27</w:t>
            </w:r>
          </w:p>
        </w:tc>
        <w:tc>
          <w:tcPr>
            <w:tcW w:w="0" w:type="dxa"/>
            <w:vAlign w:val="bottom"/>
          </w:tcPr>
          <w:p>
            <w:pPr>
              <w:spacing w:after="0"/>
              <w:rPr>
                <w:sz w:val="1"/>
                <w:szCs w:val="1"/>
                <w:color w:val="auto"/>
              </w:rPr>
            </w:pPr>
          </w:p>
        </w:tc>
      </w:tr>
      <w:tr>
        <w:trPr>
          <w:trHeight w:val="315"/>
        </w:trPr>
        <w:tc>
          <w:tcPr>
            <w:tcW w:w="10500" w:type="dxa"/>
            <w:vAlign w:val="bottom"/>
          </w:tcPr>
          <w:p>
            <w:pPr>
              <w:ind w:left="5240"/>
              <w:spacing w:after="0"/>
              <w:rPr>
                <w:sz w:val="20"/>
                <w:szCs w:val="20"/>
                <w:color w:val="auto"/>
              </w:rPr>
            </w:pPr>
            <w:r>
              <w:rPr>
                <w:rFonts w:ascii="Arial" w:cs="Arial" w:eastAsia="Arial" w:hAnsi="Arial"/>
                <w:sz w:val="11"/>
                <w:szCs w:val="11"/>
                <w:color w:val="54585A"/>
              </w:rPr>
              <w:t>Equity Compensation Plan Information</w:t>
            </w:r>
          </w:p>
        </w:tc>
        <w:tc>
          <w:tcPr>
            <w:tcW w:w="800" w:type="dxa"/>
            <w:vAlign w:val="bottom"/>
          </w:tcPr>
          <w:p>
            <w:pPr>
              <w:jc w:val="right"/>
              <w:spacing w:after="0"/>
              <w:rPr>
                <w:sz w:val="20"/>
                <w:szCs w:val="20"/>
                <w:color w:val="auto"/>
              </w:rPr>
            </w:pPr>
            <w:r>
              <w:rPr>
                <w:rFonts w:ascii="Arial" w:cs="Arial" w:eastAsia="Arial" w:hAnsi="Arial"/>
                <w:sz w:val="11"/>
                <w:szCs w:val="11"/>
                <w:color w:val="54585A"/>
              </w:rPr>
              <w:t>30</w:t>
            </w:r>
          </w:p>
        </w:tc>
        <w:tc>
          <w:tcPr>
            <w:tcW w:w="0" w:type="dxa"/>
            <w:vAlign w:val="bottom"/>
          </w:tcPr>
          <w:p>
            <w:pPr>
              <w:spacing w:after="0"/>
              <w:rPr>
                <w:sz w:val="1"/>
                <w:szCs w:val="1"/>
                <w:color w:val="auto"/>
              </w:rPr>
            </w:pPr>
          </w:p>
        </w:tc>
      </w:tr>
      <w:tr>
        <w:trPr>
          <w:trHeight w:val="306"/>
        </w:trPr>
        <w:tc>
          <w:tcPr>
            <w:tcW w:w="10500" w:type="dxa"/>
            <w:vAlign w:val="bottom"/>
          </w:tcPr>
          <w:p>
            <w:pPr>
              <w:ind w:left="5240"/>
              <w:spacing w:after="0"/>
              <w:rPr>
                <w:sz w:val="20"/>
                <w:szCs w:val="20"/>
                <w:color w:val="auto"/>
              </w:rPr>
            </w:pPr>
            <w:r>
              <w:rPr>
                <w:rFonts w:ascii="Arial" w:cs="Arial" w:eastAsia="Arial" w:hAnsi="Arial"/>
                <w:sz w:val="11"/>
                <w:szCs w:val="11"/>
                <w:color w:val="54585A"/>
              </w:rPr>
              <w:t>Pay Versus Performance</w:t>
            </w:r>
          </w:p>
        </w:tc>
        <w:tc>
          <w:tcPr>
            <w:tcW w:w="800" w:type="dxa"/>
            <w:vAlign w:val="bottom"/>
          </w:tcPr>
          <w:p>
            <w:pPr>
              <w:jc w:val="right"/>
              <w:spacing w:after="0"/>
              <w:rPr>
                <w:sz w:val="20"/>
                <w:szCs w:val="20"/>
                <w:color w:val="auto"/>
              </w:rPr>
            </w:pPr>
            <w:r>
              <w:rPr>
                <w:rFonts w:ascii="Arial" w:cs="Arial" w:eastAsia="Arial" w:hAnsi="Arial"/>
                <w:sz w:val="11"/>
                <w:szCs w:val="11"/>
                <w:color w:val="54585A"/>
              </w:rPr>
              <w:t>31</w:t>
            </w:r>
          </w:p>
        </w:tc>
        <w:tc>
          <w:tcPr>
            <w:tcW w:w="0" w:type="dxa"/>
            <w:vAlign w:val="bottom"/>
          </w:tcPr>
          <w:p>
            <w:pPr>
              <w:spacing w:after="0"/>
              <w:rPr>
                <w:sz w:val="1"/>
                <w:szCs w:val="1"/>
                <w:color w:val="auto"/>
              </w:rPr>
            </w:pPr>
          </w:p>
        </w:tc>
      </w:tr>
      <w:tr>
        <w:trPr>
          <w:trHeight w:val="315"/>
        </w:trPr>
        <w:tc>
          <w:tcPr>
            <w:tcW w:w="10500" w:type="dxa"/>
            <w:vAlign w:val="bottom"/>
          </w:tcPr>
          <w:p>
            <w:pPr>
              <w:ind w:left="5240"/>
              <w:spacing w:after="0"/>
              <w:rPr>
                <w:sz w:val="20"/>
                <w:szCs w:val="20"/>
                <w:color w:val="auto"/>
              </w:rPr>
            </w:pPr>
            <w:r>
              <w:rPr>
                <w:rFonts w:ascii="Arial" w:cs="Arial" w:eastAsia="Arial" w:hAnsi="Arial"/>
                <w:sz w:val="11"/>
                <w:szCs w:val="11"/>
                <w:color w:val="54585A"/>
              </w:rPr>
              <w:t>Pay Ratio</w:t>
            </w:r>
          </w:p>
        </w:tc>
        <w:tc>
          <w:tcPr>
            <w:tcW w:w="800" w:type="dxa"/>
            <w:vAlign w:val="bottom"/>
          </w:tcPr>
          <w:p>
            <w:pPr>
              <w:jc w:val="right"/>
              <w:spacing w:after="0"/>
              <w:rPr>
                <w:sz w:val="20"/>
                <w:szCs w:val="20"/>
                <w:color w:val="auto"/>
              </w:rPr>
            </w:pPr>
            <w:r>
              <w:rPr>
                <w:rFonts w:ascii="Arial" w:cs="Arial" w:eastAsia="Arial" w:hAnsi="Arial"/>
                <w:sz w:val="11"/>
                <w:szCs w:val="11"/>
                <w:color w:val="54585A"/>
              </w:rPr>
              <w:t>37</w:t>
            </w:r>
          </w:p>
        </w:tc>
        <w:tc>
          <w:tcPr>
            <w:tcW w:w="0" w:type="dxa"/>
            <w:vAlign w:val="bottom"/>
          </w:tcPr>
          <w:p>
            <w:pPr>
              <w:spacing w:after="0"/>
              <w:rPr>
                <w:sz w:val="1"/>
                <w:szCs w:val="1"/>
                <w:color w:val="auto"/>
              </w:rPr>
            </w:pPr>
          </w:p>
        </w:tc>
      </w:tr>
      <w:tr>
        <w:trPr>
          <w:trHeight w:val="285"/>
        </w:trPr>
        <w:tc>
          <w:tcPr>
            <w:tcW w:w="10500" w:type="dxa"/>
            <w:vAlign w:val="bottom"/>
          </w:tcPr>
          <w:p>
            <w:pPr>
              <w:ind w:left="5240"/>
              <w:spacing w:after="0"/>
              <w:rPr>
                <w:sz w:val="20"/>
                <w:szCs w:val="20"/>
                <w:color w:val="auto"/>
              </w:rPr>
            </w:pPr>
            <w:r>
              <w:rPr>
                <w:rFonts w:ascii="Arial" w:cs="Arial" w:eastAsia="Arial" w:hAnsi="Arial"/>
                <w:sz w:val="11"/>
                <w:szCs w:val="11"/>
                <w:b w:val="1"/>
                <w:bCs w:val="1"/>
                <w:color w:val="54585A"/>
              </w:rPr>
              <w:t xml:space="preserve">Proposal 5 </w:t>
            </w:r>
            <w:r>
              <w:rPr>
                <w:rFonts w:ascii="Arial" w:cs="Arial" w:eastAsia="Arial" w:hAnsi="Arial"/>
                <w:sz w:val="11"/>
                <w:szCs w:val="11"/>
                <w:color w:val="54585A"/>
              </w:rPr>
              <w:t>/ Company’s entry into the Guaranty of certain of the Company’s obligations under its</w:t>
            </w: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54585A"/>
              </w:rPr>
              <w:t>38</w:t>
            </w:r>
          </w:p>
        </w:tc>
        <w:tc>
          <w:tcPr>
            <w:tcW w:w="0" w:type="dxa"/>
            <w:vAlign w:val="bottom"/>
          </w:tcPr>
          <w:p>
            <w:pPr>
              <w:spacing w:after="0"/>
              <w:rPr>
                <w:sz w:val="1"/>
                <w:szCs w:val="1"/>
                <w:color w:val="auto"/>
              </w:rPr>
            </w:pPr>
          </w:p>
        </w:tc>
      </w:tr>
      <w:tr>
        <w:trPr>
          <w:trHeight w:val="83"/>
        </w:trPr>
        <w:tc>
          <w:tcPr>
            <w:tcW w:w="10500" w:type="dxa"/>
            <w:vAlign w:val="bottom"/>
            <w:vMerge w:val="restart"/>
          </w:tcPr>
          <w:p>
            <w:pPr>
              <w:ind w:left="5240"/>
              <w:spacing w:after="0"/>
              <w:rPr>
                <w:sz w:val="20"/>
                <w:szCs w:val="20"/>
                <w:color w:val="auto"/>
              </w:rPr>
            </w:pPr>
            <w:r>
              <w:rPr>
                <w:rFonts w:ascii="Arial" w:cs="Arial" w:eastAsia="Arial" w:hAnsi="Arial"/>
                <w:sz w:val="11"/>
                <w:szCs w:val="11"/>
                <w:color w:val="54585A"/>
              </w:rPr>
              <w:t>Prepayment Agreements with an affiliate of the Thermo Companies</w:t>
            </w: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5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Security Ownership</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39</w:t>
            </w:r>
          </w:p>
        </w:tc>
        <w:tc>
          <w:tcPr>
            <w:tcW w:w="0" w:type="dxa"/>
            <w:vAlign w:val="bottom"/>
          </w:tcPr>
          <w:p>
            <w:pPr>
              <w:spacing w:after="0"/>
              <w:rPr>
                <w:sz w:val="1"/>
                <w:szCs w:val="1"/>
                <w:color w:val="auto"/>
              </w:rPr>
            </w:pPr>
          </w:p>
        </w:tc>
      </w:tr>
      <w:tr>
        <w:trPr>
          <w:trHeight w:val="315"/>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Related Person Transactions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41</w:t>
            </w:r>
          </w:p>
        </w:tc>
        <w:tc>
          <w:tcPr>
            <w:tcW w:w="0" w:type="dxa"/>
            <w:vAlign w:val="bottom"/>
          </w:tcPr>
          <w:p>
            <w:pPr>
              <w:spacing w:after="0"/>
              <w:rPr>
                <w:sz w:val="1"/>
                <w:szCs w:val="1"/>
                <w:color w:val="auto"/>
              </w:rPr>
            </w:pPr>
          </w:p>
        </w:tc>
      </w:tr>
      <w:tr>
        <w:trPr>
          <w:trHeight w:val="315"/>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Other Information</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54585A"/>
              </w:rPr>
              <w:t>43</w:t>
            </w:r>
          </w:p>
        </w:tc>
        <w:tc>
          <w:tcPr>
            <w:tcW w:w="0" w:type="dxa"/>
            <w:vAlign w:val="bottom"/>
          </w:tcPr>
          <w:p>
            <w:pPr>
              <w:spacing w:after="0"/>
              <w:rPr>
                <w:sz w:val="1"/>
                <w:szCs w:val="1"/>
                <w:color w:val="auto"/>
              </w:rPr>
            </w:pPr>
          </w:p>
        </w:tc>
      </w:tr>
      <w:tr>
        <w:trPr>
          <w:trHeight w:val="298"/>
        </w:trPr>
        <w:tc>
          <w:tcPr>
            <w:tcW w:w="10500" w:type="dxa"/>
            <w:vAlign w:val="bottom"/>
          </w:tcPr>
          <w:p>
            <w:pPr>
              <w:ind w:left="5240"/>
              <w:spacing w:after="0"/>
              <w:rPr>
                <w:sz w:val="20"/>
                <w:szCs w:val="20"/>
                <w:color w:val="auto"/>
              </w:rPr>
            </w:pPr>
            <w:r>
              <w:rPr>
                <w:rFonts w:ascii="Arial" w:cs="Arial" w:eastAsia="Arial" w:hAnsi="Arial"/>
                <w:sz w:val="11"/>
                <w:szCs w:val="11"/>
                <w:color w:val="54585A"/>
              </w:rPr>
              <w:t>Requests for Documents</w:t>
            </w:r>
          </w:p>
        </w:tc>
        <w:tc>
          <w:tcPr>
            <w:tcW w:w="800" w:type="dxa"/>
            <w:vAlign w:val="bottom"/>
          </w:tcPr>
          <w:p>
            <w:pPr>
              <w:jc w:val="right"/>
              <w:spacing w:after="0"/>
              <w:rPr>
                <w:sz w:val="20"/>
                <w:szCs w:val="20"/>
                <w:color w:val="auto"/>
              </w:rPr>
            </w:pPr>
            <w:r>
              <w:rPr>
                <w:rFonts w:ascii="Arial" w:cs="Arial" w:eastAsia="Arial" w:hAnsi="Arial"/>
                <w:sz w:val="11"/>
                <w:szCs w:val="11"/>
                <w:color w:val="54585A"/>
              </w:rPr>
              <w:t>43</w:t>
            </w:r>
          </w:p>
        </w:tc>
        <w:tc>
          <w:tcPr>
            <w:tcW w:w="0" w:type="dxa"/>
            <w:vAlign w:val="bottom"/>
          </w:tcPr>
          <w:p>
            <w:pPr>
              <w:spacing w:after="0"/>
              <w:rPr>
                <w:sz w:val="1"/>
                <w:szCs w:val="1"/>
                <w:color w:val="auto"/>
              </w:rPr>
            </w:pPr>
          </w:p>
        </w:tc>
      </w:tr>
      <w:tr>
        <w:trPr>
          <w:trHeight w:val="323"/>
        </w:trPr>
        <w:tc>
          <w:tcPr>
            <w:tcW w:w="10500" w:type="dxa"/>
            <w:vAlign w:val="bottom"/>
          </w:tcPr>
          <w:p>
            <w:pPr>
              <w:ind w:left="5020"/>
              <w:spacing w:after="0"/>
              <w:rPr>
                <w:sz w:val="20"/>
                <w:szCs w:val="20"/>
                <w:color w:val="auto"/>
              </w:rPr>
            </w:pPr>
            <w:r>
              <w:rPr>
                <w:rFonts w:ascii="Arial" w:cs="Arial" w:eastAsia="Arial" w:hAnsi="Arial"/>
                <w:sz w:val="11"/>
                <w:szCs w:val="11"/>
                <w:b w:val="1"/>
                <w:bCs w:val="1"/>
                <w:color w:val="54585A"/>
              </w:rPr>
              <w:t>Appendix A</w:t>
            </w: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54585A"/>
              </w:rPr>
              <w:t>A-1</w:t>
            </w:r>
          </w:p>
        </w:tc>
        <w:tc>
          <w:tcPr>
            <w:tcW w:w="0" w:type="dxa"/>
            <w:vAlign w:val="bottom"/>
          </w:tcPr>
          <w:p>
            <w:pPr>
              <w:spacing w:after="0"/>
              <w:rPr>
                <w:sz w:val="1"/>
                <w:szCs w:val="1"/>
                <w:color w:val="auto"/>
              </w:rPr>
            </w:pPr>
          </w:p>
        </w:tc>
      </w:tr>
      <w:tr>
        <w:trPr>
          <w:trHeight w:val="54"/>
        </w:trPr>
        <w:tc>
          <w:tcPr>
            <w:tcW w:w="105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0"/>
        </w:trPr>
        <w:tc>
          <w:tcPr>
            <w:tcW w:w="10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0"/>
          <w:szCs w:val="10"/>
          <w:color w:val="54585A"/>
        </w:rPr>
        <w:t xml:space="preserve">Annual Meeting and 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Annual Meeting and Other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54585A"/>
        </w:rPr>
        <w:t>Information About the Meeting, Voting and Attendance</w:t>
      </w:r>
    </w:p>
    <w:p>
      <w:pPr>
        <w:spacing w:after="0" w:line="152" w:lineRule="exact"/>
        <w:rPr>
          <w:sz w:val="20"/>
          <w:szCs w:val="20"/>
          <w:color w:val="auto"/>
        </w:rPr>
      </w:pPr>
    </w:p>
    <w:p>
      <w:pPr>
        <w:ind w:right="20"/>
        <w:spacing w:after="0" w:line="320" w:lineRule="auto"/>
        <w:rPr>
          <w:sz w:val="20"/>
          <w:szCs w:val="20"/>
          <w:color w:val="auto"/>
        </w:rPr>
      </w:pPr>
      <w:r>
        <w:rPr>
          <w:rFonts w:ascii="Arial" w:cs="Arial" w:eastAsia="Arial" w:hAnsi="Arial"/>
          <w:sz w:val="11"/>
          <w:szCs w:val="11"/>
          <w:color w:val="54585A"/>
        </w:rPr>
        <w:t>We are providing you with this proxy statement and the related form of proxy because our Board of Directors (the “Board”) is soliciting your proxy to vote your stock at our Annual Meeting. At the Annual Meeting, stockholders will be asked to elect two Class B Directors; ratify the selection of Ernst &amp; Young LLP ("EY") as our independent registered public accounting firm, approve, on an advisory basis, the compensation of our named executive officers; approve, on an advisory basis, the frequency of future advisory votes on the compensation of our named executive officers; approve the Thermo Guaranty of our prepayment obligations;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99" w:lineRule="exact"/>
        <w:rPr>
          <w:sz w:val="20"/>
          <w:szCs w:val="20"/>
          <w:color w:val="auto"/>
        </w:rPr>
      </w:pPr>
    </w:p>
    <w:p>
      <w:pPr>
        <w:spacing w:after="0"/>
        <w:rPr>
          <w:sz w:val="20"/>
          <w:szCs w:val="20"/>
          <w:color w:val="auto"/>
        </w:rPr>
      </w:pPr>
      <w:r>
        <w:rPr>
          <w:rFonts w:ascii="Arial" w:cs="Arial" w:eastAsia="Arial" w:hAnsi="Arial"/>
          <w:sz w:val="10"/>
          <w:szCs w:val="10"/>
          <w:color w:val="54585A"/>
        </w:rPr>
        <w:t>Similar to previous years, we are furnishing our proxy materials via the Internet. We expect to begin mailing the notice card on or about May 15, 2023 to stockholders of record at the close of business on May 1, 2023 (the “Record Date”).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Who Can Vote</w:t>
      </w:r>
    </w:p>
    <w:p>
      <w:pPr>
        <w:spacing w:after="0" w:line="68" w:lineRule="exact"/>
        <w:rPr>
          <w:sz w:val="20"/>
          <w:szCs w:val="20"/>
          <w:color w:val="auto"/>
        </w:rPr>
      </w:pPr>
    </w:p>
    <w:p>
      <w:pPr>
        <w:ind w:right="100"/>
        <w:spacing w:after="0" w:line="328" w:lineRule="auto"/>
        <w:rPr>
          <w:sz w:val="20"/>
          <w:szCs w:val="20"/>
          <w:color w:val="auto"/>
        </w:rPr>
      </w:pPr>
      <w:r>
        <w:rPr>
          <w:rFonts w:ascii="Arial" w:cs="Arial" w:eastAsia="Arial" w:hAnsi="Arial"/>
          <w:sz w:val="11"/>
          <w:szCs w:val="11"/>
          <w:color w:val="54585A"/>
        </w:rPr>
        <w:t>Only holders of our voting common stock at the close of business on the Record Date are entitled to vote at the Annual Meeting. On the Record Date, there were 1,813,134,974 shares of voting common stock outstanding and entitled to vote. Each share of voting common stock that you owned as of the Record Date entitles you to one vote on each matter to be voted at the Annual Meeting.</w:t>
      </w:r>
    </w:p>
    <w:p>
      <w:pPr>
        <w:spacing w:after="0" w:line="95" w:lineRule="exact"/>
        <w:rPr>
          <w:sz w:val="20"/>
          <w:szCs w:val="20"/>
          <w:color w:val="auto"/>
        </w:rPr>
      </w:pPr>
    </w:p>
    <w:p>
      <w:pPr>
        <w:ind w:right="140"/>
        <w:spacing w:after="0" w:line="385" w:lineRule="auto"/>
        <w:rPr>
          <w:sz w:val="20"/>
          <w:szCs w:val="20"/>
          <w:color w:val="auto"/>
        </w:rPr>
      </w:pPr>
      <w:r>
        <w:rPr>
          <w:rFonts w:ascii="Arial" w:cs="Arial" w:eastAsia="Arial" w:hAnsi="Arial"/>
          <w:sz w:val="10"/>
          <w:szCs w:val="10"/>
          <w:color w:val="54585A"/>
        </w:rPr>
        <w:t>In accordance with the rules of the Securities and Exchange Commission (“SEC” or the "Commission"), instead of mailing a printed copy of our proxy materials to each stockholder of record, we intend to furnish our proxy materials, including this proxy statement and our 2022 annual report to stockholders, by providing access to these documents on the Internet. Generally, stockholders will not receive printed copies of the proxy materials unless they request them.</w:t>
      </w:r>
    </w:p>
    <w:p>
      <w:pPr>
        <w:spacing w:after="0" w:line="72" w:lineRule="exact"/>
        <w:rPr>
          <w:sz w:val="20"/>
          <w:szCs w:val="20"/>
          <w:color w:val="auto"/>
        </w:rPr>
      </w:pPr>
    </w:p>
    <w:p>
      <w:pPr>
        <w:jc w:val="both"/>
        <w:ind w:right="180"/>
        <w:spacing w:after="0" w:line="326" w:lineRule="auto"/>
        <w:rPr>
          <w:sz w:val="20"/>
          <w:szCs w:val="20"/>
          <w:color w:val="auto"/>
        </w:rPr>
      </w:pPr>
      <w:r>
        <w:rPr>
          <w:rFonts w:ascii="Arial" w:cs="Arial" w:eastAsia="Arial" w:hAnsi="Arial"/>
          <w:sz w:val="11"/>
          <w:szCs w:val="11"/>
          <w:color w:val="54585A"/>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97" w:lineRule="exact"/>
        <w:rPr>
          <w:sz w:val="20"/>
          <w:szCs w:val="20"/>
          <w:color w:val="auto"/>
        </w:rPr>
      </w:pPr>
    </w:p>
    <w:p>
      <w:pPr>
        <w:jc w:val="both"/>
        <w:ind w:right="160"/>
        <w:spacing w:after="0" w:line="328" w:lineRule="auto"/>
        <w:rPr>
          <w:sz w:val="20"/>
          <w:szCs w:val="20"/>
          <w:color w:val="auto"/>
        </w:rPr>
      </w:pPr>
      <w:r>
        <w:rPr>
          <w:rFonts w:ascii="Arial" w:cs="Arial" w:eastAsia="Arial" w:hAnsi="Arial"/>
          <w:sz w:val="11"/>
          <w:szCs w:val="11"/>
          <w:color w:val="54585A"/>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91" w:lineRule="exact"/>
        <w:rPr>
          <w:sz w:val="20"/>
          <w:szCs w:val="20"/>
          <w:color w:val="auto"/>
        </w:rPr>
      </w:pPr>
    </w:p>
    <w:p>
      <w:pPr>
        <w:ind w:left="320" w:hanging="112"/>
        <w:spacing w:after="0"/>
        <w:tabs>
          <w:tab w:leader="none" w:pos="320" w:val="left"/>
        </w:tabs>
        <w:numPr>
          <w:ilvl w:val="0"/>
          <w:numId w:val="6"/>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Internet - </w:t>
      </w:r>
      <w:r>
        <w:rPr>
          <w:rFonts w:ascii="Arial" w:cs="Arial" w:eastAsia="Arial" w:hAnsi="Arial"/>
          <w:sz w:val="11"/>
          <w:szCs w:val="11"/>
          <w:color w:val="54585A"/>
        </w:rPr>
        <w:t>You may vote on the Internet at www.proxyvote.com. The Notice sent to you describes how to do this.</w:t>
      </w:r>
    </w:p>
    <w:p>
      <w:pPr>
        <w:spacing w:after="0" w:line="152" w:lineRule="exact"/>
        <w:rPr>
          <w:rFonts w:ascii="Arial" w:cs="Arial" w:eastAsia="Arial" w:hAnsi="Arial"/>
          <w:sz w:val="11"/>
          <w:szCs w:val="11"/>
          <w:b w:val="1"/>
          <w:bCs w:val="1"/>
          <w:color w:val="54585A"/>
        </w:rPr>
      </w:pPr>
    </w:p>
    <w:p>
      <w:pPr>
        <w:ind w:left="320" w:hanging="112"/>
        <w:spacing w:after="0"/>
        <w:tabs>
          <w:tab w:leader="none" w:pos="320" w:val="left"/>
        </w:tabs>
        <w:numPr>
          <w:ilvl w:val="0"/>
          <w:numId w:val="6"/>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Telephone - </w:t>
      </w:r>
      <w:r>
        <w:rPr>
          <w:rFonts w:ascii="Arial" w:cs="Arial" w:eastAsia="Arial" w:hAnsi="Arial"/>
          <w:sz w:val="11"/>
          <w:szCs w:val="11"/>
          <w:color w:val="54585A"/>
        </w:rPr>
        <w:t>You can vote by telephone only if you request and receive a paper copy of the proxy materials and proxy card. The Notice describes how to do this; you must make your request for materials by June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1714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 w:name="page5"/>
    <w:bookmarkEnd w:id="4"/>
    <w:p>
      <w:pPr>
        <w:ind w:left="68" w:hanging="68"/>
        <w:spacing w:after="0"/>
        <w:tabs>
          <w:tab w:leader="none" w:pos="68" w:val="left"/>
        </w:tabs>
        <w:numPr>
          <w:ilvl w:val="0"/>
          <w:numId w:val="7"/>
        </w:numPr>
        <w:rPr>
          <w:rFonts w:ascii="Arial" w:cs="Arial" w:eastAsia="Arial" w:hAnsi="Arial"/>
          <w:sz w:val="12"/>
          <w:szCs w:val="12"/>
          <w:b w:val="1"/>
          <w:bCs w:val="1"/>
          <w:color w:val="EB6C10"/>
        </w:rPr>
      </w:pPr>
      <w:r>
        <w:rPr>
          <w:rFonts w:ascii="Arial" w:cs="Arial" w:eastAsia="Arial" w:hAnsi="Arial"/>
          <w:sz w:val="10"/>
          <w:szCs w:val="10"/>
          <w:color w:val="54585A"/>
        </w:rPr>
        <w:t>Annual Meeting and Other Information</w:t>
      </w:r>
    </w:p>
    <w:p>
      <w:pPr>
        <w:spacing w:after="0" w:line="200" w:lineRule="exact"/>
        <w:rPr>
          <w:rFonts w:ascii="Arial" w:cs="Arial" w:eastAsia="Arial" w:hAnsi="Arial"/>
          <w:sz w:val="12"/>
          <w:szCs w:val="12"/>
          <w:b w:val="1"/>
          <w:bCs w:val="1"/>
          <w:color w:val="EB6C10"/>
        </w:rPr>
      </w:pPr>
    </w:p>
    <w:p>
      <w:pPr>
        <w:spacing w:after="0" w:line="200" w:lineRule="exact"/>
        <w:rPr>
          <w:rFonts w:ascii="Arial" w:cs="Arial" w:eastAsia="Arial" w:hAnsi="Arial"/>
          <w:sz w:val="12"/>
          <w:szCs w:val="12"/>
          <w:b w:val="1"/>
          <w:bCs w:val="1"/>
          <w:color w:val="EB6C10"/>
        </w:rPr>
      </w:pPr>
    </w:p>
    <w:p>
      <w:pPr>
        <w:spacing w:after="0" w:line="317" w:lineRule="exact"/>
        <w:rPr>
          <w:rFonts w:ascii="Arial" w:cs="Arial" w:eastAsia="Arial" w:hAnsi="Arial"/>
          <w:sz w:val="12"/>
          <w:szCs w:val="12"/>
          <w:b w:val="1"/>
          <w:bCs w:val="1"/>
          <w:color w:val="EB6C10"/>
        </w:rPr>
      </w:pPr>
    </w:p>
    <w:p>
      <w:pPr>
        <w:ind w:left="328" w:right="120" w:hanging="112"/>
        <w:spacing w:after="0" w:line="353" w:lineRule="auto"/>
        <w:tabs>
          <w:tab w:leader="none" w:pos="328" w:val="left"/>
        </w:tabs>
        <w:numPr>
          <w:ilvl w:val="1"/>
          <w:numId w:val="7"/>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Mail - </w:t>
      </w:r>
      <w:r>
        <w:rPr>
          <w:rFonts w:ascii="Arial" w:cs="Arial" w:eastAsia="Arial" w:hAnsi="Arial"/>
          <w:sz w:val="11"/>
          <w:szCs w:val="11"/>
          <w:color w:val="54585A"/>
        </w:rPr>
        <w:t>You can vote by mail only if you request and receive a paper copy of the proxy materials and proxy card. The Notice provides instructions on how to do this; you must make your request for materials by June 13, 2023.</w:t>
      </w:r>
      <w:r>
        <w:rPr>
          <w:rFonts w:ascii="Arial" w:cs="Arial" w:eastAsia="Arial" w:hAnsi="Arial"/>
          <w:sz w:val="11"/>
          <w:szCs w:val="11"/>
          <w:b w:val="1"/>
          <w:bCs w:val="1"/>
          <w:color w:val="54585A"/>
        </w:rPr>
        <w:t xml:space="preserve"> </w:t>
      </w:r>
      <w:r>
        <w:rPr>
          <w:rFonts w:ascii="Arial" w:cs="Arial" w:eastAsia="Arial" w:hAnsi="Arial"/>
          <w:sz w:val="11"/>
          <w:szCs w:val="11"/>
          <w:color w:val="54585A"/>
        </w:rPr>
        <w:t>You then vote by completing, signing, dating, and timely returning a proxy card.</w:t>
      </w:r>
    </w:p>
    <w:p>
      <w:pPr>
        <w:spacing w:after="0" w:line="68" w:lineRule="exact"/>
        <w:rPr>
          <w:rFonts w:ascii="Arial" w:cs="Arial" w:eastAsia="Arial" w:hAnsi="Arial"/>
          <w:sz w:val="11"/>
          <w:szCs w:val="11"/>
          <w:b w:val="1"/>
          <w:bCs w:val="1"/>
          <w:color w:val="54585A"/>
        </w:rPr>
      </w:pPr>
    </w:p>
    <w:p>
      <w:pPr>
        <w:ind w:left="328" w:hanging="112"/>
        <w:spacing w:after="0"/>
        <w:tabs>
          <w:tab w:leader="none" w:pos="328" w:val="left"/>
        </w:tabs>
        <w:numPr>
          <w:ilvl w:val="1"/>
          <w:numId w:val="7"/>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In Person - </w:t>
      </w:r>
      <w:r>
        <w:rPr>
          <w:rFonts w:ascii="Arial" w:cs="Arial" w:eastAsia="Arial" w:hAnsi="Arial"/>
          <w:sz w:val="11"/>
          <w:szCs w:val="11"/>
          <w:color w:val="54585A"/>
        </w:rPr>
        <w:t>You may come to the Annual Meeting and cast your vote there.</w:t>
      </w:r>
    </w:p>
    <w:p>
      <w:pPr>
        <w:spacing w:after="0" w:line="157" w:lineRule="exact"/>
        <w:rPr>
          <w:sz w:val="20"/>
          <w:szCs w:val="20"/>
          <w:color w:val="auto"/>
        </w:rPr>
      </w:pPr>
    </w:p>
    <w:p>
      <w:pPr>
        <w:ind w:left="8" w:right="100"/>
        <w:spacing w:after="0" w:line="326" w:lineRule="auto"/>
        <w:rPr>
          <w:sz w:val="20"/>
          <w:szCs w:val="20"/>
          <w:color w:val="auto"/>
        </w:rPr>
      </w:pPr>
      <w:r>
        <w:rPr>
          <w:rFonts w:ascii="Arial" w:cs="Arial" w:eastAsia="Arial" w:hAnsi="Arial"/>
          <w:sz w:val="11"/>
          <w:szCs w:val="11"/>
          <w:color w:val="54585A"/>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Voting Authority of Management Proxies</w:t>
      </w:r>
    </w:p>
    <w:p>
      <w:pPr>
        <w:spacing w:after="0" w:line="68" w:lineRule="exact"/>
        <w:rPr>
          <w:sz w:val="20"/>
          <w:szCs w:val="20"/>
          <w:color w:val="auto"/>
        </w:rPr>
      </w:pPr>
    </w:p>
    <w:p>
      <w:pPr>
        <w:ind w:left="8"/>
        <w:spacing w:after="0" w:line="328" w:lineRule="auto"/>
        <w:rPr>
          <w:sz w:val="20"/>
          <w:szCs w:val="20"/>
          <w:color w:val="auto"/>
        </w:rPr>
      </w:pPr>
      <w:r>
        <w:rPr>
          <w:rFonts w:ascii="Arial" w:cs="Arial" w:eastAsia="Arial" w:hAnsi="Arial"/>
          <w:sz w:val="11"/>
          <w:szCs w:val="11"/>
          <w:color w:val="54585A"/>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89" w:lineRule="exact"/>
        <w:rPr>
          <w:sz w:val="20"/>
          <w:szCs w:val="20"/>
          <w:color w:val="auto"/>
        </w:rPr>
      </w:pPr>
    </w:p>
    <w:p>
      <w:pPr>
        <w:ind w:left="368" w:hanging="152"/>
        <w:spacing w:after="0"/>
        <w:tabs>
          <w:tab w:leader="none" w:pos="368" w:val="left"/>
        </w:tabs>
        <w:numPr>
          <w:ilvl w:val="0"/>
          <w:numId w:val="8"/>
        </w:numPr>
        <w:rPr>
          <w:rFonts w:ascii="Arial" w:cs="Arial" w:eastAsia="Arial" w:hAnsi="Arial"/>
          <w:sz w:val="12"/>
          <w:szCs w:val="12"/>
          <w:b w:val="1"/>
          <w:bCs w:val="1"/>
          <w:color w:val="EB6C10"/>
        </w:rPr>
      </w:pPr>
      <w:r>
        <w:rPr>
          <w:rFonts w:ascii="Arial" w:cs="Arial" w:eastAsia="Arial" w:hAnsi="Arial"/>
          <w:sz w:val="12"/>
          <w:szCs w:val="12"/>
          <w:b w:val="1"/>
          <w:bCs w:val="1"/>
          <w:color w:val="EB6C10"/>
        </w:rPr>
        <w:t xml:space="preserve">FOR </w:t>
      </w:r>
      <w:r>
        <w:rPr>
          <w:rFonts w:ascii="Arial" w:cs="Arial" w:eastAsia="Arial" w:hAnsi="Arial"/>
          <w:sz w:val="10"/>
          <w:szCs w:val="10"/>
          <w:color w:val="54585A"/>
        </w:rPr>
        <w:t>the election of the two nominees for Class B director named in this proxy statement;</w:t>
      </w:r>
    </w:p>
    <w:p>
      <w:pPr>
        <w:spacing w:after="0" w:line="150" w:lineRule="exact"/>
        <w:rPr>
          <w:rFonts w:ascii="Arial" w:cs="Arial" w:eastAsia="Arial" w:hAnsi="Arial"/>
          <w:sz w:val="12"/>
          <w:szCs w:val="12"/>
          <w:b w:val="1"/>
          <w:bCs w:val="1"/>
          <w:color w:val="EB6C10"/>
        </w:rPr>
      </w:pPr>
    </w:p>
    <w:p>
      <w:pPr>
        <w:ind w:left="348" w:hanging="132"/>
        <w:spacing w:after="0"/>
        <w:tabs>
          <w:tab w:leader="none" w:pos="348" w:val="left"/>
        </w:tabs>
        <w:numPr>
          <w:ilvl w:val="0"/>
          <w:numId w:val="8"/>
        </w:numPr>
        <w:rPr>
          <w:rFonts w:ascii="Arial" w:cs="Arial" w:eastAsia="Arial" w:hAnsi="Arial"/>
          <w:sz w:val="12"/>
          <w:szCs w:val="12"/>
          <w:b w:val="1"/>
          <w:bCs w:val="1"/>
          <w:color w:val="1D8DB8"/>
        </w:rPr>
      </w:pPr>
      <w:r>
        <w:rPr>
          <w:rFonts w:ascii="Arial" w:cs="Arial" w:eastAsia="Arial" w:hAnsi="Arial"/>
          <w:sz w:val="12"/>
          <w:szCs w:val="12"/>
          <w:b w:val="1"/>
          <w:bCs w:val="1"/>
          <w:color w:val="1D8DB8"/>
        </w:rPr>
        <w:t xml:space="preserve">FOR </w:t>
      </w:r>
      <w:r>
        <w:rPr>
          <w:rFonts w:ascii="Arial" w:cs="Arial" w:eastAsia="Arial" w:hAnsi="Arial"/>
          <w:sz w:val="10"/>
          <w:szCs w:val="10"/>
          <w:color w:val="54585A"/>
        </w:rPr>
        <w:t>the ratification of the appointment of EY as our independent registered public accounting firm;</w:t>
      </w:r>
    </w:p>
    <w:p>
      <w:pPr>
        <w:spacing w:after="0" w:line="150" w:lineRule="exact"/>
        <w:rPr>
          <w:rFonts w:ascii="Arial" w:cs="Arial" w:eastAsia="Arial" w:hAnsi="Arial"/>
          <w:sz w:val="12"/>
          <w:szCs w:val="12"/>
          <w:b w:val="1"/>
          <w:bCs w:val="1"/>
          <w:color w:val="1D8DB8"/>
        </w:rPr>
      </w:pPr>
    </w:p>
    <w:p>
      <w:pPr>
        <w:ind w:left="348" w:hanging="132"/>
        <w:spacing w:after="0"/>
        <w:tabs>
          <w:tab w:leader="none" w:pos="348" w:val="left"/>
        </w:tabs>
        <w:numPr>
          <w:ilvl w:val="0"/>
          <w:numId w:val="8"/>
        </w:numPr>
        <w:rPr>
          <w:rFonts w:ascii="Arial" w:cs="Arial" w:eastAsia="Arial" w:hAnsi="Arial"/>
          <w:sz w:val="12"/>
          <w:szCs w:val="12"/>
          <w:b w:val="1"/>
          <w:bCs w:val="1"/>
          <w:color w:val="63C237"/>
        </w:rPr>
      </w:pPr>
      <w:r>
        <w:rPr>
          <w:rFonts w:ascii="Arial" w:cs="Arial" w:eastAsia="Arial" w:hAnsi="Arial"/>
          <w:sz w:val="12"/>
          <w:szCs w:val="12"/>
          <w:b w:val="1"/>
          <w:bCs w:val="1"/>
          <w:color w:val="63C237"/>
        </w:rPr>
        <w:t xml:space="preserve">FOR </w:t>
      </w:r>
      <w:r>
        <w:rPr>
          <w:rFonts w:ascii="Arial" w:cs="Arial" w:eastAsia="Arial" w:hAnsi="Arial"/>
          <w:sz w:val="10"/>
          <w:szCs w:val="10"/>
          <w:color w:val="54585A"/>
        </w:rPr>
        <w:t>the approval of named executive officer compensation;</w:t>
      </w:r>
    </w:p>
    <w:p>
      <w:pPr>
        <w:spacing w:after="0" w:line="150" w:lineRule="exact"/>
        <w:rPr>
          <w:rFonts w:ascii="Arial" w:cs="Arial" w:eastAsia="Arial" w:hAnsi="Arial"/>
          <w:sz w:val="12"/>
          <w:szCs w:val="12"/>
          <w:b w:val="1"/>
          <w:bCs w:val="1"/>
          <w:color w:val="63C237"/>
        </w:rPr>
      </w:pPr>
    </w:p>
    <w:p>
      <w:pPr>
        <w:ind w:left="348" w:hanging="132"/>
        <w:spacing w:after="0"/>
        <w:tabs>
          <w:tab w:leader="none" w:pos="348" w:val="left"/>
        </w:tabs>
        <w:numPr>
          <w:ilvl w:val="0"/>
          <w:numId w:val="8"/>
        </w:numPr>
        <w:rPr>
          <w:rFonts w:ascii="Arial" w:cs="Arial" w:eastAsia="Arial" w:hAnsi="Arial"/>
          <w:sz w:val="12"/>
          <w:szCs w:val="12"/>
          <w:b w:val="1"/>
          <w:bCs w:val="1"/>
          <w:color w:val="FFD900"/>
        </w:rPr>
      </w:pPr>
      <w:r>
        <w:rPr>
          <w:rFonts w:ascii="Arial" w:cs="Arial" w:eastAsia="Arial" w:hAnsi="Arial"/>
          <w:sz w:val="12"/>
          <w:szCs w:val="12"/>
          <w:b w:val="1"/>
          <w:bCs w:val="1"/>
          <w:color w:val="FFD900"/>
        </w:rPr>
        <w:t xml:space="preserve">FOR </w:t>
      </w:r>
      <w:r>
        <w:rPr>
          <w:rFonts w:ascii="Arial" w:cs="Arial" w:eastAsia="Arial" w:hAnsi="Arial"/>
          <w:sz w:val="10"/>
          <w:szCs w:val="10"/>
          <w:color w:val="54585A"/>
        </w:rPr>
        <w:t>the option of every three years as the future frequency with which stockholders will be provided an advisory vote on the compensation of our named executive officers; and</w:t>
      </w:r>
    </w:p>
    <w:p>
      <w:pPr>
        <w:spacing w:after="0" w:line="150" w:lineRule="exact"/>
        <w:rPr>
          <w:rFonts w:ascii="Arial" w:cs="Arial" w:eastAsia="Arial" w:hAnsi="Arial"/>
          <w:sz w:val="12"/>
          <w:szCs w:val="12"/>
          <w:b w:val="1"/>
          <w:bCs w:val="1"/>
          <w:color w:val="FFD900"/>
        </w:rPr>
      </w:pPr>
    </w:p>
    <w:p>
      <w:pPr>
        <w:ind w:left="348" w:hanging="132"/>
        <w:spacing w:after="0"/>
        <w:tabs>
          <w:tab w:leader="none" w:pos="348" w:val="left"/>
        </w:tabs>
        <w:numPr>
          <w:ilvl w:val="0"/>
          <w:numId w:val="8"/>
        </w:numPr>
        <w:rPr>
          <w:rFonts w:ascii="Arial" w:cs="Arial" w:eastAsia="Arial" w:hAnsi="Arial"/>
          <w:sz w:val="12"/>
          <w:szCs w:val="12"/>
          <w:b w:val="1"/>
          <w:bCs w:val="1"/>
          <w:color w:val="1D8DB8"/>
        </w:rPr>
      </w:pPr>
      <w:r>
        <w:rPr>
          <w:rFonts w:ascii="Arial" w:cs="Arial" w:eastAsia="Arial" w:hAnsi="Arial"/>
          <w:sz w:val="12"/>
          <w:szCs w:val="12"/>
          <w:b w:val="1"/>
          <w:bCs w:val="1"/>
          <w:color w:val="54585A"/>
        </w:rPr>
        <w:t xml:space="preserve">FOR </w:t>
      </w:r>
      <w:r>
        <w:rPr>
          <w:rFonts w:ascii="Arial" w:cs="Arial" w:eastAsia="Arial" w:hAnsi="Arial"/>
          <w:sz w:val="10"/>
          <w:szCs w:val="10"/>
          <w:color w:val="54585A"/>
        </w:rPr>
        <w:t>the approval of our entry into the Guaranty with Thermo.</w:t>
      </w:r>
    </w:p>
    <w:p>
      <w:pPr>
        <w:spacing w:after="0" w:line="156" w:lineRule="exact"/>
        <w:rPr>
          <w:sz w:val="20"/>
          <w:szCs w:val="20"/>
          <w:color w:val="auto"/>
        </w:rPr>
      </w:pPr>
    </w:p>
    <w:p>
      <w:pPr>
        <w:ind w:left="8" w:right="120"/>
        <w:spacing w:after="0" w:line="328" w:lineRule="auto"/>
        <w:rPr>
          <w:sz w:val="20"/>
          <w:szCs w:val="20"/>
          <w:color w:val="auto"/>
        </w:rPr>
      </w:pPr>
      <w:r>
        <w:rPr>
          <w:rFonts w:ascii="Arial" w:cs="Arial" w:eastAsia="Arial" w:hAnsi="Arial"/>
          <w:sz w:val="11"/>
          <w:szCs w:val="11"/>
          <w:color w:val="54585A"/>
        </w:rPr>
        <w:t>Our Executive Chairman and controlling stockholder, Mr. James Monroe III, has informed us that he intends to vote, on behalf of himself and the entities he controls, in favor of Proposal No. 1 through Proposal No. 4. This vote assures approval of Proposal No. 1 through Proposal No. 4 in accordance with the Board’s recommendations. Mr. James Monroe III and his affiliates are not eligible to vote on Proposal No. 5.</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Other Business - </w:t>
      </w:r>
      <w:r>
        <w:rPr>
          <w:rFonts w:ascii="Arial" w:cs="Arial" w:eastAsia="Arial" w:hAnsi="Arial"/>
          <w:sz w:val="11"/>
          <w:szCs w:val="11"/>
          <w:color w:val="54585A"/>
        </w:rPr>
        <w:t>We are not aware of any other matter that is expected to be acted on at the Annual Meeting.</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Effect of Not Casting Your Vote</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54585A"/>
        </w:rPr>
        <w:t>If you are a stockholder of record no votes will be cast on your behalf on any of the items of business at the Annual Meeting unless you submit a proxy or vote at the meeting.</w:t>
      </w:r>
    </w:p>
    <w:p>
      <w:pPr>
        <w:spacing w:after="0" w:line="144" w:lineRule="exact"/>
        <w:rPr>
          <w:sz w:val="20"/>
          <w:szCs w:val="20"/>
          <w:color w:val="auto"/>
        </w:rPr>
      </w:pPr>
    </w:p>
    <w:p>
      <w:pPr>
        <w:ind w:left="8" w:right="60"/>
        <w:spacing w:after="0" w:line="326" w:lineRule="auto"/>
        <w:rPr>
          <w:sz w:val="20"/>
          <w:szCs w:val="20"/>
          <w:color w:val="auto"/>
        </w:rPr>
      </w:pPr>
      <w:r>
        <w:rPr>
          <w:rFonts w:ascii="Arial" w:cs="Arial" w:eastAsia="Arial" w:hAnsi="Arial"/>
          <w:sz w:val="11"/>
          <w:szCs w:val="11"/>
          <w:color w:val="54585A"/>
        </w:rPr>
        <w:t>If you hold shares in street name, you must give instructions to your nominee on how you would like your shares to be voted. If you do not provide any instructions, your nominee can vote your shares only on “routine” items, such as the ratification of the appointment of our independent registered public accounting firm. The election of directors and the approval of the Guaranty are not considered “routine” items. Thus, if a nominee holds your shares and you do not instruct the nominee how to vote on these items, your shares will not be voted on your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219710</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0"/>
          <w:szCs w:val="10"/>
          <w:color w:val="54585A"/>
        </w:rPr>
        <w:t xml:space="preserve">Annual Meeting and 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How to Change or Revoke Your Proxy Vote</w:t>
      </w:r>
    </w:p>
    <w:p>
      <w:pPr>
        <w:spacing w:after="0" w:line="64" w:lineRule="exact"/>
        <w:rPr>
          <w:sz w:val="20"/>
          <w:szCs w:val="20"/>
          <w:color w:val="auto"/>
        </w:rPr>
      </w:pPr>
    </w:p>
    <w:p>
      <w:pPr>
        <w:ind w:right="260"/>
        <w:spacing w:after="0" w:line="353" w:lineRule="auto"/>
        <w:rPr>
          <w:sz w:val="20"/>
          <w:szCs w:val="20"/>
          <w:color w:val="auto"/>
        </w:rPr>
      </w:pPr>
      <w:r>
        <w:rPr>
          <w:rFonts w:ascii="Arial" w:cs="Arial" w:eastAsia="Arial" w:hAnsi="Arial"/>
          <w:sz w:val="11"/>
          <w:szCs w:val="11"/>
          <w:b w:val="1"/>
          <w:bCs w:val="1"/>
          <w:color w:val="54585A"/>
        </w:rPr>
        <w:t xml:space="preserve">Shares Held of Record - </w:t>
      </w:r>
      <w:r>
        <w:rPr>
          <w:rFonts w:ascii="Arial" w:cs="Arial" w:eastAsia="Arial" w:hAnsi="Arial"/>
          <w:sz w:val="11"/>
          <w:szCs w:val="11"/>
          <w:color w:val="54585A"/>
        </w:rPr>
        <w:t>If you give Internet or telephonic voting instructions or send in a proxy card and later want to change or revoke your vote, you may do so at any time provided that your instructions are received before voting</w:t>
      </w:r>
      <w:r>
        <w:rPr>
          <w:rFonts w:ascii="Arial" w:cs="Arial" w:eastAsia="Arial" w:hAnsi="Arial"/>
          <w:sz w:val="11"/>
          <w:szCs w:val="11"/>
          <w:b w:val="1"/>
          <w:bCs w:val="1"/>
          <w:color w:val="54585A"/>
        </w:rPr>
        <w:t xml:space="preserve"> </w:t>
      </w:r>
      <w:r>
        <w:rPr>
          <w:rFonts w:ascii="Arial" w:cs="Arial" w:eastAsia="Arial" w:hAnsi="Arial"/>
          <w:sz w:val="11"/>
          <w:szCs w:val="11"/>
          <w:color w:val="54585A"/>
        </w:rPr>
        <w:t>closes for the method you select or if you vote at the meeting. You may change or revoke your vote in any of the following ways:</w:t>
      </w:r>
    </w:p>
    <w:p>
      <w:pPr>
        <w:spacing w:after="0" w:line="37" w:lineRule="exact"/>
        <w:rPr>
          <w:sz w:val="20"/>
          <w:szCs w:val="20"/>
          <w:color w:val="auto"/>
        </w:rPr>
      </w:pPr>
    </w:p>
    <w:p>
      <w:pPr>
        <w:ind w:left="320" w:hanging="112"/>
        <w:spacing w:after="0"/>
        <w:tabs>
          <w:tab w:leader="none" w:pos="320" w:val="left"/>
        </w:tabs>
        <w:numPr>
          <w:ilvl w:val="0"/>
          <w:numId w:val="9"/>
        </w:numPr>
        <w:rPr>
          <w:rFonts w:ascii="Arial" w:cs="Arial" w:eastAsia="Arial" w:hAnsi="Arial"/>
          <w:sz w:val="11"/>
          <w:szCs w:val="11"/>
          <w:color w:val="54585A"/>
        </w:rPr>
      </w:pPr>
      <w:r>
        <w:rPr>
          <w:rFonts w:ascii="Arial" w:cs="Arial" w:eastAsia="Arial" w:hAnsi="Arial"/>
          <w:sz w:val="11"/>
          <w:szCs w:val="11"/>
          <w:color w:val="54585A"/>
        </w:rPr>
        <w:t>by giving new voting instructions on the Internet or by telephone, or by mailing new voting instructions to us on a proxy card with a later date;</w:t>
      </w:r>
    </w:p>
    <w:p>
      <w:pPr>
        <w:spacing w:after="0" w:line="80" w:lineRule="exact"/>
        <w:rPr>
          <w:rFonts w:ascii="Arial" w:cs="Arial" w:eastAsia="Arial" w:hAnsi="Arial"/>
          <w:sz w:val="11"/>
          <w:szCs w:val="11"/>
          <w:color w:val="54585A"/>
        </w:rPr>
      </w:pPr>
    </w:p>
    <w:p>
      <w:pPr>
        <w:ind w:left="320" w:hanging="112"/>
        <w:spacing w:after="0"/>
        <w:tabs>
          <w:tab w:leader="none" w:pos="320" w:val="left"/>
        </w:tabs>
        <w:numPr>
          <w:ilvl w:val="0"/>
          <w:numId w:val="9"/>
        </w:numPr>
        <w:rPr>
          <w:rFonts w:ascii="Arial" w:cs="Arial" w:eastAsia="Arial" w:hAnsi="Arial"/>
          <w:sz w:val="11"/>
          <w:szCs w:val="11"/>
          <w:color w:val="54585A"/>
        </w:rPr>
      </w:pPr>
      <w:r>
        <w:rPr>
          <w:rFonts w:ascii="Arial" w:cs="Arial" w:eastAsia="Arial" w:hAnsi="Arial"/>
          <w:sz w:val="11"/>
          <w:szCs w:val="11"/>
          <w:color w:val="54585A"/>
        </w:rPr>
        <w:t>by notifying our Corporate Secretary in writing (at the mailing address listed on page 16) that you have revoked your proxy; or</w:t>
      </w:r>
    </w:p>
    <w:p>
      <w:pPr>
        <w:spacing w:after="0" w:line="71" w:lineRule="exact"/>
        <w:rPr>
          <w:rFonts w:ascii="Arial" w:cs="Arial" w:eastAsia="Arial" w:hAnsi="Arial"/>
          <w:sz w:val="11"/>
          <w:szCs w:val="11"/>
          <w:color w:val="54585A"/>
        </w:rPr>
      </w:pPr>
    </w:p>
    <w:p>
      <w:pPr>
        <w:ind w:left="320" w:hanging="112"/>
        <w:spacing w:after="0"/>
        <w:tabs>
          <w:tab w:leader="none" w:pos="320" w:val="left"/>
        </w:tabs>
        <w:numPr>
          <w:ilvl w:val="0"/>
          <w:numId w:val="9"/>
        </w:numPr>
        <w:rPr>
          <w:rFonts w:ascii="Arial" w:cs="Arial" w:eastAsia="Arial" w:hAnsi="Arial"/>
          <w:sz w:val="11"/>
          <w:szCs w:val="11"/>
          <w:color w:val="54585A"/>
        </w:rPr>
      </w:pPr>
      <w:r>
        <w:rPr>
          <w:rFonts w:ascii="Arial" w:cs="Arial" w:eastAsia="Arial" w:hAnsi="Arial"/>
          <w:sz w:val="11"/>
          <w:szCs w:val="11"/>
          <w:color w:val="54585A"/>
        </w:rPr>
        <w:t>by voting in person at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Shares Held in “Street Name” - </w:t>
      </w:r>
      <w:r>
        <w:rPr>
          <w:rFonts w:ascii="Arial" w:cs="Arial" w:eastAsia="Arial" w:hAnsi="Arial"/>
          <w:sz w:val="11"/>
          <w:szCs w:val="11"/>
          <w:color w:val="54585A"/>
        </w:rPr>
        <w:t>You should follow the instructions given to you by your broker or nominee on how to change or revoke your vote.</w:t>
      </w:r>
    </w:p>
    <w:p>
      <w:pPr>
        <w:spacing w:after="0" w:line="157" w:lineRule="exact"/>
        <w:rPr>
          <w:sz w:val="20"/>
          <w:szCs w:val="20"/>
          <w:color w:val="auto"/>
        </w:rPr>
      </w:pPr>
    </w:p>
    <w:p>
      <w:pPr>
        <w:ind w:right="100"/>
        <w:spacing w:after="0" w:line="328" w:lineRule="auto"/>
        <w:rPr>
          <w:sz w:val="20"/>
          <w:szCs w:val="20"/>
          <w:color w:val="auto"/>
        </w:rPr>
      </w:pPr>
      <w:r>
        <w:rPr>
          <w:rFonts w:ascii="Arial" w:cs="Arial" w:eastAsia="Arial" w:hAnsi="Arial"/>
          <w:sz w:val="11"/>
          <w:szCs w:val="11"/>
          <w:color w:val="54585A"/>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How to Vote Your Shares in our Employee Benefit Plans</w:t>
      </w:r>
    </w:p>
    <w:p>
      <w:pPr>
        <w:spacing w:after="0" w:line="68" w:lineRule="exact"/>
        <w:rPr>
          <w:sz w:val="20"/>
          <w:szCs w:val="20"/>
          <w:color w:val="auto"/>
        </w:rPr>
      </w:pPr>
    </w:p>
    <w:p>
      <w:pPr>
        <w:ind w:right="240"/>
        <w:spacing w:after="0" w:line="328" w:lineRule="auto"/>
        <w:rPr>
          <w:sz w:val="20"/>
          <w:szCs w:val="20"/>
          <w:color w:val="auto"/>
        </w:rPr>
      </w:pPr>
      <w:r>
        <w:rPr>
          <w:rFonts w:ascii="Arial" w:cs="Arial" w:eastAsia="Arial" w:hAnsi="Arial"/>
          <w:sz w:val="11"/>
          <w:szCs w:val="11"/>
          <w:color w:val="54585A"/>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54585A"/>
        </w:rPr>
        <w:t>Holders of stock options or unvested restricted stock units issued under our Equity Incentive Plan cannot vote the shares issuable upon exercise or vesting until those shares are issued.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Quorum Requirement</w:t>
      </w:r>
    </w:p>
    <w:p>
      <w:pPr>
        <w:spacing w:after="0" w:line="68" w:lineRule="exact"/>
        <w:rPr>
          <w:sz w:val="20"/>
          <w:szCs w:val="20"/>
          <w:color w:val="auto"/>
        </w:rPr>
      </w:pPr>
    </w:p>
    <w:p>
      <w:pPr>
        <w:ind w:right="280"/>
        <w:spacing w:after="0" w:line="328" w:lineRule="auto"/>
        <w:rPr>
          <w:sz w:val="20"/>
          <w:szCs w:val="20"/>
          <w:color w:val="auto"/>
        </w:rPr>
      </w:pPr>
      <w:r>
        <w:rPr>
          <w:rFonts w:ascii="Arial" w:cs="Arial" w:eastAsia="Arial" w:hAnsi="Arial"/>
          <w:sz w:val="11"/>
          <w:szCs w:val="11"/>
          <w:color w:val="54585A"/>
        </w:rPr>
        <w:t>A quorum of stockholders is necessary to hold a valid meeting. A quorum will exist if holders of a majority 906,567,488 of the shares of common stock entitled to vote at the meeting are present in person or by proxy. Abstentions and broker non-votes count as shares of common stock present at the meeting for purposes of establishing a quorum.</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Method and Cost of Soliciting Proxies</w:t>
      </w:r>
    </w:p>
    <w:p>
      <w:pPr>
        <w:spacing w:after="0" w:line="68" w:lineRule="exact"/>
        <w:rPr>
          <w:sz w:val="20"/>
          <w:szCs w:val="20"/>
          <w:color w:val="auto"/>
        </w:rPr>
      </w:pPr>
    </w:p>
    <w:p>
      <w:pPr>
        <w:ind w:right="200"/>
        <w:spacing w:after="0" w:line="328" w:lineRule="auto"/>
        <w:rPr>
          <w:sz w:val="20"/>
          <w:szCs w:val="20"/>
          <w:color w:val="auto"/>
        </w:rPr>
      </w:pPr>
      <w:r>
        <w:rPr>
          <w:rFonts w:ascii="Arial" w:cs="Arial" w:eastAsia="Arial" w:hAnsi="Arial"/>
          <w:sz w:val="11"/>
          <w:szCs w:val="11"/>
          <w:color w:val="54585A"/>
        </w:rPr>
        <w:t>We have asked banks, brokers and other financial institutions, nominees and fiduciaries to forward our proxy materials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Admission to the Meeting</w:t>
      </w:r>
    </w:p>
    <w:p>
      <w:pPr>
        <w:spacing w:after="0" w:line="68" w:lineRule="exact"/>
        <w:rPr>
          <w:sz w:val="20"/>
          <w:szCs w:val="20"/>
          <w:color w:val="auto"/>
        </w:rPr>
      </w:pPr>
    </w:p>
    <w:p>
      <w:pPr>
        <w:ind w:right="20"/>
        <w:spacing w:after="0" w:line="371" w:lineRule="auto"/>
        <w:rPr>
          <w:sz w:val="20"/>
          <w:szCs w:val="20"/>
          <w:color w:val="auto"/>
        </w:rPr>
      </w:pPr>
      <w:r>
        <w:rPr>
          <w:rFonts w:ascii="Arial" w:cs="Arial" w:eastAsia="Arial" w:hAnsi="Arial"/>
          <w:sz w:val="10"/>
          <w:szCs w:val="10"/>
          <w:color w:val="54585A"/>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Interests of Certain Persons in Proposal No. 5</w:t>
      </w:r>
    </w:p>
    <w:p>
      <w:pPr>
        <w:spacing w:after="0" w:line="68" w:lineRule="exact"/>
        <w:rPr>
          <w:sz w:val="20"/>
          <w:szCs w:val="20"/>
          <w:color w:val="auto"/>
        </w:rPr>
      </w:pPr>
    </w:p>
    <w:p>
      <w:pPr>
        <w:ind w:right="40"/>
        <w:spacing w:after="0" w:line="328" w:lineRule="auto"/>
        <w:rPr>
          <w:sz w:val="20"/>
          <w:szCs w:val="20"/>
          <w:color w:val="auto"/>
        </w:rPr>
      </w:pPr>
      <w:r>
        <w:rPr>
          <w:rFonts w:ascii="Arial" w:cs="Arial" w:eastAsia="Arial" w:hAnsi="Arial"/>
          <w:sz w:val="11"/>
          <w:szCs w:val="11"/>
          <w:color w:val="54585A"/>
        </w:rPr>
        <w:t>Thermo is the principal owner and largest stockholder of Globalstar. As of April 28, 2023, Thermo owned approximately 60% of our outstanding common stock (see “Stock Ownership of Principal Shareholders and Management”). Thermo is controlled by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1714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400"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ind w:left="68" w:hanging="68"/>
        <w:spacing w:after="0"/>
        <w:tabs>
          <w:tab w:leader="none" w:pos="68" w:val="left"/>
        </w:tabs>
        <w:numPr>
          <w:ilvl w:val="0"/>
          <w:numId w:val="10"/>
        </w:numPr>
        <w:rPr>
          <w:rFonts w:ascii="Arial" w:cs="Arial" w:eastAsia="Arial" w:hAnsi="Arial"/>
          <w:sz w:val="12"/>
          <w:szCs w:val="12"/>
          <w:b w:val="1"/>
          <w:bCs w:val="1"/>
          <w:color w:val="EB6C10"/>
        </w:rPr>
      </w:pPr>
      <w:r>
        <w:rPr>
          <w:rFonts w:ascii="Arial" w:cs="Arial" w:eastAsia="Arial" w:hAnsi="Arial"/>
          <w:sz w:val="10"/>
          <w:szCs w:val="10"/>
          <w:color w:val="54585A"/>
        </w:rPr>
        <w:t>Annual Meeting and Other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
        <w:spacing w:after="0"/>
        <w:rPr>
          <w:sz w:val="20"/>
          <w:szCs w:val="20"/>
          <w:color w:val="auto"/>
        </w:rPr>
      </w:pPr>
      <w:r>
        <w:rPr>
          <w:rFonts w:ascii="Arial" w:cs="Arial" w:eastAsia="Arial" w:hAnsi="Arial"/>
          <w:sz w:val="11"/>
          <w:szCs w:val="11"/>
          <w:color w:val="54585A"/>
        </w:rPr>
        <w:t>Monroe III, our Executive Chairman. Additionally, James Lynch, one of our directors, and Timothy Taylor, our Vice President, Finance, Business Operations and Strategy, are partners of Thermo.</w:t>
      </w:r>
    </w:p>
    <w:p>
      <w:pPr>
        <w:spacing w:after="0" w:line="153" w:lineRule="exact"/>
        <w:rPr>
          <w:sz w:val="20"/>
          <w:szCs w:val="20"/>
          <w:color w:val="auto"/>
        </w:rPr>
      </w:pPr>
    </w:p>
    <w:p>
      <w:pPr>
        <w:ind w:left="8"/>
        <w:spacing w:after="0" w:line="320" w:lineRule="auto"/>
        <w:rPr>
          <w:sz w:val="20"/>
          <w:szCs w:val="20"/>
          <w:color w:val="auto"/>
        </w:rPr>
      </w:pPr>
      <w:r>
        <w:rPr>
          <w:rFonts w:ascii="Arial" w:cs="Arial" w:eastAsia="Arial" w:hAnsi="Arial"/>
          <w:sz w:val="11"/>
          <w:szCs w:val="11"/>
          <w:color w:val="54585A"/>
        </w:rPr>
        <w:t>The transactions described under Proposal No. 5 contemplate the Company’s entry into the Guaranty with Thermo. Thermo and Mr. Monroe have a material interest in these transactions, because, among other things, they could require Thermo to pay amounts in excess of $5 million in the event Globalstar is unable to pay certain amounts under its Prepayment Agreements or pursuant to certain related obligations. As consideration for the Guaranty, the Company will issue to Thermo warrants to purchase the Company’s common stock. In addition, Thermo would receive common stock of the Company as reimbursement for such cash payments on terms further described under Proposal No. 5. The interests of Thermo, Mr. Monroe, Mr. Lynch and Mr. Taylor may conflict with the interests of our other stockholders.</w:t>
      </w:r>
    </w:p>
    <w:p>
      <w:pPr>
        <w:spacing w:after="0" w:line="99" w:lineRule="exact"/>
        <w:rPr>
          <w:sz w:val="20"/>
          <w:szCs w:val="20"/>
          <w:color w:val="auto"/>
        </w:rPr>
      </w:pPr>
    </w:p>
    <w:p>
      <w:pPr>
        <w:ind w:left="8" w:right="60"/>
        <w:spacing w:after="0" w:line="326" w:lineRule="auto"/>
        <w:rPr>
          <w:sz w:val="20"/>
          <w:szCs w:val="20"/>
          <w:color w:val="auto"/>
        </w:rPr>
      </w:pPr>
      <w:r>
        <w:rPr>
          <w:rFonts w:ascii="Arial" w:cs="Arial" w:eastAsia="Arial" w:hAnsi="Arial"/>
          <w:sz w:val="11"/>
          <w:szCs w:val="11"/>
          <w:color w:val="54585A"/>
        </w:rPr>
        <w:t>In addition, this constitutes a transaction between Thermo, on one hand, and the Company, on the other, that has a value in excess of $5 million, as determined by the Company’s Strategic Review Company, and therefore constitutes a Related Party Transaction under the Company’s Third Amended and Restated Certificate of Incorporation (the “Certificate of Incorporation”). Under the Certificate of Incorporation, Related Party Transactions must be approved by the affirmative vote of a majority of the shares of common stock owned by stockholders of the Company other than Thermo and voting affirmatively or negatively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213995</wp:posOffset>
            </wp:positionV>
            <wp:extent cx="1714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820420</wp:posOffset>
            </wp:positionV>
            <wp:extent cx="1800225" cy="3737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22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EB6C10"/>
        </w:rPr>
        <w:t>Standing Committees</w:t>
      </w:r>
    </w:p>
    <w:p>
      <w:pPr>
        <w:spacing w:after="0" w:line="203" w:lineRule="exact"/>
        <w:rPr>
          <w:sz w:val="20"/>
          <w:szCs w:val="20"/>
          <w:color w:val="auto"/>
        </w:rPr>
      </w:pPr>
    </w:p>
    <w:p>
      <w:pPr>
        <w:ind w:left="60" w:hanging="60"/>
        <w:spacing w:after="0"/>
        <w:tabs>
          <w:tab w:leader="none" w:pos="60" w:val="left"/>
        </w:tabs>
        <w:numPr>
          <w:ilvl w:val="0"/>
          <w:numId w:val="11"/>
        </w:numPr>
        <w:rPr>
          <w:rFonts w:ascii="Arial" w:cs="Arial" w:eastAsia="Arial" w:hAnsi="Arial"/>
          <w:sz w:val="12"/>
          <w:szCs w:val="12"/>
          <w:b w:val="1"/>
          <w:bCs w:val="1"/>
          <w:color w:val="EB6C10"/>
        </w:rPr>
      </w:pPr>
      <w:r>
        <w:rPr>
          <w:rFonts w:ascii="Arial" w:cs="Arial" w:eastAsia="Arial" w:hAnsi="Arial"/>
          <w:sz w:val="12"/>
          <w:szCs w:val="12"/>
          <w:color w:val="54585A"/>
        </w:rPr>
        <w:t>Audit</w:t>
      </w:r>
    </w:p>
    <w:p>
      <w:pPr>
        <w:spacing w:after="0" w:line="150" w:lineRule="exact"/>
        <w:rPr>
          <w:rFonts w:ascii="Arial" w:cs="Arial" w:eastAsia="Arial" w:hAnsi="Arial"/>
          <w:sz w:val="12"/>
          <w:szCs w:val="12"/>
          <w:b w:val="1"/>
          <w:bCs w:val="1"/>
          <w:color w:val="EB6C10"/>
        </w:rPr>
      </w:pPr>
    </w:p>
    <w:p>
      <w:pPr>
        <w:ind w:left="60" w:hanging="60"/>
        <w:spacing w:after="0"/>
        <w:tabs>
          <w:tab w:leader="none" w:pos="60" w:val="left"/>
        </w:tabs>
        <w:numPr>
          <w:ilvl w:val="0"/>
          <w:numId w:val="11"/>
        </w:numPr>
        <w:rPr>
          <w:rFonts w:ascii="Arial" w:cs="Arial" w:eastAsia="Arial" w:hAnsi="Arial"/>
          <w:sz w:val="12"/>
          <w:szCs w:val="12"/>
          <w:b w:val="1"/>
          <w:bCs w:val="1"/>
          <w:color w:val="EB6C10"/>
        </w:rPr>
      </w:pPr>
      <w:r>
        <w:rPr>
          <w:rFonts w:ascii="Arial" w:cs="Arial" w:eastAsia="Arial" w:hAnsi="Arial"/>
          <w:sz w:val="12"/>
          <w:szCs w:val="12"/>
          <w:color w:val="54585A"/>
        </w:rPr>
        <w:t>Compensation</w:t>
      </w:r>
    </w:p>
    <w:p>
      <w:pPr>
        <w:spacing w:after="0" w:line="159" w:lineRule="exact"/>
        <w:rPr>
          <w:rFonts w:ascii="Arial" w:cs="Arial" w:eastAsia="Arial" w:hAnsi="Arial"/>
          <w:sz w:val="12"/>
          <w:szCs w:val="12"/>
          <w:b w:val="1"/>
          <w:bCs w:val="1"/>
          <w:color w:val="EB6C10"/>
        </w:rPr>
      </w:pPr>
    </w:p>
    <w:p>
      <w:pPr>
        <w:ind w:left="60" w:hanging="60"/>
        <w:spacing w:after="0"/>
        <w:tabs>
          <w:tab w:leader="none" w:pos="60" w:val="left"/>
        </w:tabs>
        <w:numPr>
          <w:ilvl w:val="0"/>
          <w:numId w:val="11"/>
        </w:numPr>
        <w:rPr>
          <w:rFonts w:ascii="Arial" w:cs="Arial" w:eastAsia="Arial" w:hAnsi="Arial"/>
          <w:sz w:val="12"/>
          <w:szCs w:val="12"/>
          <w:b w:val="1"/>
          <w:bCs w:val="1"/>
          <w:color w:val="EB6C10"/>
        </w:rPr>
      </w:pPr>
      <w:r>
        <w:rPr>
          <w:rFonts w:ascii="Arial" w:cs="Arial" w:eastAsia="Arial" w:hAnsi="Arial"/>
          <w:sz w:val="12"/>
          <w:szCs w:val="12"/>
          <w:color w:val="54585A"/>
        </w:rPr>
        <w:t>Nominating and Governance</w:t>
      </w:r>
    </w:p>
    <w:p>
      <w:pPr>
        <w:spacing w:after="0" w:line="159" w:lineRule="exact"/>
        <w:rPr>
          <w:rFonts w:ascii="Arial" w:cs="Arial" w:eastAsia="Arial" w:hAnsi="Arial"/>
          <w:sz w:val="12"/>
          <w:szCs w:val="12"/>
          <w:b w:val="1"/>
          <w:bCs w:val="1"/>
          <w:color w:val="EB6C10"/>
        </w:rPr>
      </w:pPr>
    </w:p>
    <w:p>
      <w:pPr>
        <w:ind w:left="60" w:hanging="60"/>
        <w:spacing w:after="0"/>
        <w:tabs>
          <w:tab w:leader="none" w:pos="60" w:val="left"/>
        </w:tabs>
        <w:numPr>
          <w:ilvl w:val="0"/>
          <w:numId w:val="11"/>
        </w:numPr>
        <w:rPr>
          <w:rFonts w:ascii="Arial" w:cs="Arial" w:eastAsia="Arial" w:hAnsi="Arial"/>
          <w:sz w:val="12"/>
          <w:szCs w:val="12"/>
          <w:b w:val="1"/>
          <w:bCs w:val="1"/>
          <w:color w:val="EB6C10"/>
        </w:rPr>
      </w:pPr>
      <w:r>
        <w:rPr>
          <w:rFonts w:ascii="Arial" w:cs="Arial" w:eastAsia="Arial" w:hAnsi="Arial"/>
          <w:sz w:val="12"/>
          <w:szCs w:val="12"/>
          <w:color w:val="54585A"/>
        </w:rPr>
        <w:t>Strategic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1781175</wp:posOffset>
            </wp:positionV>
            <wp:extent cx="1714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6"/>
          <w:szCs w:val="36"/>
          <w:color w:val="EB6C10"/>
        </w:rPr>
        <w:t>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36"/>
          <w:szCs w:val="36"/>
          <w:color w:val="EB6C10"/>
        </w:rPr>
        <w:t>and Corporate Governance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54585A"/>
        </w:rPr>
        <w:t>Information About the Board and its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Board Governance</w:t>
      </w:r>
    </w:p>
    <w:p>
      <w:pPr>
        <w:spacing w:after="0" w:line="68" w:lineRule="exact"/>
        <w:rPr>
          <w:sz w:val="20"/>
          <w:szCs w:val="20"/>
          <w:color w:val="auto"/>
        </w:rPr>
      </w:pPr>
    </w:p>
    <w:p>
      <w:pPr>
        <w:ind w:right="220"/>
        <w:spacing w:after="0" w:line="345" w:lineRule="auto"/>
        <w:rPr>
          <w:sz w:val="20"/>
          <w:szCs w:val="20"/>
          <w:color w:val="auto"/>
        </w:rPr>
      </w:pPr>
      <w:r>
        <w:rPr>
          <w:rFonts w:ascii="Arial" w:cs="Arial" w:eastAsia="Arial" w:hAnsi="Arial"/>
          <w:sz w:val="11"/>
          <w:szCs w:val="11"/>
          <w:color w:val="54585A"/>
        </w:rPr>
        <w:t>Our Board has four standing committees: Audit, Compensation, Nominating and Governance and Strategic Review. The Board has adopted a charter for each standing committee.</w:t>
      </w:r>
    </w:p>
    <w:p>
      <w:pPr>
        <w:spacing w:after="0" w:line="77" w:lineRule="exact"/>
        <w:rPr>
          <w:sz w:val="20"/>
          <w:szCs w:val="20"/>
          <w:color w:val="auto"/>
        </w:rPr>
      </w:pPr>
    </w:p>
    <w:p>
      <w:pPr>
        <w:ind w:right="40"/>
        <w:spacing w:after="0" w:line="325" w:lineRule="auto"/>
        <w:rPr>
          <w:sz w:val="20"/>
          <w:szCs w:val="20"/>
          <w:color w:val="auto"/>
        </w:rPr>
      </w:pPr>
      <w:r>
        <w:rPr>
          <w:rFonts w:ascii="Arial" w:cs="Arial" w:eastAsia="Arial" w:hAnsi="Arial"/>
          <w:sz w:val="11"/>
          <w:szCs w:val="11"/>
          <w:color w:val="54585A"/>
        </w:rPr>
        <w:t xml:space="preserve">We have a Code of Conduct that is applicable to all employees, including executive officers, as well as directors to the extent relevant to their service as directors. The committee charters and Code of Conduct are available on our website at investors.globalstar.com under “Governance.” You may request a copy of any of these documents to be mailed to you as described on page </w:t>
      </w:r>
      <w:r>
        <w:rPr>
          <w:rFonts w:ascii="Arial" w:cs="Arial" w:eastAsia="Arial" w:hAnsi="Arial"/>
          <w:sz w:val="11"/>
          <w:szCs w:val="11"/>
          <w:u w:val="single" w:color="auto"/>
          <w:color w:val="0000FF"/>
        </w:rPr>
        <w:t>43</w:t>
      </w:r>
      <w:r>
        <w:rPr>
          <w:rFonts w:ascii="Arial" w:cs="Arial" w:eastAsia="Arial" w:hAnsi="Arial"/>
          <w:sz w:val="11"/>
          <w:szCs w:val="11"/>
          <w:color w:val="54585A"/>
        </w:rPr>
        <w:t xml:space="preserve">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98"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54585A"/>
        </w:rPr>
        <w:t>Thermo holds stock representing a majority of our voting power. As a result, we are a “controlled company” for purposes of the NYSE American rules and are not required to have a majority of independent directors on the Board or to comply with the director independence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Risk Oversight</w:t>
      </w:r>
    </w:p>
    <w:p>
      <w:pPr>
        <w:spacing w:after="0" w:line="68" w:lineRule="exact"/>
        <w:rPr>
          <w:sz w:val="20"/>
          <w:szCs w:val="20"/>
          <w:color w:val="auto"/>
        </w:rPr>
      </w:pPr>
    </w:p>
    <w:p>
      <w:pPr>
        <w:jc w:val="both"/>
        <w:ind w:right="200"/>
        <w:spacing w:after="0" w:line="326" w:lineRule="auto"/>
        <w:rPr>
          <w:sz w:val="20"/>
          <w:szCs w:val="20"/>
          <w:color w:val="auto"/>
        </w:rPr>
      </w:pPr>
      <w:r>
        <w:rPr>
          <w:rFonts w:ascii="Arial" w:cs="Arial" w:eastAsia="Arial" w:hAnsi="Arial"/>
          <w:sz w:val="11"/>
          <w:szCs w:val="11"/>
          <w:color w:val="54585A"/>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97" w:lineRule="exact"/>
        <w:rPr>
          <w:sz w:val="20"/>
          <w:szCs w:val="20"/>
          <w:color w:val="auto"/>
        </w:rPr>
      </w:pPr>
    </w:p>
    <w:p>
      <w:pPr>
        <w:ind w:right="40"/>
        <w:spacing w:after="0" w:line="321" w:lineRule="auto"/>
        <w:rPr>
          <w:sz w:val="20"/>
          <w:szCs w:val="20"/>
          <w:color w:val="auto"/>
        </w:rPr>
      </w:pPr>
      <w:r>
        <w:rPr>
          <w:rFonts w:ascii="Arial" w:cs="Arial" w:eastAsia="Arial" w:hAnsi="Arial"/>
          <w:sz w:val="11"/>
          <w:szCs w:val="11"/>
          <w:color w:val="54585A"/>
        </w:rPr>
        <w:t>The Board has oversight responsibility for information security and cybersecurity. The Company prioritizes the protection of data and is committed to the ongoing enhancement of its cybersecurity and privacy capabilities. Management has established an information security program as well as policies and procedures to mitigate risks resulting from cyber-attacks, including dedicated information security personnel (both internal employees and specialized contractors with security expertise), network monitoring and annual penetration testing on the Company's network. Management maintains effective internal controls and is in compliance with the Payment Card Industry Data Security Standard as well as other applicable laws and regulations. Ongoing information security training is also provided to employees. Management provides regular updates to the Audit Committee and the Board regarding these matters, including any significant cyber threats or incidents.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158115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040" w:space="720"/>
            <w:col w:w="8200"/>
          </w:cols>
          <w:pgMar w:left="640" w:top="125" w:right="299" w:bottom="1440" w:gutter="0" w:footer="0" w:header="0"/>
        </w:sectPr>
      </w:pPr>
    </w:p>
    <w:bookmarkStart w:id="8" w:name="page9"/>
    <w:bookmarkEnd w:id="8"/>
    <w:p>
      <w:pPr>
        <w:ind w:left="68" w:hanging="68"/>
        <w:spacing w:after="0"/>
        <w:tabs>
          <w:tab w:leader="none" w:pos="68" w:val="left"/>
        </w:tabs>
        <w:numPr>
          <w:ilvl w:val="0"/>
          <w:numId w:val="12"/>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Director Skills, Expertise and Demographics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matrix below displays a summary of relevant skills, expertise and demographics of our directors.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EB6C10"/>
        </w:rPr>
        <w:t>Skills and Experience</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0" w:type="dxa"/>
            <w:vAlign w:val="bottom"/>
            <w:shd w:val="clear" w:color="auto" w:fill="EEEDED"/>
          </w:tcPr>
          <w:p>
            <w:pPr>
              <w:spacing w:after="0"/>
              <w:rPr>
                <w:sz w:val="12"/>
                <w:szCs w:val="12"/>
                <w:color w:val="auto"/>
              </w:rPr>
            </w:pPr>
          </w:p>
        </w:tc>
        <w:tc>
          <w:tcPr>
            <w:tcW w:w="2180" w:type="dxa"/>
            <w:vAlign w:val="bottom"/>
            <w:shd w:val="clear" w:color="auto" w:fill="EEEDED"/>
          </w:tcPr>
          <w:p>
            <w:pPr>
              <w:spacing w:after="0"/>
              <w:rPr>
                <w:sz w:val="12"/>
                <w:szCs w:val="12"/>
                <w:color w:val="auto"/>
              </w:rPr>
            </w:pPr>
          </w:p>
        </w:tc>
        <w:tc>
          <w:tcPr>
            <w:tcW w:w="900" w:type="dxa"/>
            <w:vAlign w:val="bottom"/>
            <w:shd w:val="clear" w:color="auto" w:fill="EEEDED"/>
          </w:tcPr>
          <w:p>
            <w:pPr>
              <w:jc w:val="center"/>
              <w:ind w:left="24"/>
              <w:spacing w:after="0"/>
              <w:rPr>
                <w:sz w:val="20"/>
                <w:szCs w:val="20"/>
                <w:color w:val="auto"/>
              </w:rPr>
            </w:pPr>
            <w:r>
              <w:rPr>
                <w:rFonts w:ascii="Arial" w:cs="Arial" w:eastAsia="Arial" w:hAnsi="Arial"/>
                <w:sz w:val="10"/>
                <w:szCs w:val="10"/>
                <w:b w:val="1"/>
                <w:bCs w:val="1"/>
                <w:color w:val="54585A"/>
                <w:w w:val="94"/>
              </w:rPr>
              <w:t>Keith O. Cowan</w:t>
            </w:r>
          </w:p>
        </w:tc>
        <w:tc>
          <w:tcPr>
            <w:tcW w:w="1460" w:type="dxa"/>
            <w:vAlign w:val="bottom"/>
            <w:shd w:val="clear" w:color="auto" w:fill="EEEDED"/>
          </w:tcPr>
          <w:p>
            <w:pPr>
              <w:jc w:val="center"/>
              <w:ind w:left="108"/>
              <w:spacing w:after="0"/>
              <w:rPr>
                <w:sz w:val="20"/>
                <w:szCs w:val="20"/>
                <w:color w:val="auto"/>
              </w:rPr>
            </w:pPr>
            <w:r>
              <w:rPr>
                <w:rFonts w:ascii="Arial" w:cs="Arial" w:eastAsia="Arial" w:hAnsi="Arial"/>
                <w:sz w:val="10"/>
                <w:szCs w:val="10"/>
                <w:b w:val="1"/>
                <w:bCs w:val="1"/>
                <w:color w:val="54585A"/>
                <w:w w:val="95"/>
              </w:rPr>
              <w:t>Benjamin G. Wolff</w:t>
            </w:r>
          </w:p>
        </w:tc>
        <w:tc>
          <w:tcPr>
            <w:tcW w:w="118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3"/>
              </w:rPr>
              <w:t>James F. Lynch</w:t>
            </w:r>
          </w:p>
        </w:tc>
        <w:tc>
          <w:tcPr>
            <w:tcW w:w="1100" w:type="dxa"/>
            <w:vAlign w:val="bottom"/>
            <w:shd w:val="clear" w:color="auto" w:fill="EEEDED"/>
          </w:tcPr>
          <w:p>
            <w:pPr>
              <w:jc w:val="center"/>
              <w:ind w:left="44"/>
              <w:spacing w:after="0"/>
              <w:rPr>
                <w:sz w:val="20"/>
                <w:szCs w:val="20"/>
                <w:color w:val="auto"/>
              </w:rPr>
            </w:pPr>
            <w:r>
              <w:rPr>
                <w:rFonts w:ascii="Arial" w:cs="Arial" w:eastAsia="Arial" w:hAnsi="Arial"/>
                <w:sz w:val="10"/>
                <w:szCs w:val="10"/>
                <w:b w:val="1"/>
                <w:bCs w:val="1"/>
                <w:color w:val="54585A"/>
                <w:w w:val="95"/>
              </w:rPr>
              <w:t>Timothy E. Taylor</w:t>
            </w:r>
          </w:p>
        </w:tc>
        <w:tc>
          <w:tcPr>
            <w:tcW w:w="1360" w:type="dxa"/>
            <w:vAlign w:val="bottom"/>
            <w:shd w:val="clear" w:color="auto" w:fill="EEEDED"/>
          </w:tcPr>
          <w:p>
            <w:pPr>
              <w:jc w:val="center"/>
              <w:ind w:left="28"/>
              <w:spacing w:after="0"/>
              <w:rPr>
                <w:sz w:val="20"/>
                <w:szCs w:val="20"/>
                <w:color w:val="auto"/>
              </w:rPr>
            </w:pPr>
            <w:r>
              <w:rPr>
                <w:rFonts w:ascii="Arial" w:cs="Arial" w:eastAsia="Arial" w:hAnsi="Arial"/>
                <w:sz w:val="10"/>
                <w:szCs w:val="10"/>
                <w:b w:val="1"/>
                <w:bCs w:val="1"/>
                <w:color w:val="54585A"/>
                <w:w w:val="93"/>
              </w:rPr>
              <w:t>William A. Hasler</w:t>
            </w:r>
          </w:p>
        </w:tc>
        <w:tc>
          <w:tcPr>
            <w:tcW w:w="1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3"/>
              </w:rPr>
              <w:t>James Monroe III</w:t>
            </w:r>
          </w:p>
        </w:tc>
        <w:tc>
          <w:tcPr>
            <w:tcW w:w="1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Michael J. Lovett</w:t>
            </w:r>
          </w:p>
        </w:tc>
        <w:tc>
          <w:tcPr>
            <w:tcW w:w="0" w:type="dxa"/>
            <w:vAlign w:val="bottom"/>
          </w:tcPr>
          <w:p>
            <w:pPr>
              <w:spacing w:after="0"/>
              <w:rPr>
                <w:sz w:val="1"/>
                <w:szCs w:val="1"/>
                <w:color w:val="auto"/>
              </w:rPr>
            </w:pPr>
          </w:p>
        </w:tc>
      </w:tr>
      <w:tr>
        <w:trPr>
          <w:trHeight w:val="63"/>
        </w:trPr>
        <w:tc>
          <w:tcPr>
            <w:tcW w:w="640" w:type="dxa"/>
            <w:vAlign w:val="bottom"/>
            <w:shd w:val="clear" w:color="auto" w:fill="EEEDED"/>
          </w:tcPr>
          <w:p>
            <w:pPr>
              <w:spacing w:after="0"/>
              <w:rPr>
                <w:sz w:val="5"/>
                <w:szCs w:val="5"/>
                <w:color w:val="auto"/>
              </w:rPr>
            </w:pPr>
          </w:p>
        </w:tc>
        <w:tc>
          <w:tcPr>
            <w:tcW w:w="2180" w:type="dxa"/>
            <w:vAlign w:val="bottom"/>
            <w:shd w:val="clear" w:color="auto" w:fill="EEEDED"/>
          </w:tcPr>
          <w:p>
            <w:pPr>
              <w:spacing w:after="0"/>
              <w:rPr>
                <w:sz w:val="5"/>
                <w:szCs w:val="5"/>
                <w:color w:val="auto"/>
              </w:rPr>
            </w:pPr>
          </w:p>
        </w:tc>
        <w:tc>
          <w:tcPr>
            <w:tcW w:w="900" w:type="dxa"/>
            <w:vAlign w:val="bottom"/>
            <w:shd w:val="clear" w:color="auto" w:fill="EEEDED"/>
          </w:tcPr>
          <w:p>
            <w:pPr>
              <w:spacing w:after="0"/>
              <w:rPr>
                <w:sz w:val="5"/>
                <w:szCs w:val="5"/>
                <w:color w:val="auto"/>
              </w:rPr>
            </w:pPr>
          </w:p>
        </w:tc>
        <w:tc>
          <w:tcPr>
            <w:tcW w:w="1460" w:type="dxa"/>
            <w:vAlign w:val="bottom"/>
            <w:shd w:val="clear" w:color="auto" w:fill="EEEDED"/>
          </w:tcPr>
          <w:p>
            <w:pPr>
              <w:spacing w:after="0"/>
              <w:rPr>
                <w:sz w:val="5"/>
                <w:szCs w:val="5"/>
                <w:color w:val="auto"/>
              </w:rPr>
            </w:pPr>
          </w:p>
        </w:tc>
        <w:tc>
          <w:tcPr>
            <w:tcW w:w="1180" w:type="dxa"/>
            <w:vAlign w:val="bottom"/>
            <w:shd w:val="clear" w:color="auto" w:fill="EEEDED"/>
          </w:tcPr>
          <w:p>
            <w:pPr>
              <w:spacing w:after="0"/>
              <w:rPr>
                <w:sz w:val="5"/>
                <w:szCs w:val="5"/>
                <w:color w:val="auto"/>
              </w:rPr>
            </w:pPr>
          </w:p>
        </w:tc>
        <w:tc>
          <w:tcPr>
            <w:tcW w:w="1100" w:type="dxa"/>
            <w:vAlign w:val="bottom"/>
            <w:shd w:val="clear" w:color="auto" w:fill="EEEDED"/>
          </w:tcPr>
          <w:p>
            <w:pPr>
              <w:spacing w:after="0"/>
              <w:rPr>
                <w:sz w:val="5"/>
                <w:szCs w:val="5"/>
                <w:color w:val="auto"/>
              </w:rPr>
            </w:pPr>
          </w:p>
        </w:tc>
        <w:tc>
          <w:tcPr>
            <w:tcW w:w="1360" w:type="dxa"/>
            <w:vAlign w:val="bottom"/>
            <w:shd w:val="clear" w:color="auto" w:fill="EEEDED"/>
          </w:tcPr>
          <w:p>
            <w:pPr>
              <w:spacing w:after="0"/>
              <w:rPr>
                <w:sz w:val="5"/>
                <w:szCs w:val="5"/>
                <w:color w:val="auto"/>
              </w:rPr>
            </w:pPr>
          </w:p>
        </w:tc>
        <w:tc>
          <w:tcPr>
            <w:tcW w:w="1220" w:type="dxa"/>
            <w:vAlign w:val="bottom"/>
            <w:shd w:val="clear" w:color="auto" w:fill="EEEDED"/>
          </w:tcPr>
          <w:p>
            <w:pPr>
              <w:spacing w:after="0"/>
              <w:rPr>
                <w:sz w:val="5"/>
                <w:szCs w:val="5"/>
                <w:color w:val="auto"/>
              </w:rPr>
            </w:pPr>
          </w:p>
        </w:tc>
        <w:tc>
          <w:tcPr>
            <w:tcW w:w="12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0"/>
                <w:szCs w:val="10"/>
                <w:b w:val="1"/>
                <w:bCs w:val="1"/>
                <w:color w:val="54585A"/>
              </w:rPr>
              <w:t>CEO / Executive</w:t>
            </w:r>
          </w:p>
        </w:tc>
        <w:tc>
          <w:tcPr>
            <w:tcW w:w="900" w:type="dxa"/>
            <w:vAlign w:val="bottom"/>
            <w:vMerge w:val="restart"/>
          </w:tcPr>
          <w:p>
            <w:pPr>
              <w:jc w:val="center"/>
              <w:ind w:left="44"/>
              <w:spacing w:after="0"/>
              <w:rPr>
                <w:sz w:val="20"/>
                <w:szCs w:val="20"/>
                <w:color w:val="auto"/>
              </w:rPr>
            </w:pPr>
            <w:r>
              <w:rPr>
                <w:rFonts w:ascii="Arial" w:cs="Arial" w:eastAsia="Arial" w:hAnsi="Arial"/>
                <w:sz w:val="22"/>
                <w:szCs w:val="22"/>
                <w:b w:val="1"/>
                <w:bCs w:val="1"/>
                <w:color w:val="EB6C10"/>
              </w:rPr>
              <w:t>•</w:t>
            </w:r>
          </w:p>
        </w:tc>
        <w:tc>
          <w:tcPr>
            <w:tcW w:w="1460" w:type="dxa"/>
            <w:vAlign w:val="bottom"/>
            <w:vMerge w:val="restart"/>
          </w:tcPr>
          <w:p>
            <w:pPr>
              <w:jc w:val="center"/>
              <w:ind w:left="108"/>
              <w:spacing w:after="0"/>
              <w:rPr>
                <w:sz w:val="20"/>
                <w:szCs w:val="20"/>
                <w:color w:val="auto"/>
              </w:rPr>
            </w:pPr>
            <w:r>
              <w:rPr>
                <w:rFonts w:ascii="Arial" w:cs="Arial" w:eastAsia="Arial" w:hAnsi="Arial"/>
                <w:sz w:val="22"/>
                <w:szCs w:val="22"/>
                <w:b w:val="1"/>
                <w:bCs w:val="1"/>
                <w:color w:val="EB6C10"/>
                <w:w w:val="77"/>
              </w:rPr>
              <w:t>•</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EB6C10"/>
                <w:w w:val="77"/>
              </w:rPr>
              <w:t>•</w:t>
            </w:r>
          </w:p>
        </w:tc>
        <w:tc>
          <w:tcPr>
            <w:tcW w:w="1100" w:type="dxa"/>
            <w:vAlign w:val="bottom"/>
          </w:tcPr>
          <w:p>
            <w:pPr>
              <w:spacing w:after="0"/>
              <w:rPr>
                <w:sz w:val="14"/>
                <w:szCs w:val="14"/>
                <w:color w:val="auto"/>
              </w:rPr>
            </w:pPr>
          </w:p>
        </w:tc>
        <w:tc>
          <w:tcPr>
            <w:tcW w:w="1360" w:type="dxa"/>
            <w:vAlign w:val="bottom"/>
            <w:vMerge w:val="restart"/>
          </w:tcPr>
          <w:p>
            <w:pPr>
              <w:jc w:val="center"/>
              <w:ind w:left="28"/>
              <w:spacing w:after="0"/>
              <w:rPr>
                <w:sz w:val="20"/>
                <w:szCs w:val="20"/>
                <w:color w:val="auto"/>
              </w:rPr>
            </w:pPr>
            <w:r>
              <w:rPr>
                <w:rFonts w:ascii="Arial" w:cs="Arial" w:eastAsia="Arial" w:hAnsi="Arial"/>
                <w:sz w:val="22"/>
                <w:szCs w:val="22"/>
                <w:b w:val="1"/>
                <w:bCs w:val="1"/>
                <w:color w:val="EB6C10"/>
              </w:rPr>
              <w:t>•</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EB6C10"/>
              </w:rPr>
              <w:t>•</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EB6C10"/>
              </w:rPr>
              <w:t>•</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3"/>
                <w:szCs w:val="13"/>
                <w:color w:val="auto"/>
              </w:rPr>
            </w:pPr>
          </w:p>
        </w:tc>
        <w:tc>
          <w:tcPr>
            <w:tcW w:w="2180" w:type="dxa"/>
            <w:vAlign w:val="bottom"/>
          </w:tcPr>
          <w:p>
            <w:pPr>
              <w:ind w:left="20"/>
              <w:spacing w:after="0"/>
              <w:rPr>
                <w:sz w:val="20"/>
                <w:szCs w:val="20"/>
                <w:color w:val="auto"/>
              </w:rPr>
            </w:pPr>
            <w:r>
              <w:rPr>
                <w:rFonts w:ascii="Arial" w:cs="Arial" w:eastAsia="Arial" w:hAnsi="Arial"/>
                <w:sz w:val="10"/>
                <w:szCs w:val="10"/>
                <w:b w:val="1"/>
                <w:bCs w:val="1"/>
                <w:color w:val="54585A"/>
              </w:rPr>
              <w:t>Officer Experience</w:t>
            </w:r>
          </w:p>
        </w:tc>
        <w:tc>
          <w:tcPr>
            <w:tcW w:w="90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40" w:type="dxa"/>
            <w:vAlign w:val="bottom"/>
            <w:tcBorders>
              <w:bottom w:val="single" w:sz="8" w:color="54585A"/>
            </w:tcBorders>
          </w:tcPr>
          <w:p>
            <w:pPr>
              <w:spacing w:after="0"/>
              <w:rPr>
                <w:sz w:val="2"/>
                <w:szCs w:val="2"/>
                <w:color w:val="auto"/>
              </w:rPr>
            </w:pPr>
          </w:p>
        </w:tc>
        <w:tc>
          <w:tcPr>
            <w:tcW w:w="2180" w:type="dxa"/>
            <w:vAlign w:val="bottom"/>
            <w:tcBorders>
              <w:bottom w:val="single" w:sz="8" w:color="54585A"/>
            </w:tcBorders>
          </w:tcPr>
          <w:p>
            <w:pPr>
              <w:spacing w:after="0"/>
              <w:rPr>
                <w:sz w:val="2"/>
                <w:szCs w:val="2"/>
                <w:color w:val="auto"/>
              </w:rPr>
            </w:pPr>
          </w:p>
        </w:tc>
        <w:tc>
          <w:tcPr>
            <w:tcW w:w="900" w:type="dxa"/>
            <w:vAlign w:val="bottom"/>
            <w:tcBorders>
              <w:bottom w:val="single" w:sz="8" w:color="54585A"/>
            </w:tcBorders>
          </w:tcPr>
          <w:p>
            <w:pPr>
              <w:spacing w:after="0"/>
              <w:rPr>
                <w:sz w:val="2"/>
                <w:szCs w:val="2"/>
                <w:color w:val="auto"/>
              </w:rPr>
            </w:pPr>
          </w:p>
        </w:tc>
        <w:tc>
          <w:tcPr>
            <w:tcW w:w="146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00" w:type="dxa"/>
            <w:vAlign w:val="bottom"/>
            <w:tcBorders>
              <w:bottom w:val="single" w:sz="8" w:color="54585A"/>
            </w:tcBorders>
          </w:tcPr>
          <w:p>
            <w:pPr>
              <w:spacing w:after="0"/>
              <w:rPr>
                <w:sz w:val="2"/>
                <w:szCs w:val="2"/>
                <w:color w:val="auto"/>
              </w:rPr>
            </w:pPr>
          </w:p>
        </w:tc>
        <w:tc>
          <w:tcPr>
            <w:tcW w:w="1360" w:type="dxa"/>
            <w:vAlign w:val="bottom"/>
            <w:tcBorders>
              <w:bottom w:val="single" w:sz="8" w:color="54585A"/>
            </w:tcBorders>
          </w:tcPr>
          <w:p>
            <w:pPr>
              <w:spacing w:after="0"/>
              <w:rPr>
                <w:sz w:val="2"/>
                <w:szCs w:val="2"/>
                <w:color w:val="auto"/>
              </w:rPr>
            </w:pPr>
          </w:p>
        </w:tc>
        <w:tc>
          <w:tcPr>
            <w:tcW w:w="1220" w:type="dxa"/>
            <w:vAlign w:val="bottom"/>
            <w:tcBorders>
              <w:bottom w:val="single" w:sz="8" w:color="54585A"/>
            </w:tcBorders>
          </w:tcPr>
          <w:p>
            <w:pPr>
              <w:spacing w:after="0"/>
              <w:rPr>
                <w:sz w:val="2"/>
                <w:szCs w:val="2"/>
                <w:color w:val="auto"/>
              </w:rPr>
            </w:pPr>
          </w:p>
        </w:tc>
        <w:tc>
          <w:tcPr>
            <w:tcW w:w="1220" w:type="dxa"/>
            <w:vAlign w:val="bottom"/>
            <w:tcBorders>
              <w:bottom w:val="single" w:sz="8" w:color="54585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8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Telecommunications</w:t>
            </w:r>
          </w:p>
        </w:tc>
        <w:tc>
          <w:tcPr>
            <w:tcW w:w="9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54585A"/>
              </w:rPr>
              <w:t>•</w:t>
            </w:r>
          </w:p>
        </w:tc>
        <w:tc>
          <w:tcPr>
            <w:tcW w:w="1460" w:type="dxa"/>
            <w:vAlign w:val="bottom"/>
          </w:tcPr>
          <w:p>
            <w:pPr>
              <w:jc w:val="center"/>
              <w:ind w:left="108"/>
              <w:spacing w:after="0" w:line="195" w:lineRule="exact"/>
              <w:rPr>
                <w:sz w:val="20"/>
                <w:szCs w:val="20"/>
                <w:color w:val="auto"/>
              </w:rPr>
            </w:pPr>
            <w:r>
              <w:rPr>
                <w:rFonts w:ascii="Arial" w:cs="Arial" w:eastAsia="Arial" w:hAnsi="Arial"/>
                <w:sz w:val="22"/>
                <w:szCs w:val="22"/>
                <w:b w:val="1"/>
                <w:bCs w:val="1"/>
                <w:color w:val="54585A"/>
                <w:w w:val="77"/>
              </w:rPr>
              <w:t>•</w:t>
            </w:r>
          </w:p>
        </w:tc>
        <w:tc>
          <w:tcPr>
            <w:tcW w:w="118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w w:val="77"/>
              </w:rPr>
              <w:t>•</w:t>
            </w:r>
          </w:p>
        </w:tc>
        <w:tc>
          <w:tcPr>
            <w:tcW w:w="11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54585A"/>
              </w:rPr>
              <w:t>•</w:t>
            </w:r>
          </w:p>
        </w:tc>
        <w:tc>
          <w:tcPr>
            <w:tcW w:w="1360" w:type="dxa"/>
            <w:vAlign w:val="bottom"/>
          </w:tcPr>
          <w:p>
            <w:pPr>
              <w:jc w:val="center"/>
              <w:ind w:left="28"/>
              <w:spacing w:after="0" w:line="195" w:lineRule="exact"/>
              <w:rPr>
                <w:sz w:val="20"/>
                <w:szCs w:val="20"/>
                <w:color w:val="auto"/>
              </w:rPr>
            </w:pPr>
            <w:r>
              <w:rPr>
                <w:rFonts w:ascii="Arial" w:cs="Arial" w:eastAsia="Arial" w:hAnsi="Arial"/>
                <w:sz w:val="22"/>
                <w:szCs w:val="22"/>
                <w:b w:val="1"/>
                <w:bCs w:val="1"/>
                <w:color w:val="54585A"/>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rPr>
              <w:t>•</w:t>
            </w: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640" w:type="dxa"/>
            <w:vAlign w:val="bottom"/>
            <w:tcBorders>
              <w:bottom w:val="single" w:sz="8" w:color="54585A"/>
            </w:tcBorders>
          </w:tcPr>
          <w:p>
            <w:pPr>
              <w:spacing w:after="0"/>
              <w:rPr>
                <w:sz w:val="8"/>
                <w:szCs w:val="8"/>
                <w:color w:val="auto"/>
              </w:rPr>
            </w:pPr>
          </w:p>
        </w:tc>
        <w:tc>
          <w:tcPr>
            <w:tcW w:w="2180" w:type="dxa"/>
            <w:vAlign w:val="bottom"/>
            <w:tcBorders>
              <w:bottom w:val="single" w:sz="8" w:color="54585A"/>
            </w:tcBorders>
          </w:tcPr>
          <w:p>
            <w:pPr>
              <w:spacing w:after="0"/>
              <w:rPr>
                <w:sz w:val="8"/>
                <w:szCs w:val="8"/>
                <w:color w:val="auto"/>
              </w:rPr>
            </w:pPr>
          </w:p>
        </w:tc>
        <w:tc>
          <w:tcPr>
            <w:tcW w:w="900" w:type="dxa"/>
            <w:vAlign w:val="bottom"/>
            <w:tcBorders>
              <w:bottom w:val="single" w:sz="8" w:color="54585A"/>
            </w:tcBorders>
          </w:tcPr>
          <w:p>
            <w:pPr>
              <w:spacing w:after="0"/>
              <w:rPr>
                <w:sz w:val="8"/>
                <w:szCs w:val="8"/>
                <w:color w:val="auto"/>
              </w:rPr>
            </w:pPr>
          </w:p>
        </w:tc>
        <w:tc>
          <w:tcPr>
            <w:tcW w:w="1460" w:type="dxa"/>
            <w:vAlign w:val="bottom"/>
            <w:tcBorders>
              <w:bottom w:val="single" w:sz="8" w:color="54585A"/>
            </w:tcBorders>
          </w:tcPr>
          <w:p>
            <w:pPr>
              <w:spacing w:after="0"/>
              <w:rPr>
                <w:sz w:val="8"/>
                <w:szCs w:val="8"/>
                <w:color w:val="auto"/>
              </w:rPr>
            </w:pPr>
          </w:p>
        </w:tc>
        <w:tc>
          <w:tcPr>
            <w:tcW w:w="1180" w:type="dxa"/>
            <w:vAlign w:val="bottom"/>
            <w:tcBorders>
              <w:bottom w:val="single" w:sz="8" w:color="54585A"/>
            </w:tcBorders>
          </w:tcPr>
          <w:p>
            <w:pPr>
              <w:spacing w:after="0"/>
              <w:rPr>
                <w:sz w:val="8"/>
                <w:szCs w:val="8"/>
                <w:color w:val="auto"/>
              </w:rPr>
            </w:pPr>
          </w:p>
        </w:tc>
        <w:tc>
          <w:tcPr>
            <w:tcW w:w="1100" w:type="dxa"/>
            <w:vAlign w:val="bottom"/>
            <w:tcBorders>
              <w:bottom w:val="single" w:sz="8" w:color="54585A"/>
            </w:tcBorders>
          </w:tcPr>
          <w:p>
            <w:pPr>
              <w:spacing w:after="0"/>
              <w:rPr>
                <w:sz w:val="8"/>
                <w:szCs w:val="8"/>
                <w:color w:val="auto"/>
              </w:rPr>
            </w:pPr>
          </w:p>
        </w:tc>
        <w:tc>
          <w:tcPr>
            <w:tcW w:w="1360" w:type="dxa"/>
            <w:vAlign w:val="bottom"/>
            <w:tcBorders>
              <w:bottom w:val="single" w:sz="8" w:color="54585A"/>
            </w:tcBorders>
          </w:tcPr>
          <w:p>
            <w:pPr>
              <w:spacing w:after="0"/>
              <w:rPr>
                <w:sz w:val="8"/>
                <w:szCs w:val="8"/>
                <w:color w:val="auto"/>
              </w:rPr>
            </w:pPr>
          </w:p>
        </w:tc>
        <w:tc>
          <w:tcPr>
            <w:tcW w:w="1220" w:type="dxa"/>
            <w:vAlign w:val="bottom"/>
            <w:tcBorders>
              <w:bottom w:val="single" w:sz="8" w:color="54585A"/>
            </w:tcBorders>
          </w:tcPr>
          <w:p>
            <w:pPr>
              <w:spacing w:after="0"/>
              <w:rPr>
                <w:sz w:val="8"/>
                <w:szCs w:val="8"/>
                <w:color w:val="auto"/>
              </w:rPr>
            </w:pPr>
          </w:p>
        </w:tc>
        <w:tc>
          <w:tcPr>
            <w:tcW w:w="1220" w:type="dxa"/>
            <w:vAlign w:val="bottom"/>
            <w:tcBorders>
              <w:bottom w:val="single" w:sz="8" w:color="54585A"/>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8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Accounting or Finance</w:t>
            </w:r>
          </w:p>
        </w:tc>
        <w:tc>
          <w:tcPr>
            <w:tcW w:w="900" w:type="dxa"/>
            <w:vAlign w:val="bottom"/>
          </w:tcPr>
          <w:p>
            <w:pPr>
              <w:spacing w:after="0"/>
              <w:rPr>
                <w:sz w:val="17"/>
                <w:szCs w:val="17"/>
                <w:color w:val="auto"/>
              </w:rPr>
            </w:pPr>
          </w:p>
        </w:tc>
        <w:tc>
          <w:tcPr>
            <w:tcW w:w="1460" w:type="dxa"/>
            <w:vAlign w:val="bottom"/>
          </w:tcPr>
          <w:p>
            <w:pPr>
              <w:jc w:val="center"/>
              <w:ind w:left="108"/>
              <w:spacing w:after="0" w:line="195" w:lineRule="exact"/>
              <w:rPr>
                <w:sz w:val="20"/>
                <w:szCs w:val="20"/>
                <w:color w:val="auto"/>
              </w:rPr>
            </w:pPr>
            <w:r>
              <w:rPr>
                <w:rFonts w:ascii="Arial" w:cs="Arial" w:eastAsia="Arial" w:hAnsi="Arial"/>
                <w:sz w:val="22"/>
                <w:szCs w:val="22"/>
                <w:b w:val="1"/>
                <w:bCs w:val="1"/>
                <w:color w:val="1D8DB8"/>
                <w:w w:val="77"/>
              </w:rPr>
              <w:t>•</w:t>
            </w:r>
          </w:p>
        </w:tc>
        <w:tc>
          <w:tcPr>
            <w:tcW w:w="118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w w:val="77"/>
              </w:rPr>
              <w:t>•</w:t>
            </w:r>
          </w:p>
        </w:tc>
        <w:tc>
          <w:tcPr>
            <w:tcW w:w="11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1D8DB8"/>
              </w:rPr>
              <w:t>•</w:t>
            </w:r>
          </w:p>
        </w:tc>
        <w:tc>
          <w:tcPr>
            <w:tcW w:w="1360" w:type="dxa"/>
            <w:vAlign w:val="bottom"/>
          </w:tcPr>
          <w:p>
            <w:pPr>
              <w:jc w:val="center"/>
              <w:ind w:left="28"/>
              <w:spacing w:after="0" w:line="195" w:lineRule="exact"/>
              <w:rPr>
                <w:sz w:val="20"/>
                <w:szCs w:val="20"/>
                <w:color w:val="auto"/>
              </w:rPr>
            </w:pPr>
            <w:r>
              <w:rPr>
                <w:rFonts w:ascii="Arial" w:cs="Arial" w:eastAsia="Arial" w:hAnsi="Arial"/>
                <w:sz w:val="22"/>
                <w:szCs w:val="22"/>
                <w:b w:val="1"/>
                <w:bCs w:val="1"/>
                <w:color w:val="1D8DB8"/>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rPr>
              <w:t>•</w:t>
            </w: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640" w:type="dxa"/>
            <w:vAlign w:val="bottom"/>
            <w:tcBorders>
              <w:bottom w:val="single" w:sz="8" w:color="54585A"/>
            </w:tcBorders>
          </w:tcPr>
          <w:p>
            <w:pPr>
              <w:spacing w:after="0"/>
              <w:rPr>
                <w:sz w:val="9"/>
                <w:szCs w:val="9"/>
                <w:color w:val="auto"/>
              </w:rPr>
            </w:pPr>
          </w:p>
        </w:tc>
        <w:tc>
          <w:tcPr>
            <w:tcW w:w="2180" w:type="dxa"/>
            <w:vAlign w:val="bottom"/>
            <w:tcBorders>
              <w:bottom w:val="single" w:sz="8" w:color="54585A"/>
            </w:tcBorders>
          </w:tcPr>
          <w:p>
            <w:pPr>
              <w:spacing w:after="0"/>
              <w:rPr>
                <w:sz w:val="9"/>
                <w:szCs w:val="9"/>
                <w:color w:val="auto"/>
              </w:rPr>
            </w:pPr>
          </w:p>
        </w:tc>
        <w:tc>
          <w:tcPr>
            <w:tcW w:w="900" w:type="dxa"/>
            <w:vAlign w:val="bottom"/>
            <w:tcBorders>
              <w:bottom w:val="single" w:sz="8" w:color="54585A"/>
            </w:tcBorders>
          </w:tcPr>
          <w:p>
            <w:pPr>
              <w:spacing w:after="0"/>
              <w:rPr>
                <w:sz w:val="9"/>
                <w:szCs w:val="9"/>
                <w:color w:val="auto"/>
              </w:rPr>
            </w:pPr>
          </w:p>
        </w:tc>
        <w:tc>
          <w:tcPr>
            <w:tcW w:w="1460" w:type="dxa"/>
            <w:vAlign w:val="bottom"/>
            <w:tcBorders>
              <w:bottom w:val="single" w:sz="8" w:color="54585A"/>
            </w:tcBorders>
          </w:tcPr>
          <w:p>
            <w:pPr>
              <w:spacing w:after="0"/>
              <w:rPr>
                <w:sz w:val="9"/>
                <w:szCs w:val="9"/>
                <w:color w:val="auto"/>
              </w:rPr>
            </w:pPr>
          </w:p>
        </w:tc>
        <w:tc>
          <w:tcPr>
            <w:tcW w:w="1180" w:type="dxa"/>
            <w:vAlign w:val="bottom"/>
            <w:tcBorders>
              <w:bottom w:val="single" w:sz="8" w:color="54585A"/>
            </w:tcBorders>
          </w:tcPr>
          <w:p>
            <w:pPr>
              <w:spacing w:after="0"/>
              <w:rPr>
                <w:sz w:val="9"/>
                <w:szCs w:val="9"/>
                <w:color w:val="auto"/>
              </w:rPr>
            </w:pPr>
          </w:p>
        </w:tc>
        <w:tc>
          <w:tcPr>
            <w:tcW w:w="1100" w:type="dxa"/>
            <w:vAlign w:val="bottom"/>
            <w:tcBorders>
              <w:bottom w:val="single" w:sz="8" w:color="54585A"/>
            </w:tcBorders>
          </w:tcPr>
          <w:p>
            <w:pPr>
              <w:spacing w:after="0"/>
              <w:rPr>
                <w:sz w:val="9"/>
                <w:szCs w:val="9"/>
                <w:color w:val="auto"/>
              </w:rPr>
            </w:pPr>
          </w:p>
        </w:tc>
        <w:tc>
          <w:tcPr>
            <w:tcW w:w="1360" w:type="dxa"/>
            <w:vAlign w:val="bottom"/>
            <w:tcBorders>
              <w:bottom w:val="single" w:sz="8" w:color="54585A"/>
            </w:tcBorders>
          </w:tcPr>
          <w:p>
            <w:pPr>
              <w:spacing w:after="0"/>
              <w:rPr>
                <w:sz w:val="9"/>
                <w:szCs w:val="9"/>
                <w:color w:val="auto"/>
              </w:rPr>
            </w:pPr>
          </w:p>
        </w:tc>
        <w:tc>
          <w:tcPr>
            <w:tcW w:w="1220" w:type="dxa"/>
            <w:vAlign w:val="bottom"/>
            <w:tcBorders>
              <w:bottom w:val="single" w:sz="8" w:color="54585A"/>
            </w:tcBorders>
          </w:tcPr>
          <w:p>
            <w:pPr>
              <w:spacing w:after="0"/>
              <w:rPr>
                <w:sz w:val="9"/>
                <w:szCs w:val="9"/>
                <w:color w:val="auto"/>
              </w:rPr>
            </w:pPr>
          </w:p>
        </w:tc>
        <w:tc>
          <w:tcPr>
            <w:tcW w:w="1220" w:type="dxa"/>
            <w:vAlign w:val="bottom"/>
            <w:tcBorders>
              <w:bottom w:val="single" w:sz="8" w:color="54585A"/>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8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Global Business</w:t>
            </w:r>
          </w:p>
        </w:tc>
        <w:tc>
          <w:tcPr>
            <w:tcW w:w="9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63C237"/>
              </w:rPr>
              <w:t>•</w:t>
            </w:r>
          </w:p>
        </w:tc>
        <w:tc>
          <w:tcPr>
            <w:tcW w:w="1460" w:type="dxa"/>
            <w:vAlign w:val="bottom"/>
          </w:tcPr>
          <w:p>
            <w:pPr>
              <w:jc w:val="center"/>
              <w:ind w:left="108"/>
              <w:spacing w:after="0" w:line="195" w:lineRule="exact"/>
              <w:rPr>
                <w:sz w:val="20"/>
                <w:szCs w:val="20"/>
                <w:color w:val="auto"/>
              </w:rPr>
            </w:pPr>
            <w:r>
              <w:rPr>
                <w:rFonts w:ascii="Arial" w:cs="Arial" w:eastAsia="Arial" w:hAnsi="Arial"/>
                <w:sz w:val="22"/>
                <w:szCs w:val="22"/>
                <w:b w:val="1"/>
                <w:bCs w:val="1"/>
                <w:color w:val="63C237"/>
                <w:w w:val="77"/>
              </w:rPr>
              <w:t>•</w:t>
            </w:r>
          </w:p>
        </w:tc>
        <w:tc>
          <w:tcPr>
            <w:tcW w:w="118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w w:val="77"/>
              </w:rPr>
              <w:t>•</w:t>
            </w:r>
          </w:p>
        </w:tc>
        <w:tc>
          <w:tcPr>
            <w:tcW w:w="11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63C237"/>
              </w:rPr>
              <w:t>•</w:t>
            </w:r>
          </w:p>
        </w:tc>
        <w:tc>
          <w:tcPr>
            <w:tcW w:w="1360" w:type="dxa"/>
            <w:vAlign w:val="bottom"/>
          </w:tcPr>
          <w:p>
            <w:pPr>
              <w:jc w:val="center"/>
              <w:ind w:left="28"/>
              <w:spacing w:after="0" w:line="195" w:lineRule="exact"/>
              <w:rPr>
                <w:sz w:val="20"/>
                <w:szCs w:val="20"/>
                <w:color w:val="auto"/>
              </w:rPr>
            </w:pPr>
            <w:r>
              <w:rPr>
                <w:rFonts w:ascii="Arial" w:cs="Arial" w:eastAsia="Arial" w:hAnsi="Arial"/>
                <w:sz w:val="22"/>
                <w:szCs w:val="22"/>
                <w:b w:val="1"/>
                <w:bCs w:val="1"/>
                <w:color w:val="63C237"/>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rPr>
              <w:t>•</w:t>
            </w: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640" w:type="dxa"/>
            <w:vAlign w:val="bottom"/>
            <w:tcBorders>
              <w:bottom w:val="single" w:sz="8" w:color="54585A"/>
            </w:tcBorders>
          </w:tcPr>
          <w:p>
            <w:pPr>
              <w:spacing w:after="0"/>
              <w:rPr>
                <w:sz w:val="9"/>
                <w:szCs w:val="9"/>
                <w:color w:val="auto"/>
              </w:rPr>
            </w:pPr>
          </w:p>
        </w:tc>
        <w:tc>
          <w:tcPr>
            <w:tcW w:w="2180" w:type="dxa"/>
            <w:vAlign w:val="bottom"/>
            <w:tcBorders>
              <w:bottom w:val="single" w:sz="8" w:color="54585A"/>
            </w:tcBorders>
          </w:tcPr>
          <w:p>
            <w:pPr>
              <w:spacing w:after="0"/>
              <w:rPr>
                <w:sz w:val="9"/>
                <w:szCs w:val="9"/>
                <w:color w:val="auto"/>
              </w:rPr>
            </w:pPr>
          </w:p>
        </w:tc>
        <w:tc>
          <w:tcPr>
            <w:tcW w:w="900" w:type="dxa"/>
            <w:vAlign w:val="bottom"/>
            <w:tcBorders>
              <w:bottom w:val="single" w:sz="8" w:color="54585A"/>
            </w:tcBorders>
          </w:tcPr>
          <w:p>
            <w:pPr>
              <w:spacing w:after="0"/>
              <w:rPr>
                <w:sz w:val="9"/>
                <w:szCs w:val="9"/>
                <w:color w:val="auto"/>
              </w:rPr>
            </w:pPr>
          </w:p>
        </w:tc>
        <w:tc>
          <w:tcPr>
            <w:tcW w:w="1460" w:type="dxa"/>
            <w:vAlign w:val="bottom"/>
            <w:tcBorders>
              <w:bottom w:val="single" w:sz="8" w:color="54585A"/>
            </w:tcBorders>
          </w:tcPr>
          <w:p>
            <w:pPr>
              <w:spacing w:after="0"/>
              <w:rPr>
                <w:sz w:val="9"/>
                <w:szCs w:val="9"/>
                <w:color w:val="auto"/>
              </w:rPr>
            </w:pPr>
          </w:p>
        </w:tc>
        <w:tc>
          <w:tcPr>
            <w:tcW w:w="1180" w:type="dxa"/>
            <w:vAlign w:val="bottom"/>
            <w:tcBorders>
              <w:bottom w:val="single" w:sz="8" w:color="54585A"/>
            </w:tcBorders>
          </w:tcPr>
          <w:p>
            <w:pPr>
              <w:spacing w:after="0"/>
              <w:rPr>
                <w:sz w:val="9"/>
                <w:szCs w:val="9"/>
                <w:color w:val="auto"/>
              </w:rPr>
            </w:pPr>
          </w:p>
        </w:tc>
        <w:tc>
          <w:tcPr>
            <w:tcW w:w="1100" w:type="dxa"/>
            <w:vAlign w:val="bottom"/>
            <w:tcBorders>
              <w:bottom w:val="single" w:sz="8" w:color="54585A"/>
            </w:tcBorders>
          </w:tcPr>
          <w:p>
            <w:pPr>
              <w:spacing w:after="0"/>
              <w:rPr>
                <w:sz w:val="9"/>
                <w:szCs w:val="9"/>
                <w:color w:val="auto"/>
              </w:rPr>
            </w:pPr>
          </w:p>
        </w:tc>
        <w:tc>
          <w:tcPr>
            <w:tcW w:w="1360" w:type="dxa"/>
            <w:vAlign w:val="bottom"/>
            <w:tcBorders>
              <w:bottom w:val="single" w:sz="8" w:color="54585A"/>
            </w:tcBorders>
          </w:tcPr>
          <w:p>
            <w:pPr>
              <w:spacing w:after="0"/>
              <w:rPr>
                <w:sz w:val="9"/>
                <w:szCs w:val="9"/>
                <w:color w:val="auto"/>
              </w:rPr>
            </w:pPr>
          </w:p>
        </w:tc>
        <w:tc>
          <w:tcPr>
            <w:tcW w:w="1220" w:type="dxa"/>
            <w:vAlign w:val="bottom"/>
            <w:tcBorders>
              <w:bottom w:val="single" w:sz="8" w:color="54585A"/>
            </w:tcBorders>
          </w:tcPr>
          <w:p>
            <w:pPr>
              <w:spacing w:after="0"/>
              <w:rPr>
                <w:sz w:val="9"/>
                <w:szCs w:val="9"/>
                <w:color w:val="auto"/>
              </w:rPr>
            </w:pPr>
          </w:p>
        </w:tc>
        <w:tc>
          <w:tcPr>
            <w:tcW w:w="1220" w:type="dxa"/>
            <w:vAlign w:val="bottom"/>
            <w:tcBorders>
              <w:bottom w:val="single" w:sz="8" w:color="54585A"/>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8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Strategic Planning / Mergers &amp; Acquisitions</w:t>
            </w:r>
          </w:p>
        </w:tc>
        <w:tc>
          <w:tcPr>
            <w:tcW w:w="9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FFD900"/>
              </w:rPr>
              <w:t>•</w:t>
            </w:r>
          </w:p>
        </w:tc>
        <w:tc>
          <w:tcPr>
            <w:tcW w:w="1460" w:type="dxa"/>
            <w:vAlign w:val="bottom"/>
          </w:tcPr>
          <w:p>
            <w:pPr>
              <w:jc w:val="center"/>
              <w:ind w:left="108"/>
              <w:spacing w:after="0" w:line="195" w:lineRule="exact"/>
              <w:rPr>
                <w:sz w:val="20"/>
                <w:szCs w:val="20"/>
                <w:color w:val="auto"/>
              </w:rPr>
            </w:pPr>
            <w:r>
              <w:rPr>
                <w:rFonts w:ascii="Arial" w:cs="Arial" w:eastAsia="Arial" w:hAnsi="Arial"/>
                <w:sz w:val="22"/>
                <w:szCs w:val="22"/>
                <w:b w:val="1"/>
                <w:bCs w:val="1"/>
                <w:color w:val="FFD900"/>
                <w:w w:val="77"/>
              </w:rPr>
              <w:t>•</w:t>
            </w:r>
          </w:p>
        </w:tc>
        <w:tc>
          <w:tcPr>
            <w:tcW w:w="118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w w:val="77"/>
              </w:rPr>
              <w:t>•</w:t>
            </w:r>
          </w:p>
        </w:tc>
        <w:tc>
          <w:tcPr>
            <w:tcW w:w="110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FFD900"/>
              </w:rPr>
              <w:t>•</w:t>
            </w:r>
          </w:p>
        </w:tc>
        <w:tc>
          <w:tcPr>
            <w:tcW w:w="1360" w:type="dxa"/>
            <w:vAlign w:val="bottom"/>
          </w:tcPr>
          <w:p>
            <w:pPr>
              <w:jc w:val="center"/>
              <w:ind w:left="28"/>
              <w:spacing w:after="0" w:line="195" w:lineRule="exact"/>
              <w:rPr>
                <w:sz w:val="20"/>
                <w:szCs w:val="20"/>
                <w:color w:val="auto"/>
              </w:rPr>
            </w:pPr>
            <w:r>
              <w:rPr>
                <w:rFonts w:ascii="Arial" w:cs="Arial" w:eastAsia="Arial" w:hAnsi="Arial"/>
                <w:sz w:val="22"/>
                <w:szCs w:val="22"/>
                <w:b w:val="1"/>
                <w:bCs w:val="1"/>
                <w:color w:val="FFD900"/>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rPr>
              <w:t>•</w:t>
            </w: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820" w:type="dxa"/>
            <w:vAlign w:val="bottom"/>
            <w:tcBorders>
              <w:bottom w:val="single" w:sz="8" w:color="54585A"/>
            </w:tcBorders>
            <w:gridSpan w:val="2"/>
          </w:tcPr>
          <w:p>
            <w:pPr>
              <w:spacing w:after="0"/>
              <w:rPr>
                <w:sz w:val="8"/>
                <w:szCs w:val="8"/>
                <w:color w:val="auto"/>
              </w:rPr>
            </w:pPr>
          </w:p>
        </w:tc>
        <w:tc>
          <w:tcPr>
            <w:tcW w:w="900" w:type="dxa"/>
            <w:vAlign w:val="bottom"/>
            <w:tcBorders>
              <w:bottom w:val="single" w:sz="8" w:color="54585A"/>
            </w:tcBorders>
          </w:tcPr>
          <w:p>
            <w:pPr>
              <w:spacing w:after="0"/>
              <w:rPr>
                <w:sz w:val="8"/>
                <w:szCs w:val="8"/>
                <w:color w:val="auto"/>
              </w:rPr>
            </w:pPr>
          </w:p>
        </w:tc>
        <w:tc>
          <w:tcPr>
            <w:tcW w:w="1460" w:type="dxa"/>
            <w:vAlign w:val="bottom"/>
            <w:tcBorders>
              <w:bottom w:val="single" w:sz="8" w:color="54585A"/>
            </w:tcBorders>
          </w:tcPr>
          <w:p>
            <w:pPr>
              <w:spacing w:after="0"/>
              <w:rPr>
                <w:sz w:val="8"/>
                <w:szCs w:val="8"/>
                <w:color w:val="auto"/>
              </w:rPr>
            </w:pPr>
          </w:p>
        </w:tc>
        <w:tc>
          <w:tcPr>
            <w:tcW w:w="1180" w:type="dxa"/>
            <w:vAlign w:val="bottom"/>
            <w:tcBorders>
              <w:bottom w:val="single" w:sz="8" w:color="54585A"/>
            </w:tcBorders>
          </w:tcPr>
          <w:p>
            <w:pPr>
              <w:spacing w:after="0"/>
              <w:rPr>
                <w:sz w:val="8"/>
                <w:szCs w:val="8"/>
                <w:color w:val="auto"/>
              </w:rPr>
            </w:pPr>
          </w:p>
        </w:tc>
        <w:tc>
          <w:tcPr>
            <w:tcW w:w="1100" w:type="dxa"/>
            <w:vAlign w:val="bottom"/>
            <w:tcBorders>
              <w:bottom w:val="single" w:sz="8" w:color="54585A"/>
            </w:tcBorders>
          </w:tcPr>
          <w:p>
            <w:pPr>
              <w:spacing w:after="0"/>
              <w:rPr>
                <w:sz w:val="8"/>
                <w:szCs w:val="8"/>
                <w:color w:val="auto"/>
              </w:rPr>
            </w:pPr>
          </w:p>
        </w:tc>
        <w:tc>
          <w:tcPr>
            <w:tcW w:w="1360" w:type="dxa"/>
            <w:vAlign w:val="bottom"/>
            <w:tcBorders>
              <w:bottom w:val="single" w:sz="8" w:color="54585A"/>
            </w:tcBorders>
          </w:tcPr>
          <w:p>
            <w:pPr>
              <w:spacing w:after="0"/>
              <w:rPr>
                <w:sz w:val="8"/>
                <w:szCs w:val="8"/>
                <w:color w:val="auto"/>
              </w:rPr>
            </w:pPr>
          </w:p>
        </w:tc>
        <w:tc>
          <w:tcPr>
            <w:tcW w:w="1220" w:type="dxa"/>
            <w:vAlign w:val="bottom"/>
            <w:tcBorders>
              <w:bottom w:val="single" w:sz="8" w:color="54585A"/>
            </w:tcBorders>
          </w:tcPr>
          <w:p>
            <w:pPr>
              <w:spacing w:after="0"/>
              <w:rPr>
                <w:sz w:val="8"/>
                <w:szCs w:val="8"/>
                <w:color w:val="auto"/>
              </w:rPr>
            </w:pPr>
          </w:p>
        </w:tc>
        <w:tc>
          <w:tcPr>
            <w:tcW w:w="1220" w:type="dxa"/>
            <w:vAlign w:val="bottom"/>
            <w:tcBorders>
              <w:bottom w:val="single" w:sz="8" w:color="54585A"/>
            </w:tcBorders>
          </w:tcPr>
          <w:p>
            <w:pPr>
              <w:spacing w:after="0"/>
              <w:rPr>
                <w:sz w:val="8"/>
                <w:szCs w:val="8"/>
                <w:color w:val="auto"/>
              </w:rPr>
            </w:pPr>
          </w:p>
        </w:tc>
        <w:tc>
          <w:tcPr>
            <w:tcW w:w="0" w:type="dxa"/>
            <w:vAlign w:val="bottom"/>
          </w:tcPr>
          <w:p>
            <w:pPr>
              <w:spacing w:after="0"/>
              <w:rPr>
                <w:sz w:val="1"/>
                <w:szCs w:val="1"/>
                <w:color w:val="auto"/>
              </w:rPr>
            </w:pPr>
          </w:p>
        </w:tc>
      </w:tr>
      <w:tr>
        <w:trPr>
          <w:trHeight w:val="556"/>
        </w:trPr>
        <w:tc>
          <w:tcPr>
            <w:tcW w:w="2820" w:type="dxa"/>
            <w:vAlign w:val="bottom"/>
            <w:gridSpan w:val="2"/>
          </w:tcPr>
          <w:p>
            <w:pPr>
              <w:spacing w:after="0"/>
              <w:rPr>
                <w:sz w:val="20"/>
                <w:szCs w:val="20"/>
                <w:color w:val="auto"/>
              </w:rPr>
            </w:pPr>
            <w:r>
              <w:rPr>
                <w:rFonts w:ascii="Arial" w:cs="Arial" w:eastAsia="Arial" w:hAnsi="Arial"/>
                <w:sz w:val="12"/>
                <w:szCs w:val="12"/>
                <w:color w:val="EB6C10"/>
              </w:rPr>
              <w:t>Diversity</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gridSpan w:val="2"/>
            <w:vMerge w:val="restart"/>
          </w:tcPr>
          <w:p>
            <w:pPr>
              <w:spacing w:after="0"/>
              <w:rPr>
                <w:sz w:val="20"/>
                <w:szCs w:val="20"/>
                <w:color w:val="auto"/>
              </w:rPr>
            </w:pPr>
            <w:r>
              <w:rPr>
                <w:rFonts w:ascii="Arial" w:cs="Arial" w:eastAsia="Arial" w:hAnsi="Arial"/>
                <w:sz w:val="11"/>
                <w:szCs w:val="11"/>
                <w:b w:val="1"/>
                <w:bCs w:val="1"/>
                <w:color w:val="54585A"/>
              </w:rPr>
              <w:t>Tenure</w:t>
            </w:r>
          </w:p>
        </w:tc>
        <w:tc>
          <w:tcPr>
            <w:tcW w:w="9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1"/>
                <w:szCs w:val="11"/>
                <w:b w:val="1"/>
                <w:bCs w:val="1"/>
                <w:color w:val="54585A"/>
              </w:rPr>
              <w:t>Independence</w:t>
            </w:r>
            <w:r>
              <w:rPr>
                <w:rFonts w:ascii="Arial" w:cs="Arial" w:eastAsia="Arial" w:hAnsi="Arial"/>
                <w:sz w:val="14"/>
                <w:szCs w:val="14"/>
                <w:b w:val="1"/>
                <w:bCs w:val="1"/>
                <w:color w:val="54585A"/>
                <w:vertAlign w:val="superscript"/>
              </w:rPr>
              <w:t>1</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vMerge w:val="restart"/>
          </w:tcPr>
          <w:p>
            <w:pPr>
              <w:ind w:left="80"/>
              <w:spacing w:after="0"/>
              <w:rPr>
                <w:sz w:val="20"/>
                <w:szCs w:val="20"/>
                <w:color w:val="auto"/>
              </w:rPr>
            </w:pPr>
            <w:r>
              <w:rPr>
                <w:rFonts w:ascii="Arial" w:cs="Arial" w:eastAsia="Arial" w:hAnsi="Arial"/>
                <w:sz w:val="11"/>
                <w:szCs w:val="11"/>
                <w:b w:val="1"/>
                <w:bCs w:val="1"/>
                <w:color w:val="54585A"/>
              </w:rPr>
              <w:t>Age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-1727835</wp:posOffset>
            </wp:positionV>
            <wp:extent cx="182880" cy="182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-1499235</wp:posOffset>
            </wp:positionV>
            <wp:extent cx="182880" cy="182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-1276350</wp:posOffset>
            </wp:positionV>
            <wp:extent cx="182880" cy="182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-1047750</wp:posOffset>
            </wp:positionV>
            <wp:extent cx="182880" cy="182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-819150</wp:posOffset>
            </wp:positionV>
            <wp:extent cx="182880" cy="182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3943350" cy="1143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3350" cy="114300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28"/>
        <w:spacing w:after="0"/>
        <w:rPr>
          <w:sz w:val="20"/>
          <w:szCs w:val="20"/>
          <w:color w:val="auto"/>
        </w:rPr>
      </w:pPr>
      <w:r>
        <w:rPr>
          <w:rFonts w:ascii="Arial" w:cs="Arial" w:eastAsia="Arial" w:hAnsi="Arial"/>
          <w:sz w:val="22"/>
          <w:szCs w:val="22"/>
          <w:b w:val="1"/>
          <w:bCs w:val="1"/>
          <w:color w:val="EB6C10"/>
        </w:rPr>
        <w:t>•</w:t>
      </w:r>
    </w:p>
    <w:p>
      <w:pPr>
        <w:spacing w:after="0" w:line="49" w:lineRule="exact"/>
        <w:rPr>
          <w:sz w:val="20"/>
          <w:szCs w:val="20"/>
          <w:color w:val="auto"/>
        </w:rPr>
      </w:pPr>
    </w:p>
    <w:p>
      <w:pPr>
        <w:ind w:left="1328"/>
        <w:spacing w:after="0"/>
        <w:rPr>
          <w:sz w:val="20"/>
          <w:szCs w:val="20"/>
          <w:color w:val="auto"/>
        </w:rPr>
      </w:pPr>
      <w:r>
        <w:rPr>
          <w:rFonts w:ascii="Arial" w:cs="Arial" w:eastAsia="Arial" w:hAnsi="Arial"/>
          <w:sz w:val="22"/>
          <w:szCs w:val="22"/>
          <w:b w:val="1"/>
          <w:bCs w:val="1"/>
          <w:color w:val="54585A"/>
        </w:rPr>
        <w:t>•</w:t>
      </w:r>
    </w:p>
    <w:p>
      <w:pPr>
        <w:spacing w:after="0" w:line="44" w:lineRule="exact"/>
        <w:rPr>
          <w:sz w:val="20"/>
          <w:szCs w:val="20"/>
          <w:color w:val="auto"/>
        </w:rPr>
      </w:pPr>
    </w:p>
    <w:p>
      <w:pPr>
        <w:ind w:left="1328"/>
        <w:spacing w:after="0"/>
        <w:rPr>
          <w:sz w:val="20"/>
          <w:szCs w:val="20"/>
          <w:color w:val="auto"/>
        </w:rPr>
      </w:pPr>
      <w:r>
        <w:rPr>
          <w:rFonts w:ascii="Arial" w:cs="Arial" w:eastAsia="Arial" w:hAnsi="Arial"/>
          <w:sz w:val="22"/>
          <w:szCs w:val="22"/>
          <w:b w:val="1"/>
          <w:bCs w:val="1"/>
          <w:color w:val="1D8DB8"/>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0"/>
          <w:szCs w:val="10"/>
          <w:color w:val="54585A"/>
        </w:rPr>
        <w:t>0-9 years</w:t>
      </w:r>
    </w:p>
    <w:p>
      <w:pPr>
        <w:spacing w:after="0" w:line="182" w:lineRule="exact"/>
        <w:rPr>
          <w:sz w:val="20"/>
          <w:szCs w:val="20"/>
          <w:color w:val="auto"/>
        </w:rPr>
      </w:pPr>
    </w:p>
    <w:p>
      <w:pPr>
        <w:spacing w:after="0"/>
        <w:rPr>
          <w:sz w:val="20"/>
          <w:szCs w:val="20"/>
          <w:color w:val="auto"/>
        </w:rPr>
      </w:pPr>
      <w:r>
        <w:rPr>
          <w:rFonts w:ascii="Arial" w:cs="Arial" w:eastAsia="Arial" w:hAnsi="Arial"/>
          <w:sz w:val="8"/>
          <w:szCs w:val="8"/>
          <w:color w:val="54585A"/>
        </w:rPr>
        <w:t>10-19 years</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54585A"/>
        </w:rPr>
        <w:t>20+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EB6C10"/>
        </w:rPr>
        <w: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54585A"/>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0"/>
          <w:szCs w:val="10"/>
          <w:color w:val="54585A"/>
        </w:rPr>
        <w:t>Independent</w:t>
      </w:r>
    </w:p>
    <w:p>
      <w:pPr>
        <w:spacing w:after="0" w:line="182" w:lineRule="exact"/>
        <w:rPr>
          <w:sz w:val="20"/>
          <w:szCs w:val="20"/>
          <w:color w:val="auto"/>
        </w:rPr>
      </w:pPr>
    </w:p>
    <w:p>
      <w:pPr>
        <w:spacing w:after="0"/>
        <w:rPr>
          <w:sz w:val="20"/>
          <w:szCs w:val="20"/>
          <w:color w:val="auto"/>
        </w:rPr>
      </w:pPr>
      <w:r>
        <w:rPr>
          <w:rFonts w:ascii="Arial" w:cs="Arial" w:eastAsia="Arial" w:hAnsi="Arial"/>
          <w:sz w:val="8"/>
          <w:szCs w:val="8"/>
          <w:color w:val="54585A"/>
        </w:rPr>
        <w:t>Not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EB6C10"/>
        </w:rPr>
        <w: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54585A"/>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1D8DB8"/>
        </w:rPr>
        <w: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63C237"/>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8"/>
          <w:szCs w:val="8"/>
          <w:color w:val="54585A"/>
        </w:rPr>
        <w:t>40-49 years</w:t>
      </w:r>
    </w:p>
    <w:p>
      <w:pPr>
        <w:spacing w:after="0" w:line="205" w:lineRule="exact"/>
        <w:rPr>
          <w:sz w:val="20"/>
          <w:szCs w:val="20"/>
          <w:color w:val="auto"/>
        </w:rPr>
      </w:pPr>
    </w:p>
    <w:p>
      <w:pPr>
        <w:spacing w:after="0"/>
        <w:rPr>
          <w:sz w:val="20"/>
          <w:szCs w:val="20"/>
          <w:color w:val="auto"/>
        </w:rPr>
      </w:pPr>
      <w:r>
        <w:rPr>
          <w:rFonts w:ascii="Arial" w:cs="Arial" w:eastAsia="Arial" w:hAnsi="Arial"/>
          <w:sz w:val="8"/>
          <w:szCs w:val="8"/>
          <w:color w:val="54585A"/>
        </w:rPr>
        <w:t>50-59 years</w:t>
      </w:r>
    </w:p>
    <w:p>
      <w:pPr>
        <w:spacing w:after="0" w:line="196" w:lineRule="exact"/>
        <w:rPr>
          <w:sz w:val="20"/>
          <w:szCs w:val="20"/>
          <w:color w:val="auto"/>
        </w:rPr>
      </w:pPr>
    </w:p>
    <w:p>
      <w:pPr>
        <w:spacing w:after="0"/>
        <w:rPr>
          <w:sz w:val="20"/>
          <w:szCs w:val="20"/>
          <w:color w:val="auto"/>
        </w:rPr>
      </w:pPr>
      <w:r>
        <w:rPr>
          <w:rFonts w:ascii="Arial" w:cs="Arial" w:eastAsia="Arial" w:hAnsi="Arial"/>
          <w:sz w:val="8"/>
          <w:szCs w:val="8"/>
          <w:color w:val="54585A"/>
        </w:rPr>
        <w:t>60-69 years</w:t>
      </w: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54585A"/>
        </w:rPr>
        <w:t>70+ years</w:t>
      </w:r>
    </w:p>
    <w:p>
      <w:pPr>
        <w:spacing w:after="0" w:line="200" w:lineRule="exact"/>
        <w:rPr>
          <w:sz w:val="20"/>
          <w:szCs w:val="20"/>
          <w:color w:val="auto"/>
        </w:rPr>
      </w:pPr>
    </w:p>
    <w:p>
      <w:pPr>
        <w:sectPr>
          <w:pgSz w:w="11900" w:h="16838" w:orient="portrait"/>
          <w:cols w:equalWidth="0" w:num="6">
            <w:col w:w="1408" w:space="100"/>
            <w:col w:w="2600" w:space="720"/>
            <w:col w:w="80" w:space="120"/>
            <w:col w:w="3140" w:space="720"/>
            <w:col w:w="60" w:space="120"/>
            <w:col w:w="2200"/>
          </w:cols>
          <w:pgMar w:left="292" w:top="156" w:right="339" w:bottom="1440" w:gutter="0" w:footer="0" w:header="0"/>
          <w:type w:val="continuous"/>
        </w:sectPr>
      </w:pPr>
    </w:p>
    <w:p>
      <w:pPr>
        <w:spacing w:after="0" w:line="135" w:lineRule="exact"/>
        <w:rPr>
          <w:sz w:val="20"/>
          <w:szCs w:val="20"/>
          <w:color w:val="auto"/>
        </w:rPr>
      </w:pPr>
    </w:p>
    <w:p>
      <w:pPr>
        <w:ind w:left="208" w:right="220" w:hanging="208"/>
        <w:spacing w:after="0" w:line="256" w:lineRule="auto"/>
        <w:tabs>
          <w:tab w:leader="none" w:pos="208" w:val="left"/>
        </w:tabs>
        <w:numPr>
          <w:ilvl w:val="0"/>
          <w:numId w:val="13"/>
        </w:numPr>
        <w:rPr>
          <w:rFonts w:ascii="Arial" w:cs="Arial" w:eastAsia="Arial" w:hAnsi="Arial"/>
          <w:sz w:val="10"/>
          <w:szCs w:val="10"/>
          <w:color w:val="54585A"/>
        </w:rPr>
      </w:pPr>
      <w:r>
        <w:rPr>
          <w:rFonts w:ascii="Arial" w:cs="Arial" w:eastAsia="Arial" w:hAnsi="Arial"/>
          <w:sz w:val="10"/>
          <w:szCs w:val="10"/>
          <w:color w:val="54585A"/>
        </w:rPr>
        <w:t>The Board has determined that Messrs. Cowan, Hasler, Lovett, and Wolff are independent directors as defined in Rule 10A-3 under the Securities Exchange Act of 1934 and in the NYSE American rules. This determination was based on the absence of any material relationship known to the Board between Messrs. Cowan, Hasler, Lovett, Wolff and us (other than as a director and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314960</wp:posOffset>
            </wp:positionV>
            <wp:extent cx="1714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Director Summary</w:t>
      </w:r>
    </w:p>
    <w:p>
      <w:pPr>
        <w:spacing w:after="0" w:line="68" w:lineRule="exact"/>
        <w:rPr>
          <w:sz w:val="20"/>
          <w:szCs w:val="20"/>
          <w:color w:val="auto"/>
        </w:rPr>
      </w:pPr>
    </w:p>
    <w:p>
      <w:pPr>
        <w:ind w:right="20"/>
        <w:spacing w:after="0" w:line="325" w:lineRule="auto"/>
        <w:rPr>
          <w:sz w:val="20"/>
          <w:szCs w:val="20"/>
          <w:color w:val="auto"/>
        </w:rPr>
      </w:pPr>
      <w:r>
        <w:rPr>
          <w:rFonts w:ascii="Arial" w:cs="Arial" w:eastAsia="Arial" w:hAnsi="Arial"/>
          <w:sz w:val="11"/>
          <w:szCs w:val="11"/>
          <w:color w:val="54585A"/>
        </w:rPr>
        <w:t>Our Bylaws provide for a seven-member Board of Directors, and the Board currently consists of, seven members. Our Board is divided into three classes, with staggered three-year terms. Each of Class A and B consists of two directors; and Class C consists of three directors. The terms of the directors of each class expire at the annual meetings of stockholders to be held in 2025 (Class A), 2024 (Class C) and 2023 (Class B). At each annual meeting of stockholders, one class of directors will be elected for a term of three years to succeed the directors whose terms are expiring. The table below displays a summary of each director's board class and committee membership. Each director's narrative biography is also disclosed below the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shd w:val="clear" w:color="auto" w:fill="EEEDED"/>
          </w:tcPr>
          <w:p>
            <w:pPr>
              <w:spacing w:after="0"/>
              <w:rPr>
                <w:sz w:val="10"/>
                <w:szCs w:val="10"/>
                <w:color w:val="auto"/>
              </w:rPr>
            </w:pPr>
          </w:p>
        </w:tc>
        <w:tc>
          <w:tcPr>
            <w:tcW w:w="1120" w:type="dxa"/>
            <w:vAlign w:val="bottom"/>
            <w:shd w:val="clear" w:color="auto" w:fill="EEEDED"/>
          </w:tcPr>
          <w:p>
            <w:pPr>
              <w:spacing w:after="0"/>
              <w:rPr>
                <w:sz w:val="10"/>
                <w:szCs w:val="10"/>
                <w:color w:val="auto"/>
              </w:rPr>
            </w:pPr>
          </w:p>
        </w:tc>
        <w:tc>
          <w:tcPr>
            <w:tcW w:w="1540" w:type="dxa"/>
            <w:vAlign w:val="bottom"/>
            <w:shd w:val="clear" w:color="auto" w:fill="EEEDED"/>
          </w:tcPr>
          <w:p>
            <w:pPr>
              <w:spacing w:after="0"/>
              <w:rPr>
                <w:sz w:val="10"/>
                <w:szCs w:val="10"/>
                <w:color w:val="auto"/>
              </w:rPr>
            </w:pPr>
          </w:p>
        </w:tc>
        <w:tc>
          <w:tcPr>
            <w:tcW w:w="900" w:type="dxa"/>
            <w:vAlign w:val="bottom"/>
            <w:shd w:val="clear" w:color="auto" w:fill="EEEDED"/>
          </w:tcPr>
          <w:p>
            <w:pPr>
              <w:spacing w:after="0"/>
              <w:rPr>
                <w:sz w:val="10"/>
                <w:szCs w:val="10"/>
                <w:color w:val="auto"/>
              </w:rPr>
            </w:pPr>
          </w:p>
        </w:tc>
        <w:tc>
          <w:tcPr>
            <w:tcW w:w="1800" w:type="dxa"/>
            <w:vAlign w:val="bottom"/>
            <w:shd w:val="clear" w:color="auto" w:fill="EEEDED"/>
          </w:tcPr>
          <w:p>
            <w:pPr>
              <w:jc w:val="center"/>
              <w:ind w:left="72"/>
              <w:spacing w:after="0"/>
              <w:rPr>
                <w:sz w:val="20"/>
                <w:szCs w:val="20"/>
                <w:color w:val="auto"/>
              </w:rPr>
            </w:pPr>
            <w:r>
              <w:rPr>
                <w:rFonts w:ascii="Arial" w:cs="Arial" w:eastAsia="Arial" w:hAnsi="Arial"/>
                <w:sz w:val="10"/>
                <w:szCs w:val="10"/>
                <w:b w:val="1"/>
                <w:bCs w:val="1"/>
                <w:color w:val="54585A"/>
                <w:w w:val="94"/>
              </w:rPr>
              <w:t>Nominating</w:t>
            </w:r>
          </w:p>
        </w:tc>
        <w:tc>
          <w:tcPr>
            <w:tcW w:w="1260" w:type="dxa"/>
            <w:vAlign w:val="bottom"/>
            <w:shd w:val="clear" w:color="auto" w:fill="EEEDED"/>
          </w:tcPr>
          <w:p>
            <w:pPr>
              <w:spacing w:after="0"/>
              <w:rPr>
                <w:sz w:val="10"/>
                <w:szCs w:val="10"/>
                <w:color w:val="auto"/>
              </w:rPr>
            </w:pPr>
          </w:p>
        </w:tc>
        <w:tc>
          <w:tcPr>
            <w:tcW w:w="1440" w:type="dxa"/>
            <w:vAlign w:val="bottom"/>
            <w:shd w:val="clear" w:color="auto" w:fill="EEEDED"/>
          </w:tcPr>
          <w:p>
            <w:pPr>
              <w:spacing w:after="0"/>
              <w:rPr>
                <w:sz w:val="10"/>
                <w:szCs w:val="10"/>
                <w:color w:val="auto"/>
              </w:rPr>
            </w:pPr>
          </w:p>
        </w:tc>
      </w:tr>
      <w:tr>
        <w:trPr>
          <w:trHeight w:val="133"/>
        </w:trPr>
        <w:tc>
          <w:tcPr>
            <w:tcW w:w="3240" w:type="dxa"/>
            <w:vAlign w:val="bottom"/>
            <w:shd w:val="clear" w:color="auto" w:fill="EEEDED"/>
          </w:tcPr>
          <w:p>
            <w:pPr>
              <w:ind w:left="2400"/>
              <w:spacing w:after="0"/>
              <w:rPr>
                <w:sz w:val="20"/>
                <w:szCs w:val="20"/>
                <w:color w:val="auto"/>
              </w:rPr>
            </w:pPr>
            <w:r>
              <w:rPr>
                <w:rFonts w:ascii="Arial" w:cs="Arial" w:eastAsia="Arial" w:hAnsi="Arial"/>
                <w:sz w:val="10"/>
                <w:szCs w:val="10"/>
                <w:b w:val="1"/>
                <w:bCs w:val="1"/>
                <w:color w:val="54585A"/>
              </w:rPr>
              <w:t>Board Class</w:t>
            </w:r>
          </w:p>
        </w:tc>
        <w:tc>
          <w:tcPr>
            <w:tcW w:w="1120" w:type="dxa"/>
            <w:vAlign w:val="bottom"/>
            <w:shd w:val="clear" w:color="auto" w:fill="EEEDED"/>
          </w:tcPr>
          <w:p>
            <w:pPr>
              <w:ind w:left="300"/>
              <w:spacing w:after="0"/>
              <w:rPr>
                <w:sz w:val="20"/>
                <w:szCs w:val="20"/>
                <w:color w:val="auto"/>
              </w:rPr>
            </w:pPr>
            <w:r>
              <w:rPr>
                <w:rFonts w:ascii="Arial" w:cs="Arial" w:eastAsia="Arial" w:hAnsi="Arial"/>
                <w:sz w:val="10"/>
                <w:szCs w:val="10"/>
                <w:b w:val="1"/>
                <w:bCs w:val="1"/>
                <w:color w:val="54585A"/>
              </w:rPr>
              <w:t>Director Since</w:t>
            </w:r>
          </w:p>
        </w:tc>
        <w:tc>
          <w:tcPr>
            <w:tcW w:w="1540" w:type="dxa"/>
            <w:vAlign w:val="bottom"/>
            <w:shd w:val="clear" w:color="auto" w:fill="EEEDED"/>
          </w:tcPr>
          <w:p>
            <w:pPr>
              <w:ind w:left="180"/>
              <w:spacing w:after="0"/>
              <w:rPr>
                <w:sz w:val="20"/>
                <w:szCs w:val="20"/>
                <w:color w:val="auto"/>
              </w:rPr>
            </w:pPr>
            <w:r>
              <w:rPr>
                <w:rFonts w:ascii="Arial" w:cs="Arial" w:eastAsia="Arial" w:hAnsi="Arial"/>
                <w:sz w:val="10"/>
                <w:szCs w:val="10"/>
                <w:b w:val="1"/>
                <w:bCs w:val="1"/>
                <w:color w:val="54585A"/>
              </w:rPr>
              <w:t>Board Term Expiration</w:t>
            </w:r>
          </w:p>
        </w:tc>
        <w:tc>
          <w:tcPr>
            <w:tcW w:w="900" w:type="dxa"/>
            <w:vAlign w:val="bottom"/>
            <w:shd w:val="clear" w:color="auto" w:fill="EEEDED"/>
          </w:tcPr>
          <w:p>
            <w:pPr>
              <w:ind w:left="320"/>
              <w:spacing w:after="0"/>
              <w:rPr>
                <w:sz w:val="20"/>
                <w:szCs w:val="20"/>
                <w:color w:val="auto"/>
              </w:rPr>
            </w:pPr>
            <w:r>
              <w:rPr>
                <w:rFonts w:ascii="Arial" w:cs="Arial" w:eastAsia="Arial" w:hAnsi="Arial"/>
                <w:sz w:val="10"/>
                <w:szCs w:val="10"/>
                <w:b w:val="1"/>
                <w:bCs w:val="1"/>
                <w:color w:val="54585A"/>
              </w:rPr>
              <w:t>Audit</w:t>
            </w:r>
          </w:p>
        </w:tc>
        <w:tc>
          <w:tcPr>
            <w:tcW w:w="1800" w:type="dxa"/>
            <w:vAlign w:val="bottom"/>
            <w:shd w:val="clear" w:color="auto" w:fill="EEEDED"/>
          </w:tcPr>
          <w:p>
            <w:pPr>
              <w:jc w:val="center"/>
              <w:ind w:left="72"/>
              <w:spacing w:after="0"/>
              <w:rPr>
                <w:sz w:val="20"/>
                <w:szCs w:val="20"/>
                <w:color w:val="auto"/>
              </w:rPr>
            </w:pPr>
            <w:r>
              <w:rPr>
                <w:rFonts w:ascii="Arial" w:cs="Arial" w:eastAsia="Arial" w:hAnsi="Arial"/>
                <w:sz w:val="10"/>
                <w:szCs w:val="10"/>
                <w:b w:val="1"/>
                <w:bCs w:val="1"/>
                <w:color w:val="54585A"/>
                <w:w w:val="96"/>
              </w:rPr>
              <w:t>and Corporate Governance</w:t>
            </w:r>
          </w:p>
        </w:tc>
        <w:tc>
          <w:tcPr>
            <w:tcW w:w="1260" w:type="dxa"/>
            <w:vAlign w:val="bottom"/>
            <w:shd w:val="clear" w:color="auto" w:fill="EEEDED"/>
          </w:tcPr>
          <w:p>
            <w:pPr>
              <w:ind w:left="240"/>
              <w:spacing w:after="0"/>
              <w:rPr>
                <w:sz w:val="20"/>
                <w:szCs w:val="20"/>
                <w:color w:val="auto"/>
              </w:rPr>
            </w:pPr>
            <w:r>
              <w:rPr>
                <w:rFonts w:ascii="Arial" w:cs="Arial" w:eastAsia="Arial" w:hAnsi="Arial"/>
                <w:sz w:val="10"/>
                <w:szCs w:val="10"/>
                <w:b w:val="1"/>
                <w:bCs w:val="1"/>
                <w:color w:val="54585A"/>
              </w:rPr>
              <w:t>Compensation</w:t>
            </w:r>
          </w:p>
        </w:tc>
        <w:tc>
          <w:tcPr>
            <w:tcW w:w="1440" w:type="dxa"/>
            <w:vAlign w:val="bottom"/>
            <w:shd w:val="clear" w:color="auto" w:fill="EEEDED"/>
          </w:tcPr>
          <w:p>
            <w:pPr>
              <w:ind w:left="340"/>
              <w:spacing w:after="0"/>
              <w:rPr>
                <w:sz w:val="20"/>
                <w:szCs w:val="20"/>
                <w:color w:val="auto"/>
              </w:rPr>
            </w:pPr>
            <w:r>
              <w:rPr>
                <w:rFonts w:ascii="Arial" w:cs="Arial" w:eastAsia="Arial" w:hAnsi="Arial"/>
                <w:sz w:val="10"/>
                <w:szCs w:val="10"/>
                <w:b w:val="1"/>
                <w:bCs w:val="1"/>
                <w:color w:val="54585A"/>
              </w:rPr>
              <w:t>Strategic Review</w:t>
            </w:r>
          </w:p>
        </w:tc>
      </w:tr>
      <w:tr>
        <w:trPr>
          <w:trHeight w:val="74"/>
        </w:trPr>
        <w:tc>
          <w:tcPr>
            <w:tcW w:w="3240" w:type="dxa"/>
            <w:vAlign w:val="bottom"/>
            <w:shd w:val="clear" w:color="auto" w:fill="EEEDED"/>
          </w:tcPr>
          <w:p>
            <w:pPr>
              <w:spacing w:after="0"/>
              <w:rPr>
                <w:sz w:val="6"/>
                <w:szCs w:val="6"/>
                <w:color w:val="auto"/>
              </w:rPr>
            </w:pPr>
          </w:p>
        </w:tc>
        <w:tc>
          <w:tcPr>
            <w:tcW w:w="1120" w:type="dxa"/>
            <w:vAlign w:val="bottom"/>
            <w:shd w:val="clear" w:color="auto" w:fill="EEEDED"/>
          </w:tcPr>
          <w:p>
            <w:pPr>
              <w:spacing w:after="0"/>
              <w:rPr>
                <w:sz w:val="6"/>
                <w:szCs w:val="6"/>
                <w:color w:val="auto"/>
              </w:rPr>
            </w:pPr>
          </w:p>
        </w:tc>
        <w:tc>
          <w:tcPr>
            <w:tcW w:w="1540" w:type="dxa"/>
            <w:vAlign w:val="bottom"/>
            <w:shd w:val="clear" w:color="auto" w:fill="EEEDED"/>
          </w:tcPr>
          <w:p>
            <w:pPr>
              <w:spacing w:after="0"/>
              <w:rPr>
                <w:sz w:val="6"/>
                <w:szCs w:val="6"/>
                <w:color w:val="auto"/>
              </w:rPr>
            </w:pPr>
          </w:p>
        </w:tc>
        <w:tc>
          <w:tcPr>
            <w:tcW w:w="900" w:type="dxa"/>
            <w:vAlign w:val="bottom"/>
            <w:shd w:val="clear" w:color="auto" w:fill="EEEDED"/>
          </w:tcPr>
          <w:p>
            <w:pPr>
              <w:spacing w:after="0"/>
              <w:rPr>
                <w:sz w:val="6"/>
                <w:szCs w:val="6"/>
                <w:color w:val="auto"/>
              </w:rPr>
            </w:pPr>
          </w:p>
        </w:tc>
        <w:tc>
          <w:tcPr>
            <w:tcW w:w="1800" w:type="dxa"/>
            <w:vAlign w:val="bottom"/>
            <w:shd w:val="clear" w:color="auto" w:fill="EEEDED"/>
          </w:tcPr>
          <w:p>
            <w:pPr>
              <w:spacing w:after="0"/>
              <w:rPr>
                <w:sz w:val="6"/>
                <w:szCs w:val="6"/>
                <w:color w:val="auto"/>
              </w:rPr>
            </w:pPr>
          </w:p>
        </w:tc>
        <w:tc>
          <w:tcPr>
            <w:tcW w:w="1260" w:type="dxa"/>
            <w:vAlign w:val="bottom"/>
            <w:shd w:val="clear" w:color="auto" w:fill="EEEDED"/>
          </w:tcPr>
          <w:p>
            <w:pPr>
              <w:spacing w:after="0"/>
              <w:rPr>
                <w:sz w:val="6"/>
                <w:szCs w:val="6"/>
                <w:color w:val="auto"/>
              </w:rPr>
            </w:pPr>
          </w:p>
        </w:tc>
        <w:tc>
          <w:tcPr>
            <w:tcW w:w="1440" w:type="dxa"/>
            <w:vAlign w:val="bottom"/>
            <w:shd w:val="clear" w:color="auto" w:fill="EEEDED"/>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Keith O. Cowan</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A</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12/2018</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2025</w:t>
            </w:r>
          </w:p>
        </w:tc>
        <w:tc>
          <w:tcPr>
            <w:tcW w:w="2720" w:type="dxa"/>
            <w:vAlign w:val="bottom"/>
          </w:tcPr>
          <w:p>
            <w:pPr>
              <w:ind w:left="1980"/>
              <w:spacing w:after="0" w:line="180"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spacing w:after="0"/>
              <w:rPr>
                <w:sz w:val="15"/>
                <w:szCs w:val="15"/>
                <w:color w:val="auto"/>
              </w:rPr>
            </w:pPr>
          </w:p>
        </w:tc>
        <w:tc>
          <w:tcPr>
            <w:tcW w:w="1420" w:type="dxa"/>
            <w:vAlign w:val="bottom"/>
          </w:tcPr>
          <w:p>
            <w:pPr>
              <w:ind w:left="680"/>
              <w:spacing w:after="0" w:line="180"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1040" w:type="dxa"/>
            <w:vAlign w:val="bottom"/>
            <w:tcBorders>
              <w:bottom w:val="single" w:sz="8" w:color="54585A"/>
            </w:tcBorders>
          </w:tcPr>
          <w:p>
            <w:pPr>
              <w:spacing w:after="0"/>
              <w:rPr>
                <w:sz w:val="6"/>
                <w:szCs w:val="6"/>
                <w:color w:val="auto"/>
              </w:rPr>
            </w:pPr>
          </w:p>
        </w:tc>
        <w:tc>
          <w:tcPr>
            <w:tcW w:w="2160" w:type="dxa"/>
            <w:vAlign w:val="bottom"/>
            <w:tcBorders>
              <w:bottom w:val="single" w:sz="8" w:color="54585A"/>
            </w:tcBorders>
          </w:tcPr>
          <w:p>
            <w:pPr>
              <w:spacing w:after="0"/>
              <w:rPr>
                <w:sz w:val="6"/>
                <w:szCs w:val="6"/>
                <w:color w:val="auto"/>
              </w:rPr>
            </w:pPr>
          </w:p>
        </w:tc>
        <w:tc>
          <w:tcPr>
            <w:tcW w:w="1280" w:type="dxa"/>
            <w:vAlign w:val="bottom"/>
            <w:tcBorders>
              <w:bottom w:val="single" w:sz="8" w:color="54585A"/>
            </w:tcBorders>
          </w:tcPr>
          <w:p>
            <w:pPr>
              <w:spacing w:after="0"/>
              <w:rPr>
                <w:sz w:val="6"/>
                <w:szCs w:val="6"/>
                <w:color w:val="auto"/>
              </w:rPr>
            </w:pPr>
          </w:p>
        </w:tc>
        <w:tc>
          <w:tcPr>
            <w:tcW w:w="1260" w:type="dxa"/>
            <w:vAlign w:val="bottom"/>
            <w:tcBorders>
              <w:bottom w:val="single" w:sz="8" w:color="54585A"/>
            </w:tcBorders>
          </w:tcPr>
          <w:p>
            <w:pPr>
              <w:spacing w:after="0"/>
              <w:rPr>
                <w:sz w:val="6"/>
                <w:szCs w:val="6"/>
                <w:color w:val="auto"/>
              </w:rPr>
            </w:pPr>
          </w:p>
        </w:tc>
        <w:tc>
          <w:tcPr>
            <w:tcW w:w="27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Benjamin G. Wolff</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A</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12/2018</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2025</w:t>
            </w:r>
          </w:p>
        </w:tc>
        <w:tc>
          <w:tcPr>
            <w:tcW w:w="2720" w:type="dxa"/>
            <w:vAlign w:val="bottom"/>
          </w:tcPr>
          <w:p>
            <w:pPr>
              <w:ind w:left="56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EB6C10"/>
              </w:rPr>
              <w:t>•</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104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280" w:type="dxa"/>
            <w:vAlign w:val="bottom"/>
            <w:tcBorders>
              <w:bottom w:val="single" w:sz="8" w:color="54585A"/>
            </w:tcBorders>
          </w:tcPr>
          <w:p>
            <w:pPr>
              <w:spacing w:after="0"/>
              <w:rPr>
                <w:sz w:val="7"/>
                <w:szCs w:val="7"/>
                <w:color w:val="auto"/>
              </w:rPr>
            </w:pPr>
          </w:p>
        </w:tc>
        <w:tc>
          <w:tcPr>
            <w:tcW w:w="1260" w:type="dxa"/>
            <w:vAlign w:val="bottom"/>
            <w:tcBorders>
              <w:bottom w:val="single" w:sz="8" w:color="54585A"/>
            </w:tcBorders>
          </w:tcPr>
          <w:p>
            <w:pPr>
              <w:spacing w:after="0"/>
              <w:rPr>
                <w:sz w:val="7"/>
                <w:szCs w:val="7"/>
                <w:color w:val="auto"/>
              </w:rPr>
            </w:pPr>
          </w:p>
        </w:tc>
        <w:tc>
          <w:tcPr>
            <w:tcW w:w="27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040" w:type="dxa"/>
            <w:vAlign w:val="bottom"/>
            <w:tcBorders>
              <w:bottom w:val="single" w:sz="8" w:color="54585A"/>
            </w:tcBorders>
          </w:tcPr>
          <w:p>
            <w:pPr>
              <w:spacing w:after="0"/>
              <w:rPr>
                <w:sz w:val="20"/>
                <w:szCs w:val="20"/>
                <w:color w:val="auto"/>
              </w:rPr>
            </w:pPr>
            <w:r>
              <w:rPr>
                <w:rFonts w:ascii="Arial" w:cs="Arial" w:eastAsia="Arial" w:hAnsi="Arial"/>
                <w:sz w:val="10"/>
                <w:szCs w:val="10"/>
                <w:b w:val="1"/>
                <w:bCs w:val="1"/>
                <w:color w:val="EB6C10"/>
              </w:rPr>
              <w:t>James F. Lynch</w:t>
            </w:r>
          </w:p>
        </w:tc>
        <w:tc>
          <w:tcPr>
            <w:tcW w:w="2160" w:type="dxa"/>
            <w:vAlign w:val="bottom"/>
            <w:tcBorders>
              <w:bottom w:val="single" w:sz="8" w:color="54585A"/>
            </w:tcBorders>
          </w:tcPr>
          <w:p>
            <w:pPr>
              <w:ind w:left="1600"/>
              <w:spacing w:after="0"/>
              <w:rPr>
                <w:sz w:val="20"/>
                <w:szCs w:val="20"/>
                <w:color w:val="auto"/>
              </w:rPr>
            </w:pPr>
            <w:r>
              <w:rPr>
                <w:rFonts w:ascii="Arial" w:cs="Arial" w:eastAsia="Arial" w:hAnsi="Arial"/>
                <w:sz w:val="10"/>
                <w:szCs w:val="10"/>
                <w:color w:val="54585A"/>
              </w:rPr>
              <w:t>B</w:t>
            </w:r>
          </w:p>
        </w:tc>
        <w:tc>
          <w:tcPr>
            <w:tcW w:w="1280" w:type="dxa"/>
            <w:vAlign w:val="bottom"/>
            <w:tcBorders>
              <w:bottom w:val="single" w:sz="8" w:color="54585A"/>
            </w:tcBorders>
          </w:tcPr>
          <w:p>
            <w:pPr>
              <w:jc w:val="right"/>
              <w:ind w:right="392"/>
              <w:spacing w:after="0"/>
              <w:rPr>
                <w:sz w:val="20"/>
                <w:szCs w:val="20"/>
                <w:color w:val="auto"/>
              </w:rPr>
            </w:pPr>
            <w:r>
              <w:rPr>
                <w:rFonts w:ascii="Arial" w:cs="Arial" w:eastAsia="Arial" w:hAnsi="Arial"/>
                <w:sz w:val="10"/>
                <w:szCs w:val="10"/>
                <w:color w:val="54585A"/>
              </w:rPr>
              <w:t>12/2003</w:t>
            </w:r>
          </w:p>
        </w:tc>
        <w:tc>
          <w:tcPr>
            <w:tcW w:w="1260" w:type="dxa"/>
            <w:vAlign w:val="bottom"/>
            <w:tcBorders>
              <w:bottom w:val="single" w:sz="8" w:color="54585A"/>
            </w:tcBorders>
          </w:tcPr>
          <w:p>
            <w:pPr>
              <w:jc w:val="right"/>
              <w:ind w:right="532"/>
              <w:spacing w:after="0"/>
              <w:rPr>
                <w:sz w:val="20"/>
                <w:szCs w:val="20"/>
                <w:color w:val="auto"/>
              </w:rPr>
            </w:pPr>
            <w:r>
              <w:rPr>
                <w:rFonts w:ascii="Arial" w:cs="Arial" w:eastAsia="Arial" w:hAnsi="Arial"/>
                <w:sz w:val="10"/>
                <w:szCs w:val="10"/>
                <w:color w:val="54585A"/>
              </w:rPr>
              <w:t>2023</w:t>
            </w:r>
          </w:p>
        </w:tc>
        <w:tc>
          <w:tcPr>
            <w:tcW w:w="2720" w:type="dxa"/>
            <w:vAlign w:val="bottom"/>
            <w:tcBorders>
              <w:bottom w:val="single" w:sz="8" w:color="54585A"/>
            </w:tcBorders>
          </w:tcPr>
          <w:p>
            <w:pPr>
              <w:spacing w:after="0"/>
              <w:rPr>
                <w:sz w:val="11"/>
                <w:szCs w:val="11"/>
                <w:color w:val="auto"/>
              </w:rPr>
            </w:pPr>
          </w:p>
        </w:tc>
        <w:tc>
          <w:tcPr>
            <w:tcW w:w="1420" w:type="dxa"/>
            <w:vAlign w:val="bottom"/>
            <w:tcBorders>
              <w:bottom w:val="single" w:sz="8" w:color="54585A"/>
            </w:tcBorders>
          </w:tcPr>
          <w:p>
            <w:pPr>
              <w:spacing w:after="0"/>
              <w:rPr>
                <w:sz w:val="11"/>
                <w:szCs w:val="11"/>
                <w:color w:val="auto"/>
              </w:rPr>
            </w:pPr>
          </w:p>
        </w:tc>
        <w:tc>
          <w:tcPr>
            <w:tcW w:w="142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Timothy E. Taylor</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B</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12/2018</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2023</w:t>
            </w:r>
          </w:p>
        </w:tc>
        <w:tc>
          <w:tcPr>
            <w:tcW w:w="2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ind w:left="680"/>
              <w:spacing w:after="0" w:line="174"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104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280" w:type="dxa"/>
            <w:vAlign w:val="bottom"/>
            <w:tcBorders>
              <w:bottom w:val="single" w:sz="8" w:color="54585A"/>
            </w:tcBorders>
          </w:tcPr>
          <w:p>
            <w:pPr>
              <w:spacing w:after="0"/>
              <w:rPr>
                <w:sz w:val="7"/>
                <w:szCs w:val="7"/>
                <w:color w:val="auto"/>
              </w:rPr>
            </w:pPr>
          </w:p>
        </w:tc>
        <w:tc>
          <w:tcPr>
            <w:tcW w:w="1260" w:type="dxa"/>
            <w:vAlign w:val="bottom"/>
            <w:tcBorders>
              <w:bottom w:val="single" w:sz="8" w:color="54585A"/>
            </w:tcBorders>
          </w:tcPr>
          <w:p>
            <w:pPr>
              <w:spacing w:after="0"/>
              <w:rPr>
                <w:sz w:val="7"/>
                <w:szCs w:val="7"/>
                <w:color w:val="auto"/>
              </w:rPr>
            </w:pPr>
          </w:p>
        </w:tc>
        <w:tc>
          <w:tcPr>
            <w:tcW w:w="27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William A. Hasler</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C</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07/2009</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2024</w:t>
            </w:r>
          </w:p>
        </w:tc>
        <w:tc>
          <w:tcPr>
            <w:tcW w:w="2720" w:type="dxa"/>
            <w:vAlign w:val="bottom"/>
          </w:tcPr>
          <w:p>
            <w:pPr>
              <w:ind w:left="560"/>
              <w:spacing w:after="0" w:line="169" w:lineRule="exact"/>
              <w:rPr>
                <w:sz w:val="20"/>
                <w:szCs w:val="20"/>
                <w:color w:val="auto"/>
              </w:rPr>
            </w:pPr>
            <w:r>
              <w:rPr>
                <w:rFonts w:ascii="Arial" w:cs="Arial" w:eastAsia="Arial" w:hAnsi="Arial"/>
                <w:sz w:val="19"/>
                <w:szCs w:val="19"/>
                <w:b w:val="1"/>
                <w:bCs w:val="1"/>
                <w:color w:val="EB6C10"/>
              </w:rPr>
              <w:t>•</w:t>
            </w:r>
          </w:p>
        </w:tc>
        <w:tc>
          <w:tcPr>
            <w:tcW w:w="1420" w:type="dxa"/>
            <w:vAlign w:val="bottom"/>
          </w:tcPr>
          <w:p>
            <w:pPr>
              <w:spacing w:after="0"/>
              <w:rPr>
                <w:sz w:val="14"/>
                <w:szCs w:val="14"/>
                <w:color w:val="auto"/>
              </w:rPr>
            </w:pP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104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280" w:type="dxa"/>
            <w:vAlign w:val="bottom"/>
            <w:tcBorders>
              <w:bottom w:val="single" w:sz="8" w:color="54585A"/>
            </w:tcBorders>
          </w:tcPr>
          <w:p>
            <w:pPr>
              <w:spacing w:after="0"/>
              <w:rPr>
                <w:sz w:val="7"/>
                <w:szCs w:val="7"/>
                <w:color w:val="auto"/>
              </w:rPr>
            </w:pPr>
          </w:p>
        </w:tc>
        <w:tc>
          <w:tcPr>
            <w:tcW w:w="1260" w:type="dxa"/>
            <w:vAlign w:val="bottom"/>
            <w:tcBorders>
              <w:bottom w:val="single" w:sz="8" w:color="54585A"/>
            </w:tcBorders>
          </w:tcPr>
          <w:p>
            <w:pPr>
              <w:spacing w:after="0"/>
              <w:rPr>
                <w:sz w:val="7"/>
                <w:szCs w:val="7"/>
                <w:color w:val="auto"/>
              </w:rPr>
            </w:pPr>
          </w:p>
        </w:tc>
        <w:tc>
          <w:tcPr>
            <w:tcW w:w="27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James Monroe III</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C</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12/2003</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2024</w:t>
            </w:r>
          </w:p>
        </w:tc>
        <w:tc>
          <w:tcPr>
            <w:tcW w:w="2720" w:type="dxa"/>
            <w:vAlign w:val="bottom"/>
          </w:tcPr>
          <w:p>
            <w:pPr>
              <w:ind w:left="1980"/>
              <w:spacing w:after="0" w:line="169" w:lineRule="exact"/>
              <w:rPr>
                <w:sz w:val="20"/>
                <w:szCs w:val="20"/>
                <w:color w:val="auto"/>
              </w:rPr>
            </w:pPr>
            <w:r>
              <w:rPr>
                <w:rFonts w:ascii="Arial" w:cs="Arial" w:eastAsia="Arial" w:hAnsi="Arial"/>
                <w:sz w:val="19"/>
                <w:szCs w:val="19"/>
                <w:b w:val="1"/>
                <w:bCs w:val="1"/>
                <w:color w:val="EB6C10"/>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EB6C10"/>
              </w:rPr>
              <w: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1040" w:type="dxa"/>
            <w:vAlign w:val="bottom"/>
            <w:tcBorders>
              <w:bottom w:val="single" w:sz="8" w:color="54585A"/>
            </w:tcBorders>
          </w:tcPr>
          <w:p>
            <w:pPr>
              <w:spacing w:after="0"/>
              <w:rPr>
                <w:sz w:val="6"/>
                <w:szCs w:val="6"/>
                <w:color w:val="auto"/>
              </w:rPr>
            </w:pPr>
          </w:p>
        </w:tc>
        <w:tc>
          <w:tcPr>
            <w:tcW w:w="2160" w:type="dxa"/>
            <w:vAlign w:val="bottom"/>
            <w:tcBorders>
              <w:bottom w:val="single" w:sz="8" w:color="54585A"/>
            </w:tcBorders>
          </w:tcPr>
          <w:p>
            <w:pPr>
              <w:spacing w:after="0"/>
              <w:rPr>
                <w:sz w:val="6"/>
                <w:szCs w:val="6"/>
                <w:color w:val="auto"/>
              </w:rPr>
            </w:pPr>
          </w:p>
        </w:tc>
        <w:tc>
          <w:tcPr>
            <w:tcW w:w="1280" w:type="dxa"/>
            <w:vAlign w:val="bottom"/>
            <w:tcBorders>
              <w:bottom w:val="single" w:sz="8" w:color="54585A"/>
            </w:tcBorders>
          </w:tcPr>
          <w:p>
            <w:pPr>
              <w:spacing w:after="0"/>
              <w:rPr>
                <w:sz w:val="6"/>
                <w:szCs w:val="6"/>
                <w:color w:val="auto"/>
              </w:rPr>
            </w:pPr>
          </w:p>
        </w:tc>
        <w:tc>
          <w:tcPr>
            <w:tcW w:w="1260" w:type="dxa"/>
            <w:vAlign w:val="bottom"/>
            <w:tcBorders>
              <w:bottom w:val="single" w:sz="8" w:color="54585A"/>
            </w:tcBorders>
          </w:tcPr>
          <w:p>
            <w:pPr>
              <w:spacing w:after="0"/>
              <w:rPr>
                <w:sz w:val="6"/>
                <w:szCs w:val="6"/>
                <w:color w:val="auto"/>
              </w:rPr>
            </w:pPr>
          </w:p>
        </w:tc>
        <w:tc>
          <w:tcPr>
            <w:tcW w:w="27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Arial" w:cs="Arial" w:eastAsia="Arial" w:hAnsi="Arial"/>
                <w:sz w:val="10"/>
                <w:szCs w:val="10"/>
                <w:b w:val="1"/>
                <w:bCs w:val="1"/>
                <w:color w:val="EB6C10"/>
              </w:rPr>
              <w:t>Michael J. Lovett</w:t>
            </w:r>
          </w:p>
        </w:tc>
        <w:tc>
          <w:tcPr>
            <w:tcW w:w="2160" w:type="dxa"/>
            <w:vAlign w:val="bottom"/>
            <w:vMerge w:val="restart"/>
          </w:tcPr>
          <w:p>
            <w:pPr>
              <w:ind w:left="1600"/>
              <w:spacing w:after="0"/>
              <w:rPr>
                <w:sz w:val="20"/>
                <w:szCs w:val="20"/>
                <w:color w:val="auto"/>
              </w:rPr>
            </w:pPr>
            <w:r>
              <w:rPr>
                <w:rFonts w:ascii="Arial" w:cs="Arial" w:eastAsia="Arial" w:hAnsi="Arial"/>
                <w:sz w:val="10"/>
                <w:szCs w:val="10"/>
                <w:color w:val="54585A"/>
              </w:rPr>
              <w:t>C</w:t>
            </w:r>
          </w:p>
        </w:tc>
        <w:tc>
          <w:tcPr>
            <w:tcW w:w="1280" w:type="dxa"/>
            <w:vAlign w:val="bottom"/>
            <w:vMerge w:val="restart"/>
          </w:tcPr>
          <w:p>
            <w:pPr>
              <w:jc w:val="right"/>
              <w:ind w:right="392"/>
              <w:spacing w:after="0"/>
              <w:rPr>
                <w:sz w:val="20"/>
                <w:szCs w:val="20"/>
                <w:color w:val="auto"/>
              </w:rPr>
            </w:pPr>
            <w:r>
              <w:rPr>
                <w:rFonts w:ascii="Arial" w:cs="Arial" w:eastAsia="Arial" w:hAnsi="Arial"/>
                <w:sz w:val="10"/>
                <w:szCs w:val="10"/>
                <w:color w:val="54585A"/>
              </w:rPr>
              <w:t>12/2018</w:t>
            </w:r>
          </w:p>
        </w:tc>
        <w:tc>
          <w:tcPr>
            <w:tcW w:w="1260" w:type="dxa"/>
            <w:vAlign w:val="bottom"/>
            <w:vMerge w:val="restart"/>
          </w:tcPr>
          <w:p>
            <w:pPr>
              <w:jc w:val="right"/>
              <w:ind w:right="532"/>
              <w:spacing w:after="0"/>
              <w:rPr>
                <w:sz w:val="20"/>
                <w:szCs w:val="20"/>
                <w:color w:val="auto"/>
              </w:rPr>
            </w:pPr>
            <w:r>
              <w:rPr>
                <w:rFonts w:ascii="Arial" w:cs="Arial" w:eastAsia="Arial" w:hAnsi="Arial"/>
                <w:sz w:val="10"/>
                <w:szCs w:val="10"/>
                <w:color w:val="54585A"/>
              </w:rPr>
              <w:t>2024</w:t>
            </w:r>
          </w:p>
        </w:tc>
        <w:tc>
          <w:tcPr>
            <w:tcW w:w="2720" w:type="dxa"/>
            <w:vAlign w:val="bottom"/>
          </w:tcPr>
          <w:p>
            <w:pPr>
              <w:ind w:left="56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104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280" w:type="dxa"/>
            <w:vAlign w:val="bottom"/>
            <w:tcBorders>
              <w:bottom w:val="single" w:sz="8" w:color="54585A"/>
            </w:tcBorders>
          </w:tcPr>
          <w:p>
            <w:pPr>
              <w:spacing w:after="0"/>
              <w:rPr>
                <w:sz w:val="7"/>
                <w:szCs w:val="7"/>
                <w:color w:val="auto"/>
              </w:rPr>
            </w:pPr>
          </w:p>
        </w:tc>
        <w:tc>
          <w:tcPr>
            <w:tcW w:w="1260" w:type="dxa"/>
            <w:vAlign w:val="bottom"/>
            <w:tcBorders>
              <w:bottom w:val="single" w:sz="8" w:color="54585A"/>
            </w:tcBorders>
          </w:tcPr>
          <w:p>
            <w:pPr>
              <w:spacing w:after="0"/>
              <w:rPr>
                <w:sz w:val="7"/>
                <w:szCs w:val="7"/>
                <w:color w:val="auto"/>
              </w:rPr>
            </w:pPr>
          </w:p>
        </w:tc>
        <w:tc>
          <w:tcPr>
            <w:tcW w:w="27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1040" w:type="dxa"/>
            <w:vAlign w:val="bottom"/>
          </w:tcPr>
          <w:p>
            <w:pPr>
              <w:ind w:left="100"/>
              <w:spacing w:after="0"/>
              <w:rPr>
                <w:sz w:val="20"/>
                <w:szCs w:val="20"/>
                <w:color w:val="auto"/>
              </w:rPr>
            </w:pPr>
            <w:r>
              <w:rPr>
                <w:rFonts w:ascii="Arial" w:cs="Arial" w:eastAsia="Arial" w:hAnsi="Arial"/>
                <w:sz w:val="22"/>
                <w:szCs w:val="22"/>
                <w:b w:val="1"/>
                <w:bCs w:val="1"/>
                <w:color w:val="EB6C10"/>
              </w:rPr>
              <w:t xml:space="preserve">• </w:t>
            </w:r>
            <w:r>
              <w:rPr>
                <w:rFonts w:ascii="Arial" w:cs="Arial" w:eastAsia="Arial" w:hAnsi="Arial"/>
                <w:sz w:val="9"/>
                <w:szCs w:val="9"/>
                <w:color w:val="54585A"/>
              </w:rPr>
              <w:t>Chair</w:t>
            </w:r>
          </w:p>
        </w:tc>
        <w:tc>
          <w:tcPr>
            <w:tcW w:w="2160" w:type="dxa"/>
            <w:vAlign w:val="bottom"/>
          </w:tcPr>
          <w:p>
            <w:pPr>
              <w:ind w:left="200"/>
              <w:spacing w:after="0"/>
              <w:rPr>
                <w:sz w:val="20"/>
                <w:szCs w:val="20"/>
                <w:color w:val="auto"/>
              </w:rPr>
            </w:pPr>
            <w:r>
              <w:rPr>
                <w:rFonts w:ascii="Arial" w:cs="Arial" w:eastAsia="Arial" w:hAnsi="Arial"/>
                <w:sz w:val="22"/>
                <w:szCs w:val="22"/>
                <w:b w:val="1"/>
                <w:bCs w:val="1"/>
                <w:color w:val="54585A"/>
              </w:rPr>
              <w:t xml:space="preserve">• </w:t>
            </w:r>
            <w:r>
              <w:rPr>
                <w:rFonts w:ascii="Arial" w:cs="Arial" w:eastAsia="Arial" w:hAnsi="Arial"/>
                <w:sz w:val="9"/>
                <w:szCs w:val="9"/>
                <w:color w:val="54585A"/>
              </w:rPr>
              <w:t>Member</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474980</wp:posOffset>
            </wp:positionV>
            <wp:extent cx="942975" cy="942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100" w:right="160"/>
        <w:spacing w:after="0" w:line="330" w:lineRule="auto"/>
        <w:rPr>
          <w:sz w:val="20"/>
          <w:szCs w:val="20"/>
          <w:color w:val="auto"/>
        </w:rPr>
      </w:pPr>
      <w:r>
        <w:rPr>
          <w:rFonts w:ascii="Arial" w:cs="Arial" w:eastAsia="Arial" w:hAnsi="Arial"/>
          <w:sz w:val="11"/>
          <w:szCs w:val="11"/>
          <w:b w:val="1"/>
          <w:bCs w:val="1"/>
          <w:color w:val="54585A"/>
        </w:rPr>
        <w:t xml:space="preserve">Mr. Cowan’s </w:t>
      </w:r>
      <w:r>
        <w:rPr>
          <w:rFonts w:ascii="Arial" w:cs="Arial" w:eastAsia="Arial" w:hAnsi="Arial"/>
          <w:sz w:val="11"/>
          <w:szCs w:val="11"/>
          <w:color w:val="54585A"/>
        </w:rPr>
        <w:t>extensive experience in the telecommunications industry and global business development provides important insight in the launch and expansion of our</w:t>
      </w:r>
      <w:r>
        <w:rPr>
          <w:rFonts w:ascii="Arial" w:cs="Arial" w:eastAsia="Arial" w:hAnsi="Arial"/>
          <w:sz w:val="11"/>
          <w:szCs w:val="11"/>
          <w:b w:val="1"/>
          <w:bCs w:val="1"/>
          <w:color w:val="54585A"/>
        </w:rPr>
        <w:t xml:space="preserve"> </w:t>
      </w:r>
      <w:r>
        <w:rPr>
          <w:rFonts w:ascii="Arial" w:cs="Arial" w:eastAsia="Arial" w:hAnsi="Arial"/>
          <w:sz w:val="11"/>
          <w:szCs w:val="11"/>
          <w:color w:val="54585A"/>
        </w:rPr>
        <w:t>products, services and networks. Mr. Cowan has served as a board member of over a dozen private companies, three public companies and numerous not-for-profit and civic organizations.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1"/>
          <w:szCs w:val="11"/>
          <w:b w:val="1"/>
          <w:bCs w:val="1"/>
          <w:color w:val="EB6C10"/>
        </w:rPr>
        <w:t>Mr. Cowan's current and prior experience includes /</w:t>
      </w:r>
    </w:p>
    <w:p>
      <w:pPr>
        <w:sectPr>
          <w:pgSz w:w="11900" w:h="16838" w:orient="portrait"/>
          <w:cols w:equalWidth="0" w:num="1">
            <w:col w:w="11300"/>
          </w:cols>
          <w:pgMar w:left="30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color w:val="EB6C10"/>
        </w:rPr>
        <w:t>Keith O. Cowan</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66</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623570</wp:posOffset>
            </wp:positionV>
            <wp:extent cx="1714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00" w:hanging="100"/>
        <w:spacing w:after="0"/>
        <w:tabs>
          <w:tab w:leader="none" w:pos="100" w:val="left"/>
        </w:tabs>
        <w:numPr>
          <w:ilvl w:val="0"/>
          <w:numId w:val="14"/>
        </w:numPr>
        <w:rPr>
          <w:rFonts w:ascii="Arial" w:cs="Arial" w:eastAsia="Arial" w:hAnsi="Arial"/>
          <w:sz w:val="11"/>
          <w:szCs w:val="11"/>
          <w:color w:val="54585A"/>
        </w:rPr>
      </w:pPr>
      <w:r>
        <w:rPr>
          <w:rFonts w:ascii="Arial" w:cs="Arial" w:eastAsia="Arial" w:hAnsi="Arial"/>
          <w:sz w:val="11"/>
          <w:szCs w:val="11"/>
          <w:color w:val="54585A"/>
        </w:rPr>
        <w:t>Chief Development Officer of Rivada Networks, Inc. - August 2020 to present</w:t>
      </w:r>
    </w:p>
    <w:p>
      <w:pPr>
        <w:spacing w:after="0" w:line="116" w:lineRule="exact"/>
        <w:rPr>
          <w:rFonts w:ascii="Arial" w:cs="Arial" w:eastAsia="Arial" w:hAnsi="Arial"/>
          <w:sz w:val="11"/>
          <w:szCs w:val="11"/>
          <w:color w:val="54585A"/>
        </w:rPr>
      </w:pPr>
    </w:p>
    <w:p>
      <w:pPr>
        <w:ind w:left="100" w:hanging="100"/>
        <w:spacing w:after="0"/>
        <w:tabs>
          <w:tab w:leader="none" w:pos="100" w:val="left"/>
        </w:tabs>
        <w:numPr>
          <w:ilvl w:val="0"/>
          <w:numId w:val="14"/>
        </w:numPr>
        <w:rPr>
          <w:rFonts w:ascii="Arial" w:cs="Arial" w:eastAsia="Arial" w:hAnsi="Arial"/>
          <w:sz w:val="11"/>
          <w:szCs w:val="11"/>
          <w:color w:val="54585A"/>
        </w:rPr>
      </w:pPr>
      <w:r>
        <w:rPr>
          <w:rFonts w:ascii="Arial" w:cs="Arial" w:eastAsia="Arial" w:hAnsi="Arial"/>
          <w:sz w:val="11"/>
          <w:szCs w:val="11"/>
          <w:color w:val="54585A"/>
        </w:rPr>
        <w:t>Chief Executive Officer of Cowan Consulting Corporation LLC - January 2013 to present</w:t>
      </w:r>
    </w:p>
    <w:p>
      <w:pPr>
        <w:spacing w:after="0" w:line="107" w:lineRule="exact"/>
        <w:rPr>
          <w:rFonts w:ascii="Arial" w:cs="Arial" w:eastAsia="Arial" w:hAnsi="Arial"/>
          <w:sz w:val="11"/>
          <w:szCs w:val="11"/>
          <w:color w:val="54585A"/>
        </w:rPr>
      </w:pPr>
    </w:p>
    <w:p>
      <w:pPr>
        <w:ind w:left="100" w:hanging="100"/>
        <w:spacing w:after="0"/>
        <w:tabs>
          <w:tab w:leader="none" w:pos="100" w:val="left"/>
        </w:tabs>
        <w:numPr>
          <w:ilvl w:val="0"/>
          <w:numId w:val="14"/>
        </w:numPr>
        <w:rPr>
          <w:rFonts w:ascii="Arial" w:cs="Arial" w:eastAsia="Arial" w:hAnsi="Arial"/>
          <w:sz w:val="11"/>
          <w:szCs w:val="11"/>
          <w:color w:val="54585A"/>
        </w:rPr>
      </w:pPr>
      <w:r>
        <w:rPr>
          <w:rFonts w:ascii="Arial" w:cs="Arial" w:eastAsia="Arial" w:hAnsi="Arial"/>
          <w:sz w:val="11"/>
          <w:szCs w:val="11"/>
          <w:color w:val="54585A"/>
        </w:rPr>
        <w:t>Chief Executive Officer of NVR3 LLC (dba Venadar) - September 2019 to present</w:t>
      </w:r>
    </w:p>
    <w:p>
      <w:pPr>
        <w:spacing w:after="0" w:line="116" w:lineRule="exact"/>
        <w:rPr>
          <w:rFonts w:ascii="Arial" w:cs="Arial" w:eastAsia="Arial" w:hAnsi="Arial"/>
          <w:sz w:val="11"/>
          <w:szCs w:val="11"/>
          <w:color w:val="54585A"/>
        </w:rPr>
      </w:pPr>
    </w:p>
    <w:p>
      <w:pPr>
        <w:ind w:left="100" w:hanging="100"/>
        <w:spacing w:after="0"/>
        <w:tabs>
          <w:tab w:leader="none" w:pos="100" w:val="left"/>
        </w:tabs>
        <w:numPr>
          <w:ilvl w:val="0"/>
          <w:numId w:val="14"/>
        </w:numPr>
        <w:rPr>
          <w:rFonts w:ascii="Arial" w:cs="Arial" w:eastAsia="Arial" w:hAnsi="Arial"/>
          <w:sz w:val="11"/>
          <w:szCs w:val="11"/>
          <w:color w:val="54585A"/>
        </w:rPr>
      </w:pPr>
      <w:r>
        <w:rPr>
          <w:rFonts w:ascii="Arial" w:cs="Arial" w:eastAsia="Arial" w:hAnsi="Arial"/>
          <w:sz w:val="11"/>
          <w:szCs w:val="11"/>
          <w:color w:val="54585A"/>
        </w:rPr>
        <w:t>President of Strategic Planning and Corporate Initiatives at Sprint Corporation - July 2007 to January 2013</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54585A"/>
        </w:rPr>
        <w:t>• Board Member - Aegex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54585A"/>
        </w:rPr>
        <w:t xml:space="preserve">Globalstar Proxy Statement 2023 </w:t>
      </w:r>
      <w:r>
        <w:rPr>
          <w:rFonts w:ascii="Arial" w:cs="Arial" w:eastAsia="Arial" w:hAnsi="Arial"/>
          <w:sz w:val="11"/>
          <w:szCs w:val="11"/>
          <w:b w:val="1"/>
          <w:bCs w:val="1"/>
          <w:color w:val="EB6C10"/>
        </w:rPr>
        <w:t>/</w:t>
      </w:r>
      <w:r>
        <w:rPr>
          <w:rFonts w:ascii="Arial" w:cs="Arial" w:eastAsia="Arial" w:hAnsi="Arial"/>
          <w:sz w:val="10"/>
          <w:szCs w:val="10"/>
          <w:color w:val="54585A"/>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150495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480" w:space="720"/>
            <w:col w:w="8100"/>
          </w:cols>
          <w:pgMar w:left="300" w:top="125" w:right="299" w:bottom="1440" w:gutter="0" w:footer="0" w:header="0"/>
          <w:type w:val="continuous"/>
        </w:sectPr>
      </w:pPr>
    </w:p>
    <w:bookmarkStart w:id="10" w:name="page11"/>
    <w:bookmarkEnd w:id="10"/>
    <w:p>
      <w:pPr>
        <w:ind w:left="68" w:hanging="68"/>
        <w:spacing w:after="0"/>
        <w:tabs>
          <w:tab w:leader="none" w:pos="68" w:val="left"/>
        </w:tabs>
        <w:numPr>
          <w:ilvl w:val="0"/>
          <w:numId w:val="15"/>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708025</wp:posOffset>
            </wp:positionV>
            <wp:extent cx="942975" cy="942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8"/>
        <w:spacing w:after="0" w:line="336" w:lineRule="auto"/>
        <w:rPr>
          <w:sz w:val="20"/>
          <w:szCs w:val="20"/>
          <w:color w:val="auto"/>
        </w:rPr>
      </w:pPr>
      <w:r>
        <w:rPr>
          <w:rFonts w:ascii="Arial" w:cs="Arial" w:eastAsia="Arial" w:hAnsi="Arial"/>
          <w:sz w:val="11"/>
          <w:szCs w:val="11"/>
          <w:b w:val="1"/>
          <w:bCs w:val="1"/>
          <w:color w:val="54585A"/>
        </w:rPr>
        <w:t xml:space="preserve">Mr. Wolff </w:t>
      </w:r>
      <w:r>
        <w:rPr>
          <w:rFonts w:ascii="Arial" w:cs="Arial" w:eastAsia="Arial" w:hAnsi="Arial"/>
          <w:sz w:val="11"/>
          <w:szCs w:val="11"/>
          <w:color w:val="54585A"/>
        </w:rPr>
        <w:t>provides the Board with strong knowledge and insight into the telecommunications market in the United States and abroad and extensive experience in capital</w:t>
      </w:r>
      <w:r>
        <w:rPr>
          <w:rFonts w:ascii="Arial" w:cs="Arial" w:eastAsia="Arial" w:hAnsi="Arial"/>
          <w:sz w:val="11"/>
          <w:szCs w:val="11"/>
          <w:b w:val="1"/>
          <w:bCs w:val="1"/>
          <w:color w:val="54585A"/>
        </w:rPr>
        <w:t xml:space="preserve"> </w:t>
      </w:r>
      <w:r>
        <w:rPr>
          <w:rFonts w:ascii="Arial" w:cs="Arial" w:eastAsia="Arial" w:hAnsi="Arial"/>
          <w:sz w:val="11"/>
          <w:szCs w:val="11"/>
          <w:color w:val="54585A"/>
        </w:rPr>
        <w:t>markets transactions. Mr. Wolff has served as a member of the board of directors of various telecom and technology companies.</w:t>
      </w:r>
    </w:p>
    <w:p>
      <w:pPr>
        <w:spacing w:after="0" w:line="87" w:lineRule="exact"/>
        <w:rPr>
          <w:sz w:val="20"/>
          <w:szCs w:val="20"/>
          <w:color w:val="auto"/>
        </w:rPr>
      </w:pPr>
    </w:p>
    <w:p>
      <w:pPr>
        <w:ind w:left="3108"/>
        <w:spacing w:after="0"/>
        <w:rPr>
          <w:sz w:val="20"/>
          <w:szCs w:val="20"/>
          <w:color w:val="auto"/>
        </w:rPr>
      </w:pPr>
      <w:r>
        <w:rPr>
          <w:rFonts w:ascii="Arial" w:cs="Arial" w:eastAsia="Arial" w:hAnsi="Arial"/>
          <w:sz w:val="11"/>
          <w:szCs w:val="11"/>
          <w:b w:val="1"/>
          <w:bCs w:val="1"/>
          <w:color w:val="EB6C10"/>
        </w:rPr>
        <w:t>Mr. Wolff's current and prior experience includes /</w:t>
      </w:r>
    </w:p>
    <w:p>
      <w:pPr>
        <w:spacing w:after="0" w:line="112" w:lineRule="exact"/>
        <w:rPr>
          <w:sz w:val="20"/>
          <w:szCs w:val="20"/>
          <w:color w:val="auto"/>
        </w:rPr>
      </w:pPr>
    </w:p>
    <w:p>
      <w:pPr>
        <w:ind w:left="3308" w:hanging="100"/>
        <w:spacing w:after="0" w:line="345" w:lineRule="auto"/>
        <w:tabs>
          <w:tab w:leader="none" w:pos="330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Co-Founder of and Board Member Sarcos Technology and Robotics Corporation - 2023 to present (formerly Chairman, President and CEO from 2015 through 2021 and Executive Chairman from 2021 through 2022)</w:t>
      </w:r>
    </w:p>
    <w:p>
      <w:pPr>
        <w:spacing w:after="0" w:line="41" w:lineRule="exact"/>
        <w:rPr>
          <w:rFonts w:ascii="Arial" w:cs="Arial" w:eastAsia="Arial" w:hAnsi="Arial"/>
          <w:sz w:val="11"/>
          <w:szCs w:val="11"/>
          <w:color w:val="54585A"/>
        </w:rPr>
      </w:pPr>
    </w:p>
    <w:p>
      <w:pPr>
        <w:ind w:left="3308" w:hanging="100"/>
        <w:spacing w:after="0"/>
        <w:tabs>
          <w:tab w:leader="none" w:pos="330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President of Eagle River Investments - 2003 to 2014</w:t>
      </w:r>
    </w:p>
    <w:p>
      <w:pPr>
        <w:spacing w:after="0" w:line="116" w:lineRule="exact"/>
        <w:rPr>
          <w:rFonts w:ascii="Arial" w:cs="Arial" w:eastAsia="Arial" w:hAnsi="Arial"/>
          <w:sz w:val="11"/>
          <w:szCs w:val="11"/>
          <w:color w:val="54585A"/>
        </w:rPr>
      </w:pPr>
    </w:p>
    <w:p>
      <w:pPr>
        <w:ind w:left="3308" w:hanging="100"/>
        <w:spacing w:after="0"/>
        <w:tabs>
          <w:tab w:leader="none" w:pos="3308" w:val="left"/>
        </w:tabs>
        <w:numPr>
          <w:ilvl w:val="0"/>
          <w:numId w:val="16"/>
        </w:numPr>
        <w:rPr>
          <w:rFonts w:ascii="Arial" w:cs="Arial" w:eastAsia="Arial" w:hAnsi="Arial"/>
          <w:sz w:val="10"/>
          <w:szCs w:val="10"/>
          <w:color w:val="54585A"/>
        </w:rPr>
      </w:pPr>
      <w:r>
        <w:rPr>
          <w:rFonts w:ascii="Arial" w:cs="Arial" w:eastAsia="Arial" w:hAnsi="Arial"/>
          <w:sz w:val="10"/>
          <w:szCs w:val="10"/>
          <w:color w:val="54585A"/>
        </w:rPr>
        <w:t>Co-Founder of Clearwire Corporation (served in various capacities including President, CEO, Co-Chairman and member of the Board of Directors) - 2003 to 2011</w:t>
      </w:r>
    </w:p>
    <w:p>
      <w:pPr>
        <w:spacing w:after="0" w:line="110" w:lineRule="exact"/>
        <w:rPr>
          <w:rFonts w:ascii="Arial" w:cs="Arial" w:eastAsia="Arial" w:hAnsi="Arial"/>
          <w:sz w:val="10"/>
          <w:szCs w:val="10"/>
          <w:color w:val="54585A"/>
        </w:rPr>
      </w:pPr>
    </w:p>
    <w:p>
      <w:pPr>
        <w:ind w:left="3308" w:hanging="100"/>
        <w:spacing w:after="0"/>
        <w:tabs>
          <w:tab w:leader="none" w:pos="330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Chief Executive Officer, President and Chairman of Pendrell Corporation (formerly known as ICO Global Communications) - 2009 to 2014</w:t>
      </w:r>
    </w:p>
    <w:p>
      <w:pPr>
        <w:ind w:left="8"/>
        <w:spacing w:after="0"/>
        <w:rPr>
          <w:sz w:val="20"/>
          <w:szCs w:val="20"/>
          <w:color w:val="auto"/>
        </w:rPr>
      </w:pPr>
      <w:r>
        <w:rPr>
          <w:rFonts w:ascii="Arial" w:cs="Arial" w:eastAsia="Arial" w:hAnsi="Arial"/>
          <w:sz w:val="17"/>
          <w:szCs w:val="17"/>
          <w:b w:val="1"/>
          <w:bCs w:val="1"/>
          <w:color w:val="EB6C10"/>
        </w:rPr>
        <w:t>Benjamin G. Wolff</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Age / 54</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715010</wp:posOffset>
            </wp:positionV>
            <wp:extent cx="942975" cy="942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108"/>
        <w:spacing w:after="0"/>
        <w:rPr>
          <w:sz w:val="20"/>
          <w:szCs w:val="20"/>
          <w:color w:val="auto"/>
        </w:rPr>
      </w:pPr>
      <w:r>
        <w:rPr>
          <w:rFonts w:ascii="Arial" w:cs="Arial" w:eastAsia="Arial" w:hAnsi="Arial"/>
          <w:sz w:val="11"/>
          <w:szCs w:val="11"/>
          <w:b w:val="1"/>
          <w:bCs w:val="1"/>
          <w:color w:val="54585A"/>
        </w:rPr>
        <w:t xml:space="preserve">Mr. Lynch </w:t>
      </w:r>
      <w:r>
        <w:rPr>
          <w:rFonts w:ascii="Arial" w:cs="Arial" w:eastAsia="Arial" w:hAnsi="Arial"/>
          <w:sz w:val="11"/>
          <w:szCs w:val="11"/>
          <w:color w:val="54585A"/>
        </w:rPr>
        <w:t>brings extensive financial management experience, especially in the telecom industry, to the Board.</w:t>
      </w:r>
    </w:p>
    <w:p>
      <w:pPr>
        <w:spacing w:after="0" w:line="144" w:lineRule="exact"/>
        <w:rPr>
          <w:sz w:val="20"/>
          <w:szCs w:val="20"/>
          <w:color w:val="auto"/>
        </w:rPr>
      </w:pPr>
    </w:p>
    <w:p>
      <w:pPr>
        <w:ind w:left="3108"/>
        <w:spacing w:after="0"/>
        <w:rPr>
          <w:sz w:val="20"/>
          <w:szCs w:val="20"/>
          <w:color w:val="auto"/>
        </w:rPr>
      </w:pPr>
      <w:r>
        <w:rPr>
          <w:rFonts w:ascii="Arial" w:cs="Arial" w:eastAsia="Arial" w:hAnsi="Arial"/>
          <w:sz w:val="11"/>
          <w:szCs w:val="11"/>
          <w:b w:val="1"/>
          <w:bCs w:val="1"/>
          <w:color w:val="EB6C10"/>
        </w:rPr>
        <w:t>Mr. Lynch's current and prior experience includes /</w:t>
      </w:r>
    </w:p>
    <w:p>
      <w:pPr>
        <w:spacing w:after="0" w:line="121" w:lineRule="exact"/>
        <w:rPr>
          <w:sz w:val="20"/>
          <w:szCs w:val="20"/>
          <w:color w:val="auto"/>
        </w:rPr>
      </w:pPr>
    </w:p>
    <w:p>
      <w:pPr>
        <w:ind w:left="3308" w:hanging="100"/>
        <w:spacing w:after="0"/>
        <w:tabs>
          <w:tab w:leader="none" w:pos="3308"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Managing Partner of Thermo Capital Partners, L.L.C. - October 2021 to present</w:t>
      </w:r>
    </w:p>
    <w:p>
      <w:pPr>
        <w:spacing w:after="0" w:line="116" w:lineRule="exact"/>
        <w:rPr>
          <w:rFonts w:ascii="Arial" w:cs="Arial" w:eastAsia="Arial" w:hAnsi="Arial"/>
          <w:sz w:val="11"/>
          <w:szCs w:val="11"/>
          <w:color w:val="54585A"/>
        </w:rPr>
      </w:pPr>
    </w:p>
    <w:p>
      <w:pPr>
        <w:ind w:left="3308" w:hanging="100"/>
        <w:spacing w:after="0"/>
        <w:tabs>
          <w:tab w:leader="none" w:pos="3308"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Executive Chairman of FiberLight, LLC - 2017 to present (formerly CEO from 2015 through 2017)</w:t>
      </w:r>
    </w:p>
    <w:p>
      <w:pPr>
        <w:spacing w:after="0" w:line="107" w:lineRule="exact"/>
        <w:rPr>
          <w:rFonts w:ascii="Arial" w:cs="Arial" w:eastAsia="Arial" w:hAnsi="Arial"/>
          <w:sz w:val="11"/>
          <w:szCs w:val="11"/>
          <w:color w:val="54585A"/>
        </w:rPr>
      </w:pPr>
    </w:p>
    <w:p>
      <w:pPr>
        <w:ind w:left="3308" w:hanging="100"/>
        <w:spacing w:after="0"/>
        <w:tabs>
          <w:tab w:leader="none" w:pos="3308"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Chairman of Xspedius Communications, LLC - January 2005 through October 2006 (formerly CEO from August 2005 through March 2006)</w:t>
      </w:r>
    </w:p>
    <w:p>
      <w:pPr>
        <w:spacing w:after="0" w:line="116" w:lineRule="exact"/>
        <w:rPr>
          <w:rFonts w:ascii="Arial" w:cs="Arial" w:eastAsia="Arial" w:hAnsi="Arial"/>
          <w:sz w:val="11"/>
          <w:szCs w:val="11"/>
          <w:color w:val="54585A"/>
        </w:rPr>
      </w:pPr>
    </w:p>
    <w:p>
      <w:pPr>
        <w:ind w:left="3308" w:hanging="100"/>
        <w:spacing w:after="0"/>
        <w:tabs>
          <w:tab w:leader="none" w:pos="3308"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Managing Director at Bear Stearns &amp; Co. - prior to joining Thermo</w:t>
      </w:r>
    </w:p>
    <w:p>
      <w:pPr>
        <w:spacing w:after="0" w:line="107" w:lineRule="exact"/>
        <w:rPr>
          <w:rFonts w:ascii="Arial" w:cs="Arial" w:eastAsia="Arial" w:hAnsi="Arial"/>
          <w:sz w:val="11"/>
          <w:szCs w:val="11"/>
          <w:color w:val="54585A"/>
        </w:rPr>
      </w:pPr>
    </w:p>
    <w:p>
      <w:pPr>
        <w:ind w:left="3308" w:hanging="100"/>
        <w:spacing w:after="0"/>
        <w:tabs>
          <w:tab w:leader="none" w:pos="3308"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Limited Partner of Globalstar Satellite, L.P.</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James F. Lynch</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Age / 65</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617855</wp:posOffset>
            </wp:positionV>
            <wp:extent cx="1714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8"/>
          </w:cols>
          <w:pgMar w:left="292" w:top="156" w:right="479" w:bottom="1440" w:gutter="0" w:footer="0" w:header="0"/>
        </w:sectPr>
      </w:pPr>
    </w:p>
    <w:bookmarkStart w:id="11" w:name="page12"/>
    <w:bookmarkEnd w:id="11"/>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734695</wp:posOffset>
            </wp:positionV>
            <wp:extent cx="942975" cy="942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00"/>
        <w:spacing w:after="0"/>
        <w:rPr>
          <w:sz w:val="20"/>
          <w:szCs w:val="20"/>
          <w:color w:val="auto"/>
        </w:rPr>
      </w:pPr>
      <w:r>
        <w:rPr>
          <w:rFonts w:ascii="Arial" w:cs="Arial" w:eastAsia="Arial" w:hAnsi="Arial"/>
          <w:sz w:val="11"/>
          <w:szCs w:val="11"/>
          <w:b w:val="1"/>
          <w:bCs w:val="1"/>
          <w:color w:val="54585A"/>
        </w:rPr>
        <w:t xml:space="preserve">Mr. Taylor </w:t>
      </w:r>
      <w:r>
        <w:rPr>
          <w:rFonts w:ascii="Arial" w:cs="Arial" w:eastAsia="Arial" w:hAnsi="Arial"/>
          <w:sz w:val="11"/>
          <w:szCs w:val="11"/>
          <w:color w:val="54585A"/>
        </w:rPr>
        <w:t>brings insight into the daily operations of Globalstar and management experience to the Board.</w:t>
      </w:r>
    </w:p>
    <w:p>
      <w:pPr>
        <w:spacing w:after="0" w:line="144" w:lineRule="exact"/>
        <w:rPr>
          <w:sz w:val="20"/>
          <w:szCs w:val="20"/>
          <w:color w:val="auto"/>
        </w:rPr>
      </w:pPr>
    </w:p>
    <w:p>
      <w:pPr>
        <w:ind w:left="3100"/>
        <w:spacing w:after="0"/>
        <w:rPr>
          <w:sz w:val="20"/>
          <w:szCs w:val="20"/>
          <w:color w:val="auto"/>
        </w:rPr>
      </w:pPr>
      <w:r>
        <w:rPr>
          <w:rFonts w:ascii="Arial" w:cs="Arial" w:eastAsia="Arial" w:hAnsi="Arial"/>
          <w:sz w:val="11"/>
          <w:szCs w:val="11"/>
          <w:b w:val="1"/>
          <w:bCs w:val="1"/>
          <w:color w:val="EB6C10"/>
        </w:rPr>
        <w:t>Mr. Taylor's current and prior experience includes /</w:t>
      </w:r>
    </w:p>
    <w:p>
      <w:pPr>
        <w:spacing w:after="0" w:line="121" w:lineRule="exact"/>
        <w:rPr>
          <w:sz w:val="20"/>
          <w:szCs w:val="20"/>
          <w:color w:val="auto"/>
        </w:rPr>
      </w:pPr>
    </w:p>
    <w:p>
      <w:pPr>
        <w:ind w:left="3300" w:hanging="100"/>
        <w:spacing w:after="0"/>
        <w:tabs>
          <w:tab w:leader="none" w:pos="33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Vice President, Finance, Business Operations and Strategy of Globalstar - 2010 to present</w:t>
      </w:r>
    </w:p>
    <w:p>
      <w:pPr>
        <w:spacing w:after="0" w:line="107" w:lineRule="exact"/>
        <w:rPr>
          <w:rFonts w:ascii="Arial" w:cs="Arial" w:eastAsia="Arial" w:hAnsi="Arial"/>
          <w:sz w:val="11"/>
          <w:szCs w:val="11"/>
          <w:color w:val="54585A"/>
        </w:rPr>
      </w:pPr>
    </w:p>
    <w:p>
      <w:pPr>
        <w:ind w:left="3300" w:hanging="100"/>
        <w:spacing w:after="0"/>
        <w:tabs>
          <w:tab w:leader="none" w:pos="33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Partner of The Thermo Companies - 2010 to present</w:t>
      </w:r>
    </w:p>
    <w:p>
      <w:pPr>
        <w:spacing w:after="0" w:line="116" w:lineRule="exact"/>
        <w:rPr>
          <w:rFonts w:ascii="Arial" w:cs="Arial" w:eastAsia="Arial" w:hAnsi="Arial"/>
          <w:sz w:val="11"/>
          <w:szCs w:val="11"/>
          <w:color w:val="54585A"/>
        </w:rPr>
      </w:pPr>
    </w:p>
    <w:p>
      <w:pPr>
        <w:ind w:left="3300" w:hanging="100"/>
        <w:spacing w:after="0"/>
        <w:tabs>
          <w:tab w:leader="none" w:pos="33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Associate in the Mergers &amp; Acquisitions Group at Brown Brothers Harriman - prior to joining Globalstar</w:t>
      </w:r>
    </w:p>
    <w:p>
      <w:pPr>
        <w:spacing w:after="0" w:line="107" w:lineRule="exact"/>
        <w:rPr>
          <w:rFonts w:ascii="Arial" w:cs="Arial" w:eastAsia="Arial" w:hAnsi="Arial"/>
          <w:sz w:val="11"/>
          <w:szCs w:val="11"/>
          <w:color w:val="54585A"/>
        </w:rPr>
      </w:pPr>
    </w:p>
    <w:p>
      <w:pPr>
        <w:ind w:left="3300" w:hanging="100"/>
        <w:spacing w:after="0"/>
        <w:tabs>
          <w:tab w:leader="none" w:pos="33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Board Member of Birch Investment Partners, LLC, dba Timberland Cabinets - 2017 to present</w:t>
      </w:r>
    </w:p>
    <w:p>
      <w:pPr>
        <w:spacing w:after="0" w:line="116" w:lineRule="exact"/>
        <w:rPr>
          <w:rFonts w:ascii="Arial" w:cs="Arial" w:eastAsia="Arial" w:hAnsi="Arial"/>
          <w:sz w:val="11"/>
          <w:szCs w:val="11"/>
          <w:color w:val="54585A"/>
        </w:rPr>
      </w:pPr>
    </w:p>
    <w:p>
      <w:pPr>
        <w:ind w:left="3300" w:hanging="100"/>
        <w:spacing w:after="0"/>
        <w:tabs>
          <w:tab w:leader="none" w:pos="33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Board Member of Thermo Communications Funding - 2014 to present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EB6C10"/>
        </w:rPr>
        <w:t>Timothy E. Taylor</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Age / 40</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469265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715010</wp:posOffset>
            </wp:positionV>
            <wp:extent cx="942975" cy="942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William A. Hasler</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81</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617855</wp:posOffset>
            </wp:positionV>
            <wp:extent cx="1714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336" w:lineRule="auto"/>
        <w:rPr>
          <w:sz w:val="20"/>
          <w:szCs w:val="20"/>
          <w:color w:val="auto"/>
        </w:rPr>
      </w:pPr>
      <w:r>
        <w:rPr>
          <w:rFonts w:ascii="Arial" w:cs="Arial" w:eastAsia="Arial" w:hAnsi="Arial"/>
          <w:sz w:val="11"/>
          <w:szCs w:val="11"/>
          <w:b w:val="1"/>
          <w:bCs w:val="1"/>
          <w:color w:val="54585A"/>
        </w:rPr>
        <w:t xml:space="preserve">Mr. Hasler </w:t>
      </w:r>
      <w:r>
        <w:rPr>
          <w:rFonts w:ascii="Arial" w:cs="Arial" w:eastAsia="Arial" w:hAnsi="Arial"/>
          <w:sz w:val="11"/>
          <w:szCs w:val="11"/>
          <w:color w:val="54585A"/>
        </w:rPr>
        <w:t>has an extensive financial background and financial reporting expertise. Due to his financial leadership roles on other public company boards, he is well-suited</w:t>
      </w:r>
      <w:r>
        <w:rPr>
          <w:rFonts w:ascii="Arial" w:cs="Arial" w:eastAsia="Arial" w:hAnsi="Arial"/>
          <w:sz w:val="11"/>
          <w:szCs w:val="11"/>
          <w:b w:val="1"/>
          <w:bCs w:val="1"/>
          <w:color w:val="54585A"/>
        </w:rPr>
        <w:t xml:space="preserve"> </w:t>
      </w:r>
      <w:r>
        <w:rPr>
          <w:rFonts w:ascii="Arial" w:cs="Arial" w:eastAsia="Arial" w:hAnsi="Arial"/>
          <w:sz w:val="11"/>
          <w:szCs w:val="11"/>
          <w:color w:val="54585A"/>
        </w:rPr>
        <w:t>to be both one of our directors and Chair of our Audit Committee.</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EB6C10"/>
        </w:rPr>
        <w:t>Mr. Hasler's current and prior experience includes /</w:t>
      </w:r>
    </w:p>
    <w:p>
      <w:pPr>
        <w:spacing w:after="0" w:line="121" w:lineRule="exact"/>
        <w:rPr>
          <w:sz w:val="20"/>
          <w:szCs w:val="20"/>
          <w:color w:val="auto"/>
        </w:rPr>
      </w:pPr>
    </w:p>
    <w:p>
      <w:pPr>
        <w:ind w:left="200" w:hanging="100"/>
        <w:spacing w:after="0"/>
        <w:tabs>
          <w:tab w:leader="none" w:pos="200" w:val="left"/>
        </w:tabs>
        <w:numPr>
          <w:ilvl w:val="0"/>
          <w:numId w:val="19"/>
        </w:numPr>
        <w:rPr>
          <w:rFonts w:ascii="Arial" w:cs="Arial" w:eastAsia="Arial" w:hAnsi="Arial"/>
          <w:sz w:val="11"/>
          <w:szCs w:val="11"/>
          <w:color w:val="54585A"/>
        </w:rPr>
      </w:pPr>
      <w:r>
        <w:rPr>
          <w:rFonts w:ascii="Arial" w:cs="Arial" w:eastAsia="Arial" w:hAnsi="Arial"/>
          <w:sz w:val="11"/>
          <w:szCs w:val="11"/>
          <w:color w:val="54585A"/>
        </w:rPr>
        <w:t>Co-Chief Executive Officer of Aphton Corp. - 1998 to 2004</w:t>
      </w:r>
    </w:p>
    <w:p>
      <w:pPr>
        <w:spacing w:after="0" w:line="107" w:lineRule="exact"/>
        <w:rPr>
          <w:rFonts w:ascii="Arial" w:cs="Arial" w:eastAsia="Arial" w:hAnsi="Arial"/>
          <w:sz w:val="11"/>
          <w:szCs w:val="11"/>
          <w:color w:val="54585A"/>
        </w:rPr>
      </w:pPr>
    </w:p>
    <w:p>
      <w:pPr>
        <w:ind w:left="200" w:hanging="100"/>
        <w:spacing w:after="0"/>
        <w:tabs>
          <w:tab w:leader="none" w:pos="200" w:val="left"/>
        </w:tabs>
        <w:numPr>
          <w:ilvl w:val="0"/>
          <w:numId w:val="19"/>
        </w:numPr>
        <w:rPr>
          <w:rFonts w:ascii="Arial" w:cs="Arial" w:eastAsia="Arial" w:hAnsi="Arial"/>
          <w:sz w:val="11"/>
          <w:szCs w:val="11"/>
          <w:color w:val="54585A"/>
        </w:rPr>
      </w:pPr>
      <w:r>
        <w:rPr>
          <w:rFonts w:ascii="Arial" w:cs="Arial" w:eastAsia="Arial" w:hAnsi="Arial"/>
          <w:sz w:val="11"/>
          <w:szCs w:val="11"/>
          <w:color w:val="54585A"/>
        </w:rPr>
        <w:t>Dean of the Haas School of Business, University of California, Berkeley - 1991 to 1998</w:t>
      </w:r>
    </w:p>
    <w:p>
      <w:pPr>
        <w:spacing w:after="0" w:line="116" w:lineRule="exact"/>
        <w:rPr>
          <w:rFonts w:ascii="Arial" w:cs="Arial" w:eastAsia="Arial" w:hAnsi="Arial"/>
          <w:sz w:val="11"/>
          <w:szCs w:val="11"/>
          <w:color w:val="54585A"/>
        </w:rPr>
      </w:pPr>
    </w:p>
    <w:p>
      <w:pPr>
        <w:ind w:left="200" w:hanging="100"/>
        <w:spacing w:after="0"/>
        <w:tabs>
          <w:tab w:leader="none" w:pos="200" w:val="left"/>
        </w:tabs>
        <w:numPr>
          <w:ilvl w:val="0"/>
          <w:numId w:val="19"/>
        </w:numPr>
        <w:rPr>
          <w:rFonts w:ascii="Arial" w:cs="Arial" w:eastAsia="Arial" w:hAnsi="Arial"/>
          <w:sz w:val="11"/>
          <w:szCs w:val="11"/>
          <w:color w:val="54585A"/>
        </w:rPr>
      </w:pPr>
      <w:r>
        <w:rPr>
          <w:rFonts w:ascii="Arial" w:cs="Arial" w:eastAsia="Arial" w:hAnsi="Arial"/>
          <w:sz w:val="11"/>
          <w:szCs w:val="11"/>
          <w:color w:val="54585A"/>
        </w:rPr>
        <w:t>Vice Chairman of KPMG Peat Marwick - 1984 to 1991</w:t>
      </w:r>
    </w:p>
    <w:p>
      <w:pPr>
        <w:spacing w:after="0" w:line="107" w:lineRule="exact"/>
        <w:rPr>
          <w:rFonts w:ascii="Arial" w:cs="Arial" w:eastAsia="Arial" w:hAnsi="Arial"/>
          <w:sz w:val="11"/>
          <w:szCs w:val="11"/>
          <w:color w:val="54585A"/>
        </w:rPr>
      </w:pPr>
    </w:p>
    <w:p>
      <w:pPr>
        <w:ind w:left="200" w:hanging="100"/>
        <w:spacing w:after="0"/>
        <w:tabs>
          <w:tab w:leader="none" w:pos="200" w:val="left"/>
        </w:tabs>
        <w:numPr>
          <w:ilvl w:val="0"/>
          <w:numId w:val="19"/>
        </w:numPr>
        <w:rPr>
          <w:rFonts w:ascii="Arial" w:cs="Arial" w:eastAsia="Arial" w:hAnsi="Arial"/>
          <w:sz w:val="11"/>
          <w:szCs w:val="11"/>
          <w:color w:val="54585A"/>
        </w:rPr>
      </w:pPr>
      <w:r>
        <w:rPr>
          <w:rFonts w:ascii="Arial" w:cs="Arial" w:eastAsia="Arial" w:hAnsi="Arial"/>
          <w:sz w:val="11"/>
          <w:szCs w:val="11"/>
          <w:color w:val="54585A"/>
        </w:rPr>
        <w:t>Certified Public Accountant</w:t>
      </w:r>
    </w:p>
    <w:p>
      <w:pPr>
        <w:spacing w:after="0" w:line="116" w:lineRule="exact"/>
        <w:rPr>
          <w:rFonts w:ascii="Arial" w:cs="Arial" w:eastAsia="Arial" w:hAnsi="Arial"/>
          <w:sz w:val="11"/>
          <w:szCs w:val="11"/>
          <w:color w:val="54585A"/>
        </w:rPr>
      </w:pPr>
    </w:p>
    <w:p>
      <w:pPr>
        <w:ind w:left="200" w:hanging="100"/>
        <w:spacing w:after="0"/>
        <w:tabs>
          <w:tab w:leader="none" w:pos="200" w:val="left"/>
        </w:tabs>
        <w:numPr>
          <w:ilvl w:val="0"/>
          <w:numId w:val="19"/>
        </w:numPr>
        <w:rPr>
          <w:rFonts w:ascii="Arial" w:cs="Arial" w:eastAsia="Arial" w:hAnsi="Arial"/>
          <w:sz w:val="11"/>
          <w:szCs w:val="11"/>
          <w:color w:val="54585A"/>
        </w:rPr>
      </w:pPr>
      <w:r>
        <w:rPr>
          <w:rFonts w:ascii="Arial" w:cs="Arial" w:eastAsia="Arial" w:hAnsi="Arial"/>
          <w:sz w:val="11"/>
          <w:szCs w:val="11"/>
          <w:color w:val="54585A"/>
        </w:rPr>
        <w:t>Former Director of Aviat Networks, DiTech Networks Corp., Mission West Properties, the Schwab Funds, Selectron Corp., Tousa Inc. and Rubicon Ltd.</w:t>
      </w:r>
    </w:p>
    <w:p>
      <w:pPr>
        <w:spacing w:after="0" w:line="763" w:lineRule="exact"/>
        <w:rPr>
          <w:sz w:val="20"/>
          <w:szCs w:val="20"/>
          <w:color w:val="auto"/>
        </w:rPr>
      </w:pPr>
    </w:p>
    <w:p>
      <w:pPr>
        <w:sectPr>
          <w:pgSz w:w="11900" w:h="16838" w:orient="portrait"/>
          <w:cols w:equalWidth="0" w:num="2">
            <w:col w:w="2380" w:space="720"/>
            <w:col w:w="8200"/>
          </w:cols>
          <w:pgMar w:left="30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12" w:name="page13"/>
    <w:bookmarkEnd w:id="12"/>
    <w:p>
      <w:pPr>
        <w:ind w:left="68" w:hanging="68"/>
        <w:spacing w:after="0"/>
        <w:tabs>
          <w:tab w:leader="none" w:pos="68" w:val="left"/>
        </w:tabs>
        <w:numPr>
          <w:ilvl w:val="0"/>
          <w:numId w:val="20"/>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708025</wp:posOffset>
            </wp:positionV>
            <wp:extent cx="942975" cy="942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8" w:right="20"/>
        <w:spacing w:after="0" w:line="323" w:lineRule="auto"/>
        <w:rPr>
          <w:sz w:val="20"/>
          <w:szCs w:val="20"/>
          <w:color w:val="auto"/>
        </w:rPr>
      </w:pPr>
      <w:r>
        <w:rPr>
          <w:rFonts w:ascii="Arial" w:cs="Arial" w:eastAsia="Arial" w:hAnsi="Arial"/>
          <w:sz w:val="11"/>
          <w:szCs w:val="11"/>
          <w:color w:val="54585A"/>
        </w:rPr>
        <w:t xml:space="preserve">Since 1984, </w:t>
      </w:r>
      <w:r>
        <w:rPr>
          <w:rFonts w:ascii="Arial" w:cs="Arial" w:eastAsia="Arial" w:hAnsi="Arial"/>
          <w:sz w:val="11"/>
          <w:szCs w:val="11"/>
          <w:b w:val="1"/>
          <w:bCs w:val="1"/>
          <w:color w:val="54585A"/>
        </w:rPr>
        <w:t>Mr. Monroe</w:t>
      </w:r>
      <w:r>
        <w:rPr>
          <w:rFonts w:ascii="Arial" w:cs="Arial" w:eastAsia="Arial" w:hAnsi="Arial"/>
          <w:sz w:val="11"/>
          <w:szCs w:val="11"/>
          <w:color w:val="54585A"/>
        </w:rPr>
        <w:t xml:space="preserve"> has been the majority owner of a diverse group of privately owned businesses that have operated in the fields of telecommunications, real estate, power generation, industrial equipment distribution, financial services and leasing services that are sometimes referred to collectively in this proxy statement as “Thermo.” Mr. Monroe controls, directly or indirectly, FL Investment Holdings, LLC, Globalstar Satellite, L.P., Thermo Funding Company LLC, Thermo Funding II LLC and the Monroe Irr. Educational Trust. In addition to being our primary financial sponsor, Mr. Monroe brings his long-term experience in investment, financing and the telecommunications industry to the Board.</w:t>
      </w:r>
    </w:p>
    <w:p>
      <w:pPr>
        <w:spacing w:after="0" w:line="85" w:lineRule="exact"/>
        <w:rPr>
          <w:sz w:val="20"/>
          <w:szCs w:val="20"/>
          <w:color w:val="auto"/>
        </w:rPr>
      </w:pPr>
    </w:p>
    <w:p>
      <w:pPr>
        <w:ind w:left="3108"/>
        <w:spacing w:after="0"/>
        <w:rPr>
          <w:sz w:val="20"/>
          <w:szCs w:val="20"/>
          <w:color w:val="auto"/>
        </w:rPr>
      </w:pPr>
      <w:r>
        <w:rPr>
          <w:rFonts w:ascii="Arial" w:cs="Arial" w:eastAsia="Arial" w:hAnsi="Arial"/>
          <w:sz w:val="11"/>
          <w:szCs w:val="11"/>
          <w:b w:val="1"/>
          <w:bCs w:val="1"/>
          <w:color w:val="EB6C10"/>
        </w:rPr>
        <w:t>Mr. Monroe's current and prior experience includes /</w:t>
      </w:r>
    </w:p>
    <w:p>
      <w:pPr>
        <w:spacing w:after="0" w:line="121" w:lineRule="exact"/>
        <w:rPr>
          <w:sz w:val="20"/>
          <w:szCs w:val="20"/>
          <w:color w:val="auto"/>
        </w:rPr>
      </w:pPr>
    </w:p>
    <w:p>
      <w:pPr>
        <w:ind w:left="3308" w:hanging="100"/>
        <w:spacing w:after="0"/>
        <w:tabs>
          <w:tab w:leader="none" w:pos="3308"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Executive Chairman (formerly Chairman) of the Board of Globalstar - 2004 to present</w:t>
      </w:r>
    </w:p>
    <w:p>
      <w:pPr>
        <w:spacing w:after="0" w:line="116" w:lineRule="exact"/>
        <w:rPr>
          <w:rFonts w:ascii="Arial" w:cs="Arial" w:eastAsia="Arial" w:hAnsi="Arial"/>
          <w:sz w:val="11"/>
          <w:szCs w:val="11"/>
          <w:color w:val="54585A"/>
        </w:rPr>
      </w:pPr>
    </w:p>
    <w:p>
      <w:pPr>
        <w:ind w:left="3308" w:hanging="100"/>
        <w:spacing w:after="0"/>
        <w:tabs>
          <w:tab w:leader="none" w:pos="3308"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CEO of Globalstar - 2005 through 2009 and from 2011 through 2018</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James</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Monroe III</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68</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709295</wp:posOffset>
            </wp:positionV>
            <wp:extent cx="942975" cy="942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Michael J.</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Lovett</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61</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54585A"/>
        </w:rPr>
        <w:t xml:space="preserve">Director Since / </w:t>
      </w:r>
      <w:r>
        <w:rPr>
          <w:rFonts w:ascii="Arial" w:cs="Arial" w:eastAsia="Arial" w:hAnsi="Arial"/>
          <w:sz w:val="10"/>
          <w:szCs w:val="10"/>
          <w:color w:val="54585A"/>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53" w:lineRule="auto"/>
        <w:rPr>
          <w:sz w:val="20"/>
          <w:szCs w:val="20"/>
          <w:color w:val="auto"/>
        </w:rPr>
      </w:pPr>
      <w:r>
        <w:rPr>
          <w:rFonts w:ascii="Arial" w:cs="Arial" w:eastAsia="Arial" w:hAnsi="Arial"/>
          <w:sz w:val="11"/>
          <w:szCs w:val="11"/>
          <w:b w:val="1"/>
          <w:bCs w:val="1"/>
          <w:color w:val="54585A"/>
        </w:rPr>
        <w:t xml:space="preserve">Mr. Lovett </w:t>
      </w:r>
      <w:r>
        <w:rPr>
          <w:rFonts w:ascii="Arial" w:cs="Arial" w:eastAsia="Arial" w:hAnsi="Arial"/>
          <w:sz w:val="11"/>
          <w:szCs w:val="11"/>
          <w:color w:val="54585A"/>
        </w:rPr>
        <w:t>brings extensive experience to the Board with a demonstrated track record in the telecommunications industry. Mr. Lovett has served as a member of the board</w:t>
      </w:r>
      <w:r>
        <w:rPr>
          <w:rFonts w:ascii="Arial" w:cs="Arial" w:eastAsia="Arial" w:hAnsi="Arial"/>
          <w:sz w:val="11"/>
          <w:szCs w:val="11"/>
          <w:b w:val="1"/>
          <w:bCs w:val="1"/>
          <w:color w:val="54585A"/>
        </w:rPr>
        <w:t xml:space="preserve"> </w:t>
      </w:r>
      <w:r>
        <w:rPr>
          <w:rFonts w:ascii="Arial" w:cs="Arial" w:eastAsia="Arial" w:hAnsi="Arial"/>
          <w:sz w:val="11"/>
          <w:szCs w:val="11"/>
          <w:color w:val="54585A"/>
        </w:rPr>
        <w:t>of directors of various public and private companies.</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EB6C10"/>
        </w:rPr>
        <w:t>Mr. Lovett's current and prior experience includes /</w:t>
      </w:r>
    </w:p>
    <w:p>
      <w:pPr>
        <w:spacing w:after="0" w:line="121" w:lineRule="exact"/>
        <w:rPr>
          <w:sz w:val="20"/>
          <w:szCs w:val="20"/>
          <w:color w:val="auto"/>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Managing Partner of Eagle River Partners LLC - 2012 to present</w:t>
      </w:r>
    </w:p>
    <w:p>
      <w:pPr>
        <w:spacing w:after="0" w:line="116" w:lineRule="exact"/>
        <w:rPr>
          <w:rFonts w:ascii="Arial" w:cs="Arial" w:eastAsia="Arial" w:hAnsi="Arial"/>
          <w:sz w:val="11"/>
          <w:szCs w:val="11"/>
          <w:color w:val="54585A"/>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CEO and President of Charter Communications (served in various capacities, including COO and Senior Vice President of Operations) - 2003 through 2012</w:t>
      </w:r>
    </w:p>
    <w:p>
      <w:pPr>
        <w:spacing w:after="0" w:line="107" w:lineRule="exact"/>
        <w:rPr>
          <w:rFonts w:ascii="Arial" w:cs="Arial" w:eastAsia="Arial" w:hAnsi="Arial"/>
          <w:sz w:val="11"/>
          <w:szCs w:val="11"/>
          <w:color w:val="54585A"/>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Advisory Board Member of Afiniti, Ltd. - 2016 to present</w:t>
      </w:r>
    </w:p>
    <w:p>
      <w:pPr>
        <w:spacing w:after="0" w:line="116" w:lineRule="exact"/>
        <w:rPr>
          <w:rFonts w:ascii="Arial" w:cs="Arial" w:eastAsia="Arial" w:hAnsi="Arial"/>
          <w:sz w:val="11"/>
          <w:szCs w:val="11"/>
          <w:color w:val="54585A"/>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Board Member of Charter Communications - 2010 to 2012</w:t>
      </w:r>
    </w:p>
    <w:p>
      <w:pPr>
        <w:spacing w:after="0" w:line="107" w:lineRule="exact"/>
        <w:rPr>
          <w:rFonts w:ascii="Arial" w:cs="Arial" w:eastAsia="Arial" w:hAnsi="Arial"/>
          <w:sz w:val="11"/>
          <w:szCs w:val="11"/>
          <w:color w:val="54585A"/>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Board Member of SATMAP Incorporated d/b/a Afiniti - 2012 to 2017</w:t>
      </w:r>
    </w:p>
    <w:p>
      <w:pPr>
        <w:spacing w:after="0" w:line="116" w:lineRule="exact"/>
        <w:rPr>
          <w:rFonts w:ascii="Arial" w:cs="Arial" w:eastAsia="Arial" w:hAnsi="Arial"/>
          <w:sz w:val="11"/>
          <w:szCs w:val="11"/>
          <w:color w:val="54585A"/>
        </w:rPr>
      </w:pPr>
    </w:p>
    <w:p>
      <w:pPr>
        <w:ind w:left="200" w:hanging="100"/>
        <w:spacing w:after="0"/>
        <w:tabs>
          <w:tab w:leader="none" w:pos="200" w:val="left"/>
        </w:tabs>
        <w:numPr>
          <w:ilvl w:val="0"/>
          <w:numId w:val="22"/>
        </w:numPr>
        <w:rPr>
          <w:rFonts w:ascii="Arial" w:cs="Arial" w:eastAsia="Arial" w:hAnsi="Arial"/>
          <w:sz w:val="11"/>
          <w:szCs w:val="11"/>
          <w:color w:val="54585A"/>
        </w:rPr>
      </w:pPr>
      <w:r>
        <w:rPr>
          <w:rFonts w:ascii="Arial" w:cs="Arial" w:eastAsia="Arial" w:hAnsi="Arial"/>
          <w:sz w:val="11"/>
          <w:szCs w:val="11"/>
          <w:color w:val="54585A"/>
        </w:rPr>
        <w:t>Board Member of St. Louis Public Broadcasting Nine Network Media - 2011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5027295</wp:posOffset>
            </wp:positionH>
            <wp:positionV relativeFrom="paragraph">
              <wp:posOffset>941070</wp:posOffset>
            </wp:positionV>
            <wp:extent cx="1714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2388" w:space="720"/>
            <w:col w:w="8140"/>
          </w:cols>
          <w:pgMar w:left="292" w:top="15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spacing w:after="0"/>
        <w:rPr>
          <w:sz w:val="20"/>
          <w:szCs w:val="20"/>
          <w:color w:val="auto"/>
        </w:rPr>
      </w:pPr>
      <w:r>
        <w:rPr>
          <w:rFonts w:ascii="Arial" w:cs="Arial" w:eastAsia="Arial" w:hAnsi="Arial"/>
          <w:sz w:val="9"/>
          <w:szCs w:val="9"/>
          <w:color w:val="54585A"/>
        </w:rPr>
        <w:t xml:space="preserve">10 </w:t>
      </w:r>
      <w:r>
        <w:rPr>
          <w:rFonts w:ascii="Arial" w:cs="Arial" w:eastAsia="Arial" w:hAnsi="Arial"/>
          <w:sz w:val="10"/>
          <w:szCs w:val="10"/>
          <w:b w:val="1"/>
          <w:bCs w:val="1"/>
          <w:color w:val="EB6C10"/>
        </w:rPr>
        <w:t>/</w:t>
      </w:r>
      <w:r>
        <w:rPr>
          <w:rFonts w:ascii="Arial" w:cs="Arial" w:eastAsia="Arial" w:hAnsi="Arial"/>
          <w:sz w:val="9"/>
          <w:szCs w:val="9"/>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Leadership Structure</w:t>
      </w:r>
    </w:p>
    <w:p>
      <w:pPr>
        <w:spacing w:after="0" w:line="68"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54585A"/>
        </w:rPr>
        <w:t>Since September 2018, Mr. Kagan (see Executive Officers on page 21 for more information) has served as our Chief Executive Officer and Mr. Monroe as the Executive Chairman of the Board. Generally, Mr. Kagan has responsibility for all activities related to the Company’s satellite business and Mr. Monroe is responsible for strategic financing efforts and liquidity matters. In addition, subject to the authority of the Strategic Review Committee as provided in our Third Amended and Restated Certificate of Incorporation and our Fourth Amended and Restated Bylaws, Mr. Monroe has primary responsibility for all strategic terrestrial spectrum-related activities on a global basis, including the Company’s ongoing efforts to standardize and monetize its terrestrial spectrum assets.</w:t>
      </w:r>
    </w:p>
    <w:p>
      <w:pPr>
        <w:spacing w:after="0" w:line="89" w:lineRule="exact"/>
        <w:rPr>
          <w:sz w:val="20"/>
          <w:szCs w:val="20"/>
          <w:color w:val="auto"/>
        </w:rPr>
      </w:pPr>
    </w:p>
    <w:p>
      <w:pPr>
        <w:ind w:right="80"/>
        <w:spacing w:after="0" w:line="325" w:lineRule="auto"/>
        <w:rPr>
          <w:sz w:val="20"/>
          <w:szCs w:val="20"/>
          <w:color w:val="auto"/>
        </w:rPr>
      </w:pPr>
      <w:r>
        <w:rPr>
          <w:rFonts w:ascii="Arial" w:cs="Arial" w:eastAsia="Arial" w:hAnsi="Arial"/>
          <w:sz w:val="11"/>
          <w:szCs w:val="11"/>
          <w:color w:val="54585A"/>
        </w:rPr>
        <w:t>Mr. Monroe dually served as our Chairman and Chief Executive Officer from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 We believe this leadership structure is well-suited and appropriate to the Company because both managing our existing business and pursuing opportunities to develop and monetize our terrestrial spectrum and find attractive financing require substantial attention from experienced senior executives, and the split leadership structure allows us to direct the necessary attention to each area.</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Meetings and Attendance in Meetings</w:t>
      </w:r>
    </w:p>
    <w:p>
      <w:pPr>
        <w:spacing w:after="0" w:line="68" w:lineRule="exact"/>
        <w:rPr>
          <w:sz w:val="20"/>
          <w:szCs w:val="20"/>
          <w:color w:val="auto"/>
        </w:rPr>
      </w:pPr>
    </w:p>
    <w:p>
      <w:pPr>
        <w:ind w:right="260"/>
        <w:spacing w:after="0" w:line="328" w:lineRule="auto"/>
        <w:rPr>
          <w:sz w:val="20"/>
          <w:szCs w:val="20"/>
          <w:color w:val="auto"/>
        </w:rPr>
      </w:pPr>
      <w:r>
        <w:rPr>
          <w:rFonts w:ascii="Arial" w:cs="Arial" w:eastAsia="Arial" w:hAnsi="Arial"/>
          <w:sz w:val="11"/>
          <w:szCs w:val="11"/>
          <w:color w:val="54585A"/>
        </w:rPr>
        <w:t>During 2022, the Board held eight meetings and took action by unanimous written consent one time. Each director serving on the Board in 2022 attended at least 75% of the meetings of the Board and of each committee on which he served in each case during the time he was a director. We do not have a policy regarding director attendance at the Annual Meeting. No members of the Board attended our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1714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400" w:lineRule="exact"/>
        <w:rPr>
          <w:sz w:val="20"/>
          <w:szCs w:val="20"/>
          <w:color w:val="auto"/>
        </w:rPr>
      </w:pPr>
    </w:p>
    <w:p>
      <w:pPr>
        <w:ind w:left="968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4" w:name="page15"/>
    <w:bookmarkEnd w:id="14"/>
    <w:p>
      <w:pPr>
        <w:ind w:left="68" w:hanging="68"/>
        <w:spacing w:after="0"/>
        <w:tabs>
          <w:tab w:leader="none" w:pos="68" w:val="left"/>
        </w:tabs>
        <w:numPr>
          <w:ilvl w:val="0"/>
          <w:numId w:val="23"/>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Board Committees</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2"/>
          <w:szCs w:val="12"/>
          <w:color w:val="EB6C10"/>
        </w:rPr>
        <w:t>Audit Committee</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The current members of the Audit Committee are Messrs. Hasler, Wolff and Lovett. Mr. Hasler serves as Chairman, and the Board has determined that Mr. Hasler is an audit committee financial expert as defined by SEC and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800225" cy="2051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0225" cy="2051685"/>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sectPr>
      </w:pPr>
    </w:p>
    <w:p>
      <w:pPr>
        <w:spacing w:after="0" w:line="323" w:lineRule="exact"/>
        <w:rPr>
          <w:sz w:val="20"/>
          <w:szCs w:val="20"/>
          <w:color w:val="auto"/>
        </w:rPr>
      </w:pPr>
    </w:p>
    <w:p>
      <w:pPr>
        <w:ind w:left="348"/>
        <w:spacing w:after="0"/>
        <w:rPr>
          <w:sz w:val="20"/>
          <w:szCs w:val="20"/>
          <w:color w:val="auto"/>
        </w:rPr>
      </w:pPr>
      <w:r>
        <w:rPr>
          <w:rFonts w:ascii="Arial" w:cs="Arial" w:eastAsia="Arial" w:hAnsi="Arial"/>
          <w:sz w:val="14"/>
          <w:szCs w:val="14"/>
          <w:b w:val="1"/>
          <w:bCs w:val="1"/>
          <w:color w:val="EB6C10"/>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8"/>
        <w:spacing w:after="0"/>
        <w:rPr>
          <w:sz w:val="20"/>
          <w:szCs w:val="20"/>
          <w:color w:val="auto"/>
        </w:rPr>
      </w:pPr>
      <w:r>
        <w:rPr>
          <w:rFonts w:ascii="Arial" w:cs="Arial" w:eastAsia="Arial" w:hAnsi="Arial"/>
          <w:sz w:val="12"/>
          <w:szCs w:val="12"/>
          <w:b w:val="1"/>
          <w:bCs w:val="1"/>
          <w:color w:val="EB6C10"/>
        </w:rPr>
        <w:t>Meetings in 2022</w:t>
      </w:r>
    </w:p>
    <w:p>
      <w:pPr>
        <w:spacing w:after="0" w:line="165" w:lineRule="exact"/>
        <w:rPr>
          <w:sz w:val="20"/>
          <w:szCs w:val="20"/>
          <w:color w:val="auto"/>
        </w:rPr>
      </w:pPr>
    </w:p>
    <w:p>
      <w:pPr>
        <w:ind w:left="408" w:hanging="60"/>
        <w:spacing w:after="0"/>
        <w:tabs>
          <w:tab w:leader="none" w:pos="408" w:val="left"/>
        </w:tabs>
        <w:numPr>
          <w:ilvl w:val="0"/>
          <w:numId w:val="24"/>
        </w:numPr>
        <w:rPr>
          <w:rFonts w:ascii="Arial" w:cs="Arial" w:eastAsia="Arial" w:hAnsi="Arial"/>
          <w:sz w:val="11"/>
          <w:szCs w:val="11"/>
          <w:b w:val="1"/>
          <w:bCs w:val="1"/>
          <w:color w:val="EB6C10"/>
        </w:rPr>
      </w:pPr>
      <w:r>
        <w:rPr>
          <w:rFonts w:ascii="Arial" w:cs="Arial" w:eastAsia="Arial" w:hAnsi="Arial"/>
          <w:sz w:val="11"/>
          <w:szCs w:val="11"/>
          <w:color w:val="54585A"/>
        </w:rPr>
        <w:t>Mr. Hasler (Chairman)</w:t>
      </w:r>
    </w:p>
    <w:p>
      <w:pPr>
        <w:spacing w:after="0" w:line="170" w:lineRule="exact"/>
        <w:rPr>
          <w:rFonts w:ascii="Arial" w:cs="Arial" w:eastAsia="Arial" w:hAnsi="Arial"/>
          <w:sz w:val="11"/>
          <w:szCs w:val="11"/>
          <w:b w:val="1"/>
          <w:bCs w:val="1"/>
          <w:color w:val="EB6C10"/>
        </w:rPr>
      </w:pPr>
    </w:p>
    <w:p>
      <w:pPr>
        <w:ind w:left="408" w:hanging="60"/>
        <w:spacing w:after="0"/>
        <w:tabs>
          <w:tab w:leader="none" w:pos="408" w:val="left"/>
        </w:tabs>
        <w:numPr>
          <w:ilvl w:val="0"/>
          <w:numId w:val="24"/>
        </w:numPr>
        <w:rPr>
          <w:rFonts w:ascii="Arial" w:cs="Arial" w:eastAsia="Arial" w:hAnsi="Arial"/>
          <w:sz w:val="12"/>
          <w:szCs w:val="12"/>
          <w:b w:val="1"/>
          <w:bCs w:val="1"/>
          <w:color w:val="EB6C10"/>
        </w:rPr>
      </w:pPr>
      <w:r>
        <w:rPr>
          <w:rFonts w:ascii="Arial" w:cs="Arial" w:eastAsia="Arial" w:hAnsi="Arial"/>
          <w:sz w:val="12"/>
          <w:szCs w:val="12"/>
          <w:color w:val="54585A"/>
        </w:rPr>
        <w:t>Mr. Wolff</w:t>
      </w:r>
    </w:p>
    <w:p>
      <w:pPr>
        <w:spacing w:after="0" w:line="150" w:lineRule="exact"/>
        <w:rPr>
          <w:rFonts w:ascii="Arial" w:cs="Arial" w:eastAsia="Arial" w:hAnsi="Arial"/>
          <w:sz w:val="12"/>
          <w:szCs w:val="12"/>
          <w:b w:val="1"/>
          <w:bCs w:val="1"/>
          <w:color w:val="EB6C10"/>
        </w:rPr>
      </w:pPr>
    </w:p>
    <w:p>
      <w:pPr>
        <w:ind w:left="408" w:hanging="60"/>
        <w:spacing w:after="0"/>
        <w:tabs>
          <w:tab w:leader="none" w:pos="408" w:val="left"/>
        </w:tabs>
        <w:numPr>
          <w:ilvl w:val="0"/>
          <w:numId w:val="24"/>
        </w:numPr>
        <w:rPr>
          <w:rFonts w:ascii="Arial" w:cs="Arial" w:eastAsia="Arial" w:hAnsi="Arial"/>
          <w:sz w:val="12"/>
          <w:szCs w:val="12"/>
          <w:b w:val="1"/>
          <w:bCs w:val="1"/>
          <w:color w:val="EB6C10"/>
        </w:rPr>
      </w:pPr>
      <w:r>
        <w:rPr>
          <w:rFonts w:ascii="Arial" w:cs="Arial" w:eastAsia="Arial" w:hAnsi="Arial"/>
          <w:sz w:val="12"/>
          <w:szCs w:val="12"/>
          <w:color w:val="54585A"/>
        </w:rPr>
        <w:t>Mr. Lovett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Audit Committee, which are reflected in the committee's charter, include:</w:t>
      </w:r>
    </w:p>
    <w:p>
      <w:pPr>
        <w:spacing w:after="0" w:line="144" w:lineRule="exact"/>
        <w:rPr>
          <w:sz w:val="20"/>
          <w:szCs w:val="20"/>
          <w:color w:val="auto"/>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appointing and replacing our independent registered public accounting firm;</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approving all fees and all audit and non-audit services of the independent registered public accounting firm;</w:t>
      </w:r>
    </w:p>
    <w:p>
      <w:pPr>
        <w:spacing w:after="0" w:line="107"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annually reviewing the independence of the independent registered public accounting firm;</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assessing annual audit results;</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periodically reassessing the effectiveness of the independent registered public accounting firm;</w:t>
      </w:r>
    </w:p>
    <w:p>
      <w:pPr>
        <w:spacing w:after="0" w:line="107"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reviewing our financial and accounting policies and our annual and quarterly financial statements;</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0"/>
          <w:szCs w:val="10"/>
          <w:color w:val="54585A"/>
        </w:rPr>
      </w:pPr>
      <w:r>
        <w:rPr>
          <w:rFonts w:ascii="Arial" w:cs="Arial" w:eastAsia="Arial" w:hAnsi="Arial"/>
          <w:sz w:val="10"/>
          <w:szCs w:val="10"/>
          <w:color w:val="54585A"/>
        </w:rPr>
        <w:t>reviewing the adequacy and effectiveness of our internal accounting controls and monitoring progress for compliance with Section 404 of the Sarbanes-Oxley Act;</w:t>
      </w:r>
    </w:p>
    <w:p>
      <w:pPr>
        <w:spacing w:after="0" w:line="119" w:lineRule="exact"/>
        <w:rPr>
          <w:rFonts w:ascii="Arial" w:cs="Arial" w:eastAsia="Arial" w:hAnsi="Arial"/>
          <w:sz w:val="10"/>
          <w:szCs w:val="10"/>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overseeing our programs for compliance with laws, regulations and company policies;</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approving all related person transactions not otherwise delegated to the Strategic Review Committee;</w:t>
      </w:r>
    </w:p>
    <w:p>
      <w:pPr>
        <w:spacing w:after="0" w:line="116" w:lineRule="exact"/>
        <w:rPr>
          <w:rFonts w:ascii="Arial" w:cs="Arial" w:eastAsia="Arial" w:hAnsi="Arial"/>
          <w:sz w:val="11"/>
          <w:szCs w:val="11"/>
          <w:color w:val="54585A"/>
        </w:rPr>
      </w:pPr>
    </w:p>
    <w:p>
      <w:pPr>
        <w:ind w:left="220" w:hanging="102"/>
        <w:spacing w:after="0"/>
        <w:tabs>
          <w:tab w:leader="none" w:pos="220" w:val="left"/>
        </w:tabs>
        <w:numPr>
          <w:ilvl w:val="0"/>
          <w:numId w:val="25"/>
        </w:numPr>
        <w:rPr>
          <w:rFonts w:ascii="Arial" w:cs="Arial" w:eastAsia="Arial" w:hAnsi="Arial"/>
          <w:sz w:val="10"/>
          <w:szCs w:val="10"/>
          <w:color w:val="54585A"/>
        </w:rPr>
      </w:pPr>
      <w:r>
        <w:rPr>
          <w:rFonts w:ascii="Arial" w:cs="Arial" w:eastAsia="Arial" w:hAnsi="Arial"/>
          <w:sz w:val="10"/>
          <w:szCs w:val="10"/>
          <w:color w:val="54585A"/>
        </w:rPr>
        <w:t>considering any requests for waivers from our Code of Conduct for senior executive and financial officers (which waivers would be subject to Board approval); and</w:t>
      </w:r>
    </w:p>
    <w:p>
      <w:pPr>
        <w:spacing w:after="0" w:line="119" w:lineRule="exact"/>
        <w:rPr>
          <w:rFonts w:ascii="Arial" w:cs="Arial" w:eastAsia="Arial" w:hAnsi="Arial"/>
          <w:sz w:val="10"/>
          <w:szCs w:val="10"/>
          <w:color w:val="54585A"/>
        </w:rPr>
      </w:pPr>
    </w:p>
    <w:p>
      <w:pPr>
        <w:ind w:left="220" w:hanging="102"/>
        <w:spacing w:after="0"/>
        <w:tabs>
          <w:tab w:leader="none" w:pos="220"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in connection with the foregoing, meeting with our independent registered public accounting firm and financial management.</w:t>
      </w:r>
    </w:p>
    <w:p>
      <w:pPr>
        <w:spacing w:after="0" w:line="200" w:lineRule="exact"/>
        <w:rPr>
          <w:sz w:val="20"/>
          <w:szCs w:val="20"/>
          <w:color w:val="auto"/>
        </w:rPr>
      </w:pPr>
    </w:p>
    <w:p>
      <w:pPr>
        <w:sectPr>
          <w:pgSz w:w="11900" w:h="16838" w:orient="portrait"/>
          <w:cols w:equalWidth="0" w:num="2">
            <w:col w:w="2388" w:space="720"/>
            <w:col w:w="8160"/>
          </w:cols>
          <w:pgMar w:left="292" w:top="156"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1"/>
          <w:szCs w:val="11"/>
          <w:color w:val="54585A"/>
        </w:rPr>
        <w:t>During 2022, the Audit Committee held five meetings.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Audit Committee has furnished the following report for inclusion in this proxy statement.</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Audit Committee Report for 2022</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1"/>
          <w:szCs w:val="11"/>
          <w:color w:val="54585A"/>
        </w:rPr>
        <w:t>In addition to other activities, the Audit Committee:</w:t>
      </w:r>
    </w:p>
    <w:p>
      <w:pPr>
        <w:spacing w:after="0" w:line="153" w:lineRule="exact"/>
        <w:rPr>
          <w:sz w:val="20"/>
          <w:szCs w:val="20"/>
          <w:color w:val="auto"/>
        </w:rPr>
      </w:pPr>
    </w:p>
    <w:p>
      <w:pPr>
        <w:ind w:left="328" w:hanging="112"/>
        <w:spacing w:after="0"/>
        <w:tabs>
          <w:tab w:leader="none" w:pos="328" w:val="left"/>
        </w:tabs>
        <w:numPr>
          <w:ilvl w:val="0"/>
          <w:numId w:val="26"/>
        </w:numPr>
        <w:rPr>
          <w:rFonts w:ascii="Arial" w:cs="Arial" w:eastAsia="Arial" w:hAnsi="Arial"/>
          <w:sz w:val="11"/>
          <w:szCs w:val="11"/>
          <w:color w:val="54585A"/>
        </w:rPr>
      </w:pPr>
      <w:r>
        <w:rPr>
          <w:rFonts w:ascii="Arial" w:cs="Arial" w:eastAsia="Arial" w:hAnsi="Arial"/>
          <w:sz w:val="11"/>
          <w:szCs w:val="11"/>
          <w:color w:val="54585A"/>
        </w:rPr>
        <w:t>reviewed and discussed with management the Company’s audited financial statements for 2022;</w:t>
      </w:r>
    </w:p>
    <w:p>
      <w:pPr>
        <w:spacing w:after="0" w:line="107" w:lineRule="exact"/>
        <w:rPr>
          <w:rFonts w:ascii="Arial" w:cs="Arial" w:eastAsia="Arial" w:hAnsi="Arial"/>
          <w:sz w:val="11"/>
          <w:szCs w:val="11"/>
          <w:color w:val="54585A"/>
        </w:rPr>
      </w:pPr>
    </w:p>
    <w:p>
      <w:pPr>
        <w:ind w:left="328" w:right="40" w:hanging="112"/>
        <w:spacing w:after="0" w:line="404" w:lineRule="auto"/>
        <w:tabs>
          <w:tab w:leader="none" w:pos="328" w:val="left"/>
        </w:tabs>
        <w:numPr>
          <w:ilvl w:val="0"/>
          <w:numId w:val="26"/>
        </w:numPr>
        <w:rPr>
          <w:rFonts w:ascii="Arial" w:cs="Arial" w:eastAsia="Arial" w:hAnsi="Arial"/>
          <w:sz w:val="10"/>
          <w:szCs w:val="10"/>
          <w:color w:val="54585A"/>
        </w:rPr>
      </w:pPr>
      <w:r>
        <w:rPr>
          <w:rFonts w:ascii="Arial" w:cs="Arial" w:eastAsia="Arial" w:hAnsi="Arial"/>
          <w:sz w:val="10"/>
          <w:szCs w:val="10"/>
          <w:color w:val="54585A"/>
        </w:rPr>
        <w:t>discussed with EY, the Company’s independent registered public accounting firm for 2022, the matters required to be discussed by the applicable requirements of the Public Company Accounting Oversight Board ("PCAOB") and the Commission, including significant accounting policies, management’s judgments and accounting estimates, and EY’s judgments about the quality of the Company’s accounting principles as applied in its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170180</wp:posOffset>
            </wp:positionV>
            <wp:extent cx="1714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right="60" w:hanging="112"/>
        <w:spacing w:after="0" w:line="345" w:lineRule="auto"/>
        <w:tabs>
          <w:tab w:leader="none" w:pos="320" w:val="left"/>
        </w:tabs>
        <w:numPr>
          <w:ilvl w:val="0"/>
          <w:numId w:val="27"/>
        </w:numPr>
        <w:rPr>
          <w:rFonts w:ascii="Arial" w:cs="Arial" w:eastAsia="Arial" w:hAnsi="Arial"/>
          <w:sz w:val="11"/>
          <w:szCs w:val="11"/>
          <w:color w:val="54585A"/>
        </w:rPr>
      </w:pPr>
      <w:r>
        <w:rPr>
          <w:rFonts w:ascii="Arial" w:cs="Arial" w:eastAsia="Arial" w:hAnsi="Arial"/>
          <w:sz w:val="11"/>
          <w:szCs w:val="11"/>
          <w:color w:val="54585A"/>
        </w:rPr>
        <w:t>received the written disclosures and the letter from EY required by the applicable requirements of the PCAOB and the Commission regarding the independent accountant’s communications with the Audit Committee concerning the accountant’s independence from the Company and its subsidiaries, and discussed with EY their independence.</w:t>
      </w:r>
    </w:p>
    <w:p>
      <w:pPr>
        <w:spacing w:after="0" w:line="41" w:lineRule="exact"/>
        <w:rPr>
          <w:sz w:val="20"/>
          <w:szCs w:val="20"/>
          <w:color w:val="auto"/>
        </w:rPr>
      </w:pPr>
    </w:p>
    <w:p>
      <w:pPr>
        <w:ind w:right="220"/>
        <w:spacing w:after="0" w:line="345" w:lineRule="auto"/>
        <w:rPr>
          <w:sz w:val="20"/>
          <w:szCs w:val="20"/>
          <w:color w:val="auto"/>
        </w:rPr>
      </w:pPr>
      <w:r>
        <w:rPr>
          <w:rFonts w:ascii="Arial" w:cs="Arial" w:eastAsia="Arial" w:hAnsi="Arial"/>
          <w:sz w:val="11"/>
          <w:szCs w:val="11"/>
          <w:color w:val="54585A"/>
        </w:rPr>
        <w:t>Based on the reviews and discussions referred to above, the Audit Committee recommended to the Board of Directors that the audited financial statements for the year ended December 31, 2022 be included in the Company’s Annual Report on Form 10-K for filing with the Securities and Exchange Commission.</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William A. Hasler, </w:t>
      </w:r>
      <w:r>
        <w:rPr>
          <w:rFonts w:ascii="Arial" w:cs="Arial" w:eastAsia="Arial" w:hAnsi="Arial"/>
          <w:sz w:val="11"/>
          <w:szCs w:val="11"/>
          <w:i w:val="1"/>
          <w:iCs w:val="1"/>
          <w:color w:val="54585A"/>
        </w:rPr>
        <w:t>Chair</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Michael J. Lovett</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Benjamin G. Wolff</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54585A"/>
        </w:rPr>
        <w:t>May 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EB6C10"/>
        </w:rPr>
        <w:t>Compensation Committee</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54585A"/>
        </w:rPr>
        <w:t>The current members of the Compensation Committee are Messrs. Monroe, Wolff, and Lovett.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1800225" cy="1725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0225" cy="17259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EB6C10"/>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EB6C10"/>
        </w:rPr>
        <w:t>Meetings in 2022</w:t>
      </w:r>
    </w:p>
    <w:p>
      <w:pPr>
        <w:spacing w:after="0" w:line="165" w:lineRule="exact"/>
        <w:rPr>
          <w:sz w:val="20"/>
          <w:szCs w:val="20"/>
          <w:color w:val="auto"/>
        </w:rPr>
      </w:pPr>
    </w:p>
    <w:p>
      <w:pPr>
        <w:ind w:left="400" w:hanging="60"/>
        <w:spacing w:after="0"/>
        <w:tabs>
          <w:tab w:leader="none" w:pos="400" w:val="left"/>
        </w:tabs>
        <w:numPr>
          <w:ilvl w:val="0"/>
          <w:numId w:val="28"/>
        </w:numPr>
        <w:rPr>
          <w:rFonts w:ascii="Arial" w:cs="Arial" w:eastAsia="Arial" w:hAnsi="Arial"/>
          <w:sz w:val="12"/>
          <w:szCs w:val="12"/>
          <w:b w:val="1"/>
          <w:bCs w:val="1"/>
          <w:color w:val="EB6C10"/>
        </w:rPr>
      </w:pPr>
      <w:r>
        <w:rPr>
          <w:rFonts w:ascii="Arial" w:cs="Arial" w:eastAsia="Arial" w:hAnsi="Arial"/>
          <w:sz w:val="12"/>
          <w:szCs w:val="12"/>
          <w:color w:val="54585A"/>
        </w:rPr>
        <w:t>Mr. Monroe (Chairman)</w:t>
      </w:r>
    </w:p>
    <w:p>
      <w:pPr>
        <w:spacing w:after="0" w:line="150" w:lineRule="exact"/>
        <w:rPr>
          <w:rFonts w:ascii="Arial" w:cs="Arial" w:eastAsia="Arial" w:hAnsi="Arial"/>
          <w:sz w:val="12"/>
          <w:szCs w:val="12"/>
          <w:b w:val="1"/>
          <w:bCs w:val="1"/>
          <w:color w:val="EB6C10"/>
        </w:rPr>
      </w:pPr>
    </w:p>
    <w:p>
      <w:pPr>
        <w:ind w:left="400" w:hanging="60"/>
        <w:spacing w:after="0"/>
        <w:tabs>
          <w:tab w:leader="none" w:pos="400" w:val="left"/>
        </w:tabs>
        <w:numPr>
          <w:ilvl w:val="0"/>
          <w:numId w:val="28"/>
        </w:numPr>
        <w:rPr>
          <w:rFonts w:ascii="Arial" w:cs="Arial" w:eastAsia="Arial" w:hAnsi="Arial"/>
          <w:sz w:val="12"/>
          <w:szCs w:val="12"/>
          <w:b w:val="1"/>
          <w:bCs w:val="1"/>
          <w:color w:val="EB6C10"/>
        </w:rPr>
      </w:pPr>
      <w:r>
        <w:rPr>
          <w:rFonts w:ascii="Arial" w:cs="Arial" w:eastAsia="Arial" w:hAnsi="Arial"/>
          <w:sz w:val="12"/>
          <w:szCs w:val="12"/>
          <w:color w:val="54585A"/>
        </w:rPr>
        <w:t>Mr. Lovett</w:t>
      </w:r>
    </w:p>
    <w:p>
      <w:pPr>
        <w:spacing w:after="0" w:line="159" w:lineRule="exact"/>
        <w:rPr>
          <w:rFonts w:ascii="Arial" w:cs="Arial" w:eastAsia="Arial" w:hAnsi="Arial"/>
          <w:sz w:val="12"/>
          <w:szCs w:val="12"/>
          <w:b w:val="1"/>
          <w:bCs w:val="1"/>
          <w:color w:val="EB6C10"/>
        </w:rPr>
      </w:pPr>
    </w:p>
    <w:p>
      <w:pPr>
        <w:ind w:left="400" w:hanging="60"/>
        <w:spacing w:after="0"/>
        <w:tabs>
          <w:tab w:leader="none" w:pos="400" w:val="left"/>
        </w:tabs>
        <w:numPr>
          <w:ilvl w:val="0"/>
          <w:numId w:val="28"/>
        </w:numPr>
        <w:rPr>
          <w:rFonts w:ascii="Arial" w:cs="Arial" w:eastAsia="Arial" w:hAnsi="Arial"/>
          <w:sz w:val="12"/>
          <w:szCs w:val="12"/>
          <w:b w:val="1"/>
          <w:bCs w:val="1"/>
          <w:color w:val="EB6C10"/>
        </w:rPr>
      </w:pPr>
      <w:r>
        <w:rPr>
          <w:rFonts w:ascii="Arial" w:cs="Arial" w:eastAsia="Arial" w:hAnsi="Arial"/>
          <w:sz w:val="12"/>
          <w:szCs w:val="12"/>
          <w:color w:val="54585A"/>
        </w:rPr>
        <w:t>Mr. Wolff</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Compensation Committee include:</w:t>
      </w:r>
    </w:p>
    <w:p>
      <w:pPr>
        <w:spacing w:after="0" w:line="135" w:lineRule="exact"/>
        <w:rPr>
          <w:sz w:val="20"/>
          <w:szCs w:val="20"/>
          <w:color w:val="auto"/>
        </w:rPr>
      </w:pPr>
    </w:p>
    <w:p>
      <w:pPr>
        <w:ind w:left="200" w:hanging="101"/>
        <w:spacing w:after="0"/>
        <w:tabs>
          <w:tab w:leader="none" w:pos="200" w:val="left"/>
        </w:tabs>
        <w:numPr>
          <w:ilvl w:val="0"/>
          <w:numId w:val="29"/>
        </w:numPr>
        <w:rPr>
          <w:rFonts w:ascii="Arial" w:cs="Arial" w:eastAsia="Arial" w:hAnsi="Arial"/>
          <w:sz w:val="11"/>
          <w:szCs w:val="11"/>
          <w:color w:val="54585A"/>
        </w:rPr>
      </w:pPr>
      <w:r>
        <w:rPr>
          <w:rFonts w:ascii="Arial" w:cs="Arial" w:eastAsia="Arial" w:hAnsi="Arial"/>
          <w:sz w:val="11"/>
          <w:szCs w:val="11"/>
          <w:color w:val="54585A"/>
        </w:rPr>
        <w:t>reviewing and approving corporate goals and objectives relevant to the compensation of our executive officers in light of business strategies and objectives;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9"/>
        </w:numPr>
        <w:rPr>
          <w:rFonts w:ascii="Arial" w:cs="Arial" w:eastAsia="Arial" w:hAnsi="Arial"/>
          <w:sz w:val="11"/>
          <w:szCs w:val="11"/>
          <w:color w:val="54585A"/>
        </w:rPr>
      </w:pPr>
      <w:r>
        <w:rPr>
          <w:rFonts w:ascii="Arial" w:cs="Arial" w:eastAsia="Arial" w:hAnsi="Arial"/>
          <w:sz w:val="11"/>
          <w:szCs w:val="11"/>
          <w:color w:val="54585A"/>
        </w:rPr>
        <w:t>reviewing and recommending to the Board compensation for our chief executive officer and other executive officers; and</w:t>
      </w:r>
    </w:p>
    <w:p>
      <w:pPr>
        <w:spacing w:after="0" w:line="107" w:lineRule="exact"/>
        <w:rPr>
          <w:rFonts w:ascii="Arial" w:cs="Arial" w:eastAsia="Arial" w:hAnsi="Arial"/>
          <w:sz w:val="11"/>
          <w:szCs w:val="11"/>
          <w:color w:val="54585A"/>
        </w:rPr>
      </w:pPr>
    </w:p>
    <w:p>
      <w:pPr>
        <w:ind w:left="200" w:right="120" w:hanging="101"/>
        <w:spacing w:after="0" w:line="345" w:lineRule="auto"/>
        <w:tabs>
          <w:tab w:leader="none" w:pos="200" w:val="left"/>
        </w:tabs>
        <w:numPr>
          <w:ilvl w:val="0"/>
          <w:numId w:val="29"/>
        </w:numPr>
        <w:rPr>
          <w:rFonts w:ascii="Arial" w:cs="Arial" w:eastAsia="Arial" w:hAnsi="Arial"/>
          <w:sz w:val="11"/>
          <w:szCs w:val="11"/>
          <w:color w:val="54585A"/>
        </w:rPr>
      </w:pPr>
      <w:r>
        <w:rPr>
          <w:rFonts w:ascii="Arial" w:cs="Arial" w:eastAsia="Arial" w:hAnsi="Arial"/>
          <w:sz w:val="11"/>
          <w:szCs w:val="11"/>
          <w:color w:val="54585A"/>
        </w:rPr>
        <w:t>administering our incentive compensation plans, including the 2006 Equity Incentive Plan (the "Plan"), and, in this capacity, approving or recommending to the Board all grants or awards to our directors, executive officers and other eligible participants under these plans.</w:t>
      </w:r>
    </w:p>
    <w:p>
      <w:pPr>
        <w:spacing w:after="0" w:line="1358" w:lineRule="exact"/>
        <w:rPr>
          <w:sz w:val="20"/>
          <w:szCs w:val="20"/>
          <w:color w:val="auto"/>
        </w:rPr>
      </w:pPr>
    </w:p>
    <w:p>
      <w:pPr>
        <w:sectPr>
          <w:pgSz w:w="11900" w:h="16838" w:orient="portrait"/>
          <w:cols w:equalWidth="0" w:num="2">
            <w:col w:w="2400" w:space="720"/>
            <w:col w:w="8180"/>
          </w:cols>
          <w:pgMar w:left="300" w:top="126" w:right="29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right="80"/>
        <w:spacing w:after="0" w:line="335" w:lineRule="auto"/>
        <w:rPr>
          <w:sz w:val="20"/>
          <w:szCs w:val="20"/>
          <w:color w:val="auto"/>
        </w:rPr>
      </w:pPr>
      <w:r>
        <w:rPr>
          <w:rFonts w:ascii="Arial" w:cs="Arial" w:eastAsia="Arial" w:hAnsi="Arial"/>
          <w:sz w:val="11"/>
          <w:szCs w:val="11"/>
          <w:color w:val="54585A"/>
        </w:rPr>
        <w:t>As indicated above, the Compensation Committee is responsible for approving or recommending to the Board the compensation of each of our executive officers. The Compensation Committee may delegate tasks to a subcommittee for any purpose and with such power and authority as the Compensation Committee deems appropriate from time to time. Currently, it has delegated to Mr. Monroe the review of corporate goals, objectives and compensation related to executive officers other than himself. Only the Compensation Committee or the Board may grant awards under the Plan to executive officers and directors, or make decisions regarding Plan awards.</w:t>
      </w:r>
    </w:p>
    <w:p>
      <w:pPr>
        <w:spacing w:after="0" w:line="82" w:lineRule="exact"/>
        <w:rPr>
          <w:sz w:val="20"/>
          <w:szCs w:val="20"/>
          <w:color w:val="auto"/>
        </w:rPr>
      </w:pPr>
    </w:p>
    <w:p>
      <w:pPr>
        <w:ind w:right="20"/>
        <w:spacing w:after="0" w:line="345" w:lineRule="auto"/>
        <w:rPr>
          <w:sz w:val="20"/>
          <w:szCs w:val="20"/>
          <w:color w:val="auto"/>
        </w:rPr>
      </w:pPr>
      <w:r>
        <w:rPr>
          <w:rFonts w:ascii="Arial" w:cs="Arial" w:eastAsia="Arial" w:hAnsi="Arial"/>
          <w:sz w:val="11"/>
          <w:szCs w:val="11"/>
          <w:color w:val="54585A"/>
        </w:rPr>
        <w:t>Mr. Monroe makes decisions on all components of compensation for all employees of vice president level and above and reviews manager level employees and below for bonus and equity awards based upon input from executive officers in charge of each business unit. Mr. Monroe receives compensation from us for his services as a director as described under “Compensation of Directors,”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1714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83"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16" w:name="page17"/>
    <w:bookmarkEnd w:id="16"/>
    <w:p>
      <w:pPr>
        <w:ind w:left="68" w:hanging="68"/>
        <w:spacing w:after="0"/>
        <w:tabs>
          <w:tab w:leader="none" w:pos="68" w:val="left"/>
        </w:tabs>
        <w:numPr>
          <w:ilvl w:val="0"/>
          <w:numId w:val="30"/>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
        <w:spacing w:after="0" w:line="345" w:lineRule="auto"/>
        <w:rPr>
          <w:sz w:val="20"/>
          <w:szCs w:val="20"/>
          <w:color w:val="auto"/>
        </w:rPr>
      </w:pPr>
      <w:r>
        <w:rPr>
          <w:rFonts w:ascii="Arial" w:cs="Arial" w:eastAsia="Arial" w:hAnsi="Arial"/>
          <w:sz w:val="11"/>
          <w:szCs w:val="11"/>
          <w:color w:val="54585A"/>
        </w:rPr>
        <w:t>The Compensation Committee meets as often as it determines necessary to discharge its responsibilities. The Committee may hold follow-up conference calls and act by written consent between its meetings. In 2022, the Compensation Committee held two meetings. Unless a later date is specified, the date of grant of any award made by unanimous written consent is the date on which the last consent is received by our Corporate Secretary.</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1"/>
          <w:szCs w:val="11"/>
          <w:color w:val="54585A"/>
        </w:rPr>
        <w:t>Under its charter, the Committee has the authority to retain and terminate a compensation consultant. At this time, it has not retained one.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Compensation Committee has furnished the following report for inclusion in this proxy statement.</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Compensation Committee Report for 2022</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undersigned comprise the members of the Compensation Committee of the Company’s Board of Directors.</w:t>
      </w:r>
    </w:p>
    <w:p>
      <w:pPr>
        <w:spacing w:after="0" w:line="153" w:lineRule="exact"/>
        <w:rPr>
          <w:sz w:val="20"/>
          <w:szCs w:val="20"/>
          <w:color w:val="auto"/>
        </w:rPr>
      </w:pPr>
    </w:p>
    <w:p>
      <w:pPr>
        <w:ind w:left="8" w:right="60"/>
        <w:spacing w:after="0" w:line="328" w:lineRule="auto"/>
        <w:rPr>
          <w:sz w:val="20"/>
          <w:szCs w:val="20"/>
          <w:color w:val="auto"/>
        </w:rPr>
      </w:pPr>
      <w:r>
        <w:rPr>
          <w:rFonts w:ascii="Arial" w:cs="Arial" w:eastAsia="Arial" w:hAnsi="Arial"/>
          <w:sz w:val="11"/>
          <w:szCs w:val="11"/>
          <w:color w:val="54585A"/>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James Monroe III, </w:t>
      </w:r>
      <w:r>
        <w:rPr>
          <w:rFonts w:ascii="Arial" w:cs="Arial" w:eastAsia="Arial" w:hAnsi="Arial"/>
          <w:sz w:val="11"/>
          <w:szCs w:val="11"/>
          <w:i w:val="1"/>
          <w:iCs w:val="1"/>
          <w:color w:val="54585A"/>
        </w:rPr>
        <w:t>Chair</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Benjamin G. Wolff</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Michael J. Lovett</w:t>
      </w:r>
    </w:p>
    <w:p>
      <w:pPr>
        <w:spacing w:after="0" w:line="70" w:lineRule="exact"/>
        <w:rPr>
          <w:sz w:val="20"/>
          <w:szCs w:val="20"/>
          <w:color w:val="auto"/>
        </w:rPr>
      </w:pPr>
    </w:p>
    <w:p>
      <w:pPr>
        <w:ind w:left="8"/>
        <w:spacing w:after="0"/>
        <w:rPr>
          <w:sz w:val="20"/>
          <w:szCs w:val="20"/>
          <w:color w:val="auto"/>
        </w:rPr>
      </w:pPr>
      <w:r>
        <w:rPr>
          <w:rFonts w:ascii="Arial" w:cs="Arial" w:eastAsia="Arial" w:hAnsi="Arial"/>
          <w:sz w:val="10"/>
          <w:szCs w:val="10"/>
          <w:color w:val="54585A"/>
        </w:rPr>
        <w:t>May 1, 2023</w:t>
      </w: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color w:val="EB6C10"/>
        </w:rPr>
        <w:t>Nominating and Governance Committee</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current members of the Nominating and Governance Committee are Messrs. Cowan and Monroe.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800225" cy="1554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0225" cy="155448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sectPr>
      </w:pPr>
    </w:p>
    <w:p>
      <w:pPr>
        <w:spacing w:after="0" w:line="312" w:lineRule="exact"/>
        <w:rPr>
          <w:sz w:val="20"/>
          <w:szCs w:val="20"/>
          <w:color w:val="auto"/>
        </w:rPr>
      </w:pPr>
    </w:p>
    <w:p>
      <w:pPr>
        <w:ind w:left="348" w:right="260"/>
        <w:spacing w:after="0" w:line="292" w:lineRule="auto"/>
        <w:rPr>
          <w:sz w:val="20"/>
          <w:szCs w:val="20"/>
          <w:color w:val="auto"/>
        </w:rPr>
      </w:pPr>
      <w:r>
        <w:rPr>
          <w:rFonts w:ascii="Arial" w:cs="Arial" w:eastAsia="Arial" w:hAnsi="Arial"/>
          <w:sz w:val="14"/>
          <w:szCs w:val="14"/>
          <w:b w:val="1"/>
          <w:bCs w:val="1"/>
          <w:color w:val="EB6C10"/>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
        <w:spacing w:after="0"/>
        <w:rPr>
          <w:sz w:val="20"/>
          <w:szCs w:val="20"/>
          <w:color w:val="auto"/>
        </w:rPr>
      </w:pPr>
      <w:r>
        <w:rPr>
          <w:rFonts w:ascii="Arial" w:cs="Arial" w:eastAsia="Arial" w:hAnsi="Arial"/>
          <w:sz w:val="12"/>
          <w:szCs w:val="12"/>
          <w:b w:val="1"/>
          <w:bCs w:val="1"/>
          <w:color w:val="EB6C10"/>
        </w:rPr>
        <w:t>Meeting in 2022</w:t>
      </w:r>
    </w:p>
    <w:p>
      <w:pPr>
        <w:spacing w:after="0" w:line="156" w:lineRule="exact"/>
        <w:rPr>
          <w:sz w:val="20"/>
          <w:szCs w:val="20"/>
          <w:color w:val="auto"/>
        </w:rPr>
      </w:pPr>
    </w:p>
    <w:p>
      <w:pPr>
        <w:ind w:left="408" w:hanging="60"/>
        <w:spacing w:after="0"/>
        <w:tabs>
          <w:tab w:leader="none" w:pos="408" w:val="left"/>
        </w:tabs>
        <w:numPr>
          <w:ilvl w:val="0"/>
          <w:numId w:val="31"/>
        </w:numPr>
        <w:rPr>
          <w:rFonts w:ascii="Arial" w:cs="Arial" w:eastAsia="Arial" w:hAnsi="Arial"/>
          <w:sz w:val="12"/>
          <w:szCs w:val="12"/>
          <w:b w:val="1"/>
          <w:bCs w:val="1"/>
          <w:color w:val="EB6C10"/>
        </w:rPr>
      </w:pPr>
      <w:r>
        <w:rPr>
          <w:rFonts w:ascii="Arial" w:cs="Arial" w:eastAsia="Arial" w:hAnsi="Arial"/>
          <w:sz w:val="12"/>
          <w:szCs w:val="12"/>
          <w:color w:val="54585A"/>
        </w:rPr>
        <w:t>Mr. Monroe (Chairman)</w:t>
      </w:r>
    </w:p>
    <w:p>
      <w:pPr>
        <w:spacing w:after="0" w:line="159" w:lineRule="exact"/>
        <w:rPr>
          <w:rFonts w:ascii="Arial" w:cs="Arial" w:eastAsia="Arial" w:hAnsi="Arial"/>
          <w:sz w:val="12"/>
          <w:szCs w:val="12"/>
          <w:b w:val="1"/>
          <w:bCs w:val="1"/>
          <w:color w:val="EB6C10"/>
        </w:rPr>
      </w:pPr>
    </w:p>
    <w:p>
      <w:pPr>
        <w:ind w:left="408" w:hanging="60"/>
        <w:spacing w:after="0"/>
        <w:tabs>
          <w:tab w:leader="none" w:pos="408" w:val="left"/>
        </w:tabs>
        <w:numPr>
          <w:ilvl w:val="0"/>
          <w:numId w:val="31"/>
        </w:numPr>
        <w:rPr>
          <w:rFonts w:ascii="Arial" w:cs="Arial" w:eastAsia="Arial" w:hAnsi="Arial"/>
          <w:sz w:val="12"/>
          <w:szCs w:val="12"/>
          <w:b w:val="1"/>
          <w:bCs w:val="1"/>
          <w:color w:val="EB6C10"/>
        </w:rPr>
      </w:pPr>
      <w:r>
        <w:rPr>
          <w:rFonts w:ascii="Arial" w:cs="Arial" w:eastAsia="Arial" w:hAnsi="Arial"/>
          <w:sz w:val="12"/>
          <w:szCs w:val="12"/>
          <w:color w:val="54585A"/>
        </w:rPr>
        <w:t>Mr. Cowan</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Nominating and Governance Committee include:</w:t>
      </w:r>
    </w:p>
    <w:p>
      <w:pPr>
        <w:spacing w:after="0" w:line="144" w:lineRule="exact"/>
        <w:rPr>
          <w:sz w:val="20"/>
          <w:szCs w:val="20"/>
          <w:color w:val="auto"/>
        </w:rPr>
      </w:pPr>
    </w:p>
    <w:p>
      <w:pPr>
        <w:ind w:left="220" w:hanging="103"/>
        <w:spacing w:after="0"/>
        <w:tabs>
          <w:tab w:leader="none" w:pos="220" w:val="left"/>
        </w:tabs>
        <w:numPr>
          <w:ilvl w:val="0"/>
          <w:numId w:val="32"/>
        </w:numPr>
        <w:rPr>
          <w:rFonts w:ascii="Arial" w:cs="Arial" w:eastAsia="Arial" w:hAnsi="Arial"/>
          <w:sz w:val="11"/>
          <w:szCs w:val="11"/>
          <w:color w:val="54585A"/>
        </w:rPr>
      </w:pPr>
      <w:r>
        <w:rPr>
          <w:rFonts w:ascii="Arial" w:cs="Arial" w:eastAsia="Arial" w:hAnsi="Arial"/>
          <w:sz w:val="11"/>
          <w:szCs w:val="11"/>
          <w:color w:val="54585A"/>
        </w:rPr>
        <w:t>identifying and recommending to the Board qualified candidates to fill vacancies on the Board;</w:t>
      </w:r>
    </w:p>
    <w:p>
      <w:pPr>
        <w:spacing w:after="0" w:line="116" w:lineRule="exact"/>
        <w:rPr>
          <w:rFonts w:ascii="Arial" w:cs="Arial" w:eastAsia="Arial" w:hAnsi="Arial"/>
          <w:sz w:val="11"/>
          <w:szCs w:val="11"/>
          <w:color w:val="54585A"/>
        </w:rPr>
      </w:pPr>
    </w:p>
    <w:p>
      <w:pPr>
        <w:ind w:left="220" w:hanging="103"/>
        <w:spacing w:after="0"/>
        <w:tabs>
          <w:tab w:leader="none" w:pos="220" w:val="left"/>
        </w:tabs>
        <w:numPr>
          <w:ilvl w:val="0"/>
          <w:numId w:val="32"/>
        </w:numPr>
        <w:rPr>
          <w:rFonts w:ascii="Arial" w:cs="Arial" w:eastAsia="Arial" w:hAnsi="Arial"/>
          <w:sz w:val="11"/>
          <w:szCs w:val="11"/>
          <w:color w:val="54585A"/>
        </w:rPr>
      </w:pPr>
      <w:r>
        <w:rPr>
          <w:rFonts w:ascii="Arial" w:cs="Arial" w:eastAsia="Arial" w:hAnsi="Arial"/>
          <w:sz w:val="11"/>
          <w:szCs w:val="11"/>
          <w:color w:val="54585A"/>
        </w:rPr>
        <w:t>recommending to the Board candidates to be nominated for election as directors at annual meetings of stockholders;</w:t>
      </w:r>
    </w:p>
    <w:p>
      <w:pPr>
        <w:spacing w:after="0" w:line="107" w:lineRule="exact"/>
        <w:rPr>
          <w:rFonts w:ascii="Arial" w:cs="Arial" w:eastAsia="Arial" w:hAnsi="Arial"/>
          <w:sz w:val="11"/>
          <w:szCs w:val="11"/>
          <w:color w:val="54585A"/>
        </w:rPr>
      </w:pPr>
    </w:p>
    <w:p>
      <w:pPr>
        <w:ind w:left="220" w:hanging="103"/>
        <w:spacing w:after="0"/>
        <w:tabs>
          <w:tab w:leader="none" w:pos="220" w:val="left"/>
        </w:tabs>
        <w:numPr>
          <w:ilvl w:val="0"/>
          <w:numId w:val="32"/>
        </w:numPr>
        <w:rPr>
          <w:rFonts w:ascii="Arial" w:cs="Arial" w:eastAsia="Arial" w:hAnsi="Arial"/>
          <w:sz w:val="11"/>
          <w:szCs w:val="11"/>
          <w:color w:val="54585A"/>
        </w:rPr>
      </w:pPr>
      <w:r>
        <w:rPr>
          <w:rFonts w:ascii="Arial" w:cs="Arial" w:eastAsia="Arial" w:hAnsi="Arial"/>
          <w:sz w:val="11"/>
          <w:szCs w:val="11"/>
          <w:color w:val="54585A"/>
        </w:rPr>
        <w:t>considering stockholder suggestions for nominees for director;</w:t>
      </w:r>
    </w:p>
    <w:p>
      <w:pPr>
        <w:spacing w:after="0" w:line="116" w:lineRule="exact"/>
        <w:rPr>
          <w:rFonts w:ascii="Arial" w:cs="Arial" w:eastAsia="Arial" w:hAnsi="Arial"/>
          <w:sz w:val="11"/>
          <w:szCs w:val="11"/>
          <w:color w:val="54585A"/>
        </w:rPr>
      </w:pPr>
    </w:p>
    <w:p>
      <w:pPr>
        <w:ind w:left="220" w:hanging="103"/>
        <w:spacing w:after="0"/>
        <w:tabs>
          <w:tab w:leader="none" w:pos="220" w:val="left"/>
        </w:tabs>
        <w:numPr>
          <w:ilvl w:val="0"/>
          <w:numId w:val="32"/>
        </w:numPr>
        <w:rPr>
          <w:rFonts w:ascii="Arial" w:cs="Arial" w:eastAsia="Arial" w:hAnsi="Arial"/>
          <w:sz w:val="11"/>
          <w:szCs w:val="11"/>
          <w:color w:val="54585A"/>
        </w:rPr>
      </w:pPr>
      <w:r>
        <w:rPr>
          <w:rFonts w:ascii="Arial" w:cs="Arial" w:eastAsia="Arial" w:hAnsi="Arial"/>
          <w:sz w:val="11"/>
          <w:szCs w:val="11"/>
          <w:color w:val="54585A"/>
        </w:rPr>
        <w:t>making recommendations to the Board regarding corporate governance matters and practices;</w:t>
      </w:r>
    </w:p>
    <w:p>
      <w:pPr>
        <w:spacing w:after="0" w:line="116" w:lineRule="exact"/>
        <w:rPr>
          <w:rFonts w:ascii="Arial" w:cs="Arial" w:eastAsia="Arial" w:hAnsi="Arial"/>
          <w:sz w:val="11"/>
          <w:szCs w:val="11"/>
          <w:color w:val="54585A"/>
        </w:rPr>
      </w:pPr>
    </w:p>
    <w:p>
      <w:pPr>
        <w:ind w:left="220" w:hanging="103"/>
        <w:spacing w:after="0"/>
        <w:tabs>
          <w:tab w:leader="none" w:pos="220" w:val="left"/>
        </w:tabs>
        <w:numPr>
          <w:ilvl w:val="0"/>
          <w:numId w:val="32"/>
        </w:numPr>
        <w:rPr>
          <w:rFonts w:ascii="Arial" w:cs="Arial" w:eastAsia="Arial" w:hAnsi="Arial"/>
          <w:sz w:val="11"/>
          <w:szCs w:val="11"/>
          <w:color w:val="54585A"/>
        </w:rPr>
      </w:pPr>
      <w:r>
        <w:rPr>
          <w:rFonts w:ascii="Arial" w:cs="Arial" w:eastAsia="Arial" w:hAnsi="Arial"/>
          <w:sz w:val="11"/>
          <w:szCs w:val="11"/>
          <w:color w:val="54585A"/>
        </w:rPr>
        <w:t>reviewing and making recommendations to the Board regarding director compensation; and</w:t>
      </w:r>
    </w:p>
    <w:p>
      <w:pPr>
        <w:spacing w:after="0" w:line="107" w:lineRule="exact"/>
        <w:rPr>
          <w:rFonts w:ascii="Arial" w:cs="Arial" w:eastAsia="Arial" w:hAnsi="Arial"/>
          <w:sz w:val="11"/>
          <w:szCs w:val="11"/>
          <w:color w:val="54585A"/>
        </w:rPr>
      </w:pPr>
    </w:p>
    <w:p>
      <w:pPr>
        <w:ind w:left="220" w:hanging="103"/>
        <w:spacing w:after="0"/>
        <w:tabs>
          <w:tab w:leader="none" w:pos="220" w:val="left"/>
        </w:tabs>
        <w:numPr>
          <w:ilvl w:val="0"/>
          <w:numId w:val="32"/>
        </w:numPr>
        <w:rPr>
          <w:rFonts w:ascii="Arial" w:cs="Arial" w:eastAsia="Arial" w:hAnsi="Arial"/>
          <w:sz w:val="10"/>
          <w:szCs w:val="10"/>
          <w:color w:val="54585A"/>
        </w:rPr>
      </w:pPr>
      <w:r>
        <w:rPr>
          <w:rFonts w:ascii="Arial" w:cs="Arial" w:eastAsia="Arial" w:hAnsi="Arial"/>
          <w:sz w:val="10"/>
          <w:szCs w:val="10"/>
          <w:color w:val="54585A"/>
        </w:rPr>
        <w:t>reviewing public policy matters of importance to our stockholders, including oversight of our corporate responsibility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5027295</wp:posOffset>
            </wp:positionH>
            <wp:positionV relativeFrom="paragraph">
              <wp:posOffset>822960</wp:posOffset>
            </wp:positionV>
            <wp:extent cx="1714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2">
            <w:col w:w="2388" w:space="720"/>
            <w:col w:w="8120"/>
          </w:cols>
          <w:pgMar w:left="292" w:top="1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9"/>
          <w:szCs w:val="9"/>
          <w:color w:val="54585A"/>
        </w:rPr>
        <w:t xml:space="preserve">14 </w:t>
      </w:r>
      <w:r>
        <w:rPr>
          <w:rFonts w:ascii="Arial" w:cs="Arial" w:eastAsia="Arial" w:hAnsi="Arial"/>
          <w:sz w:val="10"/>
          <w:szCs w:val="10"/>
          <w:b w:val="1"/>
          <w:bCs w:val="1"/>
          <w:color w:val="EB6C10"/>
        </w:rPr>
        <w:t>/</w:t>
      </w:r>
      <w:r>
        <w:rPr>
          <w:rFonts w:ascii="Arial" w:cs="Arial" w:eastAsia="Arial" w:hAnsi="Arial"/>
          <w:sz w:val="9"/>
          <w:szCs w:val="9"/>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325" w:lineRule="auto"/>
        <w:rPr>
          <w:sz w:val="20"/>
          <w:szCs w:val="20"/>
          <w:color w:val="auto"/>
        </w:rPr>
      </w:pPr>
      <w:r>
        <w:rPr>
          <w:rFonts w:ascii="Arial" w:cs="Arial" w:eastAsia="Arial" w:hAnsi="Arial"/>
          <w:sz w:val="11"/>
          <w:szCs w:val="11"/>
          <w:color w:val="54585A"/>
        </w:rPr>
        <w:t>The Nominating and Governance Committee met one time in 2022.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his or her professional and personal activities. The Board has not adopted a policy with regard to board diversity.</w:t>
      </w:r>
    </w:p>
    <w:p>
      <w:pPr>
        <w:spacing w:after="0" w:line="89" w:lineRule="exact"/>
        <w:rPr>
          <w:sz w:val="20"/>
          <w:szCs w:val="20"/>
          <w:color w:val="auto"/>
        </w:rPr>
      </w:pPr>
    </w:p>
    <w:p>
      <w:pPr>
        <w:ind w:right="60"/>
        <w:spacing w:after="0" w:line="366" w:lineRule="auto"/>
        <w:rPr>
          <w:sz w:val="20"/>
          <w:szCs w:val="20"/>
          <w:color w:val="auto"/>
        </w:rPr>
      </w:pPr>
      <w:r>
        <w:rPr>
          <w:rFonts w:ascii="Arial" w:cs="Arial" w:eastAsia="Arial" w:hAnsi="Arial"/>
          <w:sz w:val="10"/>
          <w:szCs w:val="10"/>
          <w:color w:val="54585A"/>
        </w:rPr>
        <w:t>The Board has not established formal procedures for stockholders to submit director recommendations; however, such recommendations may be sent by US Postal Service mail to the Globalstar Nominating and Governance Committee, c/o Richard Roberts,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EB6C10"/>
        </w:rPr>
        <w:t>Strategic Review Committee</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54585A"/>
        </w:rPr>
        <w:t>The current members of the Strategic Review Committee are Messrs. Cowan, Wolff, Taylor and Hasler. Mr. Wolff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1800225" cy="19773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0225" cy="1977390"/>
                    </a:xfrm>
                    <a:prstGeom prst="rect">
                      <a:avLst/>
                    </a:prstGeom>
                    <a:noFill/>
                  </pic:spPr>
                </pic:pic>
              </a:graphicData>
            </a:graphic>
          </wp:anchor>
        </w:drawing>
      </w: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2260" w:type="dxa"/>
            <w:vAlign w:val="bottom"/>
          </w:tcPr>
          <w:p>
            <w:pPr>
              <w:spacing w:after="0"/>
              <w:rPr>
                <w:sz w:val="20"/>
                <w:szCs w:val="20"/>
                <w:color w:val="auto"/>
              </w:rPr>
            </w:pPr>
            <w:r>
              <w:rPr>
                <w:rFonts w:ascii="Arial" w:cs="Arial" w:eastAsia="Arial" w:hAnsi="Arial"/>
                <w:sz w:val="14"/>
                <w:szCs w:val="14"/>
                <w:b w:val="1"/>
                <w:bCs w:val="1"/>
                <w:color w:val="EB6C10"/>
              </w:rPr>
              <w:t>Strategic Review Committee</w:t>
            </w:r>
          </w:p>
        </w:tc>
        <w:tc>
          <w:tcPr>
            <w:tcW w:w="8540" w:type="dxa"/>
            <w:vAlign w:val="bottom"/>
          </w:tcPr>
          <w:p>
            <w:pPr>
              <w:ind w:left="500"/>
              <w:spacing w:after="0"/>
              <w:rPr>
                <w:sz w:val="20"/>
                <w:szCs w:val="20"/>
                <w:color w:val="auto"/>
              </w:rPr>
            </w:pPr>
            <w:r>
              <w:rPr>
                <w:rFonts w:ascii="Arial" w:cs="Arial" w:eastAsia="Arial" w:hAnsi="Arial"/>
                <w:sz w:val="11"/>
                <w:szCs w:val="11"/>
                <w:color w:val="54585A"/>
              </w:rPr>
              <w:t>The principal functions of the Strategic Review Committee include:</w:t>
            </w:r>
          </w:p>
        </w:tc>
        <w:tc>
          <w:tcPr>
            <w:tcW w:w="0" w:type="dxa"/>
            <w:vAlign w:val="bottom"/>
          </w:tcPr>
          <w:p>
            <w:pPr>
              <w:spacing w:after="0"/>
              <w:rPr>
                <w:sz w:val="1"/>
                <w:szCs w:val="1"/>
                <w:color w:val="auto"/>
              </w:rPr>
            </w:pPr>
          </w:p>
        </w:tc>
      </w:tr>
      <w:tr>
        <w:trPr>
          <w:trHeight w:val="251"/>
        </w:trPr>
        <w:tc>
          <w:tcPr>
            <w:tcW w:w="2260" w:type="dxa"/>
            <w:vAlign w:val="bottom"/>
          </w:tcPr>
          <w:p>
            <w:pPr>
              <w:spacing w:after="0"/>
              <w:rPr>
                <w:sz w:val="21"/>
                <w:szCs w:val="21"/>
                <w:color w:val="auto"/>
              </w:rPr>
            </w:pPr>
          </w:p>
        </w:tc>
        <w:tc>
          <w:tcPr>
            <w:tcW w:w="8540" w:type="dxa"/>
            <w:vAlign w:val="bottom"/>
          </w:tcPr>
          <w:p>
            <w:pPr>
              <w:ind w:left="620"/>
              <w:spacing w:after="0"/>
              <w:rPr>
                <w:sz w:val="20"/>
                <w:szCs w:val="20"/>
                <w:color w:val="auto"/>
              </w:rPr>
            </w:pPr>
            <w:r>
              <w:rPr>
                <w:rFonts w:ascii="Arial" w:cs="Arial" w:eastAsia="Arial" w:hAnsi="Arial"/>
                <w:sz w:val="11"/>
                <w:szCs w:val="11"/>
                <w:color w:val="54585A"/>
                <w:w w:val="99"/>
              </w:rPr>
              <w:t>• The Strategic Review Committee ("SRC") is required to remain in existence for as long as Thermo and its affiliates own and its affiliates beneficially own forty-five</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20"/>
                <w:szCs w:val="20"/>
                <w:color w:val="auto"/>
              </w:rPr>
            </w:pPr>
            <w:r>
              <w:rPr>
                <w:rFonts w:ascii="Arial" w:cs="Arial" w:eastAsia="Arial" w:hAnsi="Arial"/>
                <w:sz w:val="12"/>
                <w:szCs w:val="12"/>
                <w:b w:val="1"/>
                <w:bCs w:val="1"/>
                <w:color w:val="EB6C10"/>
              </w:rPr>
              <w:t>No Meetings in 2022</w:t>
            </w:r>
          </w:p>
        </w:tc>
        <w:tc>
          <w:tcPr>
            <w:tcW w:w="8540" w:type="dxa"/>
            <w:vAlign w:val="bottom"/>
          </w:tcPr>
          <w:p>
            <w:pPr>
              <w:ind w:left="720"/>
              <w:spacing w:after="0"/>
              <w:rPr>
                <w:sz w:val="20"/>
                <w:szCs w:val="20"/>
                <w:color w:val="auto"/>
              </w:rPr>
            </w:pPr>
            <w:r>
              <w:rPr>
                <w:rFonts w:ascii="Arial" w:cs="Arial" w:eastAsia="Arial" w:hAnsi="Arial"/>
                <w:sz w:val="11"/>
                <w:szCs w:val="11"/>
                <w:color w:val="54585A"/>
              </w:rPr>
              <w:t>percent (45%) or more of Globalstar’s outstanding common stock (the “Thermo Minimum Shares”).</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Wolff (Chairman)</w:t>
            </w:r>
          </w:p>
        </w:tc>
        <w:tc>
          <w:tcPr>
            <w:tcW w:w="8540" w:type="dxa"/>
            <w:vAlign w:val="bottom"/>
          </w:tcPr>
          <w:p>
            <w:pPr>
              <w:ind w:left="620"/>
              <w:spacing w:after="0"/>
              <w:rPr>
                <w:sz w:val="20"/>
                <w:szCs w:val="20"/>
                <w:color w:val="auto"/>
              </w:rPr>
            </w:pPr>
            <w:r>
              <w:rPr>
                <w:rFonts w:ascii="Arial" w:cs="Arial" w:eastAsia="Arial" w:hAnsi="Arial"/>
                <w:sz w:val="11"/>
                <w:szCs w:val="11"/>
                <w:color w:val="54585A"/>
                <w:w w:val="98"/>
              </w:rPr>
              <w:t>• Unless the SRC is prohibited under applicable law from having the power or authority to act on any of the following matters, the SRC has exclusive responsibility for</w:t>
            </w:r>
          </w:p>
        </w:tc>
        <w:tc>
          <w:tcPr>
            <w:tcW w:w="0" w:type="dxa"/>
            <w:vAlign w:val="bottom"/>
          </w:tcPr>
          <w:p>
            <w:pPr>
              <w:spacing w:after="0"/>
              <w:rPr>
                <w:sz w:val="1"/>
                <w:szCs w:val="1"/>
                <w:color w:val="auto"/>
              </w:rPr>
            </w:pPr>
          </w:p>
        </w:tc>
      </w:tr>
      <w:tr>
        <w:trPr>
          <w:trHeight w:val="150"/>
        </w:trPr>
        <w:tc>
          <w:tcPr>
            <w:tcW w:w="2260" w:type="dxa"/>
            <w:vAlign w:val="bottom"/>
            <w:vMerge w:val="restart"/>
          </w:tcPr>
          <w:p>
            <w:pPr>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Cowan</w:t>
            </w:r>
          </w:p>
        </w:tc>
        <w:tc>
          <w:tcPr>
            <w:tcW w:w="8540" w:type="dxa"/>
            <w:vAlign w:val="bottom"/>
          </w:tcPr>
          <w:p>
            <w:pPr>
              <w:ind w:left="720"/>
              <w:spacing w:after="0"/>
              <w:rPr>
                <w:sz w:val="20"/>
                <w:szCs w:val="20"/>
                <w:color w:val="auto"/>
              </w:rPr>
            </w:pPr>
            <w:r>
              <w:rPr>
                <w:rFonts w:ascii="Arial" w:cs="Arial" w:eastAsia="Arial" w:hAnsi="Arial"/>
                <w:sz w:val="11"/>
                <w:szCs w:val="11"/>
                <w:color w:val="54585A"/>
              </w:rPr>
              <w:t>oversight, review, and approval (to the extent permitted by law) or disapproval of the following:</w:t>
            </w:r>
          </w:p>
        </w:tc>
        <w:tc>
          <w:tcPr>
            <w:tcW w:w="0" w:type="dxa"/>
            <w:vAlign w:val="bottom"/>
          </w:tcPr>
          <w:p>
            <w:pPr>
              <w:spacing w:after="0"/>
              <w:rPr>
                <w:sz w:val="1"/>
                <w:szCs w:val="1"/>
                <w:color w:val="auto"/>
              </w:rPr>
            </w:pPr>
          </w:p>
        </w:tc>
      </w:tr>
      <w:tr>
        <w:trPr>
          <w:trHeight w:val="138"/>
        </w:trPr>
        <w:tc>
          <w:tcPr>
            <w:tcW w:w="2260" w:type="dxa"/>
            <w:vAlign w:val="bottom"/>
            <w:vMerge w:val="continue"/>
          </w:tcPr>
          <w:p>
            <w:pPr>
              <w:spacing w:after="0"/>
              <w:rPr>
                <w:sz w:val="12"/>
                <w:szCs w:val="12"/>
                <w:color w:val="auto"/>
              </w:rPr>
            </w:pPr>
          </w:p>
        </w:tc>
        <w:tc>
          <w:tcPr>
            <w:tcW w:w="8540" w:type="dxa"/>
            <w:vAlign w:val="bottom"/>
            <w:vMerge w:val="restart"/>
          </w:tcPr>
          <w:p>
            <w:pPr>
              <w:ind w:left="840"/>
              <w:spacing w:after="0"/>
              <w:rPr>
                <w:sz w:val="20"/>
                <w:szCs w:val="20"/>
                <w:color w:val="auto"/>
              </w:rPr>
            </w:pPr>
            <w:r>
              <w:rPr>
                <w:rFonts w:ascii="Arial" w:cs="Arial" w:eastAsia="Arial" w:hAnsi="Arial"/>
                <w:sz w:val="11"/>
                <w:szCs w:val="11"/>
                <w:color w:val="54585A"/>
              </w:rPr>
              <w:t>• any acquisition by Thermo of additional newly-issued securities of the Company (other than pursuant to a Permitted Financing (as defined below));</w:t>
            </w:r>
          </w:p>
        </w:tc>
        <w:tc>
          <w:tcPr>
            <w:tcW w:w="0" w:type="dxa"/>
            <w:vAlign w:val="bottom"/>
          </w:tcPr>
          <w:p>
            <w:pPr>
              <w:spacing w:after="0"/>
              <w:rPr>
                <w:sz w:val="1"/>
                <w:szCs w:val="1"/>
                <w:color w:val="auto"/>
              </w:rPr>
            </w:pPr>
          </w:p>
        </w:tc>
      </w:tr>
      <w:tr>
        <w:trPr>
          <w:trHeight w:val="132"/>
        </w:trPr>
        <w:tc>
          <w:tcPr>
            <w:tcW w:w="2260" w:type="dxa"/>
            <w:vAlign w:val="bottom"/>
            <w:vMerge w:val="restart"/>
          </w:tcPr>
          <w:p>
            <w:pPr>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Taylor</w:t>
            </w:r>
          </w:p>
        </w:tc>
        <w:tc>
          <w:tcPr>
            <w:tcW w:w="8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vMerge w:val="continue"/>
          </w:tcPr>
          <w:p>
            <w:pPr>
              <w:spacing w:after="0"/>
              <w:rPr>
                <w:sz w:val="14"/>
                <w:szCs w:val="14"/>
                <w:color w:val="auto"/>
              </w:rPr>
            </w:pPr>
          </w:p>
        </w:tc>
        <w:tc>
          <w:tcPr>
            <w:tcW w:w="8540" w:type="dxa"/>
            <w:vAlign w:val="bottom"/>
            <w:vMerge w:val="restart"/>
          </w:tcPr>
          <w:p>
            <w:pPr>
              <w:ind w:left="840"/>
              <w:spacing w:after="0"/>
              <w:rPr>
                <w:sz w:val="20"/>
                <w:szCs w:val="20"/>
                <w:color w:val="auto"/>
              </w:rPr>
            </w:pPr>
            <w:r>
              <w:rPr>
                <w:rFonts w:ascii="Arial" w:cs="Arial" w:eastAsia="Arial" w:hAnsi="Arial"/>
                <w:sz w:val="11"/>
                <w:szCs w:val="11"/>
                <w:color w:val="54585A"/>
              </w:rPr>
              <w:t>• any extraordinary corporate transaction, such as a merger, reorganization, or liquidation, involving the Company or any of its subsidiaries;</w:t>
            </w: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00" w:hanging="60"/>
        <w:spacing w:after="0"/>
        <w:tabs>
          <w:tab w:leader="none" w:pos="400" w:val="left"/>
        </w:tabs>
        <w:numPr>
          <w:ilvl w:val="0"/>
          <w:numId w:val="33"/>
        </w:numPr>
        <w:rPr>
          <w:rFonts w:ascii="Arial" w:cs="Arial" w:eastAsia="Arial" w:hAnsi="Arial"/>
          <w:sz w:val="12"/>
          <w:szCs w:val="12"/>
          <w:b w:val="1"/>
          <w:bCs w:val="1"/>
          <w:color w:val="EB6C10"/>
        </w:rPr>
      </w:pPr>
      <w:r>
        <w:rPr>
          <w:rFonts w:ascii="Arial" w:cs="Arial" w:eastAsia="Arial" w:hAnsi="Arial"/>
          <w:sz w:val="12"/>
          <w:szCs w:val="12"/>
          <w:color w:val="54585A"/>
        </w:rPr>
        <w:t>Mr. Hasler</w:t>
      </w:r>
    </w:p>
    <w:p>
      <w:pPr>
        <w:ind w:left="3540" w:right="20" w:hanging="107"/>
        <w:spacing w:after="0" w:line="313" w:lineRule="auto"/>
        <w:tabs>
          <w:tab w:leader="none" w:pos="3540" w:val="left"/>
        </w:tabs>
        <w:numPr>
          <w:ilvl w:val="0"/>
          <w:numId w:val="34"/>
        </w:numPr>
        <w:rPr>
          <w:rFonts w:ascii="Arial" w:cs="Arial" w:eastAsia="Arial" w:hAnsi="Arial"/>
          <w:sz w:val="11"/>
          <w:szCs w:val="11"/>
          <w:color w:val="54585A"/>
        </w:rPr>
      </w:pPr>
      <w:r>
        <w:rPr>
          <w:rFonts w:ascii="Arial" w:cs="Arial" w:eastAsia="Arial" w:hAnsi="Arial"/>
          <w:sz w:val="11"/>
          <w:szCs w:val="11"/>
          <w:color w:val="54585A"/>
        </w:rPr>
        <w:t>any sale or transfer of a material amount of assets of the Company or any sale or transfer of assets of any of the Company’s subsidiaries which are material to the Company;</w:t>
      </w:r>
    </w:p>
    <w:p>
      <w:pPr>
        <w:spacing w:after="0" w:line="103" w:lineRule="exact"/>
        <w:rPr>
          <w:rFonts w:ascii="Arial" w:cs="Arial" w:eastAsia="Arial" w:hAnsi="Arial"/>
          <w:sz w:val="11"/>
          <w:szCs w:val="11"/>
          <w:color w:val="54585A"/>
        </w:rPr>
      </w:pPr>
    </w:p>
    <w:p>
      <w:pPr>
        <w:ind w:left="3540" w:right="20" w:hanging="107"/>
        <w:spacing w:after="0" w:line="320" w:lineRule="auto"/>
        <w:tabs>
          <w:tab w:leader="none" w:pos="3540" w:val="left"/>
        </w:tabs>
        <w:numPr>
          <w:ilvl w:val="0"/>
          <w:numId w:val="34"/>
        </w:numPr>
        <w:rPr>
          <w:rFonts w:ascii="Arial" w:cs="Arial" w:eastAsia="Arial" w:hAnsi="Arial"/>
          <w:sz w:val="11"/>
          <w:szCs w:val="11"/>
          <w:color w:val="54585A"/>
        </w:rPr>
      </w:pPr>
      <w:r>
        <w:rPr>
          <w:rFonts w:ascii="Arial" w:cs="Arial" w:eastAsia="Arial" w:hAnsi="Arial"/>
          <w:sz w:val="11"/>
          <w:szCs w:val="11"/>
          <w:color w:val="54585A"/>
        </w:rPr>
        <w:t>any change in the Board, including any plans or proposals to change the number or term of directors, other than nominations for election or reelection to the Board (except nominations for election or reelection of Minority Directors (as defined on page 17 below) in connection with the end of a term of a Minority Director) and nominations and appointments of individuals to fill vacancies or newly created directorships (except nominations and appointments to fill vacancies of Minority Director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17145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 w:name="page19"/>
    <w:bookmarkEnd w:id="18"/>
    <w:p>
      <w:pPr>
        <w:ind w:left="68" w:hanging="68"/>
        <w:spacing w:after="0"/>
        <w:tabs>
          <w:tab w:leader="none" w:pos="68" w:val="left"/>
        </w:tabs>
        <w:numPr>
          <w:ilvl w:val="0"/>
          <w:numId w:val="35"/>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1794510" cy="1537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4510"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48" w:right="320" w:hanging="112"/>
        <w:spacing w:after="0" w:line="345" w:lineRule="auto"/>
        <w:tabs>
          <w:tab w:leader="none" w:pos="3548" w:val="left"/>
        </w:tabs>
        <w:numPr>
          <w:ilvl w:val="1"/>
          <w:numId w:val="36"/>
        </w:numPr>
        <w:rPr>
          <w:rFonts w:ascii="Arial" w:cs="Arial" w:eastAsia="Arial" w:hAnsi="Arial"/>
          <w:sz w:val="11"/>
          <w:szCs w:val="11"/>
          <w:color w:val="54585A"/>
        </w:rPr>
      </w:pPr>
      <w:r>
        <w:rPr>
          <w:rFonts w:ascii="Arial" w:cs="Arial" w:eastAsia="Arial" w:hAnsi="Arial"/>
          <w:sz w:val="11"/>
          <w:szCs w:val="11"/>
          <w:color w:val="54585A"/>
        </w:rPr>
        <w:t>any material change in the present capitalization or dividend policy of the Company (other than pursuant to a Permitted Financing, a Debt Conversion, or an Option Conversion);</w:t>
      </w:r>
    </w:p>
    <w:p>
      <w:pPr>
        <w:spacing w:after="0" w:line="77" w:lineRule="exact"/>
        <w:rPr>
          <w:rFonts w:ascii="Arial" w:cs="Arial" w:eastAsia="Arial" w:hAnsi="Arial"/>
          <w:sz w:val="11"/>
          <w:szCs w:val="11"/>
          <w:color w:val="54585A"/>
        </w:rPr>
      </w:pPr>
    </w:p>
    <w:p>
      <w:pPr>
        <w:ind w:left="3548" w:right="220" w:hanging="112"/>
        <w:spacing w:after="0" w:line="345" w:lineRule="auto"/>
        <w:tabs>
          <w:tab w:leader="none" w:pos="3548" w:val="left"/>
        </w:tabs>
        <w:numPr>
          <w:ilvl w:val="1"/>
          <w:numId w:val="36"/>
        </w:numPr>
        <w:rPr>
          <w:rFonts w:ascii="Arial" w:cs="Arial" w:eastAsia="Arial" w:hAnsi="Arial"/>
          <w:sz w:val="11"/>
          <w:szCs w:val="11"/>
          <w:color w:val="54585A"/>
        </w:rPr>
      </w:pPr>
      <w:r>
        <w:rPr>
          <w:rFonts w:ascii="Arial" w:cs="Arial" w:eastAsia="Arial" w:hAnsi="Arial"/>
          <w:sz w:val="11"/>
          <w:szCs w:val="11"/>
          <w:color w:val="54585A"/>
        </w:rPr>
        <w:t>any other material changes in the Company’s lines of business or corporate structure (other than pursuant to a Permitted Financing, a Debt Conversion, or an Option Conversion); and</w:t>
      </w:r>
    </w:p>
    <w:p>
      <w:pPr>
        <w:spacing w:after="0" w:line="77" w:lineRule="exact"/>
        <w:rPr>
          <w:rFonts w:ascii="Arial" w:cs="Arial" w:eastAsia="Arial" w:hAnsi="Arial"/>
          <w:sz w:val="11"/>
          <w:szCs w:val="11"/>
          <w:color w:val="54585A"/>
        </w:rPr>
      </w:pPr>
    </w:p>
    <w:p>
      <w:pPr>
        <w:ind w:left="3548" w:right="420" w:hanging="112"/>
        <w:spacing w:after="0" w:line="404" w:lineRule="auto"/>
        <w:tabs>
          <w:tab w:leader="none" w:pos="3548" w:val="left"/>
        </w:tabs>
        <w:numPr>
          <w:ilvl w:val="1"/>
          <w:numId w:val="36"/>
        </w:numPr>
        <w:rPr>
          <w:rFonts w:ascii="Arial" w:cs="Arial" w:eastAsia="Arial" w:hAnsi="Arial"/>
          <w:sz w:val="10"/>
          <w:szCs w:val="10"/>
          <w:color w:val="54585A"/>
        </w:rPr>
      </w:pPr>
      <w:r>
        <w:rPr>
          <w:rFonts w:ascii="Arial" w:cs="Arial" w:eastAsia="Arial" w:hAnsi="Arial"/>
          <w:sz w:val="10"/>
          <w:szCs w:val="10"/>
          <w:color w:val="54585A"/>
        </w:rPr>
        <w:t>any transaction between the Company and one or more of the Thermo stockholders that has a value (as determined in good faith by the Strategic Review Committee) in excess of $250,000, except for any Permitted Financing, any Debt Conversion, any Option Conversion, and certain other matters.</w:t>
      </w:r>
    </w:p>
    <w:p>
      <w:pPr>
        <w:spacing w:after="0" w:line="62" w:lineRule="exact"/>
        <w:rPr>
          <w:rFonts w:ascii="Arial" w:cs="Arial" w:eastAsia="Arial" w:hAnsi="Arial"/>
          <w:sz w:val="10"/>
          <w:szCs w:val="10"/>
          <w:color w:val="54585A"/>
        </w:rPr>
      </w:pPr>
    </w:p>
    <w:p>
      <w:pPr>
        <w:ind w:left="3328" w:right="40" w:hanging="108"/>
        <w:spacing w:after="0" w:line="326" w:lineRule="auto"/>
        <w:tabs>
          <w:tab w:leader="none" w:pos="3328" w:val="left"/>
        </w:tabs>
        <w:numPr>
          <w:ilvl w:val="0"/>
          <w:numId w:val="36"/>
        </w:numPr>
        <w:rPr>
          <w:rFonts w:ascii="Arial" w:cs="Arial" w:eastAsia="Arial" w:hAnsi="Arial"/>
          <w:sz w:val="11"/>
          <w:szCs w:val="11"/>
          <w:color w:val="54585A"/>
        </w:rPr>
      </w:pPr>
      <w:r>
        <w:rPr>
          <w:rFonts w:ascii="Arial" w:cs="Arial" w:eastAsia="Arial" w:hAnsi="Arial"/>
          <w:sz w:val="11"/>
          <w:szCs w:val="11"/>
          <w:color w:val="54585A"/>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87" w:lineRule="exact"/>
        <w:rPr>
          <w:rFonts w:ascii="Arial" w:cs="Arial" w:eastAsia="Arial" w:hAnsi="Arial"/>
          <w:sz w:val="11"/>
          <w:szCs w:val="11"/>
          <w:color w:val="54585A"/>
        </w:rPr>
      </w:pPr>
    </w:p>
    <w:p>
      <w:pPr>
        <w:ind w:left="3328" w:right="60" w:hanging="108"/>
        <w:spacing w:after="0" w:line="345" w:lineRule="auto"/>
        <w:tabs>
          <w:tab w:leader="none" w:pos="3328" w:val="left"/>
        </w:tabs>
        <w:numPr>
          <w:ilvl w:val="0"/>
          <w:numId w:val="36"/>
        </w:numPr>
        <w:rPr>
          <w:rFonts w:ascii="Arial" w:cs="Arial" w:eastAsia="Arial" w:hAnsi="Arial"/>
          <w:sz w:val="11"/>
          <w:szCs w:val="11"/>
          <w:color w:val="54585A"/>
        </w:rPr>
      </w:pPr>
      <w:r>
        <w:rPr>
          <w:rFonts w:ascii="Arial" w:cs="Arial" w:eastAsia="Arial" w:hAnsi="Arial"/>
          <w:sz w:val="11"/>
          <w:szCs w:val="11"/>
          <w:color w:val="54585A"/>
        </w:rPr>
        <w:t>Certain enumerated transactions are not subject to Strategic Review Committee review, including a financing that includes participation by one or more of the Thermo stockholders on terms equal (as determined in good faith by the Board) to other parties (a “Permitted Financing”).</w:t>
      </w:r>
    </w:p>
    <w:p>
      <w:pPr>
        <w:spacing w:after="0" w:line="338" w:lineRule="exact"/>
        <w:rPr>
          <w:sz w:val="20"/>
          <w:szCs w:val="20"/>
          <w:color w:val="auto"/>
        </w:rPr>
      </w:pPr>
    </w:p>
    <w:p>
      <w:pPr>
        <w:ind w:left="8"/>
        <w:spacing w:after="0" w:line="321" w:lineRule="auto"/>
        <w:rPr>
          <w:sz w:val="20"/>
          <w:szCs w:val="20"/>
          <w:color w:val="auto"/>
        </w:rPr>
      </w:pPr>
      <w:r>
        <w:rPr>
          <w:rFonts w:ascii="Arial" w:cs="Arial" w:eastAsia="Arial" w:hAnsi="Arial"/>
          <w:sz w:val="11"/>
          <w:szCs w:val="11"/>
          <w:color w:val="54585A"/>
        </w:rPr>
        <w:t>The Strategic Review Committee took action by unanimous written consent one time in 2022. 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Communicating with the Board of Directors or with Individual Directors</w:t>
      </w:r>
    </w:p>
    <w:p>
      <w:pPr>
        <w:spacing w:after="0" w:line="68" w:lineRule="exact"/>
        <w:rPr>
          <w:sz w:val="20"/>
          <w:szCs w:val="20"/>
          <w:color w:val="auto"/>
        </w:rPr>
      </w:pPr>
    </w:p>
    <w:p>
      <w:pPr>
        <w:ind w:left="8" w:right="100"/>
        <w:spacing w:after="0" w:line="328" w:lineRule="auto"/>
        <w:rPr>
          <w:sz w:val="20"/>
          <w:szCs w:val="20"/>
          <w:color w:val="auto"/>
        </w:rPr>
      </w:pPr>
      <w:r>
        <w:rPr>
          <w:rFonts w:ascii="Arial" w:cs="Arial" w:eastAsia="Arial" w:hAnsi="Arial"/>
          <w:sz w:val="11"/>
          <w:szCs w:val="11"/>
          <w:color w:val="54585A"/>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95" w:lineRule="exact"/>
        <w:rPr>
          <w:sz w:val="20"/>
          <w:szCs w:val="20"/>
          <w:color w:val="auto"/>
        </w:rPr>
      </w:pPr>
    </w:p>
    <w:p>
      <w:pPr>
        <w:ind w:left="8" w:right="20"/>
        <w:spacing w:after="0" w:line="345" w:lineRule="auto"/>
        <w:rPr>
          <w:sz w:val="20"/>
          <w:szCs w:val="20"/>
          <w:color w:val="auto"/>
        </w:rPr>
      </w:pPr>
      <w:r>
        <w:rPr>
          <w:rFonts w:ascii="Arial" w:cs="Arial" w:eastAsia="Arial" w:hAnsi="Arial"/>
          <w:sz w:val="11"/>
          <w:szCs w:val="11"/>
          <w:color w:val="54585A"/>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207645</wp:posOffset>
            </wp:positionV>
            <wp:extent cx="1714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83"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1800225" cy="4914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0225" cy="491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EB6C10"/>
        </w:rPr>
        <w:t>Proposal One</w:t>
      </w:r>
    </w:p>
    <w:p>
      <w:pPr>
        <w:spacing w:after="0" w:line="137" w:lineRule="exact"/>
        <w:rPr>
          <w:sz w:val="20"/>
          <w:szCs w:val="20"/>
          <w:color w:val="auto"/>
        </w:rPr>
      </w:pPr>
    </w:p>
    <w:p>
      <w:pPr>
        <w:ind w:left="100" w:hanging="100"/>
        <w:spacing w:after="0" w:line="333" w:lineRule="auto"/>
        <w:tabs>
          <w:tab w:leader="none" w:pos="59" w:val="left"/>
        </w:tabs>
        <w:numPr>
          <w:ilvl w:val="0"/>
          <w:numId w:val="37"/>
        </w:numPr>
        <w:rPr>
          <w:rFonts w:ascii="Arial" w:cs="Arial" w:eastAsia="Arial" w:hAnsi="Arial"/>
          <w:sz w:val="12"/>
          <w:szCs w:val="12"/>
          <w:b w:val="1"/>
          <w:bCs w:val="1"/>
          <w:color w:val="EB6C10"/>
        </w:rPr>
      </w:pPr>
      <w:r>
        <w:rPr>
          <w:rFonts w:ascii="Arial" w:cs="Arial" w:eastAsia="Arial" w:hAnsi="Arial"/>
          <w:sz w:val="12"/>
          <w:szCs w:val="12"/>
          <w:color w:val="FFFFFF"/>
        </w:rPr>
        <w:t xml:space="preserve">The Board recommends that stockholders vote </w:t>
      </w:r>
      <w:r>
        <w:rPr>
          <w:rFonts w:ascii="Arial" w:cs="Arial" w:eastAsia="Arial" w:hAnsi="Arial"/>
          <w:sz w:val="12"/>
          <w:szCs w:val="12"/>
          <w:b w:val="1"/>
          <w:bCs w:val="1"/>
          <w:color w:val="EB6C10"/>
        </w:rPr>
        <w:t>FOR</w:t>
      </w:r>
      <w:r>
        <w:rPr>
          <w:rFonts w:ascii="Arial" w:cs="Arial" w:eastAsia="Arial" w:hAnsi="Arial"/>
          <w:sz w:val="12"/>
          <w:szCs w:val="12"/>
          <w:color w:val="FFFFFF"/>
        </w:rPr>
        <w:t xml:space="preserve"> the election of the two Class B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3046730</wp:posOffset>
            </wp:positionV>
            <wp:extent cx="1714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54585A"/>
        </w:rPr>
        <w:t>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54585A"/>
        </w:rPr>
        <w:t>Upon recommendation of the Nominating and Governance Committee, the Board has nominated</w:t>
      </w:r>
    </w:p>
    <w:p>
      <w:pPr>
        <w:spacing w:after="0" w:line="142" w:lineRule="exact"/>
        <w:rPr>
          <w:sz w:val="20"/>
          <w:szCs w:val="20"/>
          <w:color w:val="auto"/>
        </w:rPr>
      </w:pPr>
    </w:p>
    <w:p>
      <w:pPr>
        <w:ind w:left="380" w:hanging="64"/>
        <w:spacing w:after="0"/>
        <w:tabs>
          <w:tab w:leader="none" w:pos="380" w:val="left"/>
        </w:tabs>
        <w:numPr>
          <w:ilvl w:val="0"/>
          <w:numId w:val="38"/>
        </w:numPr>
        <w:rPr>
          <w:rFonts w:ascii="Arial" w:cs="Arial" w:eastAsia="Arial" w:hAnsi="Arial"/>
          <w:sz w:val="12"/>
          <w:szCs w:val="12"/>
          <w:b w:val="1"/>
          <w:bCs w:val="1"/>
          <w:color w:val="EB6C10"/>
        </w:rPr>
      </w:pPr>
      <w:r>
        <w:rPr>
          <w:rFonts w:ascii="Arial" w:cs="Arial" w:eastAsia="Arial" w:hAnsi="Arial"/>
          <w:sz w:val="12"/>
          <w:szCs w:val="12"/>
          <w:color w:val="54585A"/>
        </w:rPr>
        <w:t>James F. Lynch</w:t>
      </w:r>
    </w:p>
    <w:p>
      <w:pPr>
        <w:spacing w:after="0" w:line="51" w:lineRule="exact"/>
        <w:rPr>
          <w:rFonts w:ascii="Arial" w:cs="Arial" w:eastAsia="Arial" w:hAnsi="Arial"/>
          <w:sz w:val="12"/>
          <w:szCs w:val="12"/>
          <w:b w:val="1"/>
          <w:bCs w:val="1"/>
          <w:color w:val="EB6C10"/>
        </w:rPr>
      </w:pPr>
    </w:p>
    <w:p>
      <w:pPr>
        <w:ind w:left="380" w:hanging="64"/>
        <w:spacing w:after="0"/>
        <w:tabs>
          <w:tab w:leader="none" w:pos="380" w:val="left"/>
        </w:tabs>
        <w:numPr>
          <w:ilvl w:val="0"/>
          <w:numId w:val="38"/>
        </w:numPr>
        <w:rPr>
          <w:rFonts w:ascii="Arial" w:cs="Arial" w:eastAsia="Arial" w:hAnsi="Arial"/>
          <w:sz w:val="12"/>
          <w:szCs w:val="12"/>
          <w:b w:val="1"/>
          <w:bCs w:val="1"/>
          <w:color w:val="EB6C10"/>
        </w:rPr>
      </w:pPr>
      <w:r>
        <w:rPr>
          <w:rFonts w:ascii="Arial" w:cs="Arial" w:eastAsia="Arial" w:hAnsi="Arial"/>
          <w:sz w:val="12"/>
          <w:szCs w:val="12"/>
          <w:color w:val="54585A"/>
        </w:rPr>
        <w:t>Timothy E. Taylor</w:t>
      </w:r>
    </w:p>
    <w:p>
      <w:pPr>
        <w:spacing w:after="0" w:line="161" w:lineRule="exact"/>
        <w:rPr>
          <w:sz w:val="20"/>
          <w:szCs w:val="20"/>
          <w:color w:val="auto"/>
        </w:rPr>
      </w:pPr>
    </w:p>
    <w:p>
      <w:pPr>
        <w:ind w:right="80"/>
        <w:spacing w:after="0" w:line="355" w:lineRule="auto"/>
        <w:rPr>
          <w:sz w:val="20"/>
          <w:szCs w:val="20"/>
          <w:color w:val="auto"/>
        </w:rPr>
      </w:pPr>
      <w:r>
        <w:rPr>
          <w:rFonts w:ascii="Arial" w:cs="Arial" w:eastAsia="Arial" w:hAnsi="Arial"/>
          <w:sz w:val="10"/>
          <w:szCs w:val="10"/>
          <w:color w:val="54585A"/>
        </w:rPr>
        <w:t>for election as Class B Directors at the Annual Meeting. The nominations rest, in part, on each nominee’s diverse business experience, qualifications, skills and attributes described above. Each of these nominees has consented to being named in this proxy statement and has agreed to serve if elected. If you elect them, they will hold office until the annual meeting to be held in 2026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candidates for director must be nominated by the Strategic Review Committee. Under our Bylaws, only the Board may fill vacancies on the Board.</w:t>
      </w:r>
    </w:p>
    <w:p>
      <w:pPr>
        <w:spacing w:after="0" w:line="87" w:lineRule="exact"/>
        <w:rPr>
          <w:sz w:val="20"/>
          <w:szCs w:val="20"/>
          <w:color w:val="auto"/>
        </w:rPr>
      </w:pPr>
    </w:p>
    <w:p>
      <w:pPr>
        <w:ind w:right="60"/>
        <w:spacing w:after="0" w:line="321" w:lineRule="auto"/>
        <w:rPr>
          <w:sz w:val="20"/>
          <w:szCs w:val="20"/>
          <w:color w:val="auto"/>
        </w:rPr>
      </w:pPr>
      <w:r>
        <w:rPr>
          <w:rFonts w:ascii="Arial" w:cs="Arial" w:eastAsia="Arial" w:hAnsi="Arial"/>
          <w:sz w:val="11"/>
          <w:szCs w:val="11"/>
          <w:color w:val="54585A"/>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Keith O. Cowan and Benjamin G. Wolff have been nominated for election as Class A Directors at the 2022 Annual Meeting and both directors qualify as Minority Directors under our Certificate of Incorporation.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Elect Directors</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54585A"/>
        </w:rPr>
        <w:t>The two nominees who receive the highest number of votes cast by stockholders eligible to vote (a plurality) will be elected as directors. There is no provision under our</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54585A"/>
        </w:rPr>
        <w:t>Certificate of Incorporation or Bylaws for cumulative voting in the election of directors. If you do not vote for a particular nominee, or if you indicate “against” to vote for a</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54585A"/>
        </w:rPr>
        <w:t>particular nominee, your vote will not count “for” the nominee. “Abstentions” and “broker non-votes” will not count as a vote cast with respect to that nominee’s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54585A"/>
        </w:rPr>
        <w:t>election. However, as described under “Quorum Requirement” above on page 3, in these cases your vote will be counted for purposes of determining the existence of a</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54585A"/>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54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158115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00" w:space="680"/>
            <w:col w:w="8180"/>
          </w:cols>
          <w:pgMar w:left="640" w:top="125"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9"/>
          <w:szCs w:val="9"/>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Arial" w:cs="Arial" w:eastAsia="Arial" w:hAnsi="Arial"/>
          <w:sz w:val="19"/>
          <w:szCs w:val="19"/>
          <w:color w:val="54585A"/>
        </w:rPr>
        <w:t>Compensation of Directors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table below reflects compensation paid to our directors during 2022.</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240" w:type="dxa"/>
            <w:vAlign w:val="bottom"/>
            <w:shd w:val="clear" w:color="auto" w:fill="EEEDED"/>
          </w:tcPr>
          <w:p>
            <w:pPr>
              <w:spacing w:after="0"/>
              <w:rPr>
                <w:sz w:val="10"/>
                <w:szCs w:val="10"/>
                <w:color w:val="auto"/>
              </w:rPr>
            </w:pPr>
          </w:p>
        </w:tc>
        <w:tc>
          <w:tcPr>
            <w:tcW w:w="2200" w:type="dxa"/>
            <w:vAlign w:val="bottom"/>
            <w:shd w:val="clear" w:color="auto" w:fill="EEEDED"/>
          </w:tcPr>
          <w:p>
            <w:pPr>
              <w:spacing w:after="0"/>
              <w:rPr>
                <w:sz w:val="10"/>
                <w:szCs w:val="10"/>
                <w:color w:val="auto"/>
              </w:rPr>
            </w:pPr>
          </w:p>
        </w:tc>
        <w:tc>
          <w:tcPr>
            <w:tcW w:w="1620" w:type="dxa"/>
            <w:vAlign w:val="bottom"/>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Stock</w:t>
            </w:r>
          </w:p>
        </w:tc>
        <w:tc>
          <w:tcPr>
            <w:tcW w:w="1460" w:type="dxa"/>
            <w:vAlign w:val="bottom"/>
            <w:shd w:val="clear" w:color="auto" w:fill="EEEDED"/>
          </w:tcPr>
          <w:p>
            <w:pPr>
              <w:jc w:val="right"/>
              <w:ind w:right="432"/>
              <w:spacing w:after="0"/>
              <w:rPr>
                <w:sz w:val="20"/>
                <w:szCs w:val="20"/>
                <w:color w:val="auto"/>
              </w:rPr>
            </w:pPr>
            <w:r>
              <w:rPr>
                <w:rFonts w:ascii="Arial" w:cs="Arial" w:eastAsia="Arial" w:hAnsi="Arial"/>
                <w:sz w:val="10"/>
                <w:szCs w:val="10"/>
                <w:b w:val="1"/>
                <w:bCs w:val="1"/>
                <w:color w:val="54585A"/>
              </w:rPr>
              <w:t>Option</w:t>
            </w:r>
          </w:p>
        </w:tc>
        <w:tc>
          <w:tcPr>
            <w:tcW w:w="1760" w:type="dxa"/>
            <w:vAlign w:val="bottom"/>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All Other</w:t>
            </w:r>
          </w:p>
        </w:tc>
        <w:tc>
          <w:tcPr>
            <w:tcW w:w="1000" w:type="dxa"/>
            <w:vAlign w:val="bottom"/>
            <w:shd w:val="clear" w:color="auto" w:fill="EEEDED"/>
          </w:tcPr>
          <w:p>
            <w:pPr>
              <w:spacing w:after="0"/>
              <w:rPr>
                <w:sz w:val="10"/>
                <w:szCs w:val="10"/>
                <w:color w:val="auto"/>
              </w:rPr>
            </w:pPr>
          </w:p>
        </w:tc>
      </w:tr>
      <w:tr>
        <w:trPr>
          <w:trHeight w:val="117"/>
        </w:trPr>
        <w:tc>
          <w:tcPr>
            <w:tcW w:w="3240" w:type="dxa"/>
            <w:vAlign w:val="bottom"/>
            <w:shd w:val="clear" w:color="auto" w:fill="EEEDED"/>
          </w:tcPr>
          <w:p>
            <w:pPr>
              <w:spacing w:after="0"/>
              <w:rPr>
                <w:sz w:val="10"/>
                <w:szCs w:val="10"/>
                <w:color w:val="auto"/>
              </w:rPr>
            </w:pPr>
          </w:p>
        </w:tc>
        <w:tc>
          <w:tcPr>
            <w:tcW w:w="2200" w:type="dxa"/>
            <w:vAlign w:val="bottom"/>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Fees Earned</w:t>
            </w:r>
          </w:p>
        </w:tc>
        <w:tc>
          <w:tcPr>
            <w:tcW w:w="1620" w:type="dxa"/>
            <w:vAlign w:val="bottom"/>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Awards</w:t>
            </w:r>
          </w:p>
        </w:tc>
        <w:tc>
          <w:tcPr>
            <w:tcW w:w="1460" w:type="dxa"/>
            <w:vAlign w:val="bottom"/>
            <w:shd w:val="clear" w:color="auto" w:fill="EEEDED"/>
          </w:tcPr>
          <w:p>
            <w:pPr>
              <w:jc w:val="center"/>
              <w:ind w:left="112"/>
              <w:spacing w:after="0"/>
              <w:rPr>
                <w:sz w:val="20"/>
                <w:szCs w:val="20"/>
                <w:color w:val="auto"/>
              </w:rPr>
            </w:pPr>
            <w:r>
              <w:rPr>
                <w:rFonts w:ascii="Arial" w:cs="Arial" w:eastAsia="Arial" w:hAnsi="Arial"/>
                <w:sz w:val="10"/>
                <w:szCs w:val="10"/>
                <w:b w:val="1"/>
                <w:bCs w:val="1"/>
                <w:color w:val="54585A"/>
                <w:w w:val="93"/>
              </w:rPr>
              <w:t>Awards</w:t>
            </w:r>
          </w:p>
        </w:tc>
        <w:tc>
          <w:tcPr>
            <w:tcW w:w="1760" w:type="dxa"/>
            <w:vAlign w:val="bottom"/>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Compensation</w:t>
            </w:r>
          </w:p>
        </w:tc>
        <w:tc>
          <w:tcPr>
            <w:tcW w:w="100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Total</w:t>
            </w:r>
          </w:p>
        </w:tc>
      </w:tr>
      <w:tr>
        <w:trPr>
          <w:trHeight w:val="178"/>
        </w:trPr>
        <w:tc>
          <w:tcPr>
            <w:tcW w:w="3240" w:type="dxa"/>
            <w:vAlign w:val="bottom"/>
            <w:tcBorders>
              <w:bottom w:val="single" w:sz="8" w:color="EEEDED"/>
            </w:tcBorders>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2200" w:type="dxa"/>
            <w:vAlign w:val="bottom"/>
            <w:tcBorders>
              <w:bottom w:val="single" w:sz="8" w:color="EEEDED"/>
            </w:tcBorders>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or Paid in Cash</w:t>
            </w:r>
          </w:p>
        </w:tc>
        <w:tc>
          <w:tcPr>
            <w:tcW w:w="1620" w:type="dxa"/>
            <w:vAlign w:val="bottom"/>
            <w:tcBorders>
              <w:bottom w:val="single" w:sz="8" w:color="EEEDED"/>
            </w:tcBorders>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12"/>
                <w:szCs w:val="12"/>
                <w:b w:val="1"/>
                <w:bCs w:val="1"/>
                <w:color w:val="54585A"/>
                <w:vertAlign w:val="superscript"/>
              </w:rPr>
              <w:t>(1)</w:t>
            </w:r>
          </w:p>
        </w:tc>
        <w:tc>
          <w:tcPr>
            <w:tcW w:w="1460" w:type="dxa"/>
            <w:vAlign w:val="bottom"/>
            <w:tcBorders>
              <w:bottom w:val="single" w:sz="8" w:color="EEEDED"/>
            </w:tcBorders>
            <w:shd w:val="clear" w:color="auto" w:fill="EEEDED"/>
          </w:tcPr>
          <w:p>
            <w:pPr>
              <w:jc w:val="right"/>
              <w:ind w:right="43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12"/>
                <w:szCs w:val="12"/>
                <w:b w:val="1"/>
                <w:bCs w:val="1"/>
                <w:color w:val="54585A"/>
                <w:vertAlign w:val="superscript"/>
              </w:rPr>
              <w:t>(1)</w:t>
            </w:r>
          </w:p>
        </w:tc>
        <w:tc>
          <w:tcPr>
            <w:tcW w:w="1760" w:type="dxa"/>
            <w:vAlign w:val="bottom"/>
            <w:tcBorders>
              <w:bottom w:val="single" w:sz="8" w:color="EEEDED"/>
            </w:tcBorders>
            <w:shd w:val="clear" w:color="auto" w:fill="EEEDED"/>
          </w:tcPr>
          <w:p>
            <w:pPr>
              <w:jc w:val="right"/>
              <w:ind w:right="572"/>
              <w:spacing w:after="0"/>
              <w:rPr>
                <w:sz w:val="20"/>
                <w:szCs w:val="20"/>
                <w:color w:val="auto"/>
              </w:rPr>
            </w:pPr>
            <w:r>
              <w:rPr>
                <w:rFonts w:ascii="Arial" w:cs="Arial" w:eastAsia="Arial" w:hAnsi="Arial"/>
                <w:sz w:val="10"/>
                <w:szCs w:val="10"/>
                <w:b w:val="1"/>
                <w:bCs w:val="1"/>
                <w:color w:val="54585A"/>
              </w:rPr>
              <w:t>($)</w:t>
            </w:r>
          </w:p>
        </w:tc>
        <w:tc>
          <w:tcPr>
            <w:tcW w:w="1000" w:type="dxa"/>
            <w:vAlign w:val="bottom"/>
            <w:tcBorders>
              <w:bottom w:val="single" w:sz="8" w:color="EEEDED"/>
            </w:tcBorders>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r>
      <w:tr>
        <w:trPr>
          <w:trHeight w:val="148"/>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James Monroe III</w:t>
            </w:r>
            <w:r>
              <w:rPr>
                <w:rFonts w:ascii="Arial" w:cs="Arial" w:eastAsia="Arial" w:hAnsi="Arial"/>
                <w:sz w:val="6"/>
                <w:szCs w:val="6"/>
                <w:b w:val="1"/>
                <w:bCs w:val="1"/>
                <w:color w:val="EB6C10"/>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186,000</w:t>
            </w:r>
          </w:p>
        </w:tc>
      </w:tr>
      <w:tr>
        <w:trPr>
          <w:trHeight w:val="147"/>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James F. Lynch</w:t>
            </w:r>
            <w:r>
              <w:rPr>
                <w:rFonts w:ascii="Arial" w:cs="Arial" w:eastAsia="Arial" w:hAnsi="Arial"/>
                <w:sz w:val="12"/>
                <w:szCs w:val="12"/>
                <w:b w:val="1"/>
                <w:bCs w:val="1"/>
                <w:color w:val="EB6C10"/>
                <w:vertAlign w:val="superscript"/>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186,000</w:t>
            </w: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William A. Hasler</w:t>
            </w:r>
            <w:r>
              <w:rPr>
                <w:rFonts w:ascii="Arial" w:cs="Arial" w:eastAsia="Arial" w:hAnsi="Arial"/>
                <w:sz w:val="12"/>
                <w:szCs w:val="12"/>
                <w:b w:val="1"/>
                <w:bCs w:val="1"/>
                <w:color w:val="EB6C10"/>
                <w:vertAlign w:val="superscript"/>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239,000</w:t>
            </w:r>
          </w:p>
        </w:tc>
      </w:tr>
      <w:tr>
        <w:trPr>
          <w:trHeight w:val="133"/>
        </w:trPr>
        <w:tc>
          <w:tcPr>
            <w:tcW w:w="3240" w:type="dxa"/>
            <w:vAlign w:val="bottom"/>
            <w:tcBorders>
              <w:bottom w:val="single" w:sz="8" w:color="54585A"/>
            </w:tcBorders>
          </w:tcPr>
          <w:p>
            <w:pPr>
              <w:ind w:left="60"/>
              <w:spacing w:after="0" w:line="133" w:lineRule="exact"/>
              <w:rPr>
                <w:sz w:val="20"/>
                <w:szCs w:val="20"/>
                <w:color w:val="auto"/>
              </w:rPr>
            </w:pPr>
            <w:r>
              <w:rPr>
                <w:rFonts w:ascii="Arial" w:cs="Arial" w:eastAsia="Arial" w:hAnsi="Arial"/>
                <w:sz w:val="10"/>
                <w:szCs w:val="10"/>
                <w:b w:val="1"/>
                <w:bCs w:val="1"/>
                <w:color w:val="EB6C10"/>
              </w:rPr>
              <w:t>Keith O. Cowan</w:t>
            </w:r>
            <w:r>
              <w:rPr>
                <w:rFonts w:ascii="Arial" w:cs="Arial" w:eastAsia="Arial" w:hAnsi="Arial"/>
                <w:sz w:val="12"/>
                <w:szCs w:val="12"/>
                <w:b w:val="1"/>
                <w:bCs w:val="1"/>
                <w:color w:val="EB6C10"/>
                <w:vertAlign w:val="superscript"/>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239,000</w:t>
            </w:r>
          </w:p>
        </w:tc>
      </w:tr>
      <w:tr>
        <w:trPr>
          <w:trHeight w:val="137"/>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Benjamin G. Wolff</w:t>
            </w:r>
            <w:r>
              <w:rPr>
                <w:rFonts w:ascii="Arial" w:cs="Arial" w:eastAsia="Arial" w:hAnsi="Arial"/>
                <w:sz w:val="6"/>
                <w:szCs w:val="6"/>
                <w:b w:val="1"/>
                <w:bCs w:val="1"/>
                <w:color w:val="EB6C10"/>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239,000</w:t>
            </w: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Michael J. Lovett</w:t>
            </w:r>
            <w:r>
              <w:rPr>
                <w:rFonts w:ascii="Arial" w:cs="Arial" w:eastAsia="Arial" w:hAnsi="Arial"/>
                <w:sz w:val="6"/>
                <w:szCs w:val="6"/>
                <w:b w:val="1"/>
                <w:bCs w:val="1"/>
                <w:color w:val="EB6C10"/>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186,000</w:t>
            </w:r>
          </w:p>
        </w:tc>
      </w:tr>
      <w:tr>
        <w:trPr>
          <w:trHeight w:val="148"/>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Timothy E. Taylor</w:t>
            </w:r>
            <w:r>
              <w:rPr>
                <w:rFonts w:ascii="Arial" w:cs="Arial" w:eastAsia="Arial" w:hAnsi="Arial"/>
                <w:sz w:val="12"/>
                <w:szCs w:val="12"/>
                <w:b w:val="1"/>
                <w:bCs w:val="1"/>
                <w:color w:val="EB6C10"/>
                <w:vertAlign w:val="superscript"/>
              </w:rPr>
              <w:t>(2)(3)(4)</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20" w:type="dxa"/>
            <w:vAlign w:val="bottom"/>
            <w:tcBorders>
              <w:bottom w:val="single" w:sz="8" w:color="54585A"/>
            </w:tcBorders>
          </w:tcPr>
          <w:p>
            <w:pPr>
              <w:jc w:val="right"/>
              <w:ind w:right="612"/>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jc w:val="center"/>
              <w:ind w:left="112"/>
              <w:spacing w:after="0"/>
              <w:rPr>
                <w:sz w:val="20"/>
                <w:szCs w:val="20"/>
                <w:color w:val="auto"/>
              </w:rPr>
            </w:pPr>
            <w:r>
              <w:rPr>
                <w:rFonts w:ascii="Arial" w:cs="Arial" w:eastAsia="Arial" w:hAnsi="Arial"/>
                <w:sz w:val="10"/>
                <w:szCs w:val="10"/>
                <w:color w:val="54585A"/>
                <w:w w:val="97"/>
              </w:rPr>
              <w:t>86,000</w:t>
            </w:r>
          </w:p>
        </w:tc>
        <w:tc>
          <w:tcPr>
            <w:tcW w:w="1760" w:type="dxa"/>
            <w:vAlign w:val="bottom"/>
            <w:tcBorders>
              <w:bottom w:val="single" w:sz="8" w:color="54585A"/>
            </w:tcBorders>
          </w:tcPr>
          <w:p>
            <w:pPr>
              <w:ind w:left="1000"/>
              <w:spacing w:after="0"/>
              <w:rPr>
                <w:sz w:val="20"/>
                <w:szCs w:val="20"/>
                <w:color w:val="auto"/>
              </w:rPr>
            </w:pPr>
            <w:r>
              <w:rPr>
                <w:rFonts w:ascii="Arial" w:cs="Arial" w:eastAsia="Arial" w:hAnsi="Arial"/>
                <w:sz w:val="10"/>
                <w:szCs w:val="10"/>
                <w:color w:val="54585A"/>
              </w:rPr>
              <w:t>—</w:t>
            </w:r>
          </w:p>
        </w:tc>
        <w:tc>
          <w:tcPr>
            <w:tcW w:w="10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239,000</w:t>
            </w:r>
          </w:p>
        </w:tc>
      </w:tr>
    </w:tbl>
    <w:p>
      <w:pPr>
        <w:spacing w:after="0" w:line="123" w:lineRule="exact"/>
        <w:rPr>
          <w:sz w:val="20"/>
          <w:szCs w:val="20"/>
          <w:color w:val="auto"/>
        </w:rPr>
      </w:pPr>
    </w:p>
    <w:p>
      <w:pPr>
        <w:ind w:left="208" w:right="420" w:hanging="208"/>
        <w:spacing w:after="0" w:line="380" w:lineRule="auto"/>
        <w:tabs>
          <w:tab w:leader="none" w:pos="208" w:val="left"/>
        </w:tabs>
        <w:numPr>
          <w:ilvl w:val="0"/>
          <w:numId w:val="39"/>
        </w:numPr>
        <w:rPr>
          <w:rFonts w:ascii="Arial" w:cs="Arial" w:eastAsia="Arial" w:hAnsi="Arial"/>
          <w:sz w:val="8"/>
          <w:szCs w:val="8"/>
          <w:color w:val="54585A"/>
        </w:rPr>
      </w:pPr>
      <w:r>
        <w:rPr>
          <w:rFonts w:ascii="Arial" w:cs="Arial" w:eastAsia="Arial" w:hAnsi="Arial"/>
          <w:sz w:val="8"/>
          <w:szCs w:val="8"/>
          <w:color w:val="54585A"/>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2022 Annual Report on Form 10-K. The actual amount of compensation realized, if any, for option awards may differ from the amounts presented in the table.</w:t>
      </w:r>
    </w:p>
    <w:p>
      <w:pPr>
        <w:spacing w:after="0" w:line="14" w:lineRule="exact"/>
        <w:rPr>
          <w:rFonts w:ascii="Arial" w:cs="Arial" w:eastAsia="Arial" w:hAnsi="Arial"/>
          <w:sz w:val="8"/>
          <w:szCs w:val="8"/>
          <w:color w:val="54585A"/>
        </w:rPr>
      </w:pPr>
    </w:p>
    <w:p>
      <w:pPr>
        <w:ind w:left="208" w:right="80" w:hanging="208"/>
        <w:spacing w:after="0" w:line="256" w:lineRule="auto"/>
        <w:tabs>
          <w:tab w:leader="none" w:pos="208"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On January 4, 2022, we granted options to purchase 100,000 shares of common stock with a grant date fair value of $0.86 per share and 43,104 restricted stock awards with a grant date fair value of $1.16 per share. The options to purchase shares of common stock vest in one-third increments over a three-year period and the restricted stock awards vest over a one-year period.</w:t>
      </w:r>
    </w:p>
    <w:p>
      <w:pPr>
        <w:spacing w:after="0" w:line="60" w:lineRule="exact"/>
        <w:rPr>
          <w:rFonts w:ascii="Arial" w:cs="Arial" w:eastAsia="Arial" w:hAnsi="Arial"/>
          <w:sz w:val="10"/>
          <w:szCs w:val="10"/>
          <w:color w:val="54585A"/>
        </w:rPr>
      </w:pPr>
    </w:p>
    <w:p>
      <w:pPr>
        <w:ind w:left="208" w:hanging="208"/>
        <w:spacing w:after="0"/>
        <w:tabs>
          <w:tab w:leader="none" w:pos="208"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On May 10, 2022, we granted 50,000 restricted stock awards that had a grant date fair value of $1.06 per share and vest over a one-year period.</w:t>
      </w:r>
    </w:p>
    <w:p>
      <w:pPr>
        <w:spacing w:after="0" w:line="65" w:lineRule="exact"/>
        <w:rPr>
          <w:rFonts w:ascii="Arial" w:cs="Arial" w:eastAsia="Arial" w:hAnsi="Arial"/>
          <w:sz w:val="10"/>
          <w:szCs w:val="10"/>
          <w:color w:val="54585A"/>
        </w:rPr>
      </w:pPr>
    </w:p>
    <w:p>
      <w:pPr>
        <w:ind w:left="208" w:hanging="208"/>
        <w:spacing w:after="0"/>
        <w:tabs>
          <w:tab w:leader="none" w:pos="208"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Mr. Taylor also received compensation during 2022 for his service as a Vice President of the Company. This compensation is not reflected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317500</wp:posOffset>
            </wp:positionV>
            <wp:extent cx="1714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43" w:right="31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6"/>
          <w:szCs w:val="36"/>
          <w:color w:val="EB6C1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1800225" cy="4429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0225"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1D8DB8"/>
        </w:rPr>
        <w:t>Proposal Two</w:t>
      </w:r>
    </w:p>
    <w:p>
      <w:pPr>
        <w:spacing w:after="0" w:line="146" w:lineRule="exact"/>
        <w:rPr>
          <w:sz w:val="20"/>
          <w:szCs w:val="20"/>
          <w:color w:val="auto"/>
        </w:rPr>
      </w:pPr>
    </w:p>
    <w:p>
      <w:pPr>
        <w:ind w:left="440" w:right="20" w:hanging="100"/>
        <w:spacing w:after="0" w:line="327" w:lineRule="auto"/>
        <w:tabs>
          <w:tab w:leader="none" w:pos="399" w:val="left"/>
        </w:tabs>
        <w:numPr>
          <w:ilvl w:val="0"/>
          <w:numId w:val="40"/>
        </w:numPr>
        <w:rPr>
          <w:rFonts w:ascii="Arial" w:cs="Arial" w:eastAsia="Arial" w:hAnsi="Arial"/>
          <w:sz w:val="12"/>
          <w:szCs w:val="12"/>
          <w:b w:val="1"/>
          <w:bCs w:val="1"/>
          <w:color w:val="1D8DB8"/>
        </w:rPr>
      </w:pPr>
      <w:r>
        <w:rPr>
          <w:rFonts w:ascii="Arial" w:cs="Arial" w:eastAsia="Arial" w:hAnsi="Arial"/>
          <w:sz w:val="12"/>
          <w:szCs w:val="12"/>
          <w:color w:val="FFFFFF"/>
        </w:rPr>
        <w:t xml:space="preserve">The Board recommends that stockholders vote </w:t>
      </w:r>
      <w:r>
        <w:rPr>
          <w:rFonts w:ascii="Arial" w:cs="Arial" w:eastAsia="Arial" w:hAnsi="Arial"/>
          <w:sz w:val="12"/>
          <w:szCs w:val="12"/>
          <w:b w:val="1"/>
          <w:bCs w:val="1"/>
          <w:color w:val="1D8DB8"/>
        </w:rPr>
        <w:t>FOR</w:t>
      </w:r>
      <w:r>
        <w:rPr>
          <w:rFonts w:ascii="Arial" w:cs="Arial" w:eastAsia="Arial" w:hAnsi="Arial"/>
          <w:sz w:val="12"/>
          <w:szCs w:val="12"/>
          <w:color w:val="FFFFFF"/>
        </w:rPr>
        <w:t xml:space="preserve"> ratification of the appointment of EY as our independent registered public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2717800</wp:posOffset>
            </wp:positionV>
            <wp:extent cx="1714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Audit Matters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54585A"/>
        </w:rPr>
        <w:t>Ratification of Independent Registered Public Accounting Firm</w:t>
      </w:r>
    </w:p>
    <w:p>
      <w:pPr>
        <w:spacing w:after="0" w:line="143" w:lineRule="exact"/>
        <w:rPr>
          <w:sz w:val="20"/>
          <w:szCs w:val="20"/>
          <w:color w:val="auto"/>
        </w:rPr>
      </w:pPr>
    </w:p>
    <w:p>
      <w:pPr>
        <w:ind w:right="60"/>
        <w:spacing w:after="0" w:line="328" w:lineRule="auto"/>
        <w:rPr>
          <w:sz w:val="20"/>
          <w:szCs w:val="20"/>
          <w:color w:val="auto"/>
        </w:rPr>
      </w:pPr>
      <w:r>
        <w:rPr>
          <w:rFonts w:ascii="Arial" w:cs="Arial" w:eastAsia="Arial" w:hAnsi="Arial"/>
          <w:sz w:val="11"/>
          <w:szCs w:val="11"/>
          <w:color w:val="54585A"/>
        </w:rPr>
        <w:t>The Board desires to obtain from the stockholders an indication of their approval or disapproval of the appointment by the Audit Committee of Ernst &amp; Young LLP ("EY") as our independent registered public accounting firm for 2023.</w:t>
      </w:r>
    </w:p>
    <w:p>
      <w:pPr>
        <w:spacing w:after="0" w:line="95" w:lineRule="exact"/>
        <w:rPr>
          <w:sz w:val="20"/>
          <w:szCs w:val="20"/>
          <w:color w:val="auto"/>
        </w:rPr>
      </w:pPr>
    </w:p>
    <w:p>
      <w:pPr>
        <w:ind w:right="160"/>
        <w:spacing w:after="0" w:line="326" w:lineRule="auto"/>
        <w:rPr>
          <w:sz w:val="20"/>
          <w:szCs w:val="20"/>
          <w:color w:val="auto"/>
        </w:rPr>
      </w:pPr>
      <w:r>
        <w:rPr>
          <w:rFonts w:ascii="Arial" w:cs="Arial" w:eastAsia="Arial" w:hAnsi="Arial"/>
          <w:sz w:val="11"/>
          <w:szCs w:val="11"/>
          <w:color w:val="54585A"/>
        </w:rPr>
        <w:t>EY has served as our independent registered public accounting firm beginning with the audit of the year ended December 31, 2020. We have been informed that neither EY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97" w:lineRule="exact"/>
        <w:rPr>
          <w:sz w:val="20"/>
          <w:szCs w:val="20"/>
          <w:color w:val="auto"/>
        </w:rPr>
      </w:pPr>
    </w:p>
    <w:p>
      <w:pPr>
        <w:ind w:right="60"/>
        <w:spacing w:after="0" w:line="328" w:lineRule="auto"/>
        <w:rPr>
          <w:sz w:val="20"/>
          <w:szCs w:val="20"/>
          <w:color w:val="auto"/>
        </w:rPr>
      </w:pPr>
      <w:r>
        <w:rPr>
          <w:rFonts w:ascii="Arial" w:cs="Arial" w:eastAsia="Arial" w:hAnsi="Arial"/>
          <w:sz w:val="11"/>
          <w:szCs w:val="11"/>
          <w:color w:val="54585A"/>
        </w:rPr>
        <w:t>One or more representatives of EY will be present, either in person or by telephone, at the Annual Meeting, will have an opportunity to make a statement if they desire and will be available to respond to appropriate questions.</w:t>
      </w:r>
    </w:p>
    <w:p>
      <w:pPr>
        <w:spacing w:after="0" w:line="95" w:lineRule="exact"/>
        <w:rPr>
          <w:sz w:val="20"/>
          <w:szCs w:val="20"/>
          <w:color w:val="auto"/>
        </w:rPr>
      </w:pPr>
    </w:p>
    <w:p>
      <w:pPr>
        <w:jc w:val="both"/>
        <w:ind w:right="300"/>
        <w:spacing w:after="0" w:line="326" w:lineRule="auto"/>
        <w:rPr>
          <w:sz w:val="20"/>
          <w:szCs w:val="20"/>
          <w:color w:val="auto"/>
        </w:rPr>
      </w:pPr>
      <w:r>
        <w:rPr>
          <w:rFonts w:ascii="Arial" w:cs="Arial" w:eastAsia="Arial" w:hAnsi="Arial"/>
          <w:sz w:val="11"/>
          <w:szCs w:val="11"/>
          <w:color w:val="54585A"/>
        </w:rPr>
        <w:t>If the resolution is defeated, the adverse vote will be considered a direction to the Audit Committee to select another independent registered public accounting firm for 2024. The appointment for the year 2023 will be permitted to stand unless the Audit Committee becomes aware of other reasons for changing independent registered public accounting firms other than at the end of a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Ratify the Appointment of EY</w:t>
      </w:r>
    </w:p>
    <w:p>
      <w:pPr>
        <w:spacing w:after="0" w:line="68" w:lineRule="exact"/>
        <w:rPr>
          <w:sz w:val="20"/>
          <w:szCs w:val="20"/>
          <w:color w:val="auto"/>
        </w:rPr>
      </w:pPr>
    </w:p>
    <w:p>
      <w:pPr>
        <w:ind w:right="160"/>
        <w:spacing w:after="0" w:line="345" w:lineRule="auto"/>
        <w:rPr>
          <w:sz w:val="20"/>
          <w:szCs w:val="20"/>
          <w:color w:val="auto"/>
        </w:rPr>
      </w:pPr>
      <w:r>
        <w:rPr>
          <w:rFonts w:ascii="Arial" w:cs="Arial" w:eastAsia="Arial" w:hAnsi="Arial"/>
          <w:sz w:val="11"/>
          <w:szCs w:val="11"/>
          <w:color w:val="54585A"/>
        </w:rPr>
        <w:t>The affirmative vote of the holders of a majority of the shares of common stock represented, in person or by proxy, and entitled to vote at the meeting is required to ratify the appointment of 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4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158115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400" w:space="720"/>
            <w:col w:w="8180"/>
          </w:cols>
          <w:pgMar w:left="300" w:top="125" w:right="299" w:bottom="1440" w:gutter="0" w:footer="0" w:header="0"/>
        </w:sectPr>
      </w:pPr>
    </w:p>
    <w:bookmarkStart w:id="22" w:name="page23"/>
    <w:bookmarkEnd w:id="22"/>
    <w:p>
      <w:pPr>
        <w:ind w:left="68" w:hanging="68"/>
        <w:spacing w:after="0"/>
        <w:tabs>
          <w:tab w:leader="none" w:pos="68" w:val="left"/>
        </w:tabs>
        <w:numPr>
          <w:ilvl w:val="0"/>
          <w:numId w:val="41"/>
        </w:numPr>
        <w:rPr>
          <w:rFonts w:ascii="Arial" w:cs="Arial" w:eastAsia="Arial" w:hAnsi="Arial"/>
          <w:sz w:val="12"/>
          <w:szCs w:val="12"/>
          <w:b w:val="1"/>
          <w:bCs w:val="1"/>
          <w:color w:val="EB6C10"/>
        </w:rPr>
      </w:pPr>
      <w:r>
        <w:rPr>
          <w:rFonts w:ascii="Arial" w:cs="Arial" w:eastAsia="Arial" w:hAnsi="Arial"/>
          <w:sz w:val="10"/>
          <w:szCs w:val="10"/>
          <w:color w:val="54585A"/>
        </w:rPr>
        <w:t>Audit Matters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Independent Registered Public Accounting Firm Fees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table below presents fees for professional audit and other services rendered by EY for the fiscal years ended December 31, 2022 and 2021.</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960" w:type="dxa"/>
            <w:vAlign w:val="bottom"/>
            <w:tcBorders>
              <w:bottom w:val="single" w:sz="8" w:color="EEEDED"/>
            </w:tcBorders>
            <w:shd w:val="clear" w:color="auto" w:fill="EEEDED"/>
          </w:tcPr>
          <w:p>
            <w:pPr>
              <w:spacing w:after="0"/>
              <w:rPr>
                <w:sz w:val="12"/>
                <w:szCs w:val="12"/>
                <w:color w:val="auto"/>
              </w:rPr>
            </w:pPr>
          </w:p>
        </w:tc>
        <w:tc>
          <w:tcPr>
            <w:tcW w:w="1400" w:type="dxa"/>
            <w:vAlign w:val="bottom"/>
            <w:tcBorders>
              <w:bottom w:val="single" w:sz="8" w:color="54585A"/>
            </w:tcBorders>
            <w:shd w:val="clear" w:color="auto" w:fill="EEEDED"/>
          </w:tcPr>
          <w:p>
            <w:pPr>
              <w:spacing w:after="0"/>
              <w:rPr>
                <w:sz w:val="12"/>
                <w:szCs w:val="12"/>
                <w:color w:val="auto"/>
              </w:rPr>
            </w:pPr>
          </w:p>
        </w:tc>
        <w:tc>
          <w:tcPr>
            <w:tcW w:w="1560" w:type="dxa"/>
            <w:vAlign w:val="bottom"/>
            <w:tcBorders>
              <w:bottom w:val="single" w:sz="8" w:color="54585A"/>
            </w:tcBorders>
            <w:gridSpan w:val="2"/>
            <w:shd w:val="clear" w:color="auto" w:fill="EEEDED"/>
          </w:tcPr>
          <w:p>
            <w:pPr>
              <w:jc w:val="right"/>
              <w:ind w:right="152"/>
              <w:spacing w:after="0"/>
              <w:rPr>
                <w:sz w:val="20"/>
                <w:szCs w:val="20"/>
                <w:color w:val="auto"/>
              </w:rPr>
            </w:pPr>
            <w:r>
              <w:rPr>
                <w:rFonts w:ascii="Arial" w:cs="Arial" w:eastAsia="Arial" w:hAnsi="Arial"/>
                <w:sz w:val="10"/>
                <w:szCs w:val="10"/>
                <w:b w:val="1"/>
                <w:bCs w:val="1"/>
                <w:color w:val="54585A"/>
              </w:rPr>
              <w:t>Year Ended December 31,</w:t>
            </w:r>
          </w:p>
        </w:tc>
        <w:tc>
          <w:tcPr>
            <w:tcW w:w="1380" w:type="dxa"/>
            <w:vAlign w:val="bottom"/>
            <w:tcBorders>
              <w:bottom w:val="single" w:sz="8" w:color="54585A"/>
            </w:tcBorders>
            <w:shd w:val="clear" w:color="auto" w:fill="EEEDED"/>
          </w:tcPr>
          <w:p>
            <w:pPr>
              <w:spacing w:after="0"/>
              <w:rPr>
                <w:sz w:val="12"/>
                <w:szCs w:val="12"/>
                <w:color w:val="auto"/>
              </w:rPr>
            </w:pPr>
          </w:p>
        </w:tc>
      </w:tr>
      <w:tr>
        <w:trPr>
          <w:trHeight w:val="131"/>
        </w:trPr>
        <w:tc>
          <w:tcPr>
            <w:tcW w:w="6960" w:type="dxa"/>
            <w:vAlign w:val="bottom"/>
            <w:shd w:val="clear" w:color="auto" w:fill="EEEDED"/>
          </w:tcPr>
          <w:p>
            <w:pPr>
              <w:spacing w:after="0"/>
              <w:rPr>
                <w:sz w:val="11"/>
                <w:szCs w:val="11"/>
                <w:color w:val="auto"/>
              </w:rPr>
            </w:pPr>
          </w:p>
        </w:tc>
        <w:tc>
          <w:tcPr>
            <w:tcW w:w="1400" w:type="dxa"/>
            <w:vAlign w:val="bottom"/>
            <w:shd w:val="clear" w:color="auto" w:fill="EEEDED"/>
          </w:tcPr>
          <w:p>
            <w:pPr>
              <w:jc w:val="right"/>
              <w:ind w:right="152"/>
              <w:spacing w:after="0"/>
              <w:rPr>
                <w:sz w:val="20"/>
                <w:szCs w:val="20"/>
                <w:color w:val="auto"/>
              </w:rPr>
            </w:pPr>
            <w:r>
              <w:rPr>
                <w:rFonts w:ascii="Arial" w:cs="Arial" w:eastAsia="Arial" w:hAnsi="Arial"/>
                <w:sz w:val="10"/>
                <w:szCs w:val="10"/>
                <w:b w:val="1"/>
                <w:bCs w:val="1"/>
                <w:color w:val="54585A"/>
              </w:rPr>
              <w:t>2022</w:t>
            </w:r>
          </w:p>
        </w:tc>
        <w:tc>
          <w:tcPr>
            <w:tcW w:w="780" w:type="dxa"/>
            <w:vAlign w:val="bottom"/>
            <w:tcBorders>
              <w:right w:val="single" w:sz="8" w:color="54585A"/>
            </w:tcBorders>
            <w:shd w:val="clear" w:color="auto" w:fill="EEEDED"/>
          </w:tcPr>
          <w:p>
            <w:pPr>
              <w:spacing w:after="0"/>
              <w:rPr>
                <w:sz w:val="11"/>
                <w:szCs w:val="11"/>
                <w:color w:val="auto"/>
              </w:rPr>
            </w:pPr>
          </w:p>
        </w:tc>
        <w:tc>
          <w:tcPr>
            <w:tcW w:w="780" w:type="dxa"/>
            <w:vAlign w:val="bottom"/>
            <w:shd w:val="clear" w:color="auto" w:fill="EEEDED"/>
          </w:tcPr>
          <w:p>
            <w:pPr>
              <w:spacing w:after="0"/>
              <w:rPr>
                <w:sz w:val="11"/>
                <w:szCs w:val="11"/>
                <w:color w:val="auto"/>
              </w:rPr>
            </w:pPr>
          </w:p>
        </w:tc>
        <w:tc>
          <w:tcPr>
            <w:tcW w:w="1380" w:type="dxa"/>
            <w:vAlign w:val="bottom"/>
            <w:shd w:val="clear" w:color="auto" w:fill="EEEDED"/>
          </w:tcPr>
          <w:p>
            <w:pPr>
              <w:jc w:val="right"/>
              <w:ind w:right="932"/>
              <w:spacing w:after="0"/>
              <w:rPr>
                <w:sz w:val="20"/>
                <w:szCs w:val="20"/>
                <w:color w:val="auto"/>
              </w:rPr>
            </w:pPr>
            <w:r>
              <w:rPr>
                <w:rFonts w:ascii="Arial" w:cs="Arial" w:eastAsia="Arial" w:hAnsi="Arial"/>
                <w:sz w:val="10"/>
                <w:szCs w:val="10"/>
                <w:b w:val="1"/>
                <w:bCs w:val="1"/>
                <w:color w:val="54585A"/>
              </w:rPr>
              <w:t>2021</w:t>
            </w:r>
          </w:p>
        </w:tc>
      </w:tr>
      <w:tr>
        <w:trPr>
          <w:trHeight w:val="74"/>
        </w:trPr>
        <w:tc>
          <w:tcPr>
            <w:tcW w:w="6960" w:type="dxa"/>
            <w:vAlign w:val="bottom"/>
            <w:shd w:val="clear" w:color="auto" w:fill="EEEDED"/>
          </w:tcPr>
          <w:p>
            <w:pPr>
              <w:spacing w:after="0"/>
              <w:rPr>
                <w:sz w:val="6"/>
                <w:szCs w:val="6"/>
                <w:color w:val="auto"/>
              </w:rPr>
            </w:pPr>
          </w:p>
        </w:tc>
        <w:tc>
          <w:tcPr>
            <w:tcW w:w="1400" w:type="dxa"/>
            <w:vAlign w:val="bottom"/>
            <w:shd w:val="clear" w:color="auto" w:fill="EEEDED"/>
          </w:tcPr>
          <w:p>
            <w:pPr>
              <w:spacing w:after="0"/>
              <w:rPr>
                <w:sz w:val="6"/>
                <w:szCs w:val="6"/>
                <w:color w:val="auto"/>
              </w:rPr>
            </w:pPr>
          </w:p>
        </w:tc>
        <w:tc>
          <w:tcPr>
            <w:tcW w:w="780" w:type="dxa"/>
            <w:vAlign w:val="bottom"/>
            <w:tcBorders>
              <w:right w:val="single" w:sz="8" w:color="54585A"/>
            </w:tcBorders>
            <w:shd w:val="clear" w:color="auto" w:fill="EEEDED"/>
          </w:tcPr>
          <w:p>
            <w:pPr>
              <w:spacing w:after="0"/>
              <w:rPr>
                <w:sz w:val="6"/>
                <w:szCs w:val="6"/>
                <w:color w:val="auto"/>
              </w:rPr>
            </w:pPr>
          </w:p>
        </w:tc>
        <w:tc>
          <w:tcPr>
            <w:tcW w:w="780" w:type="dxa"/>
            <w:vAlign w:val="bottom"/>
            <w:shd w:val="clear" w:color="auto" w:fill="EEEDED"/>
          </w:tcPr>
          <w:p>
            <w:pPr>
              <w:spacing w:after="0"/>
              <w:rPr>
                <w:sz w:val="6"/>
                <w:szCs w:val="6"/>
                <w:color w:val="auto"/>
              </w:rPr>
            </w:pPr>
          </w:p>
        </w:tc>
        <w:tc>
          <w:tcPr>
            <w:tcW w:w="1380" w:type="dxa"/>
            <w:vAlign w:val="bottom"/>
            <w:shd w:val="clear" w:color="auto" w:fill="EEEDED"/>
          </w:tcPr>
          <w:p>
            <w:pPr>
              <w:spacing w:after="0"/>
              <w:rPr>
                <w:sz w:val="6"/>
                <w:szCs w:val="6"/>
                <w:color w:val="auto"/>
              </w:rPr>
            </w:pPr>
          </w:p>
        </w:tc>
      </w:tr>
      <w:tr>
        <w:trPr>
          <w:trHeight w:val="153"/>
        </w:trPr>
        <w:tc>
          <w:tcPr>
            <w:tcW w:w="69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Audit Fees</w:t>
            </w:r>
            <w:r>
              <w:rPr>
                <w:rFonts w:ascii="Arial" w:cs="Arial" w:eastAsia="Arial" w:hAnsi="Arial"/>
                <w:sz w:val="12"/>
                <w:szCs w:val="12"/>
                <w:b w:val="1"/>
                <w:bCs w:val="1"/>
                <w:color w:val="EB6C10"/>
                <w:vertAlign w:val="superscript"/>
              </w:rPr>
              <w:t>(1)</w:t>
            </w:r>
          </w:p>
        </w:tc>
        <w:tc>
          <w:tcPr>
            <w:tcW w:w="1400" w:type="dxa"/>
            <w:vAlign w:val="bottom"/>
            <w:tcBorders>
              <w:bottom w:val="single" w:sz="8" w:color="54585A"/>
            </w:tcBorders>
          </w:tcPr>
          <w:p>
            <w:pPr>
              <w:jc w:val="right"/>
              <w:ind w:right="1272"/>
              <w:spacing w:after="0"/>
              <w:rPr>
                <w:sz w:val="20"/>
                <w:szCs w:val="20"/>
                <w:color w:val="auto"/>
              </w:rPr>
            </w:pPr>
            <w:r>
              <w:rPr>
                <w:rFonts w:ascii="Arial" w:cs="Arial" w:eastAsia="Arial" w:hAnsi="Arial"/>
                <w:sz w:val="10"/>
                <w:szCs w:val="10"/>
                <w:color w:val="54585A"/>
              </w:rPr>
              <w:t>$</w:t>
            </w:r>
          </w:p>
        </w:tc>
        <w:tc>
          <w:tcPr>
            <w:tcW w:w="78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1,017,665</w:t>
            </w:r>
          </w:p>
        </w:tc>
        <w:tc>
          <w:tcPr>
            <w:tcW w:w="780" w:type="dxa"/>
            <w:vAlign w:val="bottom"/>
            <w:tcBorders>
              <w:bottom w:val="single" w:sz="8" w:color="54585A"/>
            </w:tcBorders>
          </w:tcPr>
          <w:p>
            <w:pPr>
              <w:jc w:val="right"/>
              <w:ind w:right="672"/>
              <w:spacing w:after="0"/>
              <w:rPr>
                <w:sz w:val="20"/>
                <w:szCs w:val="20"/>
                <w:color w:val="auto"/>
              </w:rPr>
            </w:pPr>
            <w:r>
              <w:rPr>
                <w:rFonts w:ascii="Arial" w:cs="Arial" w:eastAsia="Arial" w:hAnsi="Arial"/>
                <w:sz w:val="10"/>
                <w:szCs w:val="10"/>
                <w:color w:val="54585A"/>
                <w:w w:val="71"/>
              </w:rPr>
              <w:t>$</w:t>
            </w: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982,295</w:t>
            </w:r>
          </w:p>
        </w:tc>
      </w:tr>
      <w:tr>
        <w:trPr>
          <w:trHeight w:val="133"/>
        </w:trPr>
        <w:tc>
          <w:tcPr>
            <w:tcW w:w="6960" w:type="dxa"/>
            <w:vAlign w:val="bottom"/>
            <w:tcBorders>
              <w:bottom w:val="single" w:sz="8" w:color="54585A"/>
            </w:tcBorders>
          </w:tcPr>
          <w:p>
            <w:pPr>
              <w:ind w:left="60"/>
              <w:spacing w:after="0" w:line="133" w:lineRule="exact"/>
              <w:rPr>
                <w:sz w:val="20"/>
                <w:szCs w:val="20"/>
                <w:color w:val="auto"/>
              </w:rPr>
            </w:pPr>
            <w:r>
              <w:rPr>
                <w:rFonts w:ascii="Arial" w:cs="Arial" w:eastAsia="Arial" w:hAnsi="Arial"/>
                <w:sz w:val="10"/>
                <w:szCs w:val="10"/>
                <w:b w:val="1"/>
                <w:bCs w:val="1"/>
                <w:color w:val="EB6C10"/>
              </w:rPr>
              <w:t>Audit-Related Fees</w:t>
            </w:r>
            <w:r>
              <w:rPr>
                <w:rFonts w:ascii="Arial" w:cs="Arial" w:eastAsia="Arial" w:hAnsi="Arial"/>
                <w:sz w:val="12"/>
                <w:szCs w:val="12"/>
                <w:b w:val="1"/>
                <w:bCs w:val="1"/>
                <w:color w:val="EB6C10"/>
                <w:vertAlign w:val="superscript"/>
              </w:rPr>
              <w:t>(2)</w:t>
            </w:r>
          </w:p>
        </w:tc>
        <w:tc>
          <w:tcPr>
            <w:tcW w:w="1400" w:type="dxa"/>
            <w:vAlign w:val="bottom"/>
            <w:tcBorders>
              <w:bottom w:val="single" w:sz="8" w:color="54585A"/>
            </w:tcBorders>
          </w:tcPr>
          <w:p>
            <w:pPr>
              <w:spacing w:after="0"/>
              <w:rPr>
                <w:sz w:val="11"/>
                <w:szCs w:val="11"/>
                <w:color w:val="auto"/>
              </w:rPr>
            </w:pPr>
          </w:p>
        </w:tc>
        <w:tc>
          <w:tcPr>
            <w:tcW w:w="78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20,000</w:t>
            </w:r>
          </w:p>
        </w:tc>
        <w:tc>
          <w:tcPr>
            <w:tcW w:w="780" w:type="dxa"/>
            <w:vAlign w:val="bottom"/>
            <w:tcBorders>
              <w:bottom w:val="single" w:sz="8" w:color="54585A"/>
            </w:tcBorders>
          </w:tcPr>
          <w:p>
            <w:pPr>
              <w:spacing w:after="0"/>
              <w:rPr>
                <w:sz w:val="11"/>
                <w:szCs w:val="11"/>
                <w:color w:val="auto"/>
              </w:rPr>
            </w:pP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20,000</w:t>
            </w:r>
          </w:p>
        </w:tc>
      </w:tr>
      <w:tr>
        <w:trPr>
          <w:trHeight w:val="136"/>
        </w:trPr>
        <w:tc>
          <w:tcPr>
            <w:tcW w:w="69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Tax Fees</w:t>
            </w:r>
            <w:r>
              <w:rPr>
                <w:rFonts w:ascii="Arial" w:cs="Arial" w:eastAsia="Arial" w:hAnsi="Arial"/>
                <w:sz w:val="6"/>
                <w:szCs w:val="6"/>
                <w:b w:val="1"/>
                <w:bCs w:val="1"/>
                <w:color w:val="EB6C10"/>
              </w:rPr>
              <w:t>(3)</w:t>
            </w:r>
          </w:p>
        </w:tc>
        <w:tc>
          <w:tcPr>
            <w:tcW w:w="1400" w:type="dxa"/>
            <w:vAlign w:val="bottom"/>
            <w:tcBorders>
              <w:bottom w:val="single" w:sz="8" w:color="54585A"/>
            </w:tcBorders>
          </w:tcPr>
          <w:p>
            <w:pPr>
              <w:spacing w:after="0"/>
              <w:rPr>
                <w:sz w:val="11"/>
                <w:szCs w:val="11"/>
                <w:color w:val="auto"/>
              </w:rPr>
            </w:pPr>
          </w:p>
        </w:tc>
        <w:tc>
          <w:tcPr>
            <w:tcW w:w="78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537,191</w:t>
            </w:r>
          </w:p>
        </w:tc>
        <w:tc>
          <w:tcPr>
            <w:tcW w:w="780" w:type="dxa"/>
            <w:vAlign w:val="bottom"/>
            <w:tcBorders>
              <w:bottom w:val="single" w:sz="8" w:color="54585A"/>
            </w:tcBorders>
          </w:tcPr>
          <w:p>
            <w:pPr>
              <w:spacing w:after="0"/>
              <w:rPr>
                <w:sz w:val="11"/>
                <w:szCs w:val="11"/>
                <w:color w:val="auto"/>
              </w:rPr>
            </w:pP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802,656</w:t>
            </w:r>
          </w:p>
        </w:tc>
      </w:tr>
      <w:tr>
        <w:trPr>
          <w:trHeight w:val="142"/>
        </w:trPr>
        <w:tc>
          <w:tcPr>
            <w:tcW w:w="69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Total</w:t>
            </w:r>
          </w:p>
        </w:tc>
        <w:tc>
          <w:tcPr>
            <w:tcW w:w="1400" w:type="dxa"/>
            <w:vAlign w:val="bottom"/>
            <w:tcBorders>
              <w:bottom w:val="single" w:sz="8" w:color="54585A"/>
            </w:tcBorders>
          </w:tcPr>
          <w:p>
            <w:pPr>
              <w:jc w:val="right"/>
              <w:ind w:right="1272"/>
              <w:spacing w:after="0"/>
              <w:rPr>
                <w:sz w:val="20"/>
                <w:szCs w:val="20"/>
                <w:color w:val="auto"/>
              </w:rPr>
            </w:pPr>
            <w:r>
              <w:rPr>
                <w:rFonts w:ascii="Arial" w:cs="Arial" w:eastAsia="Arial" w:hAnsi="Arial"/>
                <w:sz w:val="10"/>
                <w:szCs w:val="10"/>
                <w:color w:val="54585A"/>
              </w:rPr>
              <w:t>$</w:t>
            </w:r>
          </w:p>
        </w:tc>
        <w:tc>
          <w:tcPr>
            <w:tcW w:w="78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1,574,856</w:t>
            </w:r>
          </w:p>
        </w:tc>
        <w:tc>
          <w:tcPr>
            <w:tcW w:w="780" w:type="dxa"/>
            <w:vAlign w:val="bottom"/>
            <w:tcBorders>
              <w:bottom w:val="single" w:sz="8" w:color="54585A"/>
            </w:tcBorders>
          </w:tcPr>
          <w:p>
            <w:pPr>
              <w:jc w:val="right"/>
              <w:ind w:right="672"/>
              <w:spacing w:after="0"/>
              <w:rPr>
                <w:sz w:val="20"/>
                <w:szCs w:val="20"/>
                <w:color w:val="auto"/>
              </w:rPr>
            </w:pPr>
            <w:r>
              <w:rPr>
                <w:rFonts w:ascii="Arial" w:cs="Arial" w:eastAsia="Arial" w:hAnsi="Arial"/>
                <w:sz w:val="10"/>
                <w:szCs w:val="10"/>
                <w:color w:val="54585A"/>
                <w:w w:val="71"/>
              </w:rPr>
              <w:t>$</w:t>
            </w: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1,804,951</w:t>
            </w:r>
          </w:p>
        </w:tc>
      </w:tr>
    </w:tbl>
    <w:p>
      <w:pPr>
        <w:spacing w:after="0" w:line="132" w:lineRule="exact"/>
        <w:rPr>
          <w:sz w:val="20"/>
          <w:szCs w:val="20"/>
          <w:color w:val="auto"/>
        </w:rPr>
      </w:pPr>
    </w:p>
    <w:p>
      <w:pPr>
        <w:ind w:left="208" w:right="240" w:hanging="208"/>
        <w:spacing w:after="0" w:line="238" w:lineRule="auto"/>
        <w:tabs>
          <w:tab w:leader="none" w:pos="208"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audit services billed related to the audits of our annual financial statements as well as other filings under the Securities Act of 1933, as amended, and the Securities Exchange Act of 1934, as amended, and services that are normally provided by the independent registered public accountants in connection with statutory and regulatory filings or engagements.</w:t>
      </w:r>
    </w:p>
    <w:p>
      <w:pPr>
        <w:spacing w:after="0" w:line="68" w:lineRule="exact"/>
        <w:rPr>
          <w:rFonts w:ascii="Arial" w:cs="Arial" w:eastAsia="Arial" w:hAnsi="Arial"/>
          <w:sz w:val="10"/>
          <w:szCs w:val="10"/>
          <w:color w:val="54585A"/>
        </w:rPr>
      </w:pPr>
    </w:p>
    <w:p>
      <w:pPr>
        <w:ind w:left="208" w:hanging="208"/>
        <w:spacing w:after="0"/>
        <w:tabs>
          <w:tab w:leader="none" w:pos="208"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audit-related services primarily include agreed-upon procedures required to comply with the terms of our facility agreement.</w:t>
      </w:r>
    </w:p>
    <w:p>
      <w:pPr>
        <w:spacing w:after="0" w:line="74" w:lineRule="exact"/>
        <w:rPr>
          <w:rFonts w:ascii="Arial" w:cs="Arial" w:eastAsia="Arial" w:hAnsi="Arial"/>
          <w:sz w:val="10"/>
          <w:szCs w:val="10"/>
          <w:color w:val="54585A"/>
        </w:rPr>
      </w:pPr>
    </w:p>
    <w:p>
      <w:pPr>
        <w:ind w:left="208" w:right="100" w:hanging="208"/>
        <w:spacing w:after="0" w:line="256" w:lineRule="auto"/>
        <w:tabs>
          <w:tab w:leader="none" w:pos="208"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tax compliance, tax advice and tax planning services. During both 2022 and 2021, these fees also included consulting services related to international logistics and indirect taxes (including value-added-tax and goods and services tax) levied by various countries around the world.</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Policy on Pre-Approval Process of Audit and Permissible Non-Audit Services</w:t>
      </w:r>
    </w:p>
    <w:p>
      <w:pPr>
        <w:spacing w:after="0" w:line="68" w:lineRule="exact"/>
        <w:rPr>
          <w:sz w:val="20"/>
          <w:szCs w:val="20"/>
          <w:color w:val="auto"/>
        </w:rPr>
      </w:pPr>
    </w:p>
    <w:p>
      <w:pPr>
        <w:ind w:left="8" w:right="100"/>
        <w:spacing w:after="0" w:line="320" w:lineRule="auto"/>
        <w:rPr>
          <w:sz w:val="20"/>
          <w:szCs w:val="20"/>
          <w:color w:val="auto"/>
        </w:rPr>
      </w:pPr>
      <w:r>
        <w:rPr>
          <w:rFonts w:ascii="Arial" w:cs="Arial" w:eastAsia="Arial" w:hAnsi="Arial"/>
          <w:sz w:val="11"/>
          <w:szCs w:val="11"/>
          <w:color w:val="54585A"/>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2022, the Audit Committee’s pre-approval requirement was not waived for any fees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221615</wp:posOffset>
            </wp:positionV>
            <wp:extent cx="1714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23" w:name="page24"/>
    <w:bookmarkEnd w:id="23"/>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Executive Officers and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54585A"/>
        </w:rPr>
        <w:t>Executive Officers</w:t>
      </w:r>
    </w:p>
    <w:p>
      <w:pPr>
        <w:spacing w:after="0" w:line="152" w:lineRule="exact"/>
        <w:rPr>
          <w:sz w:val="20"/>
          <w:szCs w:val="20"/>
          <w:color w:val="auto"/>
        </w:rPr>
      </w:pPr>
    </w:p>
    <w:p>
      <w:pPr>
        <w:ind w:right="120"/>
        <w:spacing w:after="0" w:line="328" w:lineRule="auto"/>
        <w:rPr>
          <w:sz w:val="20"/>
          <w:szCs w:val="20"/>
          <w:color w:val="auto"/>
        </w:rPr>
      </w:pPr>
      <w:r>
        <w:rPr>
          <w:rFonts w:ascii="Arial" w:cs="Arial" w:eastAsia="Arial" w:hAnsi="Arial"/>
          <w:sz w:val="11"/>
          <w:szCs w:val="11"/>
          <w:color w:val="54585A"/>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“Board of Directors and Corporate Governance.”</w:t>
      </w:r>
    </w:p>
    <w:p>
      <w:pPr>
        <w:spacing w:after="0" w:line="91" w:lineRule="exact"/>
        <w:rPr>
          <w:sz w:val="20"/>
          <w:szCs w:val="20"/>
          <w:color w:val="auto"/>
        </w:rPr>
      </w:pPr>
    </w:p>
    <w:p>
      <w:pPr>
        <w:jc w:val="both"/>
        <w:ind w:right="240"/>
        <w:spacing w:after="0" w:line="328" w:lineRule="auto"/>
        <w:rPr>
          <w:sz w:val="20"/>
          <w:szCs w:val="20"/>
          <w:color w:val="auto"/>
        </w:rPr>
      </w:pPr>
      <w:r>
        <w:rPr>
          <w:rFonts w:ascii="Arial" w:cs="Arial" w:eastAsia="Arial" w:hAnsi="Arial"/>
          <w:sz w:val="11"/>
          <w:szCs w:val="11"/>
          <w:b w:val="1"/>
          <w:bCs w:val="1"/>
          <w:color w:val="54585A"/>
        </w:rPr>
        <w:t xml:space="preserve">David B. Kagan, </w:t>
      </w:r>
      <w:r>
        <w:rPr>
          <w:rFonts w:ascii="Arial" w:cs="Arial" w:eastAsia="Arial" w:hAnsi="Arial"/>
          <w:sz w:val="11"/>
          <w:szCs w:val="11"/>
          <w:color w:val="54585A"/>
        </w:rPr>
        <w:t>age 61, has been our Chief Executive Officer since September 2018. He served as our President and Chief Operating Officer from January 2016 through March 2017 and reassumed the positions in December 2017</w:t>
      </w:r>
      <w:r>
        <w:rPr>
          <w:rFonts w:ascii="Arial" w:cs="Arial" w:eastAsia="Arial" w:hAnsi="Arial"/>
          <w:sz w:val="11"/>
          <w:szCs w:val="11"/>
          <w:b w:val="1"/>
          <w:bCs w:val="1"/>
          <w:color w:val="54585A"/>
        </w:rPr>
        <w:t xml:space="preserve"> </w:t>
      </w:r>
      <w:r>
        <w:rPr>
          <w:rFonts w:ascii="Arial" w:cs="Arial" w:eastAsia="Arial" w:hAnsi="Arial"/>
          <w:sz w:val="11"/>
          <w:szCs w:val="11"/>
          <w:color w:val="54585A"/>
        </w:rPr>
        <w:t>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83" w:lineRule="exact"/>
        <w:rPr>
          <w:sz w:val="20"/>
          <w:szCs w:val="20"/>
          <w:color w:val="auto"/>
        </w:rPr>
      </w:pPr>
    </w:p>
    <w:p>
      <w:pPr>
        <w:ind w:right="360"/>
        <w:spacing w:after="0" w:line="353" w:lineRule="auto"/>
        <w:rPr>
          <w:sz w:val="20"/>
          <w:szCs w:val="20"/>
          <w:color w:val="auto"/>
        </w:rPr>
      </w:pPr>
      <w:r>
        <w:rPr>
          <w:rFonts w:ascii="Arial" w:cs="Arial" w:eastAsia="Arial" w:hAnsi="Arial"/>
          <w:sz w:val="11"/>
          <w:szCs w:val="11"/>
          <w:b w:val="1"/>
          <w:bCs w:val="1"/>
          <w:color w:val="54585A"/>
        </w:rPr>
        <w:t xml:space="preserve">Rebecca S. Clary, </w:t>
      </w:r>
      <w:r>
        <w:rPr>
          <w:rFonts w:ascii="Arial" w:cs="Arial" w:eastAsia="Arial" w:hAnsi="Arial"/>
          <w:sz w:val="11"/>
          <w:szCs w:val="11"/>
          <w:color w:val="54585A"/>
        </w:rPr>
        <w:t>age 44, has been our Vice President and Chief Financial Officer since August 2014. She served as our Chief Accounting Officer from January 2013 to August 2014 and as Corporate Controller from June 2011 to</w:t>
      </w:r>
      <w:r>
        <w:rPr>
          <w:rFonts w:ascii="Arial" w:cs="Arial" w:eastAsia="Arial" w:hAnsi="Arial"/>
          <w:sz w:val="11"/>
          <w:szCs w:val="11"/>
          <w:b w:val="1"/>
          <w:bCs w:val="1"/>
          <w:color w:val="54585A"/>
        </w:rPr>
        <w:t xml:space="preserve"> </w:t>
      </w:r>
      <w:r>
        <w:rPr>
          <w:rFonts w:ascii="Arial" w:cs="Arial" w:eastAsia="Arial" w:hAnsi="Arial"/>
          <w:sz w:val="11"/>
          <w:szCs w:val="11"/>
          <w:color w:val="54585A"/>
        </w:rPr>
        <w:t>January 2013. Prior to joining Globalstar, she was with PricewaterhouseCoopers LLP in its U.S. Audit and Assurance Services Practice. Ms. Clary is a Certified Public Accountant.</w:t>
      </w:r>
    </w:p>
    <w:p>
      <w:pPr>
        <w:spacing w:after="0" w:line="69" w:lineRule="exact"/>
        <w:rPr>
          <w:sz w:val="20"/>
          <w:szCs w:val="20"/>
          <w:color w:val="auto"/>
        </w:rPr>
      </w:pPr>
    </w:p>
    <w:p>
      <w:pPr>
        <w:ind w:right="80"/>
        <w:spacing w:after="0" w:line="338" w:lineRule="auto"/>
        <w:rPr>
          <w:sz w:val="20"/>
          <w:szCs w:val="20"/>
          <w:color w:val="auto"/>
        </w:rPr>
      </w:pPr>
      <w:r>
        <w:rPr>
          <w:rFonts w:ascii="Arial" w:cs="Arial" w:eastAsia="Arial" w:hAnsi="Arial"/>
          <w:sz w:val="11"/>
          <w:szCs w:val="11"/>
          <w:b w:val="1"/>
          <w:bCs w:val="1"/>
          <w:color w:val="54585A"/>
        </w:rPr>
        <w:t xml:space="preserve">L. Barbee Ponder IV, </w:t>
      </w:r>
      <w:r>
        <w:rPr>
          <w:rFonts w:ascii="Arial" w:cs="Arial" w:eastAsia="Arial" w:hAnsi="Arial"/>
          <w:sz w:val="11"/>
          <w:szCs w:val="11"/>
          <w:color w:val="54585A"/>
        </w:rPr>
        <w:t>age 56, has been our General Counsel and Vice President of Regulatory Affairs since July 2010. He owned and operated a private company with timber, sand and gravel, and oil and gas interests from 2005 to July</w:t>
      </w:r>
      <w:r>
        <w:rPr>
          <w:rFonts w:ascii="Arial" w:cs="Arial" w:eastAsia="Arial" w:hAnsi="Arial"/>
          <w:sz w:val="11"/>
          <w:szCs w:val="11"/>
          <w:b w:val="1"/>
          <w:bCs w:val="1"/>
          <w:color w:val="54585A"/>
        </w:rPr>
        <w:t xml:space="preserve"> </w:t>
      </w:r>
      <w:r>
        <w:rPr>
          <w:rFonts w:ascii="Arial" w:cs="Arial" w:eastAsia="Arial" w:hAnsi="Arial"/>
          <w:sz w:val="11"/>
          <w:szCs w:val="11"/>
          <w:color w:val="54585A"/>
        </w:rPr>
        <w:t>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82" w:lineRule="exact"/>
        <w:rPr>
          <w:sz w:val="20"/>
          <w:szCs w:val="20"/>
          <w:color w:val="auto"/>
        </w:rPr>
      </w:pPr>
    </w:p>
    <w:p>
      <w:pPr>
        <w:ind w:right="40"/>
        <w:spacing w:after="0" w:line="345" w:lineRule="auto"/>
        <w:rPr>
          <w:sz w:val="20"/>
          <w:szCs w:val="20"/>
          <w:color w:val="auto"/>
        </w:rPr>
      </w:pPr>
      <w:r>
        <w:rPr>
          <w:rFonts w:ascii="Arial" w:cs="Arial" w:eastAsia="Arial" w:hAnsi="Arial"/>
          <w:sz w:val="11"/>
          <w:szCs w:val="11"/>
          <w:color w:val="54585A"/>
        </w:rPr>
        <w:t>The Company does not believe any of its other personnel are “executive officers” as the term is defined in the applicable rules of the Commission. Accordingly, the Company’s discussion of its named executive officers is limited to Messrs Monroe, Kagan and Ponder and Ms. Clary.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54585A"/>
        </w:rPr>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54585A"/>
        </w:rPr>
        <w:t xml:space="preserve">The following Compensation Discussion and Analysis (CD&amp;A) should be read in conjunction with the compensation tables beginning on page </w:t>
      </w:r>
      <w:r>
        <w:rPr>
          <w:rFonts w:ascii="Arial" w:cs="Arial" w:eastAsia="Arial" w:hAnsi="Arial"/>
          <w:sz w:val="11"/>
          <w:szCs w:val="11"/>
          <w:u w:val="single" w:color="auto"/>
          <w:color w:val="0000FF"/>
        </w:rPr>
        <w:t>26</w:t>
      </w:r>
      <w:r>
        <w:rPr>
          <w:rFonts w:ascii="Arial" w:cs="Arial" w:eastAsia="Arial" w:hAnsi="Arial"/>
          <w:sz w:val="11"/>
          <w:szCs w:val="11"/>
          <w:color w:val="54585A"/>
        </w:rPr>
        <w:t>. Our named executive officers for 2022 were:</w:t>
      </w:r>
    </w:p>
    <w:p>
      <w:pPr>
        <w:spacing w:after="0" w:line="153" w:lineRule="exact"/>
        <w:rPr>
          <w:sz w:val="20"/>
          <w:szCs w:val="20"/>
          <w:color w:val="auto"/>
        </w:rPr>
      </w:pPr>
    </w:p>
    <w:p>
      <w:pPr>
        <w:ind w:left="320" w:hanging="112"/>
        <w:spacing w:after="0"/>
        <w:tabs>
          <w:tab w:leader="none" w:pos="32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James Monroe III, Executive Chairman</w:t>
      </w:r>
    </w:p>
    <w:p>
      <w:pPr>
        <w:spacing w:after="0" w:line="107" w:lineRule="exact"/>
        <w:rPr>
          <w:rFonts w:ascii="Arial" w:cs="Arial" w:eastAsia="Arial" w:hAnsi="Arial"/>
          <w:sz w:val="11"/>
          <w:szCs w:val="11"/>
          <w:color w:val="54585A"/>
        </w:rPr>
      </w:pPr>
    </w:p>
    <w:p>
      <w:pPr>
        <w:ind w:left="320" w:hanging="112"/>
        <w:spacing w:after="0"/>
        <w:tabs>
          <w:tab w:leader="none" w:pos="32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David B. Kagan, Chief Executive Officer</w:t>
      </w:r>
    </w:p>
    <w:p>
      <w:pPr>
        <w:spacing w:after="0" w:line="116" w:lineRule="exact"/>
        <w:rPr>
          <w:rFonts w:ascii="Arial" w:cs="Arial" w:eastAsia="Arial" w:hAnsi="Arial"/>
          <w:sz w:val="11"/>
          <w:szCs w:val="11"/>
          <w:color w:val="54585A"/>
        </w:rPr>
      </w:pPr>
    </w:p>
    <w:p>
      <w:pPr>
        <w:ind w:left="320" w:hanging="112"/>
        <w:spacing w:after="0"/>
        <w:tabs>
          <w:tab w:leader="none" w:pos="32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Rebecca S. Clary, Vice President and Chief Financial Officer</w:t>
      </w:r>
    </w:p>
    <w:p>
      <w:pPr>
        <w:spacing w:after="0" w:line="107" w:lineRule="exact"/>
        <w:rPr>
          <w:rFonts w:ascii="Arial" w:cs="Arial" w:eastAsia="Arial" w:hAnsi="Arial"/>
          <w:sz w:val="11"/>
          <w:szCs w:val="11"/>
          <w:color w:val="54585A"/>
        </w:rPr>
      </w:pPr>
    </w:p>
    <w:p>
      <w:pPr>
        <w:ind w:left="320" w:hanging="112"/>
        <w:spacing w:after="0"/>
        <w:tabs>
          <w:tab w:leader="none" w:pos="32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L. Barbee Ponder IV, General Counsel and Vice President Regulatory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232410</wp:posOffset>
            </wp:positionV>
            <wp:extent cx="1714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p>
      <w:pPr>
        <w:ind w:left="68" w:hanging="68"/>
        <w:spacing w:after="0"/>
        <w:tabs>
          <w:tab w:leader="none" w:pos="68" w:val="left"/>
        </w:tabs>
        <w:numPr>
          <w:ilvl w:val="0"/>
          <w:numId w:val="44"/>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Overview</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54585A"/>
        </w:rPr>
        <w:t>Our compensation program for executive officers is intended to:</w:t>
      </w:r>
    </w:p>
    <w:p>
      <w:pPr>
        <w:spacing w:after="0" w:line="153" w:lineRule="exact"/>
        <w:rPr>
          <w:sz w:val="20"/>
          <w:szCs w:val="20"/>
          <w:color w:val="auto"/>
        </w:rPr>
      </w:pPr>
    </w:p>
    <w:p>
      <w:pPr>
        <w:ind w:left="328" w:hanging="112"/>
        <w:spacing w:after="0"/>
        <w:tabs>
          <w:tab w:leader="none" w:pos="328" w:val="left"/>
        </w:tabs>
        <w:numPr>
          <w:ilvl w:val="0"/>
          <w:numId w:val="45"/>
        </w:numPr>
        <w:rPr>
          <w:rFonts w:ascii="Arial" w:cs="Arial" w:eastAsia="Arial" w:hAnsi="Arial"/>
          <w:sz w:val="11"/>
          <w:szCs w:val="11"/>
          <w:color w:val="54585A"/>
        </w:rPr>
      </w:pPr>
      <w:r>
        <w:rPr>
          <w:rFonts w:ascii="Arial" w:cs="Arial" w:eastAsia="Arial" w:hAnsi="Arial"/>
          <w:sz w:val="11"/>
          <w:szCs w:val="11"/>
          <w:color w:val="54585A"/>
        </w:rPr>
        <w:t>provide each officer with a conservative base salary; and</w:t>
      </w:r>
    </w:p>
    <w:p>
      <w:pPr>
        <w:spacing w:after="0" w:line="107" w:lineRule="exact"/>
        <w:rPr>
          <w:rFonts w:ascii="Arial" w:cs="Arial" w:eastAsia="Arial" w:hAnsi="Arial"/>
          <w:sz w:val="11"/>
          <w:szCs w:val="11"/>
          <w:color w:val="54585A"/>
        </w:rPr>
      </w:pPr>
    </w:p>
    <w:p>
      <w:pPr>
        <w:ind w:left="328" w:hanging="112"/>
        <w:spacing w:after="0"/>
        <w:tabs>
          <w:tab w:leader="none" w:pos="328" w:val="left"/>
        </w:tabs>
        <w:numPr>
          <w:ilvl w:val="0"/>
          <w:numId w:val="45"/>
        </w:numPr>
        <w:rPr>
          <w:rFonts w:ascii="Arial" w:cs="Arial" w:eastAsia="Arial" w:hAnsi="Arial"/>
          <w:sz w:val="11"/>
          <w:szCs w:val="11"/>
          <w:color w:val="54585A"/>
        </w:rPr>
      </w:pPr>
      <w:r>
        <w:rPr>
          <w:rFonts w:ascii="Arial" w:cs="Arial" w:eastAsia="Arial" w:hAnsi="Arial"/>
          <w:sz w:val="11"/>
          <w:szCs w:val="11"/>
          <w:color w:val="54585A"/>
        </w:rPr>
        <w:t>create an incentive for retention and achievement of our long-term business goals using a sizable, multi-year stock or option bonus program.</w:t>
      </w:r>
    </w:p>
    <w:p>
      <w:pPr>
        <w:spacing w:after="0" w:line="117" w:lineRule="exact"/>
        <w:rPr>
          <w:sz w:val="20"/>
          <w:szCs w:val="20"/>
          <w:color w:val="auto"/>
        </w:rPr>
      </w:pPr>
    </w:p>
    <w:p>
      <w:pPr>
        <w:jc w:val="both"/>
        <w:ind w:left="8" w:right="240"/>
        <w:spacing w:after="0" w:line="326" w:lineRule="auto"/>
        <w:rPr>
          <w:sz w:val="20"/>
          <w:szCs w:val="20"/>
          <w:color w:val="auto"/>
        </w:rPr>
      </w:pPr>
      <w:r>
        <w:rPr>
          <w:rFonts w:ascii="Arial" w:cs="Arial" w:eastAsia="Arial" w:hAnsi="Arial"/>
          <w:sz w:val="11"/>
          <w:szCs w:val="11"/>
          <w:color w:val="54585A"/>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Results of Say-on-Pay Vote</w:t>
      </w:r>
    </w:p>
    <w:p>
      <w:pPr>
        <w:spacing w:after="0" w:line="68" w:lineRule="exact"/>
        <w:rPr>
          <w:sz w:val="20"/>
          <w:szCs w:val="20"/>
          <w:color w:val="auto"/>
        </w:rPr>
      </w:pPr>
    </w:p>
    <w:p>
      <w:pPr>
        <w:ind w:left="8" w:right="60"/>
        <w:spacing w:after="0" w:line="326" w:lineRule="auto"/>
        <w:rPr>
          <w:sz w:val="20"/>
          <w:szCs w:val="20"/>
          <w:color w:val="auto"/>
        </w:rPr>
      </w:pPr>
      <w:r>
        <w:rPr>
          <w:rFonts w:ascii="Arial" w:cs="Arial" w:eastAsia="Arial" w:hAnsi="Arial"/>
          <w:sz w:val="11"/>
          <w:szCs w:val="11"/>
          <w:color w:val="54585A"/>
        </w:rPr>
        <w:t>Every six years we are required to provide our stockholders with the opportunity to provide a non-binding advisory vote on the frequency with which stockholders will be provided an advisory vote on executive compensation. At our 2017 Annual Meeting, 92% of the stockholders voted to approve the frequency with which stockholders will be provided an advisory vote on executive compensation. Refer to Proposal 4, which provides the stockholders an advisory vote on executive compensation at the 2023 Annual Meeting.</w:t>
      </w:r>
    </w:p>
    <w:p>
      <w:pPr>
        <w:spacing w:after="0" w:line="88" w:lineRule="exact"/>
        <w:rPr>
          <w:sz w:val="20"/>
          <w:szCs w:val="20"/>
          <w:color w:val="auto"/>
        </w:rPr>
      </w:pPr>
    </w:p>
    <w:p>
      <w:pPr>
        <w:ind w:left="8"/>
        <w:spacing w:after="0" w:line="345" w:lineRule="auto"/>
        <w:rPr>
          <w:sz w:val="20"/>
          <w:szCs w:val="20"/>
          <w:color w:val="auto"/>
        </w:rPr>
      </w:pPr>
      <w:r>
        <w:rPr>
          <w:rFonts w:ascii="Arial" w:cs="Arial" w:eastAsia="Arial" w:hAnsi="Arial"/>
          <w:sz w:val="11"/>
          <w:szCs w:val="11"/>
          <w:color w:val="54585A"/>
        </w:rPr>
        <w:t>The frequency with which stockholders approve the compensation of our named executive officers is three years. At our 2020 Annual Meeting, 89% of the stockholders who voted on the “say-on-pay” proposal approved the compensation of our named executive officers. Refer to Proposal 3, which provides the stockholders an advisory vote on say-on-pay at the 2023 Annual Meeting.</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Compensation Philosophy</w:t>
      </w:r>
    </w:p>
    <w:p>
      <w:pPr>
        <w:spacing w:after="0" w:line="68" w:lineRule="exact"/>
        <w:rPr>
          <w:sz w:val="20"/>
          <w:szCs w:val="20"/>
          <w:color w:val="auto"/>
        </w:rPr>
      </w:pPr>
    </w:p>
    <w:p>
      <w:pPr>
        <w:ind w:left="8" w:right="40"/>
        <w:spacing w:after="0" w:line="320" w:lineRule="auto"/>
        <w:rPr>
          <w:sz w:val="20"/>
          <w:szCs w:val="20"/>
          <w:color w:val="auto"/>
        </w:rPr>
      </w:pPr>
      <w:r>
        <w:rPr>
          <w:rFonts w:ascii="Arial" w:cs="Arial" w:eastAsia="Arial" w:hAnsi="Arial"/>
          <w:sz w:val="11"/>
          <w:szCs w:val="11"/>
          <w:color w:val="54585A"/>
        </w:rPr>
        <w:t>Our goal is to create performance-based compensation that motivates management to increase stockholder value. Our current Executive Chairman receives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99" w:lineRule="exact"/>
        <w:rPr>
          <w:sz w:val="20"/>
          <w:szCs w:val="20"/>
          <w:color w:val="auto"/>
        </w:rPr>
      </w:pPr>
    </w:p>
    <w:p>
      <w:pPr>
        <w:ind w:left="8" w:right="40"/>
        <w:spacing w:after="0" w:line="345" w:lineRule="auto"/>
        <w:rPr>
          <w:sz w:val="20"/>
          <w:szCs w:val="20"/>
          <w:color w:val="auto"/>
        </w:rPr>
      </w:pPr>
      <w:r>
        <w:rPr>
          <w:rFonts w:ascii="Arial" w:cs="Arial" w:eastAsia="Arial" w:hAnsi="Arial"/>
          <w:sz w:val="11"/>
          <w:szCs w:val="11"/>
          <w:color w:val="54585A"/>
        </w:rPr>
        <w:t>We do not believe that our compensation policies or practices are reasonably likely to have a material effect on us, due in part to the structure of our compensation programs and risk mitigation provided by Board and, where appropriate, Strategic Review Committee oversight of significant business decisions.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Elements of Compensation</w:t>
      </w:r>
    </w:p>
    <w:p>
      <w:pPr>
        <w:spacing w:after="0" w:line="68" w:lineRule="exact"/>
        <w:rPr>
          <w:sz w:val="20"/>
          <w:szCs w:val="20"/>
          <w:color w:val="auto"/>
        </w:rPr>
      </w:pPr>
    </w:p>
    <w:p>
      <w:pPr>
        <w:ind w:left="8" w:right="60"/>
        <w:spacing w:after="0" w:line="345" w:lineRule="auto"/>
        <w:rPr>
          <w:sz w:val="20"/>
          <w:szCs w:val="20"/>
          <w:color w:val="auto"/>
        </w:rPr>
      </w:pPr>
      <w:r>
        <w:rPr>
          <w:rFonts w:ascii="Arial" w:cs="Arial" w:eastAsia="Arial" w:hAnsi="Arial"/>
          <w:sz w:val="11"/>
          <w:szCs w:val="11"/>
          <w:color w:val="54585A"/>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54585A"/>
        </w:rPr>
        <w:t xml:space="preserve">Base Salaries. </w:t>
      </w:r>
      <w:r>
        <w:rPr>
          <w:rFonts w:ascii="Arial" w:cs="Arial" w:eastAsia="Arial" w:hAnsi="Arial"/>
          <w:sz w:val="11"/>
          <w:szCs w:val="11"/>
          <w:color w:val="54585A"/>
        </w:rPr>
        <w:t>We have established base salaries according to each named executive officer’s position, responsibilities and performance. All executive officers are at-will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257810</wp:posOffset>
            </wp:positionV>
            <wp:extent cx="1714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b w:val="1"/>
          <w:bCs w:val="1"/>
          <w:i w:val="1"/>
          <w:iCs w:val="1"/>
          <w:color w:val="54585A"/>
        </w:rPr>
        <w:t xml:space="preserve">Stock Grants. </w:t>
      </w:r>
      <w:r>
        <w:rPr>
          <w:rFonts w:ascii="Arial" w:cs="Arial" w:eastAsia="Arial" w:hAnsi="Arial"/>
          <w:sz w:val="11"/>
          <w:szCs w:val="11"/>
          <w:color w:val="54585A"/>
        </w:rPr>
        <w:t>In November 2022, the Committee granted restricted stock awards of 220,000 shares to Mr. Kagan, 170,000 shares to Ms. Clary, and 220,000 shares to Mr. Ponder, which vest two-thirds on grant date and the remaining</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one-third in November 2023 in connection with performance related to our Partnership Agreements (as previously disclosed in our Exchange Act reports and other filings). Additionally, in November 2022, the Committee granted restricted stock awards of 500,000 shares to Ms. Clary and 300,000 shares to Mr. Ponder, which vest in November 2025, in connection with performance related to our Partnership Agreements. In December 2022, the Committee granted restricted stock awards of 120,000 shares to each of Mr. Kagan, Ms. Clary and Mr. Ponder which vest one-third in December 2022 and the remaining two-thirds vest over a two-year period from the grant date and are designed to recognize performance and to encourage retention. See the 2022 Grants of Plan-Based Awards table for additional information.</w:t>
      </w:r>
    </w:p>
    <w:p>
      <w:pPr>
        <w:spacing w:after="0" w:line="94"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b w:val="1"/>
          <w:bCs w:val="1"/>
          <w:i w:val="1"/>
          <w:iCs w:val="1"/>
          <w:color w:val="54585A"/>
        </w:rPr>
        <w:t xml:space="preserve">Bonus Plan. </w:t>
      </w:r>
      <w:r>
        <w:rPr>
          <w:rFonts w:ascii="Arial" w:cs="Arial" w:eastAsia="Arial" w:hAnsi="Arial"/>
          <w:sz w:val="11"/>
          <w:szCs w:val="11"/>
          <w:color w:val="54585A"/>
        </w:rPr>
        <w:t>The Company has an annual bonus plan designed to reward designated key employees' (including the named executive officers) efforts to meet and exceed the Company's financial performance goals for the designated</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calendar year. The bonus pool available for distribution is determined based on the Company's Adjusted EBITDA performance during that year. The bonus may be paid in cash or the Company's common stock, as determined by the Compensation Committee. For the 2022 plan year, the aggregate amount that could have been distributed under the pool was $1.5 million if the Company's Adjusted EBITDA for the plan year had been $59.1 million. For each 1% of Adjusted EBITDA above or below this plan year target Adjusted EBITDA, adjustments are made to either increase or decrease the distribution. The Company's Adjusted EBITDA for purposes of the 2022 bonus plan was $57.4 million, which resulted in a total bonus distribution of approximately $1.2 million. Each participant's award was determined at the discretion of the Compensation Committee. In March 2023, Mr. Kagan, Ms. Clary, and Mr. Ponder received shares worth $120,000, $80,000, and $64,000, respectively. A similar plan is in place for 2023.</w:t>
      </w:r>
    </w:p>
    <w:p>
      <w:pPr>
        <w:spacing w:after="0" w:line="99" w:lineRule="exact"/>
        <w:rPr>
          <w:sz w:val="20"/>
          <w:szCs w:val="20"/>
          <w:color w:val="auto"/>
        </w:rPr>
      </w:pPr>
    </w:p>
    <w:p>
      <w:pPr>
        <w:ind w:right="20"/>
        <w:spacing w:after="0" w:line="328" w:lineRule="auto"/>
        <w:rPr>
          <w:sz w:val="20"/>
          <w:szCs w:val="20"/>
          <w:color w:val="auto"/>
        </w:rPr>
      </w:pPr>
      <w:r>
        <w:rPr>
          <w:rFonts w:ascii="Arial" w:cs="Arial" w:eastAsia="Arial" w:hAnsi="Arial"/>
          <w:sz w:val="11"/>
          <w:szCs w:val="11"/>
          <w:color w:val="54585A"/>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91" w:lineRule="exact"/>
        <w:rPr>
          <w:sz w:val="20"/>
          <w:szCs w:val="20"/>
          <w:color w:val="auto"/>
        </w:rPr>
      </w:pPr>
    </w:p>
    <w:p>
      <w:pPr>
        <w:ind w:right="300"/>
        <w:spacing w:after="0" w:line="330" w:lineRule="auto"/>
        <w:rPr>
          <w:sz w:val="20"/>
          <w:szCs w:val="20"/>
          <w:color w:val="auto"/>
        </w:rPr>
      </w:pPr>
      <w:r>
        <w:rPr>
          <w:rFonts w:ascii="Arial" w:cs="Arial" w:eastAsia="Arial" w:hAnsi="Arial"/>
          <w:sz w:val="11"/>
          <w:szCs w:val="11"/>
          <w:b w:val="1"/>
          <w:bCs w:val="1"/>
          <w:i w:val="1"/>
          <w:iCs w:val="1"/>
          <w:color w:val="54585A"/>
        </w:rPr>
        <w:t xml:space="preserve">All Other Compensation. </w:t>
      </w:r>
      <w:r>
        <w:rPr>
          <w:rFonts w:ascii="Arial" w:cs="Arial" w:eastAsia="Arial" w:hAnsi="Arial"/>
          <w:sz w:val="11"/>
          <w:szCs w:val="11"/>
          <w:color w:val="54585A"/>
        </w:rPr>
        <w:t>We contribute $0.50 for each $1.00 contributed to our 401(k) plan by all U.S. employees, up to 6% of the employee’s base salary. We also provide limited perquisites to named executive officers consisting</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primarily of premiums for term life insurance policies. We also have a compensation arrangement with Mr. Ponder whereby he receives grants of restricted stock awards in connection with obtaining certain international spectrum authorities.</w:t>
      </w:r>
    </w:p>
    <w:p>
      <w:pPr>
        <w:spacing w:after="0" w:line="144" w:lineRule="exact"/>
        <w:rPr>
          <w:sz w:val="20"/>
          <w:szCs w:val="20"/>
          <w:color w:val="auto"/>
        </w:rPr>
      </w:pPr>
    </w:p>
    <w:p>
      <w:pPr>
        <w:ind w:right="60"/>
        <w:spacing w:after="0" w:line="322" w:lineRule="auto"/>
        <w:rPr>
          <w:sz w:val="20"/>
          <w:szCs w:val="20"/>
          <w:color w:val="auto"/>
        </w:rPr>
      </w:pPr>
      <w:r>
        <w:rPr>
          <w:rFonts w:ascii="Arial" w:cs="Arial" w:eastAsia="Arial" w:hAnsi="Arial"/>
          <w:sz w:val="11"/>
          <w:szCs w:val="11"/>
          <w:b w:val="1"/>
          <w:bCs w:val="1"/>
          <w:i w:val="1"/>
          <w:iCs w:val="1"/>
          <w:color w:val="54585A"/>
        </w:rPr>
        <w:t xml:space="preserve">Deductibility of Compensation. </w:t>
      </w:r>
      <w:r>
        <w:rPr>
          <w:rFonts w:ascii="Arial" w:cs="Arial" w:eastAsia="Arial" w:hAnsi="Arial"/>
          <w:sz w:val="11"/>
          <w:szCs w:val="11"/>
          <w:color w:val="54585A"/>
        </w:rPr>
        <w:t>Section 162(m) of the Internal Revenue Code prohibits us from taking an income tax deduction for any compensation in excess of $1 million per year paid to certain covered employees. Prior law defined</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a covered employee as the chief executive officer and the three most-highly compensated executive officers. The Tax Cuts and Jobs Act (the "Act") revised the definition of a covered employee under Section 162(m) to include both the CEO and CFO along with the three most-highly compensated executive officers for the tax year. The Act repealed the exception for performance-based compensation under Section 162(m) of the Internal Revenue Code, which is not expected to have a material impact on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Hedging Policy</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54585A"/>
        </w:rPr>
        <w:t>It is the Company’s policy that its directors, officers, employees, contract employees, consultants, and agents may not engage in any of the following activities with respect to the Company’s securities at any time:</w:t>
      </w:r>
    </w:p>
    <w:p>
      <w:pPr>
        <w:spacing w:after="0" w:line="144" w:lineRule="exact"/>
        <w:rPr>
          <w:sz w:val="20"/>
          <w:szCs w:val="20"/>
          <w:color w:val="auto"/>
        </w:rPr>
      </w:pPr>
    </w:p>
    <w:p>
      <w:pPr>
        <w:ind w:left="320" w:hanging="112"/>
        <w:spacing w:after="0"/>
        <w:tabs>
          <w:tab w:leader="none" w:pos="32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Short sales (a sale of securities that are not owned by the seller at the time of the sale), including short sales against the box.</w:t>
      </w:r>
    </w:p>
    <w:p>
      <w:pPr>
        <w:spacing w:after="0" w:line="116" w:lineRule="exact"/>
        <w:rPr>
          <w:rFonts w:ascii="Arial" w:cs="Arial" w:eastAsia="Arial" w:hAnsi="Arial"/>
          <w:sz w:val="11"/>
          <w:szCs w:val="11"/>
          <w:color w:val="54585A"/>
        </w:rPr>
      </w:pPr>
    </w:p>
    <w:p>
      <w:pPr>
        <w:ind w:left="320" w:hanging="112"/>
        <w:spacing w:after="0"/>
        <w:tabs>
          <w:tab w:leader="none" w:pos="32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Buying or selling puts or calls.</w:t>
      </w:r>
    </w:p>
    <w:p>
      <w:pPr>
        <w:spacing w:after="0" w:line="116" w:lineRule="exact"/>
        <w:rPr>
          <w:rFonts w:ascii="Arial" w:cs="Arial" w:eastAsia="Arial" w:hAnsi="Arial"/>
          <w:sz w:val="11"/>
          <w:szCs w:val="11"/>
          <w:color w:val="54585A"/>
        </w:rPr>
      </w:pPr>
    </w:p>
    <w:p>
      <w:pPr>
        <w:ind w:left="320" w:hanging="112"/>
        <w:spacing w:after="0"/>
        <w:tabs>
          <w:tab w:leader="none" w:pos="32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Frequent trading (for example, daily or weekly) to take advantage of fluctuations in 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1714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 w:name="page27"/>
    <w:bookmarkEnd w:id="26"/>
    <w:p>
      <w:pPr>
        <w:ind w:left="68" w:hanging="68"/>
        <w:spacing w:after="0"/>
        <w:tabs>
          <w:tab w:leader="none" w:pos="68" w:val="left"/>
        </w:tabs>
        <w:numPr>
          <w:ilvl w:val="0"/>
          <w:numId w:val="47"/>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1800225" cy="4932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022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8"/>
        <w:spacing w:after="0"/>
        <w:rPr>
          <w:sz w:val="20"/>
          <w:szCs w:val="20"/>
          <w:color w:val="auto"/>
        </w:rPr>
      </w:pPr>
      <w:r>
        <w:rPr>
          <w:rFonts w:ascii="Arial" w:cs="Arial" w:eastAsia="Arial" w:hAnsi="Arial"/>
          <w:sz w:val="12"/>
          <w:szCs w:val="12"/>
          <w:b w:val="1"/>
          <w:bCs w:val="1"/>
          <w:color w:val="63C237"/>
        </w:rPr>
        <w:t>Proposal Three</w:t>
      </w:r>
    </w:p>
    <w:p>
      <w:pPr>
        <w:spacing w:after="0" w:line="78" w:lineRule="exact"/>
        <w:rPr>
          <w:sz w:val="20"/>
          <w:szCs w:val="20"/>
          <w:color w:val="auto"/>
        </w:rPr>
      </w:pPr>
    </w:p>
    <w:p>
      <w:pPr>
        <w:ind w:left="448" w:right="60" w:hanging="100"/>
        <w:spacing w:after="0" w:line="345" w:lineRule="auto"/>
        <w:tabs>
          <w:tab w:leader="none" w:pos="407" w:val="left"/>
        </w:tabs>
        <w:numPr>
          <w:ilvl w:val="0"/>
          <w:numId w:val="48"/>
        </w:numPr>
        <w:rPr>
          <w:rFonts w:ascii="Arial" w:cs="Arial" w:eastAsia="Arial" w:hAnsi="Arial"/>
          <w:sz w:val="12"/>
          <w:szCs w:val="12"/>
          <w:b w:val="1"/>
          <w:bCs w:val="1"/>
          <w:color w:val="63C237"/>
        </w:rPr>
      </w:pPr>
      <w:r>
        <w:rPr>
          <w:rFonts w:ascii="Arial" w:cs="Arial" w:eastAsia="Arial" w:hAnsi="Arial"/>
          <w:sz w:val="12"/>
          <w:szCs w:val="12"/>
          <w:color w:val="FFFFFF"/>
        </w:rPr>
        <w:t xml:space="preserve">The Board recommends a vote </w:t>
      </w:r>
      <w:r>
        <w:rPr>
          <w:rFonts w:ascii="Arial" w:cs="Arial" w:eastAsia="Arial" w:hAnsi="Arial"/>
          <w:sz w:val="12"/>
          <w:szCs w:val="12"/>
          <w:b w:val="1"/>
          <w:bCs w:val="1"/>
          <w:color w:val="63C237"/>
        </w:rPr>
        <w:t>FOR</w:t>
      </w:r>
      <w:r>
        <w:rPr>
          <w:rFonts w:ascii="Arial" w:cs="Arial" w:eastAsia="Arial" w:hAnsi="Arial"/>
          <w:sz w:val="12"/>
          <w:szCs w:val="12"/>
          <w:color w:val="FFFFFF"/>
        </w:rPr>
        <w:t xml:space="preserve"> the approval of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54585A"/>
        </w:rPr>
        <w:t>Advisory Vote on Named Executive Officer Compensation</w:t>
      </w:r>
    </w:p>
    <w:p>
      <w:pPr>
        <w:spacing w:after="0" w:line="143"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54585A"/>
        </w:rPr>
        <w:t>The Dodd-Frank Wall Street Reform and Consumer Protection Act, as amended (the “Dodd-Frank Act”) requires that we provide our stockholders with the opportunity to vote to approve, on a nonbinding, advisory basis, the compensation of our named executives officers as disclosed in this proxy statement in accordance with the compensation disclosure rules of the SEC. Pursuant to the decision of the stockholders at our 2020 Annual Meeting, we have provided our stockholders with the opportunity to cast this advisory vote on compensation every three years. The advisory vote as to how often we should include a proposal to vote on compensation is required to be presented to stockholders at least once every six years pursuant to Section 14A of the Securities Exchange Act of 1934 adopted as part of the Dodd-Frank Wall Street Reform and Consumer Protection Act; this advisory vote is provided to our stockholders in connection with this Annual Meeting. See Proposal No. 4 in this proxy statement for more information.</w:t>
      </w:r>
    </w:p>
    <w:p>
      <w:pPr>
        <w:spacing w:after="0" w:line="101" w:lineRule="exact"/>
        <w:rPr>
          <w:sz w:val="20"/>
          <w:szCs w:val="20"/>
          <w:color w:val="auto"/>
        </w:rPr>
      </w:pPr>
    </w:p>
    <w:p>
      <w:pPr>
        <w:spacing w:after="0" w:line="328" w:lineRule="auto"/>
        <w:rPr>
          <w:sz w:val="20"/>
          <w:szCs w:val="20"/>
          <w:color w:val="auto"/>
        </w:rPr>
      </w:pPr>
      <w:r>
        <w:rPr>
          <w:rFonts w:ascii="Arial" w:cs="Arial" w:eastAsia="Arial" w:hAnsi="Arial"/>
          <w:sz w:val="11"/>
          <w:szCs w:val="11"/>
          <w:color w:val="54585A"/>
        </w:rPr>
        <w:t>As described in detail under “Compensation Discussion and Analysis” beginning on page 21 our compensation programs for our named executive officers are designed to attract and retain the most qualified individuals in the mobile satellite services industry.</w:t>
      </w:r>
    </w:p>
    <w:p>
      <w:pPr>
        <w:spacing w:after="0" w:line="95" w:lineRule="exact"/>
        <w:rPr>
          <w:sz w:val="20"/>
          <w:szCs w:val="20"/>
          <w:color w:val="auto"/>
        </w:rPr>
      </w:pPr>
    </w:p>
    <w:p>
      <w:pPr>
        <w:jc w:val="both"/>
        <w:ind w:right="40"/>
        <w:spacing w:after="0" w:line="326" w:lineRule="auto"/>
        <w:rPr>
          <w:sz w:val="20"/>
          <w:szCs w:val="20"/>
          <w:color w:val="auto"/>
        </w:rPr>
      </w:pPr>
      <w:r>
        <w:rPr>
          <w:rFonts w:ascii="Arial" w:cs="Arial" w:eastAsia="Arial" w:hAnsi="Arial"/>
          <w:sz w:val="11"/>
          <w:szCs w:val="11"/>
          <w:color w:val="54585A"/>
        </w:rPr>
        <w:t>The vote on this resolution relates to the compensation of our named executive officers as a whole. The vote is advisory, which means that the vote is not binding on us, our Board or the Compensation Committee of our Board. To the extent there is any significant vote against the named executive officer compensation, the Compensation Committee will evaluate whether any actions are necessary to address the concerns of stockholders.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Advisory Vote on Executive Compensation</w:t>
      </w:r>
    </w:p>
    <w:p>
      <w:pPr>
        <w:spacing w:after="0" w:line="68" w:lineRule="exact"/>
        <w:rPr>
          <w:sz w:val="20"/>
          <w:szCs w:val="20"/>
          <w:color w:val="auto"/>
        </w:rPr>
      </w:pPr>
    </w:p>
    <w:p>
      <w:pPr>
        <w:ind w:right="280"/>
        <w:spacing w:after="0" w:line="328" w:lineRule="auto"/>
        <w:rPr>
          <w:sz w:val="20"/>
          <w:szCs w:val="20"/>
          <w:color w:val="auto"/>
        </w:rPr>
      </w:pPr>
      <w:r>
        <w:rPr>
          <w:rFonts w:ascii="Arial" w:cs="Arial" w:eastAsia="Arial" w:hAnsi="Arial"/>
          <w:sz w:val="11"/>
          <w:szCs w:val="11"/>
          <w:color w:val="54585A"/>
        </w:rPr>
        <w:t>The affirmative vote of the holders of a majority of the votes cast at the Annual Meeting by holders of common stock entitled to vote at the meeting is required for the advisory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3481070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3202305</wp:posOffset>
            </wp:positionV>
            <wp:extent cx="1714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2">
            <w:col w:w="2408" w:space="720"/>
            <w:col w:w="8100"/>
          </w:cols>
          <w:pgMar w:left="292" w:top="156"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1800225" cy="4932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0022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b w:val="1"/>
          <w:bCs w:val="1"/>
          <w:color w:val="FFD900"/>
        </w:rPr>
        <w:t>Proposal Four</w:t>
      </w:r>
    </w:p>
    <w:p>
      <w:pPr>
        <w:spacing w:after="0" w:line="78" w:lineRule="exact"/>
        <w:rPr>
          <w:sz w:val="20"/>
          <w:szCs w:val="20"/>
          <w:color w:val="auto"/>
        </w:rPr>
      </w:pPr>
    </w:p>
    <w:p>
      <w:pPr>
        <w:ind w:left="100" w:hanging="100"/>
        <w:spacing w:after="0" w:line="332" w:lineRule="auto"/>
        <w:tabs>
          <w:tab w:leader="none" w:pos="59" w:val="left"/>
        </w:tabs>
        <w:numPr>
          <w:ilvl w:val="0"/>
          <w:numId w:val="49"/>
        </w:numPr>
        <w:rPr>
          <w:rFonts w:ascii="Arial" w:cs="Arial" w:eastAsia="Arial" w:hAnsi="Arial"/>
          <w:sz w:val="12"/>
          <w:szCs w:val="12"/>
          <w:b w:val="1"/>
          <w:bCs w:val="1"/>
          <w:color w:val="FFD900"/>
        </w:rPr>
      </w:pPr>
      <w:r>
        <w:rPr>
          <w:rFonts w:ascii="Arial" w:cs="Arial" w:eastAsia="Arial" w:hAnsi="Arial"/>
          <w:sz w:val="12"/>
          <w:szCs w:val="12"/>
          <w:color w:val="FFFFFF"/>
        </w:rPr>
        <w:t xml:space="preserve">The Board recommends you vote </w:t>
      </w:r>
      <w:r>
        <w:rPr>
          <w:rFonts w:ascii="Arial" w:cs="Arial" w:eastAsia="Arial" w:hAnsi="Arial"/>
          <w:sz w:val="12"/>
          <w:szCs w:val="12"/>
          <w:b w:val="1"/>
          <w:bCs w:val="1"/>
          <w:color w:val="FFD900"/>
        </w:rPr>
        <w:t>FOR</w:t>
      </w:r>
      <w:r>
        <w:rPr>
          <w:rFonts w:ascii="Arial" w:cs="Arial" w:eastAsia="Arial" w:hAnsi="Arial"/>
          <w:sz w:val="12"/>
          <w:szCs w:val="12"/>
          <w:color w:val="FFFFFF"/>
        </w:rPr>
        <w:t xml:space="preserve"> the option of every three years as the future frequency with which stockholders will be provided an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3190240</wp:posOffset>
            </wp:positionV>
            <wp:extent cx="1714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54585A"/>
        </w:rPr>
        <w:t>Advisory Vote on Frequency of Future Advisory Votes on Executive Compensation</w:t>
      </w:r>
    </w:p>
    <w:p>
      <w:pPr>
        <w:spacing w:after="0" w:line="143" w:lineRule="exact"/>
        <w:rPr>
          <w:sz w:val="20"/>
          <w:szCs w:val="20"/>
          <w:color w:val="auto"/>
        </w:rPr>
      </w:pPr>
    </w:p>
    <w:p>
      <w:pPr>
        <w:ind w:right="40"/>
        <w:spacing w:after="0" w:line="320" w:lineRule="auto"/>
        <w:rPr>
          <w:sz w:val="20"/>
          <w:szCs w:val="20"/>
          <w:color w:val="auto"/>
        </w:rPr>
      </w:pPr>
      <w:r>
        <w:rPr>
          <w:rFonts w:ascii="Arial" w:cs="Arial" w:eastAsia="Arial" w:hAnsi="Arial"/>
          <w:sz w:val="11"/>
          <w:szCs w:val="11"/>
          <w:color w:val="54585A"/>
        </w:rPr>
        <w:t>This proposal is required to be presented to stockholders at least once every six years pursuant to Section 14A of the Securities Exchange Act of 1934 adopted as part of the Dodd-Frank Act. We are seeking a stockholder advisory vote as to how often we should include a proposal, similar to Proposal 3 above, asking for an advisory vote on the compensation paid to our named executive officers. Therefore, we are asking our stockholders to express their preference as to whether we should include an advisory vote to approve this compensation every one, two or three years. If they wish, stockholders may also abstain from casting a vote on this proposal. In considering their vote, we encourage stockholders to review carefully the information presented in connection with Proposal 3 of this Proxy Statement. The advisory vote is non-binding, but the Board and the Compensation Committee will take into account the outcome of the vote when making future decisions about how often we conduct a stockholder advisory vote on our named executive officer compensation. At our 2017 Annual Meeting of Stockholders, a majority of our stockholders cast a non-binding vote for three year say-on-pay vote intervals.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Frequency of Future Executive Compensation Votes</w:t>
      </w:r>
    </w:p>
    <w:p>
      <w:pPr>
        <w:spacing w:after="0" w:line="68" w:lineRule="exact"/>
        <w:rPr>
          <w:sz w:val="20"/>
          <w:szCs w:val="20"/>
          <w:color w:val="auto"/>
        </w:rPr>
      </w:pPr>
    </w:p>
    <w:p>
      <w:pPr>
        <w:ind w:right="80"/>
        <w:spacing w:after="0" w:line="330" w:lineRule="auto"/>
        <w:rPr>
          <w:sz w:val="20"/>
          <w:szCs w:val="20"/>
          <w:color w:val="auto"/>
        </w:rPr>
      </w:pPr>
      <w:r>
        <w:rPr>
          <w:rFonts w:ascii="Arial" w:cs="Arial" w:eastAsia="Arial" w:hAnsi="Arial"/>
          <w:sz w:val="11"/>
          <w:szCs w:val="11"/>
          <w:color w:val="54585A"/>
        </w:rPr>
        <w:t xml:space="preserve">The advisory vote regarding frequency of a stockholder advisory vote on executive compensation will be determined by whichever of the choices - annually, every other year or every three years - receives the greatest number of votes cast. Shares represented by proxies that are marked to indicate abstentions from this proposal and broker non-votes with respect to this proposal will not affect its outcome. If no voting specification is made on a properly returned and voted proxy card, the proxies named on the proxy card will vote FOR a frequency of </w:t>
      </w:r>
      <w:r>
        <w:rPr>
          <w:rFonts w:ascii="Arial" w:cs="Arial" w:eastAsia="Arial" w:hAnsi="Arial"/>
          <w:sz w:val="11"/>
          <w:szCs w:val="11"/>
          <w:b w:val="1"/>
          <w:bCs w:val="1"/>
          <w:color w:val="54585A"/>
        </w:rPr>
        <w:t>THREE YEARS</w:t>
      </w:r>
      <w:r>
        <w:rPr>
          <w:rFonts w:ascii="Arial" w:cs="Arial" w:eastAsia="Arial" w:hAnsi="Arial"/>
          <w:sz w:val="11"/>
          <w:szCs w:val="11"/>
          <w:color w:val="54585A"/>
        </w:rPr>
        <w:t xml:space="preserve"> for future advisory votes regarding executive compensation.</w:t>
      </w:r>
    </w:p>
    <w:p>
      <w:pPr>
        <w:spacing w:after="0" w:line="87" w:lineRule="exact"/>
        <w:rPr>
          <w:sz w:val="20"/>
          <w:szCs w:val="20"/>
          <w:color w:val="auto"/>
        </w:rPr>
      </w:pPr>
    </w:p>
    <w:p>
      <w:pPr>
        <w:ind w:right="280"/>
        <w:spacing w:after="0" w:line="328" w:lineRule="auto"/>
        <w:rPr>
          <w:sz w:val="20"/>
          <w:szCs w:val="20"/>
          <w:color w:val="auto"/>
        </w:rPr>
      </w:pPr>
      <w:r>
        <w:rPr>
          <w:rFonts w:ascii="Arial" w:cs="Arial" w:eastAsia="Arial" w:hAnsi="Arial"/>
          <w:sz w:val="11"/>
          <w:szCs w:val="11"/>
          <w:color w:val="54585A"/>
        </w:rPr>
        <w:t>The proxy card provides stockholders with the opportunity to choose among four options (holding the vote every one, two or three years, or abstaining) and, therefore, stockholders will not be voting to approve or disapprove the Board’s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4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158115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20" w:space="660"/>
            <w:col w:w="8180"/>
          </w:cols>
          <w:pgMar w:left="640" w:top="125" w:right="299" w:bottom="1440" w:gutter="0" w:footer="0" w:header="0"/>
        </w:sectPr>
      </w:pPr>
    </w:p>
    <w:bookmarkStart w:id="28" w:name="page29"/>
    <w:bookmarkEnd w:id="28"/>
    <w:p>
      <w:pPr>
        <w:ind w:left="68" w:hanging="68"/>
        <w:spacing w:after="0"/>
        <w:tabs>
          <w:tab w:leader="none" w:pos="68" w:val="left"/>
        </w:tabs>
        <w:numPr>
          <w:ilvl w:val="0"/>
          <w:numId w:val="50"/>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9"/>
          <w:szCs w:val="19"/>
          <w:color w:val="54585A"/>
        </w:rPr>
        <w:t>2022 Summary Compensation Table</w:t>
      </w:r>
    </w:p>
    <w:p>
      <w:pPr>
        <w:spacing w:after="0" w:line="152" w:lineRule="exact"/>
        <w:rPr>
          <w:sz w:val="20"/>
          <w:szCs w:val="20"/>
          <w:color w:val="auto"/>
        </w:rPr>
      </w:pPr>
    </w:p>
    <w:p>
      <w:pPr>
        <w:ind w:left="8" w:right="160"/>
        <w:spacing w:after="0" w:line="328" w:lineRule="auto"/>
        <w:rPr>
          <w:sz w:val="20"/>
          <w:szCs w:val="20"/>
          <w:color w:val="auto"/>
        </w:rPr>
      </w:pPr>
      <w:r>
        <w:rPr>
          <w:rFonts w:ascii="Arial" w:cs="Arial" w:eastAsia="Arial" w:hAnsi="Arial"/>
          <w:sz w:val="11"/>
          <w:szCs w:val="11"/>
          <w:color w:val="54585A"/>
        </w:rPr>
        <w:t>The table below summarizes for 2022, 2021 and 2020 the compensation of our current principal executive officer, principal financial officer and other executive officers required to be included under SEC rules (collectively referred to as the “named executive officers”). Mr. Monroe did not receive any compensation during 2020 through 2022 for his service as an executive officer of the Company; therefore, is not included in the table below.</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20" w:type="dxa"/>
            <w:vAlign w:val="bottom"/>
            <w:shd w:val="clear" w:color="auto" w:fill="EEEDED"/>
          </w:tcPr>
          <w:p>
            <w:pPr>
              <w:spacing w:after="0"/>
              <w:rPr>
                <w:sz w:val="10"/>
                <w:szCs w:val="10"/>
                <w:color w:val="auto"/>
              </w:rPr>
            </w:pPr>
          </w:p>
        </w:tc>
        <w:tc>
          <w:tcPr>
            <w:tcW w:w="1200" w:type="dxa"/>
            <w:vAlign w:val="bottom"/>
            <w:shd w:val="clear" w:color="auto" w:fill="EEEDED"/>
          </w:tcPr>
          <w:p>
            <w:pPr>
              <w:spacing w:after="0"/>
              <w:rPr>
                <w:sz w:val="10"/>
                <w:szCs w:val="10"/>
                <w:color w:val="auto"/>
              </w:rPr>
            </w:pPr>
          </w:p>
        </w:tc>
        <w:tc>
          <w:tcPr>
            <w:tcW w:w="1540" w:type="dxa"/>
            <w:vAlign w:val="bottom"/>
            <w:shd w:val="clear" w:color="auto" w:fill="EEEDED"/>
          </w:tcPr>
          <w:p>
            <w:pPr>
              <w:spacing w:after="0"/>
              <w:rPr>
                <w:sz w:val="10"/>
                <w:szCs w:val="10"/>
                <w:color w:val="auto"/>
              </w:rPr>
            </w:pPr>
          </w:p>
        </w:tc>
        <w:tc>
          <w:tcPr>
            <w:tcW w:w="1340" w:type="dxa"/>
            <w:vAlign w:val="bottom"/>
            <w:shd w:val="clear" w:color="auto" w:fill="EEEDED"/>
          </w:tcPr>
          <w:p>
            <w:pPr>
              <w:spacing w:after="0"/>
              <w:rPr>
                <w:sz w:val="10"/>
                <w:szCs w:val="10"/>
                <w:color w:val="auto"/>
              </w:rPr>
            </w:pPr>
          </w:p>
        </w:tc>
        <w:tc>
          <w:tcPr>
            <w:tcW w:w="1440" w:type="dxa"/>
            <w:vAlign w:val="bottom"/>
            <w:shd w:val="clear" w:color="auto" w:fill="EEEDED"/>
          </w:tcPr>
          <w:p>
            <w:pPr>
              <w:jc w:val="right"/>
              <w:ind w:right="474"/>
              <w:spacing w:after="0"/>
              <w:rPr>
                <w:sz w:val="20"/>
                <w:szCs w:val="20"/>
                <w:color w:val="auto"/>
              </w:rPr>
            </w:pPr>
            <w:r>
              <w:rPr>
                <w:rFonts w:ascii="Arial" w:cs="Arial" w:eastAsia="Arial" w:hAnsi="Arial"/>
                <w:sz w:val="10"/>
                <w:szCs w:val="10"/>
                <w:b w:val="1"/>
                <w:bCs w:val="1"/>
                <w:color w:val="54585A"/>
              </w:rPr>
              <w:t>Stock</w:t>
            </w:r>
          </w:p>
        </w:tc>
        <w:tc>
          <w:tcPr>
            <w:tcW w:w="1220" w:type="dxa"/>
            <w:vAlign w:val="bottom"/>
            <w:shd w:val="clear" w:color="auto" w:fill="EEEDED"/>
          </w:tcPr>
          <w:p>
            <w:pPr>
              <w:jc w:val="right"/>
              <w:ind w:right="314"/>
              <w:spacing w:after="0"/>
              <w:rPr>
                <w:sz w:val="20"/>
                <w:szCs w:val="20"/>
                <w:color w:val="auto"/>
              </w:rPr>
            </w:pPr>
            <w:r>
              <w:rPr>
                <w:rFonts w:ascii="Arial" w:cs="Arial" w:eastAsia="Arial" w:hAnsi="Arial"/>
                <w:sz w:val="10"/>
                <w:szCs w:val="10"/>
                <w:b w:val="1"/>
                <w:bCs w:val="1"/>
                <w:color w:val="54585A"/>
              </w:rPr>
              <w:t>Option</w:t>
            </w:r>
          </w:p>
        </w:tc>
        <w:tc>
          <w:tcPr>
            <w:tcW w:w="1420" w:type="dxa"/>
            <w:vAlign w:val="bottom"/>
            <w:shd w:val="clear" w:color="auto" w:fill="EEEDED"/>
          </w:tcPr>
          <w:p>
            <w:pPr>
              <w:jc w:val="right"/>
              <w:ind w:right="354"/>
              <w:spacing w:after="0"/>
              <w:rPr>
                <w:sz w:val="20"/>
                <w:szCs w:val="20"/>
                <w:color w:val="auto"/>
              </w:rPr>
            </w:pPr>
            <w:r>
              <w:rPr>
                <w:rFonts w:ascii="Arial" w:cs="Arial" w:eastAsia="Arial" w:hAnsi="Arial"/>
                <w:sz w:val="10"/>
                <w:szCs w:val="10"/>
                <w:b w:val="1"/>
                <w:bCs w:val="1"/>
                <w:color w:val="54585A"/>
              </w:rPr>
              <w:t>All Other</w:t>
            </w:r>
          </w:p>
        </w:tc>
        <w:tc>
          <w:tcPr>
            <w:tcW w:w="102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shd w:val="clear" w:color="auto" w:fill="EEEDED"/>
          </w:tcPr>
          <w:p>
            <w:pPr>
              <w:spacing w:after="0"/>
              <w:rPr>
                <w:sz w:val="9"/>
                <w:szCs w:val="9"/>
                <w:color w:val="auto"/>
              </w:rPr>
            </w:pPr>
          </w:p>
        </w:tc>
        <w:tc>
          <w:tcPr>
            <w:tcW w:w="1200" w:type="dxa"/>
            <w:vAlign w:val="bottom"/>
            <w:shd w:val="clear" w:color="auto" w:fill="EEEDED"/>
          </w:tcPr>
          <w:p>
            <w:pPr>
              <w:spacing w:after="0"/>
              <w:rPr>
                <w:sz w:val="9"/>
                <w:szCs w:val="9"/>
                <w:color w:val="auto"/>
              </w:rPr>
            </w:pPr>
          </w:p>
        </w:tc>
        <w:tc>
          <w:tcPr>
            <w:tcW w:w="1540" w:type="dxa"/>
            <w:vAlign w:val="bottom"/>
            <w:shd w:val="clear" w:color="auto" w:fill="EEEDED"/>
          </w:tcPr>
          <w:p>
            <w:pPr>
              <w:jc w:val="right"/>
              <w:ind w:right="452"/>
              <w:spacing w:after="0" w:line="108" w:lineRule="exact"/>
              <w:rPr>
                <w:sz w:val="20"/>
                <w:szCs w:val="20"/>
                <w:color w:val="auto"/>
              </w:rPr>
            </w:pPr>
            <w:r>
              <w:rPr>
                <w:rFonts w:ascii="Arial" w:cs="Arial" w:eastAsia="Arial" w:hAnsi="Arial"/>
                <w:sz w:val="10"/>
                <w:szCs w:val="10"/>
                <w:b w:val="1"/>
                <w:bCs w:val="1"/>
                <w:color w:val="54585A"/>
              </w:rPr>
              <w:t>Salary</w:t>
            </w:r>
          </w:p>
        </w:tc>
        <w:tc>
          <w:tcPr>
            <w:tcW w:w="1340" w:type="dxa"/>
            <w:vAlign w:val="bottom"/>
            <w:shd w:val="clear" w:color="auto" w:fill="EEEDED"/>
          </w:tcPr>
          <w:p>
            <w:pPr>
              <w:jc w:val="right"/>
              <w:ind w:right="412"/>
              <w:spacing w:after="0" w:line="108" w:lineRule="exact"/>
              <w:rPr>
                <w:sz w:val="20"/>
                <w:szCs w:val="20"/>
                <w:color w:val="auto"/>
              </w:rPr>
            </w:pPr>
            <w:r>
              <w:rPr>
                <w:rFonts w:ascii="Arial" w:cs="Arial" w:eastAsia="Arial" w:hAnsi="Arial"/>
                <w:sz w:val="10"/>
                <w:szCs w:val="10"/>
                <w:b w:val="1"/>
                <w:bCs w:val="1"/>
                <w:color w:val="54585A"/>
              </w:rPr>
              <w:t>Bonus</w:t>
            </w:r>
          </w:p>
        </w:tc>
        <w:tc>
          <w:tcPr>
            <w:tcW w:w="1440" w:type="dxa"/>
            <w:vAlign w:val="bottom"/>
            <w:shd w:val="clear" w:color="auto" w:fill="EEEDED"/>
          </w:tcPr>
          <w:p>
            <w:pPr>
              <w:jc w:val="right"/>
              <w:ind w:right="474"/>
              <w:spacing w:after="0" w:line="108" w:lineRule="exact"/>
              <w:rPr>
                <w:sz w:val="20"/>
                <w:szCs w:val="20"/>
                <w:color w:val="auto"/>
              </w:rPr>
            </w:pPr>
            <w:r>
              <w:rPr>
                <w:rFonts w:ascii="Arial" w:cs="Arial" w:eastAsia="Arial" w:hAnsi="Arial"/>
                <w:sz w:val="10"/>
                <w:szCs w:val="10"/>
                <w:b w:val="1"/>
                <w:bCs w:val="1"/>
                <w:color w:val="54585A"/>
              </w:rPr>
              <w:t>Awards</w:t>
            </w:r>
          </w:p>
        </w:tc>
        <w:tc>
          <w:tcPr>
            <w:tcW w:w="1220" w:type="dxa"/>
            <w:vAlign w:val="bottom"/>
            <w:shd w:val="clear" w:color="auto" w:fill="EEEDED"/>
          </w:tcPr>
          <w:p>
            <w:pPr>
              <w:jc w:val="right"/>
              <w:ind w:right="314"/>
              <w:spacing w:after="0" w:line="108" w:lineRule="exact"/>
              <w:rPr>
                <w:sz w:val="20"/>
                <w:szCs w:val="20"/>
                <w:color w:val="auto"/>
              </w:rPr>
            </w:pPr>
            <w:r>
              <w:rPr>
                <w:rFonts w:ascii="Arial" w:cs="Arial" w:eastAsia="Arial" w:hAnsi="Arial"/>
                <w:sz w:val="10"/>
                <w:szCs w:val="10"/>
                <w:b w:val="1"/>
                <w:bCs w:val="1"/>
                <w:color w:val="54585A"/>
              </w:rPr>
              <w:t>Awards</w:t>
            </w:r>
          </w:p>
        </w:tc>
        <w:tc>
          <w:tcPr>
            <w:tcW w:w="1420" w:type="dxa"/>
            <w:vAlign w:val="bottom"/>
            <w:shd w:val="clear" w:color="auto" w:fill="EEEDED"/>
          </w:tcPr>
          <w:p>
            <w:pPr>
              <w:jc w:val="right"/>
              <w:ind w:right="354"/>
              <w:spacing w:after="0" w:line="108" w:lineRule="exact"/>
              <w:rPr>
                <w:sz w:val="20"/>
                <w:szCs w:val="20"/>
                <w:color w:val="auto"/>
              </w:rPr>
            </w:pPr>
            <w:r>
              <w:rPr>
                <w:rFonts w:ascii="Arial" w:cs="Arial" w:eastAsia="Arial" w:hAnsi="Arial"/>
                <w:sz w:val="10"/>
                <w:szCs w:val="10"/>
                <w:b w:val="1"/>
                <w:bCs w:val="1"/>
                <w:color w:val="54585A"/>
              </w:rPr>
              <w:t>Compensation</w:t>
            </w:r>
          </w:p>
        </w:tc>
        <w:tc>
          <w:tcPr>
            <w:tcW w:w="1020" w:type="dxa"/>
            <w:vAlign w:val="bottom"/>
            <w:shd w:val="clear" w:color="auto" w:fill="EEEDED"/>
          </w:tcPr>
          <w:p>
            <w:pPr>
              <w:jc w:val="right"/>
              <w:ind w:right="92"/>
              <w:spacing w:after="0" w:line="108" w:lineRule="exact"/>
              <w:rPr>
                <w:sz w:val="20"/>
                <w:szCs w:val="20"/>
                <w:color w:val="auto"/>
              </w:rPr>
            </w:pPr>
            <w:r>
              <w:rPr>
                <w:rFonts w:ascii="Arial" w:cs="Arial" w:eastAsia="Arial" w:hAnsi="Arial"/>
                <w:sz w:val="10"/>
                <w:szCs w:val="10"/>
                <w:b w:val="1"/>
                <w:bCs w:val="1"/>
                <w:color w:val="54585A"/>
              </w:rPr>
              <w:t>Total</w:t>
            </w:r>
          </w:p>
        </w:tc>
        <w:tc>
          <w:tcPr>
            <w:tcW w:w="0" w:type="dxa"/>
            <w:vAlign w:val="bottom"/>
          </w:tcPr>
          <w:p>
            <w:pPr>
              <w:spacing w:after="0"/>
              <w:rPr>
                <w:sz w:val="1"/>
                <w:szCs w:val="1"/>
                <w:color w:val="auto"/>
              </w:rPr>
            </w:pPr>
          </w:p>
        </w:tc>
      </w:tr>
      <w:tr>
        <w:trPr>
          <w:trHeight w:val="144"/>
        </w:trPr>
        <w:tc>
          <w:tcPr>
            <w:tcW w:w="21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 and Principal Position</w:t>
            </w:r>
          </w:p>
        </w:tc>
        <w:tc>
          <w:tcPr>
            <w:tcW w:w="1200" w:type="dxa"/>
            <w:vAlign w:val="bottom"/>
            <w:shd w:val="clear" w:color="auto" w:fill="EEEDED"/>
          </w:tcPr>
          <w:p>
            <w:pPr>
              <w:ind w:left="340"/>
              <w:spacing w:after="0"/>
              <w:rPr>
                <w:sz w:val="20"/>
                <w:szCs w:val="20"/>
                <w:color w:val="auto"/>
              </w:rPr>
            </w:pPr>
            <w:r>
              <w:rPr>
                <w:rFonts w:ascii="Arial" w:cs="Arial" w:eastAsia="Arial" w:hAnsi="Arial"/>
                <w:sz w:val="10"/>
                <w:szCs w:val="10"/>
                <w:b w:val="1"/>
                <w:bCs w:val="1"/>
                <w:color w:val="54585A"/>
              </w:rPr>
              <w:t>Year</w:t>
            </w:r>
          </w:p>
        </w:tc>
        <w:tc>
          <w:tcPr>
            <w:tcW w:w="1540" w:type="dxa"/>
            <w:vAlign w:val="bottom"/>
            <w:shd w:val="clear" w:color="auto" w:fill="EEEDED"/>
          </w:tcPr>
          <w:p>
            <w:pPr>
              <w:jc w:val="right"/>
              <w:ind w:right="452"/>
              <w:spacing w:after="0"/>
              <w:rPr>
                <w:sz w:val="20"/>
                <w:szCs w:val="20"/>
                <w:color w:val="auto"/>
              </w:rPr>
            </w:pPr>
            <w:r>
              <w:rPr>
                <w:rFonts w:ascii="Arial" w:cs="Arial" w:eastAsia="Arial" w:hAnsi="Arial"/>
                <w:sz w:val="10"/>
                <w:szCs w:val="10"/>
                <w:b w:val="1"/>
                <w:bCs w:val="1"/>
                <w:color w:val="54585A"/>
              </w:rPr>
              <w:t>($)</w:t>
            </w:r>
          </w:p>
        </w:tc>
        <w:tc>
          <w:tcPr>
            <w:tcW w:w="1340" w:type="dxa"/>
            <w:vAlign w:val="bottom"/>
            <w:shd w:val="clear" w:color="auto" w:fill="EEEDED"/>
          </w:tcPr>
          <w:p>
            <w:pPr>
              <w:jc w:val="right"/>
              <w:ind w:right="412"/>
              <w:spacing w:after="0"/>
              <w:rPr>
                <w:sz w:val="20"/>
                <w:szCs w:val="20"/>
                <w:color w:val="auto"/>
              </w:rPr>
            </w:pPr>
            <w:r>
              <w:rPr>
                <w:rFonts w:ascii="Arial" w:cs="Arial" w:eastAsia="Arial" w:hAnsi="Arial"/>
                <w:sz w:val="10"/>
                <w:szCs w:val="10"/>
                <w:b w:val="1"/>
                <w:bCs w:val="1"/>
                <w:color w:val="54585A"/>
              </w:rPr>
              <w:t>($)</w:t>
            </w:r>
          </w:p>
        </w:tc>
        <w:tc>
          <w:tcPr>
            <w:tcW w:w="1440" w:type="dxa"/>
            <w:vAlign w:val="bottom"/>
            <w:shd w:val="clear" w:color="auto" w:fill="EEEDED"/>
          </w:tcPr>
          <w:p>
            <w:pPr>
              <w:jc w:val="right"/>
              <w:ind w:right="474"/>
              <w:spacing w:after="0" w:line="144" w:lineRule="exact"/>
              <w:rPr>
                <w:sz w:val="20"/>
                <w:szCs w:val="20"/>
                <w:color w:val="auto"/>
              </w:rPr>
            </w:pPr>
            <w:r>
              <w:rPr>
                <w:rFonts w:ascii="Arial" w:cs="Arial" w:eastAsia="Arial" w:hAnsi="Arial"/>
                <w:sz w:val="16"/>
                <w:szCs w:val="16"/>
                <w:b w:val="1"/>
                <w:bCs w:val="1"/>
                <w:color w:val="54585A"/>
                <w:vertAlign w:val="subscript"/>
              </w:rPr>
              <w:t>($)</w:t>
            </w:r>
            <w:r>
              <w:rPr>
                <w:rFonts w:ascii="Arial" w:cs="Arial" w:eastAsia="Arial" w:hAnsi="Arial"/>
                <w:sz w:val="6"/>
                <w:szCs w:val="6"/>
                <w:b w:val="1"/>
                <w:bCs w:val="1"/>
                <w:color w:val="54585A"/>
              </w:rPr>
              <w:t>(1)</w:t>
            </w:r>
          </w:p>
        </w:tc>
        <w:tc>
          <w:tcPr>
            <w:tcW w:w="1220" w:type="dxa"/>
            <w:vAlign w:val="bottom"/>
            <w:shd w:val="clear" w:color="auto" w:fill="EEEDED"/>
          </w:tcPr>
          <w:p>
            <w:pPr>
              <w:jc w:val="right"/>
              <w:ind w:right="314"/>
              <w:spacing w:after="0" w:line="144" w:lineRule="exact"/>
              <w:rPr>
                <w:sz w:val="20"/>
                <w:szCs w:val="20"/>
                <w:color w:val="auto"/>
              </w:rPr>
            </w:pPr>
            <w:r>
              <w:rPr>
                <w:rFonts w:ascii="Arial" w:cs="Arial" w:eastAsia="Arial" w:hAnsi="Arial"/>
                <w:sz w:val="16"/>
                <w:szCs w:val="16"/>
                <w:b w:val="1"/>
                <w:bCs w:val="1"/>
                <w:color w:val="54585A"/>
                <w:vertAlign w:val="subscript"/>
              </w:rPr>
              <w:t>($)</w:t>
            </w:r>
            <w:r>
              <w:rPr>
                <w:rFonts w:ascii="Arial" w:cs="Arial" w:eastAsia="Arial" w:hAnsi="Arial"/>
                <w:sz w:val="6"/>
                <w:szCs w:val="6"/>
                <w:b w:val="1"/>
                <w:bCs w:val="1"/>
                <w:color w:val="54585A"/>
              </w:rPr>
              <w:t>(1)</w:t>
            </w:r>
          </w:p>
        </w:tc>
        <w:tc>
          <w:tcPr>
            <w:tcW w:w="1420" w:type="dxa"/>
            <w:vAlign w:val="bottom"/>
            <w:shd w:val="clear" w:color="auto" w:fill="EEEDED"/>
          </w:tcPr>
          <w:p>
            <w:pPr>
              <w:jc w:val="right"/>
              <w:ind w:right="354"/>
              <w:spacing w:after="0" w:line="144" w:lineRule="exact"/>
              <w:rPr>
                <w:sz w:val="20"/>
                <w:szCs w:val="20"/>
                <w:color w:val="auto"/>
              </w:rPr>
            </w:pPr>
            <w:r>
              <w:rPr>
                <w:rFonts w:ascii="Arial" w:cs="Arial" w:eastAsia="Arial" w:hAnsi="Arial"/>
                <w:sz w:val="16"/>
                <w:szCs w:val="16"/>
                <w:b w:val="1"/>
                <w:bCs w:val="1"/>
                <w:color w:val="54585A"/>
                <w:vertAlign w:val="subscript"/>
              </w:rPr>
              <w:t>($)</w:t>
            </w:r>
            <w:r>
              <w:rPr>
                <w:rFonts w:ascii="Arial" w:cs="Arial" w:eastAsia="Arial" w:hAnsi="Arial"/>
                <w:sz w:val="6"/>
                <w:szCs w:val="6"/>
                <w:b w:val="1"/>
                <w:bCs w:val="1"/>
                <w:color w:val="54585A"/>
              </w:rPr>
              <w:t>(2)</w:t>
            </w:r>
          </w:p>
        </w:tc>
        <w:tc>
          <w:tcPr>
            <w:tcW w:w="102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w:t>
            </w:r>
          </w:p>
        </w:tc>
        <w:tc>
          <w:tcPr>
            <w:tcW w:w="0" w:type="dxa"/>
            <w:vAlign w:val="bottom"/>
          </w:tcPr>
          <w:p>
            <w:pPr>
              <w:spacing w:after="0"/>
              <w:rPr>
                <w:sz w:val="1"/>
                <w:szCs w:val="1"/>
                <w:color w:val="auto"/>
              </w:rPr>
            </w:pPr>
          </w:p>
        </w:tc>
      </w:tr>
      <w:tr>
        <w:trPr>
          <w:trHeight w:val="63"/>
        </w:trPr>
        <w:tc>
          <w:tcPr>
            <w:tcW w:w="2120" w:type="dxa"/>
            <w:vAlign w:val="bottom"/>
            <w:shd w:val="clear" w:color="auto" w:fill="EEEDED"/>
          </w:tcPr>
          <w:p>
            <w:pPr>
              <w:spacing w:after="0"/>
              <w:rPr>
                <w:sz w:val="5"/>
                <w:szCs w:val="5"/>
                <w:color w:val="auto"/>
              </w:rPr>
            </w:pPr>
          </w:p>
        </w:tc>
        <w:tc>
          <w:tcPr>
            <w:tcW w:w="1200" w:type="dxa"/>
            <w:vAlign w:val="bottom"/>
            <w:shd w:val="clear" w:color="auto" w:fill="EEEDED"/>
          </w:tcPr>
          <w:p>
            <w:pPr>
              <w:spacing w:after="0"/>
              <w:rPr>
                <w:sz w:val="5"/>
                <w:szCs w:val="5"/>
                <w:color w:val="auto"/>
              </w:rPr>
            </w:pPr>
          </w:p>
        </w:tc>
        <w:tc>
          <w:tcPr>
            <w:tcW w:w="1540" w:type="dxa"/>
            <w:vAlign w:val="bottom"/>
            <w:shd w:val="clear" w:color="auto" w:fill="EEEDED"/>
          </w:tcPr>
          <w:p>
            <w:pPr>
              <w:spacing w:after="0"/>
              <w:rPr>
                <w:sz w:val="5"/>
                <w:szCs w:val="5"/>
                <w:color w:val="auto"/>
              </w:rPr>
            </w:pPr>
          </w:p>
        </w:tc>
        <w:tc>
          <w:tcPr>
            <w:tcW w:w="1340" w:type="dxa"/>
            <w:vAlign w:val="bottom"/>
            <w:shd w:val="clear" w:color="auto" w:fill="EEEDED"/>
          </w:tcPr>
          <w:p>
            <w:pPr>
              <w:spacing w:after="0"/>
              <w:rPr>
                <w:sz w:val="5"/>
                <w:szCs w:val="5"/>
                <w:color w:val="auto"/>
              </w:rPr>
            </w:pPr>
          </w:p>
        </w:tc>
        <w:tc>
          <w:tcPr>
            <w:tcW w:w="1440" w:type="dxa"/>
            <w:vAlign w:val="bottom"/>
            <w:shd w:val="clear" w:color="auto" w:fill="EEEDED"/>
          </w:tcPr>
          <w:p>
            <w:pPr>
              <w:spacing w:after="0"/>
              <w:rPr>
                <w:sz w:val="5"/>
                <w:szCs w:val="5"/>
                <w:color w:val="auto"/>
              </w:rPr>
            </w:pPr>
          </w:p>
        </w:tc>
        <w:tc>
          <w:tcPr>
            <w:tcW w:w="1220" w:type="dxa"/>
            <w:vAlign w:val="bottom"/>
            <w:shd w:val="clear" w:color="auto" w:fill="EEEDED"/>
          </w:tcPr>
          <w:p>
            <w:pPr>
              <w:spacing w:after="0"/>
              <w:rPr>
                <w:sz w:val="5"/>
                <w:szCs w:val="5"/>
                <w:color w:val="auto"/>
              </w:rPr>
            </w:pPr>
          </w:p>
        </w:tc>
        <w:tc>
          <w:tcPr>
            <w:tcW w:w="1420" w:type="dxa"/>
            <w:vAlign w:val="bottom"/>
            <w:shd w:val="clear" w:color="auto" w:fill="EEEDED"/>
          </w:tcPr>
          <w:p>
            <w:pPr>
              <w:spacing w:after="0"/>
              <w:rPr>
                <w:sz w:val="5"/>
                <w:szCs w:val="5"/>
                <w:color w:val="auto"/>
              </w:rPr>
            </w:pPr>
          </w:p>
        </w:tc>
        <w:tc>
          <w:tcPr>
            <w:tcW w:w="10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120" w:type="dxa"/>
            <w:vAlign w:val="bottom"/>
          </w:tcPr>
          <w:p>
            <w:pPr>
              <w:spacing w:after="0"/>
              <w:rPr>
                <w:sz w:val="17"/>
                <w:szCs w:val="17"/>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546,897</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1,330,400</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14,870</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1,892,167</w:t>
            </w:r>
          </w:p>
        </w:tc>
        <w:tc>
          <w:tcPr>
            <w:tcW w:w="0" w:type="dxa"/>
            <w:vAlign w:val="bottom"/>
          </w:tcPr>
          <w:p>
            <w:pPr>
              <w:spacing w:after="0"/>
              <w:rPr>
                <w:sz w:val="1"/>
                <w:szCs w:val="1"/>
                <w:color w:val="auto"/>
              </w:rPr>
            </w:pPr>
          </w:p>
        </w:tc>
      </w:tr>
      <w:tr>
        <w:trPr>
          <w:trHeight w:val="80"/>
        </w:trPr>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20" w:type="dxa"/>
            <w:vAlign w:val="bottom"/>
            <w:vMerge w:val="continue"/>
          </w:tcPr>
          <w:p>
            <w:pPr>
              <w:spacing w:after="0"/>
              <w:rPr>
                <w:sz w:val="10"/>
                <w:szCs w:val="10"/>
                <w:color w:val="auto"/>
              </w:rPr>
            </w:pPr>
          </w:p>
        </w:tc>
        <w:tc>
          <w:tcPr>
            <w:tcW w:w="1200" w:type="dxa"/>
            <w:vAlign w:val="bottom"/>
            <w:vMerge w:val="restart"/>
          </w:tcPr>
          <w:p>
            <w:pPr>
              <w:ind w:left="340"/>
              <w:spacing w:after="0"/>
              <w:rPr>
                <w:sz w:val="20"/>
                <w:szCs w:val="20"/>
                <w:color w:val="auto"/>
              </w:rPr>
            </w:pPr>
            <w:r>
              <w:rPr>
                <w:rFonts w:ascii="Arial" w:cs="Arial" w:eastAsia="Arial" w:hAnsi="Arial"/>
                <w:sz w:val="10"/>
                <w:szCs w:val="10"/>
                <w:color w:val="54585A"/>
              </w:rPr>
              <w:t>2021</w:t>
            </w:r>
          </w:p>
        </w:tc>
        <w:tc>
          <w:tcPr>
            <w:tcW w:w="1540" w:type="dxa"/>
            <w:vAlign w:val="bottom"/>
            <w:vMerge w:val="restart"/>
          </w:tcPr>
          <w:p>
            <w:pPr>
              <w:jc w:val="right"/>
              <w:ind w:right="492"/>
              <w:spacing w:after="0"/>
              <w:rPr>
                <w:sz w:val="20"/>
                <w:szCs w:val="20"/>
                <w:color w:val="auto"/>
              </w:rPr>
            </w:pPr>
            <w:r>
              <w:rPr>
                <w:rFonts w:ascii="Arial" w:cs="Arial" w:eastAsia="Arial" w:hAnsi="Arial"/>
                <w:sz w:val="10"/>
                <w:szCs w:val="10"/>
                <w:color w:val="54585A"/>
              </w:rPr>
              <w:t>543,225</w:t>
            </w:r>
          </w:p>
        </w:tc>
        <w:tc>
          <w:tcPr>
            <w:tcW w:w="1340" w:type="dxa"/>
            <w:vAlign w:val="bottom"/>
            <w:vMerge w:val="restart"/>
          </w:tcPr>
          <w:p>
            <w:pPr>
              <w:jc w:val="right"/>
              <w:ind w:right="452"/>
              <w:spacing w:after="0"/>
              <w:rPr>
                <w:sz w:val="20"/>
                <w:szCs w:val="20"/>
                <w:color w:val="auto"/>
              </w:rPr>
            </w:pPr>
            <w:r>
              <w:rPr>
                <w:rFonts w:ascii="Arial" w:cs="Arial" w:eastAsia="Arial" w:hAnsi="Arial"/>
                <w:sz w:val="10"/>
                <w:szCs w:val="10"/>
                <w:color w:val="54585A"/>
              </w:rPr>
              <w:t>150,000</w:t>
            </w:r>
          </w:p>
        </w:tc>
        <w:tc>
          <w:tcPr>
            <w:tcW w:w="1440" w:type="dxa"/>
            <w:vAlign w:val="bottom"/>
            <w:vMerge w:val="restart"/>
          </w:tcPr>
          <w:p>
            <w:pPr>
              <w:jc w:val="right"/>
              <w:ind w:right="514"/>
              <w:spacing w:after="0"/>
              <w:rPr>
                <w:sz w:val="20"/>
                <w:szCs w:val="20"/>
                <w:color w:val="auto"/>
              </w:rPr>
            </w:pPr>
            <w:r>
              <w:rPr>
                <w:rFonts w:ascii="Arial" w:cs="Arial" w:eastAsia="Arial" w:hAnsi="Arial"/>
                <w:sz w:val="10"/>
                <w:szCs w:val="10"/>
                <w:color w:val="54585A"/>
              </w:rPr>
              <w:t>165,600</w:t>
            </w:r>
          </w:p>
        </w:tc>
        <w:tc>
          <w:tcPr>
            <w:tcW w:w="1220" w:type="dxa"/>
            <w:vAlign w:val="bottom"/>
            <w:vMerge w:val="restart"/>
          </w:tcPr>
          <w:p>
            <w:pPr>
              <w:ind w:left="720"/>
              <w:spacing w:after="0"/>
              <w:rPr>
                <w:sz w:val="20"/>
                <w:szCs w:val="20"/>
                <w:color w:val="auto"/>
              </w:rPr>
            </w:pPr>
            <w:r>
              <w:rPr>
                <w:rFonts w:ascii="Arial" w:cs="Arial" w:eastAsia="Arial" w:hAnsi="Arial"/>
                <w:sz w:val="10"/>
                <w:szCs w:val="10"/>
                <w:color w:val="54585A"/>
              </w:rPr>
              <w:t>—</w:t>
            </w:r>
          </w:p>
        </w:tc>
        <w:tc>
          <w:tcPr>
            <w:tcW w:w="1420" w:type="dxa"/>
            <w:vAlign w:val="bottom"/>
            <w:vMerge w:val="restart"/>
          </w:tcPr>
          <w:p>
            <w:pPr>
              <w:jc w:val="right"/>
              <w:ind w:right="394"/>
              <w:spacing w:after="0"/>
              <w:rPr>
                <w:sz w:val="20"/>
                <w:szCs w:val="20"/>
                <w:color w:val="auto"/>
              </w:rPr>
            </w:pPr>
            <w:r>
              <w:rPr>
                <w:rFonts w:ascii="Arial" w:cs="Arial" w:eastAsia="Arial" w:hAnsi="Arial"/>
                <w:sz w:val="10"/>
                <w:szCs w:val="10"/>
                <w:color w:val="54585A"/>
              </w:rPr>
              <w:t>13,172</w:t>
            </w:r>
          </w:p>
        </w:tc>
        <w:tc>
          <w:tcPr>
            <w:tcW w:w="1020" w:type="dxa"/>
            <w:vAlign w:val="bottom"/>
            <w:vMerge w:val="restart"/>
          </w:tcPr>
          <w:p>
            <w:pPr>
              <w:jc w:val="right"/>
              <w:ind w:right="132"/>
              <w:spacing w:after="0"/>
              <w:rPr>
                <w:sz w:val="20"/>
                <w:szCs w:val="20"/>
                <w:color w:val="auto"/>
              </w:rPr>
            </w:pPr>
            <w:r>
              <w:rPr>
                <w:rFonts w:ascii="Arial" w:cs="Arial" w:eastAsia="Arial" w:hAnsi="Arial"/>
                <w:sz w:val="10"/>
                <w:szCs w:val="10"/>
                <w:color w:val="54585A"/>
              </w:rPr>
              <w:t>871,997</w:t>
            </w:r>
          </w:p>
        </w:tc>
        <w:tc>
          <w:tcPr>
            <w:tcW w:w="0" w:type="dxa"/>
            <w:vAlign w:val="bottom"/>
          </w:tcPr>
          <w:p>
            <w:pPr>
              <w:spacing w:after="0"/>
              <w:rPr>
                <w:sz w:val="1"/>
                <w:szCs w:val="1"/>
                <w:color w:val="auto"/>
              </w:rPr>
            </w:pPr>
          </w:p>
        </w:tc>
      </w:tr>
      <w:tr>
        <w:trPr>
          <w:trHeight w:val="62"/>
        </w:trPr>
        <w:tc>
          <w:tcPr>
            <w:tcW w:w="2120" w:type="dxa"/>
            <w:vAlign w:val="bottom"/>
            <w:vMerge w:val="restart"/>
          </w:tcPr>
          <w:p>
            <w:pPr>
              <w:ind w:left="60"/>
              <w:spacing w:after="0"/>
              <w:rPr>
                <w:sz w:val="20"/>
                <w:szCs w:val="20"/>
                <w:color w:val="auto"/>
              </w:rPr>
            </w:pPr>
            <w:r>
              <w:rPr>
                <w:rFonts w:ascii="Arial" w:cs="Arial" w:eastAsia="Arial" w:hAnsi="Arial"/>
                <w:sz w:val="10"/>
                <w:szCs w:val="10"/>
                <w:i w:val="1"/>
                <w:iCs w:val="1"/>
                <w:color w:val="54585A"/>
              </w:rPr>
              <w:t>Chief Executive Officer</w:t>
            </w:r>
          </w:p>
        </w:tc>
        <w:tc>
          <w:tcPr>
            <w:tcW w:w="12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120" w:type="dxa"/>
            <w:vAlign w:val="bottom"/>
            <w:vMerge w:val="continue"/>
          </w:tcPr>
          <w:p>
            <w:pPr>
              <w:spacing w:after="0"/>
              <w:rPr>
                <w:sz w:val="6"/>
                <w:szCs w:val="6"/>
                <w:color w:val="auto"/>
              </w:rPr>
            </w:pP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534,808</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182,359</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10,770</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727,937</w:t>
            </w:r>
          </w:p>
        </w:tc>
        <w:tc>
          <w:tcPr>
            <w:tcW w:w="0" w:type="dxa"/>
            <w:vAlign w:val="bottom"/>
          </w:tcPr>
          <w:p>
            <w:pPr>
              <w:spacing w:after="0"/>
              <w:rPr>
                <w:sz w:val="1"/>
                <w:szCs w:val="1"/>
                <w:color w:val="auto"/>
              </w:rPr>
            </w:pPr>
          </w:p>
        </w:tc>
      </w:tr>
      <w:tr>
        <w:trPr>
          <w:trHeight w:val="80"/>
        </w:trPr>
        <w:tc>
          <w:tcPr>
            <w:tcW w:w="2120" w:type="dxa"/>
            <w:vAlign w:val="bottom"/>
            <w:tcBorders>
              <w:bottom w:val="single" w:sz="8" w:color="54585A"/>
            </w:tcBorders>
          </w:tcPr>
          <w:p>
            <w:pPr>
              <w:spacing w:after="0"/>
              <w:rPr>
                <w:sz w:val="6"/>
                <w:szCs w:val="6"/>
                <w:color w:val="auto"/>
              </w:rPr>
            </w:pP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330,690</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7,000</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1,565,401</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7,971</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1,911,062</w:t>
            </w:r>
          </w:p>
        </w:tc>
        <w:tc>
          <w:tcPr>
            <w:tcW w:w="0" w:type="dxa"/>
            <w:vAlign w:val="bottom"/>
          </w:tcPr>
          <w:p>
            <w:pPr>
              <w:spacing w:after="0"/>
              <w:rPr>
                <w:sz w:val="1"/>
                <w:szCs w:val="1"/>
                <w:color w:val="auto"/>
              </w:rPr>
            </w:pPr>
          </w:p>
        </w:tc>
      </w:tr>
      <w:tr>
        <w:trPr>
          <w:trHeight w:val="80"/>
        </w:trPr>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1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120" w:type="dxa"/>
            <w:vAlign w:val="bottom"/>
          </w:tcPr>
          <w:p>
            <w:pPr>
              <w:ind w:left="60"/>
              <w:spacing w:after="0"/>
              <w:rPr>
                <w:sz w:val="20"/>
                <w:szCs w:val="20"/>
                <w:color w:val="auto"/>
              </w:rPr>
            </w:pPr>
            <w:r>
              <w:rPr>
                <w:rFonts w:ascii="Arial" w:cs="Arial" w:eastAsia="Arial" w:hAnsi="Arial"/>
                <w:sz w:val="10"/>
                <w:szCs w:val="10"/>
                <w:i w:val="1"/>
                <w:iCs w:val="1"/>
                <w:color w:val="54585A"/>
              </w:rPr>
              <w:t>Vice President and</w:t>
            </w:r>
          </w:p>
        </w:tc>
        <w:tc>
          <w:tcPr>
            <w:tcW w:w="1200" w:type="dxa"/>
            <w:vAlign w:val="bottom"/>
          </w:tcPr>
          <w:p>
            <w:pPr>
              <w:ind w:left="340"/>
              <w:spacing w:after="0"/>
              <w:rPr>
                <w:sz w:val="20"/>
                <w:szCs w:val="20"/>
                <w:color w:val="auto"/>
              </w:rPr>
            </w:pPr>
            <w:r>
              <w:rPr>
                <w:rFonts w:ascii="Arial" w:cs="Arial" w:eastAsia="Arial" w:hAnsi="Arial"/>
                <w:sz w:val="10"/>
                <w:szCs w:val="10"/>
                <w:color w:val="54585A"/>
              </w:rPr>
              <w:t>2021</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313,719</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100,000</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165,600</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9,153</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588,472</w:t>
            </w:r>
          </w:p>
        </w:tc>
        <w:tc>
          <w:tcPr>
            <w:tcW w:w="0" w:type="dxa"/>
            <w:vAlign w:val="bottom"/>
          </w:tcPr>
          <w:p>
            <w:pPr>
              <w:spacing w:after="0"/>
              <w:rPr>
                <w:sz w:val="1"/>
                <w:szCs w:val="1"/>
                <w:color w:val="auto"/>
              </w:rPr>
            </w:pPr>
          </w:p>
        </w:tc>
      </w:tr>
      <w:tr>
        <w:trPr>
          <w:trHeight w:val="88"/>
        </w:trPr>
        <w:tc>
          <w:tcPr>
            <w:tcW w:w="2120" w:type="dxa"/>
            <w:vAlign w:val="bottom"/>
          </w:tcPr>
          <w:p>
            <w:pPr>
              <w:ind w:left="60"/>
              <w:spacing w:after="0" w:line="77" w:lineRule="exact"/>
              <w:rPr>
                <w:sz w:val="20"/>
                <w:szCs w:val="20"/>
                <w:color w:val="auto"/>
              </w:rPr>
            </w:pPr>
            <w:r>
              <w:rPr>
                <w:rFonts w:ascii="Arial" w:cs="Arial" w:eastAsia="Arial" w:hAnsi="Arial"/>
                <w:sz w:val="8"/>
                <w:szCs w:val="8"/>
                <w:i w:val="1"/>
                <w:iCs w:val="1"/>
                <w:color w:val="54585A"/>
              </w:rPr>
              <w:t>Chief Financial Officer</w:t>
            </w:r>
          </w:p>
        </w:tc>
        <w:tc>
          <w:tcPr>
            <w:tcW w:w="1200" w:type="dxa"/>
            <w:vAlign w:val="bottom"/>
            <w:tcBorders>
              <w:bottom w:val="single" w:sz="8" w:color="54585A"/>
            </w:tcBorders>
          </w:tcPr>
          <w:p>
            <w:pPr>
              <w:spacing w:after="0"/>
              <w:rPr>
                <w:sz w:val="7"/>
                <w:szCs w:val="7"/>
                <w:color w:val="auto"/>
              </w:rPr>
            </w:pPr>
          </w:p>
        </w:tc>
        <w:tc>
          <w:tcPr>
            <w:tcW w:w="1540" w:type="dxa"/>
            <w:vAlign w:val="bottom"/>
            <w:tcBorders>
              <w:bottom w:val="single" w:sz="8" w:color="54585A"/>
            </w:tcBorders>
          </w:tcPr>
          <w:p>
            <w:pPr>
              <w:spacing w:after="0"/>
              <w:rPr>
                <w:sz w:val="7"/>
                <w:szCs w:val="7"/>
                <w:color w:val="auto"/>
              </w:rPr>
            </w:pPr>
          </w:p>
        </w:tc>
        <w:tc>
          <w:tcPr>
            <w:tcW w:w="134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0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302,398</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212,680</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9,016</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524,094</w:t>
            </w:r>
          </w:p>
        </w:tc>
        <w:tc>
          <w:tcPr>
            <w:tcW w:w="0" w:type="dxa"/>
            <w:vAlign w:val="bottom"/>
          </w:tcPr>
          <w:p>
            <w:pPr>
              <w:spacing w:after="0"/>
              <w:rPr>
                <w:sz w:val="1"/>
                <w:szCs w:val="1"/>
                <w:color w:val="auto"/>
              </w:rPr>
            </w:pPr>
          </w:p>
        </w:tc>
      </w:tr>
      <w:tr>
        <w:trPr>
          <w:trHeight w:val="80"/>
        </w:trPr>
        <w:tc>
          <w:tcPr>
            <w:tcW w:w="2120" w:type="dxa"/>
            <w:vAlign w:val="bottom"/>
            <w:tcBorders>
              <w:bottom w:val="single" w:sz="8" w:color="54585A"/>
            </w:tcBorders>
          </w:tcPr>
          <w:p>
            <w:pPr>
              <w:spacing w:after="0"/>
              <w:rPr>
                <w:sz w:val="6"/>
                <w:szCs w:val="6"/>
                <w:color w:val="auto"/>
              </w:rPr>
            </w:pP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342,481</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7,000</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1,264,400</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4,133</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1,618,014</w:t>
            </w:r>
          </w:p>
        </w:tc>
        <w:tc>
          <w:tcPr>
            <w:tcW w:w="0" w:type="dxa"/>
            <w:vAlign w:val="bottom"/>
          </w:tcPr>
          <w:p>
            <w:pPr>
              <w:spacing w:after="0"/>
              <w:rPr>
                <w:sz w:val="1"/>
                <w:szCs w:val="1"/>
                <w:color w:val="auto"/>
              </w:rPr>
            </w:pPr>
          </w:p>
        </w:tc>
      </w:tr>
      <w:tr>
        <w:trPr>
          <w:trHeight w:val="80"/>
        </w:trPr>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1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120" w:type="dxa"/>
            <w:vAlign w:val="bottom"/>
          </w:tcPr>
          <w:p>
            <w:pPr>
              <w:ind w:left="60"/>
              <w:spacing w:after="0"/>
              <w:rPr>
                <w:sz w:val="20"/>
                <w:szCs w:val="20"/>
                <w:color w:val="auto"/>
              </w:rPr>
            </w:pPr>
            <w:r>
              <w:rPr>
                <w:rFonts w:ascii="Arial" w:cs="Arial" w:eastAsia="Arial" w:hAnsi="Arial"/>
                <w:sz w:val="10"/>
                <w:szCs w:val="10"/>
                <w:i w:val="1"/>
                <w:iCs w:val="1"/>
                <w:color w:val="54585A"/>
              </w:rPr>
              <w:t>General Counsel and Vice President of</w:t>
            </w:r>
          </w:p>
        </w:tc>
        <w:tc>
          <w:tcPr>
            <w:tcW w:w="1200" w:type="dxa"/>
            <w:vAlign w:val="bottom"/>
          </w:tcPr>
          <w:p>
            <w:pPr>
              <w:ind w:left="340"/>
              <w:spacing w:after="0"/>
              <w:rPr>
                <w:sz w:val="20"/>
                <w:szCs w:val="20"/>
                <w:color w:val="auto"/>
              </w:rPr>
            </w:pPr>
            <w:r>
              <w:rPr>
                <w:rFonts w:ascii="Arial" w:cs="Arial" w:eastAsia="Arial" w:hAnsi="Arial"/>
                <w:sz w:val="10"/>
                <w:szCs w:val="10"/>
                <w:color w:val="54585A"/>
              </w:rPr>
              <w:t>2021</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330,889</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267,200</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5,144</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603,233</w:t>
            </w:r>
          </w:p>
        </w:tc>
        <w:tc>
          <w:tcPr>
            <w:tcW w:w="0" w:type="dxa"/>
            <w:vAlign w:val="bottom"/>
          </w:tcPr>
          <w:p>
            <w:pPr>
              <w:spacing w:after="0"/>
              <w:rPr>
                <w:sz w:val="1"/>
                <w:szCs w:val="1"/>
                <w:color w:val="auto"/>
              </w:rPr>
            </w:pPr>
          </w:p>
        </w:tc>
      </w:tr>
      <w:tr>
        <w:trPr>
          <w:trHeight w:val="88"/>
        </w:trPr>
        <w:tc>
          <w:tcPr>
            <w:tcW w:w="2120" w:type="dxa"/>
            <w:vAlign w:val="bottom"/>
          </w:tcPr>
          <w:p>
            <w:pPr>
              <w:ind w:left="60"/>
              <w:spacing w:after="0" w:line="77" w:lineRule="exact"/>
              <w:rPr>
                <w:sz w:val="20"/>
                <w:szCs w:val="20"/>
                <w:color w:val="auto"/>
              </w:rPr>
            </w:pPr>
            <w:r>
              <w:rPr>
                <w:rFonts w:ascii="Arial" w:cs="Arial" w:eastAsia="Arial" w:hAnsi="Arial"/>
                <w:sz w:val="8"/>
                <w:szCs w:val="8"/>
                <w:i w:val="1"/>
                <w:iCs w:val="1"/>
                <w:color w:val="54585A"/>
              </w:rPr>
              <w:t>Regulatory Affairs</w:t>
            </w:r>
          </w:p>
        </w:tc>
        <w:tc>
          <w:tcPr>
            <w:tcW w:w="1200" w:type="dxa"/>
            <w:vAlign w:val="bottom"/>
            <w:tcBorders>
              <w:bottom w:val="single" w:sz="8" w:color="54585A"/>
            </w:tcBorders>
          </w:tcPr>
          <w:p>
            <w:pPr>
              <w:spacing w:after="0"/>
              <w:rPr>
                <w:sz w:val="7"/>
                <w:szCs w:val="7"/>
                <w:color w:val="auto"/>
              </w:rPr>
            </w:pPr>
          </w:p>
        </w:tc>
        <w:tc>
          <w:tcPr>
            <w:tcW w:w="1540" w:type="dxa"/>
            <w:vAlign w:val="bottom"/>
            <w:tcBorders>
              <w:bottom w:val="single" w:sz="8" w:color="54585A"/>
            </w:tcBorders>
          </w:tcPr>
          <w:p>
            <w:pPr>
              <w:spacing w:after="0"/>
              <w:rPr>
                <w:sz w:val="7"/>
                <w:szCs w:val="7"/>
                <w:color w:val="auto"/>
              </w:rPr>
            </w:pPr>
          </w:p>
        </w:tc>
        <w:tc>
          <w:tcPr>
            <w:tcW w:w="134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0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305,132</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514"/>
              <w:spacing w:after="0"/>
              <w:rPr>
                <w:sz w:val="20"/>
                <w:szCs w:val="20"/>
                <w:color w:val="auto"/>
              </w:rPr>
            </w:pPr>
            <w:r>
              <w:rPr>
                <w:rFonts w:ascii="Arial" w:cs="Arial" w:eastAsia="Arial" w:hAnsi="Arial"/>
                <w:sz w:val="10"/>
                <w:szCs w:val="10"/>
                <w:color w:val="54585A"/>
              </w:rPr>
              <w:t>323,265</w:t>
            </w:r>
          </w:p>
        </w:tc>
        <w:tc>
          <w:tcPr>
            <w:tcW w:w="1220" w:type="dxa"/>
            <w:vAlign w:val="bottom"/>
          </w:tcPr>
          <w:p>
            <w:pPr>
              <w:ind w:left="720"/>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394"/>
              <w:spacing w:after="0"/>
              <w:rPr>
                <w:sz w:val="20"/>
                <w:szCs w:val="20"/>
                <w:color w:val="auto"/>
              </w:rPr>
            </w:pPr>
            <w:r>
              <w:rPr>
                <w:rFonts w:ascii="Arial" w:cs="Arial" w:eastAsia="Arial" w:hAnsi="Arial"/>
                <w:sz w:val="10"/>
                <w:szCs w:val="10"/>
                <w:color w:val="54585A"/>
              </w:rPr>
              <w:t>8,195</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636,592</w:t>
            </w:r>
          </w:p>
        </w:tc>
        <w:tc>
          <w:tcPr>
            <w:tcW w:w="0" w:type="dxa"/>
            <w:vAlign w:val="bottom"/>
          </w:tcPr>
          <w:p>
            <w:pPr>
              <w:spacing w:after="0"/>
              <w:rPr>
                <w:sz w:val="1"/>
                <w:szCs w:val="1"/>
                <w:color w:val="auto"/>
              </w:rPr>
            </w:pPr>
          </w:p>
        </w:tc>
      </w:tr>
      <w:tr>
        <w:trPr>
          <w:trHeight w:val="80"/>
        </w:trPr>
        <w:tc>
          <w:tcPr>
            <w:tcW w:w="2120" w:type="dxa"/>
            <w:vAlign w:val="bottom"/>
            <w:tcBorders>
              <w:bottom w:val="single" w:sz="8" w:color="54585A"/>
            </w:tcBorders>
          </w:tcPr>
          <w:p>
            <w:pPr>
              <w:spacing w:after="0"/>
              <w:rPr>
                <w:sz w:val="6"/>
                <w:szCs w:val="6"/>
                <w:color w:val="auto"/>
              </w:rPr>
            </w:pPr>
          </w:p>
        </w:tc>
        <w:tc>
          <w:tcPr>
            <w:tcW w:w="120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left="208" w:right="200" w:hanging="208"/>
        <w:spacing w:after="0" w:line="250" w:lineRule="auto"/>
        <w:tabs>
          <w:tab w:leader="none" w:pos="208" w:val="left"/>
        </w:tabs>
        <w:numPr>
          <w:ilvl w:val="0"/>
          <w:numId w:val="51"/>
        </w:numPr>
        <w:rPr>
          <w:rFonts w:ascii="Arial" w:cs="Arial" w:eastAsia="Arial" w:hAnsi="Arial"/>
          <w:sz w:val="10"/>
          <w:szCs w:val="10"/>
          <w:color w:val="54585A"/>
        </w:rPr>
      </w:pPr>
      <w:r>
        <w:rPr>
          <w:rFonts w:ascii="Arial" w:cs="Arial" w:eastAsia="Arial" w:hAnsi="Arial"/>
          <w:sz w:val="10"/>
          <w:szCs w:val="10"/>
          <w:color w:val="54585A"/>
        </w:rPr>
        <w:t>Represents the aggregate grant date fair value computed consistent with FASB ASC Topic 718, except for performance based awards which are included at the fair value on the vesting date when such vesting occurs. For further discussion of our accounting policies for stock-based compensation and assumptions used in calculating the grant date fair value of stock-based compensation awards, see Note 15 to the Consolidated Financial Statements in our 2022 Annual Report on Form 10-K. The actual amount of compensation realized, if any, for option awards may differ from the amounts presented in the table.</w:t>
      </w:r>
    </w:p>
    <w:p>
      <w:pPr>
        <w:spacing w:after="0" w:line="63" w:lineRule="exact"/>
        <w:rPr>
          <w:rFonts w:ascii="Arial" w:cs="Arial" w:eastAsia="Arial" w:hAnsi="Arial"/>
          <w:sz w:val="10"/>
          <w:szCs w:val="10"/>
          <w:color w:val="54585A"/>
        </w:rPr>
      </w:pPr>
    </w:p>
    <w:p>
      <w:pPr>
        <w:ind w:left="208" w:right="140"/>
        <w:spacing w:after="0" w:line="256" w:lineRule="auto"/>
        <w:rPr>
          <w:rFonts w:ascii="Arial" w:cs="Arial" w:eastAsia="Arial" w:hAnsi="Arial"/>
          <w:sz w:val="10"/>
          <w:szCs w:val="10"/>
          <w:color w:val="54585A"/>
        </w:rPr>
      </w:pPr>
      <w:r>
        <w:rPr>
          <w:rFonts w:ascii="Arial" w:cs="Arial" w:eastAsia="Arial" w:hAnsi="Arial"/>
          <w:sz w:val="10"/>
          <w:szCs w:val="10"/>
          <w:color w:val="54585A"/>
        </w:rPr>
        <w:t>Each of the named executive officers, excluding Mr. Monroe, earned a bonus related to the 2022 financial performance of Globalstar. As disclosed in the Compensation, Discussion and Analysis section above, these bonuses were paid in the form of Globalstar stock in March 2023 and are included in the Stock Awards columns above.</w:t>
      </w:r>
    </w:p>
    <w:p>
      <w:pPr>
        <w:spacing w:after="0" w:line="51" w:lineRule="exact"/>
        <w:rPr>
          <w:rFonts w:ascii="Arial" w:cs="Arial" w:eastAsia="Arial" w:hAnsi="Arial"/>
          <w:sz w:val="10"/>
          <w:szCs w:val="10"/>
          <w:color w:val="54585A"/>
        </w:rPr>
      </w:pPr>
    </w:p>
    <w:p>
      <w:pPr>
        <w:ind w:left="208" w:right="180"/>
        <w:spacing w:after="0" w:line="256" w:lineRule="auto"/>
        <w:rPr>
          <w:rFonts w:ascii="Arial" w:cs="Arial" w:eastAsia="Arial" w:hAnsi="Arial"/>
          <w:sz w:val="10"/>
          <w:szCs w:val="10"/>
          <w:color w:val="54585A"/>
        </w:rPr>
      </w:pPr>
      <w:r>
        <w:rPr>
          <w:rFonts w:ascii="Arial" w:cs="Arial" w:eastAsia="Arial" w:hAnsi="Arial"/>
          <w:sz w:val="10"/>
          <w:szCs w:val="10"/>
          <w:color w:val="54585A"/>
        </w:rPr>
        <w:t>The stock awards for Mr. Kagan in the table above include 500,000 restricted shares that vested in March 2023 when the Company reported Adjusted EBITDA in excess of $50 million for the year ended December 31, 2022. These awards were granted in two tranches of 250,000 in 2017 and 2018.</w:t>
      </w:r>
    </w:p>
    <w:p>
      <w:pPr>
        <w:spacing w:after="0" w:line="60" w:lineRule="exact"/>
        <w:rPr>
          <w:rFonts w:ascii="Arial" w:cs="Arial" w:eastAsia="Arial" w:hAnsi="Arial"/>
          <w:sz w:val="10"/>
          <w:szCs w:val="10"/>
          <w:color w:val="54585A"/>
        </w:rPr>
      </w:pPr>
    </w:p>
    <w:p>
      <w:pPr>
        <w:ind w:left="208" w:hanging="208"/>
        <w:spacing w:after="0"/>
        <w:tabs>
          <w:tab w:leader="none" w:pos="208" w:val="left"/>
        </w:tabs>
        <w:numPr>
          <w:ilvl w:val="0"/>
          <w:numId w:val="51"/>
        </w:numPr>
        <w:rPr>
          <w:rFonts w:ascii="Arial" w:cs="Arial" w:eastAsia="Arial" w:hAnsi="Arial"/>
          <w:sz w:val="10"/>
          <w:szCs w:val="10"/>
          <w:color w:val="54585A"/>
        </w:rPr>
      </w:pPr>
      <w:r>
        <w:rPr>
          <w:rFonts w:ascii="Arial" w:cs="Arial" w:eastAsia="Arial" w:hAnsi="Arial"/>
          <w:sz w:val="10"/>
          <w:szCs w:val="10"/>
          <w:color w:val="54585A"/>
        </w:rPr>
        <w:t>Consists of matching contributions to 401(k) Plan and life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214630</wp:posOffset>
            </wp:positionV>
            <wp:extent cx="1714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3"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Arial" w:cs="Arial" w:eastAsia="Arial" w:hAnsi="Arial"/>
          <w:sz w:val="19"/>
          <w:szCs w:val="19"/>
          <w:color w:val="54585A"/>
        </w:rPr>
        <w:t>Equity Compensation</w:t>
      </w:r>
    </w:p>
    <w:p>
      <w:pPr>
        <w:spacing w:after="0" w:line="152" w:lineRule="exact"/>
        <w:rPr>
          <w:sz w:val="20"/>
          <w:szCs w:val="20"/>
          <w:color w:val="auto"/>
        </w:rPr>
      </w:pPr>
    </w:p>
    <w:p>
      <w:pPr>
        <w:ind w:left="8" w:right="40"/>
        <w:spacing w:after="0" w:line="326" w:lineRule="auto"/>
        <w:rPr>
          <w:sz w:val="20"/>
          <w:szCs w:val="20"/>
          <w:color w:val="auto"/>
        </w:rPr>
      </w:pPr>
      <w:r>
        <w:rPr>
          <w:rFonts w:ascii="Arial" w:cs="Arial" w:eastAsia="Arial" w:hAnsi="Arial"/>
          <w:sz w:val="11"/>
          <w:szCs w:val="11"/>
          <w:color w:val="54585A"/>
        </w:rPr>
        <w:t>The following table sets forth certain information with respect to each equity award and award opportunity issued to the named executive officers during 2022. All equity awards are granted pursuant to our 2006 Equity Incentive Plan. See “Compensation, Discussion and Analysis - Elements of Compensation” for an explanation of the terms of these awards. In connection with his service as an executive officer of the Company, Mr. Monroe did not receive equity awards during 2022 and is not included in the table below.</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2022 Grants of Plan-Based Awards</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820" w:type="dxa"/>
            <w:vAlign w:val="bottom"/>
            <w:shd w:val="clear" w:color="auto" w:fill="EEEDED"/>
          </w:tcPr>
          <w:p>
            <w:pPr>
              <w:spacing w:after="0"/>
              <w:rPr>
                <w:sz w:val="10"/>
                <w:szCs w:val="10"/>
                <w:color w:val="auto"/>
              </w:rPr>
            </w:pPr>
          </w:p>
        </w:tc>
        <w:tc>
          <w:tcPr>
            <w:tcW w:w="1000" w:type="dxa"/>
            <w:vAlign w:val="bottom"/>
            <w:shd w:val="clear" w:color="auto" w:fill="EEEDED"/>
          </w:tcPr>
          <w:p>
            <w:pPr>
              <w:spacing w:after="0"/>
              <w:rPr>
                <w:sz w:val="10"/>
                <w:szCs w:val="10"/>
                <w:color w:val="auto"/>
              </w:rPr>
            </w:pPr>
          </w:p>
        </w:tc>
        <w:tc>
          <w:tcPr>
            <w:tcW w:w="1820" w:type="dxa"/>
            <w:vAlign w:val="bottom"/>
            <w:shd w:val="clear" w:color="auto" w:fill="EEEDED"/>
          </w:tcPr>
          <w:p>
            <w:pPr>
              <w:spacing w:after="0"/>
              <w:rPr>
                <w:sz w:val="10"/>
                <w:szCs w:val="10"/>
                <w:color w:val="auto"/>
              </w:rPr>
            </w:pPr>
          </w:p>
        </w:tc>
        <w:tc>
          <w:tcPr>
            <w:tcW w:w="1820" w:type="dxa"/>
            <w:vAlign w:val="bottom"/>
            <w:shd w:val="clear" w:color="auto" w:fill="EEEDED"/>
          </w:tcPr>
          <w:p>
            <w:pPr>
              <w:spacing w:after="0"/>
              <w:rPr>
                <w:sz w:val="10"/>
                <w:szCs w:val="10"/>
                <w:color w:val="auto"/>
              </w:rPr>
            </w:pPr>
          </w:p>
        </w:tc>
        <w:tc>
          <w:tcPr>
            <w:tcW w:w="136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Exercise or Base Price of</w:t>
            </w:r>
          </w:p>
        </w:tc>
        <w:tc>
          <w:tcPr>
            <w:tcW w:w="16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w w:val="99"/>
              </w:rPr>
              <w:t>Grant Date Fair Value of Stock and</w:t>
            </w:r>
          </w:p>
        </w:tc>
        <w:tc>
          <w:tcPr>
            <w:tcW w:w="34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20" w:type="dxa"/>
            <w:vAlign w:val="bottom"/>
            <w:shd w:val="clear" w:color="auto" w:fill="EEEDED"/>
          </w:tcPr>
          <w:p>
            <w:pPr>
              <w:spacing w:after="0"/>
              <w:rPr>
                <w:sz w:val="10"/>
                <w:szCs w:val="10"/>
                <w:color w:val="auto"/>
              </w:rPr>
            </w:pPr>
          </w:p>
        </w:tc>
        <w:tc>
          <w:tcPr>
            <w:tcW w:w="100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w w:val="97"/>
              </w:rPr>
              <w:t>Grant</w:t>
            </w:r>
          </w:p>
        </w:tc>
        <w:tc>
          <w:tcPr>
            <w:tcW w:w="182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All Other Stock Awards: Number</w:t>
            </w:r>
          </w:p>
        </w:tc>
        <w:tc>
          <w:tcPr>
            <w:tcW w:w="182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All Other Option Awards: Number</w:t>
            </w:r>
          </w:p>
        </w:tc>
        <w:tc>
          <w:tcPr>
            <w:tcW w:w="136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Option Awards</w:t>
            </w:r>
          </w:p>
        </w:tc>
        <w:tc>
          <w:tcPr>
            <w:tcW w:w="16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Option Awards</w:t>
            </w:r>
          </w:p>
        </w:tc>
        <w:tc>
          <w:tcPr>
            <w:tcW w:w="34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100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rPr>
              <w:t>Date</w:t>
            </w:r>
          </w:p>
        </w:tc>
        <w:tc>
          <w:tcPr>
            <w:tcW w:w="182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of Shares of Stock Or Units</w:t>
            </w:r>
          </w:p>
        </w:tc>
        <w:tc>
          <w:tcPr>
            <w:tcW w:w="182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of Securities Underlying Options</w:t>
            </w:r>
          </w:p>
        </w:tc>
        <w:tc>
          <w:tcPr>
            <w:tcW w:w="1360" w:type="dxa"/>
            <w:vAlign w:val="bottom"/>
            <w:shd w:val="clear" w:color="auto" w:fill="EEEDED"/>
          </w:tcPr>
          <w:p>
            <w:pPr>
              <w:ind w:left="1160"/>
              <w:spacing w:after="0"/>
              <w:rPr>
                <w:sz w:val="20"/>
                <w:szCs w:val="20"/>
                <w:color w:val="auto"/>
              </w:rPr>
            </w:pPr>
            <w:r>
              <w:rPr>
                <w:rFonts w:ascii="Arial" w:cs="Arial" w:eastAsia="Arial" w:hAnsi="Arial"/>
                <w:sz w:val="10"/>
                <w:szCs w:val="10"/>
                <w:b w:val="1"/>
                <w:bCs w:val="1"/>
                <w:color w:val="54585A"/>
              </w:rPr>
              <w:t>($)</w:t>
            </w:r>
          </w:p>
        </w:tc>
        <w:tc>
          <w:tcPr>
            <w:tcW w:w="16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c>
          <w:tcPr>
            <w:tcW w:w="340" w:type="dxa"/>
            <w:vAlign w:val="bottom"/>
            <w:shd w:val="clear" w:color="auto" w:fill="EEEDED"/>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820" w:type="dxa"/>
            <w:vAlign w:val="bottom"/>
            <w:shd w:val="clear" w:color="auto" w:fill="EEEDED"/>
          </w:tcPr>
          <w:p>
            <w:pPr>
              <w:spacing w:after="0"/>
              <w:rPr>
                <w:sz w:val="5"/>
                <w:szCs w:val="5"/>
                <w:color w:val="auto"/>
              </w:rPr>
            </w:pPr>
          </w:p>
        </w:tc>
        <w:tc>
          <w:tcPr>
            <w:tcW w:w="1000" w:type="dxa"/>
            <w:vAlign w:val="bottom"/>
            <w:shd w:val="clear" w:color="auto" w:fill="EEEDED"/>
          </w:tcPr>
          <w:p>
            <w:pPr>
              <w:spacing w:after="0"/>
              <w:rPr>
                <w:sz w:val="5"/>
                <w:szCs w:val="5"/>
                <w:color w:val="auto"/>
              </w:rPr>
            </w:pPr>
          </w:p>
        </w:tc>
        <w:tc>
          <w:tcPr>
            <w:tcW w:w="1820" w:type="dxa"/>
            <w:vAlign w:val="bottom"/>
            <w:shd w:val="clear" w:color="auto" w:fill="EEEDED"/>
          </w:tcPr>
          <w:p>
            <w:pPr>
              <w:spacing w:after="0"/>
              <w:rPr>
                <w:sz w:val="5"/>
                <w:szCs w:val="5"/>
                <w:color w:val="auto"/>
              </w:rPr>
            </w:pPr>
          </w:p>
        </w:tc>
        <w:tc>
          <w:tcPr>
            <w:tcW w:w="1820" w:type="dxa"/>
            <w:vAlign w:val="bottom"/>
            <w:shd w:val="clear" w:color="auto" w:fill="EEEDED"/>
          </w:tcPr>
          <w:p>
            <w:pPr>
              <w:spacing w:after="0"/>
              <w:rPr>
                <w:sz w:val="5"/>
                <w:szCs w:val="5"/>
                <w:color w:val="auto"/>
              </w:rPr>
            </w:pPr>
          </w:p>
        </w:tc>
        <w:tc>
          <w:tcPr>
            <w:tcW w:w="1360" w:type="dxa"/>
            <w:vAlign w:val="bottom"/>
            <w:shd w:val="clear" w:color="auto" w:fill="EEEDED"/>
          </w:tcPr>
          <w:p>
            <w:pPr>
              <w:spacing w:after="0"/>
              <w:rPr>
                <w:sz w:val="5"/>
                <w:szCs w:val="5"/>
                <w:color w:val="auto"/>
              </w:rPr>
            </w:pPr>
          </w:p>
        </w:tc>
        <w:tc>
          <w:tcPr>
            <w:tcW w:w="1680" w:type="dxa"/>
            <w:vAlign w:val="bottom"/>
            <w:shd w:val="clear" w:color="auto" w:fill="EEEDED"/>
          </w:tcPr>
          <w:p>
            <w:pPr>
              <w:spacing w:after="0"/>
              <w:rPr>
                <w:sz w:val="5"/>
                <w:szCs w:val="5"/>
                <w:color w:val="auto"/>
              </w:rPr>
            </w:pPr>
          </w:p>
        </w:tc>
        <w:tc>
          <w:tcPr>
            <w:tcW w:w="34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220,000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418,000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0"/>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820" w:type="dxa"/>
            <w:vAlign w:val="bottom"/>
            <w:vMerge w:val="continue"/>
          </w:tcPr>
          <w:p>
            <w:pPr>
              <w:spacing w:after="0"/>
              <w:rPr>
                <w:sz w:val="4"/>
                <w:szCs w:val="4"/>
                <w:color w:val="auto"/>
              </w:rPr>
            </w:pPr>
          </w:p>
        </w:tc>
        <w:tc>
          <w:tcPr>
            <w:tcW w:w="1000" w:type="dxa"/>
            <w:vAlign w:val="bottom"/>
            <w:vMerge w:val="restart"/>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vMerge w:val="restart"/>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vMerge w:val="restart"/>
          </w:tcPr>
          <w:p>
            <w:pPr>
              <w:ind w:left="1540"/>
              <w:spacing w:after="0"/>
              <w:rPr>
                <w:sz w:val="20"/>
                <w:szCs w:val="20"/>
                <w:color w:val="auto"/>
              </w:rPr>
            </w:pPr>
            <w:r>
              <w:rPr>
                <w:rFonts w:ascii="Arial" w:cs="Arial" w:eastAsia="Arial" w:hAnsi="Arial"/>
                <w:sz w:val="10"/>
                <w:szCs w:val="10"/>
                <w:color w:val="54585A"/>
              </w:rPr>
              <w:t>—</w:t>
            </w:r>
          </w:p>
        </w:tc>
        <w:tc>
          <w:tcPr>
            <w:tcW w:w="1360" w:type="dxa"/>
            <w:vAlign w:val="bottom"/>
            <w:vMerge w:val="restart"/>
          </w:tcPr>
          <w:p>
            <w:pPr>
              <w:ind w:left="1160"/>
              <w:spacing w:after="0"/>
              <w:rPr>
                <w:sz w:val="20"/>
                <w:szCs w:val="20"/>
                <w:color w:val="auto"/>
              </w:rPr>
            </w:pPr>
            <w:r>
              <w:rPr>
                <w:rFonts w:ascii="Arial" w:cs="Arial" w:eastAsia="Arial" w:hAnsi="Arial"/>
                <w:sz w:val="10"/>
                <w:szCs w:val="10"/>
                <w:color w:val="54585A"/>
              </w:rPr>
              <w:t>—</w:t>
            </w:r>
          </w:p>
        </w:tc>
        <w:tc>
          <w:tcPr>
            <w:tcW w:w="1680" w:type="dxa"/>
            <w:vAlign w:val="bottom"/>
            <w:vMerge w:val="restart"/>
          </w:tcPr>
          <w:p>
            <w:pPr>
              <w:jc w:val="right"/>
              <w:ind w:right="12"/>
              <w:spacing w:after="0"/>
              <w:rPr>
                <w:sz w:val="20"/>
                <w:szCs w:val="20"/>
                <w:color w:val="auto"/>
              </w:rPr>
            </w:pPr>
            <w:r>
              <w:rPr>
                <w:rFonts w:ascii="Arial" w:cs="Arial" w:eastAsia="Arial" w:hAnsi="Arial"/>
                <w:sz w:val="10"/>
                <w:szCs w:val="10"/>
                <w:color w:val="54585A"/>
              </w:rPr>
              <w:t>212,400</w:t>
            </w:r>
          </w:p>
        </w:tc>
        <w:tc>
          <w:tcPr>
            <w:tcW w:w="340" w:type="dxa"/>
            <w:vAlign w:val="bottom"/>
            <w:vMerge w:val="restart"/>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rPr>
                <w:sz w:val="1"/>
                <w:szCs w:val="1"/>
                <w:color w:val="auto"/>
              </w:rPr>
            </w:pPr>
          </w:p>
        </w:tc>
      </w:tr>
      <w:tr>
        <w:trPr>
          <w:trHeight w:val="138"/>
        </w:trPr>
        <w:tc>
          <w:tcPr>
            <w:tcW w:w="2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170,000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323,000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0"/>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820" w:type="dxa"/>
            <w:vAlign w:val="bottom"/>
            <w:vMerge w:val="continue"/>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500,000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950,000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(4)</w:t>
            </w:r>
          </w:p>
        </w:tc>
        <w:tc>
          <w:tcPr>
            <w:tcW w:w="0" w:type="dxa"/>
            <w:vAlign w:val="bottom"/>
          </w:tcPr>
          <w:p>
            <w:pPr>
              <w:spacing w:after="0"/>
              <w:rPr>
                <w:sz w:val="1"/>
                <w:szCs w:val="1"/>
                <w:color w:val="auto"/>
              </w:rPr>
            </w:pPr>
          </w:p>
        </w:tc>
      </w:tr>
      <w:tr>
        <w:trPr>
          <w:trHeight w:val="74"/>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212,400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7"/>
              </w:rPr>
              <w:t>3/3/2022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62,992</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80,000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(1)</w:t>
            </w: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220,000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418,000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0"/>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820" w:type="dxa"/>
            <w:vAlign w:val="bottom"/>
            <w:vMerge w:val="continue"/>
          </w:tcPr>
          <w:p>
            <w:pPr>
              <w:spacing w:after="0"/>
              <w:rPr>
                <w:sz w:val="4"/>
                <w:szCs w:val="4"/>
                <w:color w:val="auto"/>
              </w:rPr>
            </w:pPr>
          </w:p>
        </w:tc>
        <w:tc>
          <w:tcPr>
            <w:tcW w:w="1000" w:type="dxa"/>
            <w:vAlign w:val="bottom"/>
            <w:vMerge w:val="restart"/>
          </w:tcPr>
          <w:p>
            <w:pPr>
              <w:jc w:val="center"/>
              <w:ind w:left="52"/>
              <w:spacing w:after="0"/>
              <w:rPr>
                <w:sz w:val="20"/>
                <w:szCs w:val="20"/>
                <w:color w:val="auto"/>
              </w:rPr>
            </w:pPr>
            <w:r>
              <w:rPr>
                <w:rFonts w:ascii="Arial" w:cs="Arial" w:eastAsia="Arial" w:hAnsi="Arial"/>
                <w:sz w:val="10"/>
                <w:szCs w:val="10"/>
                <w:color w:val="54585A"/>
                <w:w w:val="91"/>
              </w:rPr>
              <w:t>11/15/2022</w:t>
            </w:r>
          </w:p>
        </w:tc>
        <w:tc>
          <w:tcPr>
            <w:tcW w:w="1820" w:type="dxa"/>
            <w:vAlign w:val="bottom"/>
            <w:vMerge w:val="restart"/>
          </w:tcPr>
          <w:p>
            <w:pPr>
              <w:jc w:val="right"/>
              <w:ind w:right="72"/>
              <w:spacing w:after="0"/>
              <w:rPr>
                <w:sz w:val="20"/>
                <w:szCs w:val="20"/>
                <w:color w:val="auto"/>
              </w:rPr>
            </w:pPr>
            <w:r>
              <w:rPr>
                <w:rFonts w:ascii="Arial" w:cs="Arial" w:eastAsia="Arial" w:hAnsi="Arial"/>
                <w:sz w:val="10"/>
                <w:szCs w:val="10"/>
                <w:color w:val="54585A"/>
              </w:rPr>
              <w:t>300,000</w:t>
            </w:r>
          </w:p>
        </w:tc>
        <w:tc>
          <w:tcPr>
            <w:tcW w:w="1820" w:type="dxa"/>
            <w:vAlign w:val="bottom"/>
            <w:vMerge w:val="restart"/>
          </w:tcPr>
          <w:p>
            <w:pPr>
              <w:ind w:left="1540"/>
              <w:spacing w:after="0"/>
              <w:rPr>
                <w:sz w:val="20"/>
                <w:szCs w:val="20"/>
                <w:color w:val="auto"/>
              </w:rPr>
            </w:pPr>
            <w:r>
              <w:rPr>
                <w:rFonts w:ascii="Arial" w:cs="Arial" w:eastAsia="Arial" w:hAnsi="Arial"/>
                <w:sz w:val="10"/>
                <w:szCs w:val="10"/>
                <w:color w:val="54585A"/>
              </w:rPr>
              <w:t>—</w:t>
            </w:r>
          </w:p>
        </w:tc>
        <w:tc>
          <w:tcPr>
            <w:tcW w:w="1360" w:type="dxa"/>
            <w:vAlign w:val="bottom"/>
            <w:vMerge w:val="restart"/>
          </w:tcPr>
          <w:p>
            <w:pPr>
              <w:ind w:left="1160"/>
              <w:spacing w:after="0"/>
              <w:rPr>
                <w:sz w:val="20"/>
                <w:szCs w:val="20"/>
                <w:color w:val="auto"/>
              </w:rPr>
            </w:pPr>
            <w:r>
              <w:rPr>
                <w:rFonts w:ascii="Arial" w:cs="Arial" w:eastAsia="Arial" w:hAnsi="Arial"/>
                <w:sz w:val="10"/>
                <w:szCs w:val="10"/>
                <w:color w:val="54585A"/>
              </w:rPr>
              <w:t>—</w:t>
            </w:r>
          </w:p>
        </w:tc>
        <w:tc>
          <w:tcPr>
            <w:tcW w:w="1680" w:type="dxa"/>
            <w:vAlign w:val="bottom"/>
            <w:vMerge w:val="restart"/>
          </w:tcPr>
          <w:p>
            <w:pPr>
              <w:jc w:val="right"/>
              <w:ind w:right="12"/>
              <w:spacing w:after="0"/>
              <w:rPr>
                <w:sz w:val="20"/>
                <w:szCs w:val="20"/>
                <w:color w:val="auto"/>
              </w:rPr>
            </w:pPr>
            <w:r>
              <w:rPr>
                <w:rFonts w:ascii="Arial" w:cs="Arial" w:eastAsia="Arial" w:hAnsi="Arial"/>
                <w:sz w:val="10"/>
                <w:szCs w:val="10"/>
                <w:color w:val="54585A"/>
              </w:rPr>
              <w:t>570,000</w:t>
            </w:r>
          </w:p>
        </w:tc>
        <w:tc>
          <w:tcPr>
            <w:tcW w:w="340" w:type="dxa"/>
            <w:vAlign w:val="bottom"/>
            <w:vMerge w:val="restart"/>
          </w:tcPr>
          <w:p>
            <w:pPr>
              <w:jc w:val="right"/>
              <w:ind w:right="172"/>
              <w:spacing w:after="0"/>
              <w:rPr>
                <w:sz w:val="20"/>
                <w:szCs w:val="20"/>
                <w:color w:val="auto"/>
              </w:rPr>
            </w:pPr>
            <w:r>
              <w:rPr>
                <w:rFonts w:ascii="Arial" w:cs="Arial" w:eastAsia="Arial" w:hAnsi="Arial"/>
                <w:sz w:val="10"/>
                <w:szCs w:val="10"/>
                <w:color w:val="54585A"/>
                <w:w w:val="81"/>
              </w:rPr>
              <w:t>(4)</w:t>
            </w:r>
          </w:p>
        </w:tc>
        <w:tc>
          <w:tcPr>
            <w:tcW w:w="0" w:type="dxa"/>
            <w:vAlign w:val="bottom"/>
          </w:tcPr>
          <w:p>
            <w:pPr>
              <w:spacing w:after="0"/>
              <w:rPr>
                <w:sz w:val="1"/>
                <w:szCs w:val="1"/>
                <w:color w:val="auto"/>
              </w:rPr>
            </w:pPr>
          </w:p>
        </w:tc>
      </w:tr>
      <w:tr>
        <w:trPr>
          <w:trHeight w:val="138"/>
        </w:trPr>
        <w:tc>
          <w:tcPr>
            <w:tcW w:w="2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ind w:right="12"/>
              <w:spacing w:after="0"/>
              <w:rPr>
                <w:sz w:val="20"/>
                <w:szCs w:val="20"/>
                <w:color w:val="auto"/>
              </w:rPr>
            </w:pPr>
            <w:r>
              <w:rPr>
                <w:rFonts w:ascii="Arial" w:cs="Arial" w:eastAsia="Arial" w:hAnsi="Arial"/>
                <w:sz w:val="10"/>
                <w:szCs w:val="10"/>
                <w:color w:val="54585A"/>
              </w:rPr>
              <w:t>212,400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The Company's stock price on the date of the grant was $1.27. Represents bonus payments earned related to 2021 performance and granted in the form of restricted stock awards in March 2022. Awards vested immediately.</w:t>
      </w:r>
    </w:p>
    <w:p>
      <w:pPr>
        <w:spacing w:after="0" w:line="65"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$1.90. Awards vest two-third on grant date and the remaining one-third vests in November 2023.</w:t>
      </w:r>
    </w:p>
    <w:p>
      <w:pPr>
        <w:spacing w:after="0" w:line="67"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$1.77. Awards vest one-third on grant date, one-third in December 2023, and one-third in December 2024</w:t>
      </w:r>
      <w:r>
        <w:rPr>
          <w:rFonts w:ascii="Arial" w:cs="Arial" w:eastAsia="Arial" w:hAnsi="Arial"/>
          <w:sz w:val="11"/>
          <w:szCs w:val="11"/>
          <w:color w:val="FF0090"/>
        </w:rPr>
        <w:t>.</w:t>
      </w:r>
    </w:p>
    <w:p>
      <w:pPr>
        <w:spacing w:after="0" w:line="95"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$1.90. Awards vest in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1714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3"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0" w:name="page31"/>
    <w:bookmarkEnd w:id="30"/>
    <w:p>
      <w:pPr>
        <w:ind w:left="68" w:hanging="68"/>
        <w:spacing w:after="0"/>
        <w:tabs>
          <w:tab w:leader="none" w:pos="68" w:val="left"/>
        </w:tabs>
        <w:numPr>
          <w:ilvl w:val="0"/>
          <w:numId w:val="53"/>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Outstanding Equity Awards at 2022 Fiscal Year-End</w:t>
      </w:r>
    </w:p>
    <w:p>
      <w:pPr>
        <w:spacing w:after="0" w:line="68" w:lineRule="exact"/>
        <w:rPr>
          <w:sz w:val="20"/>
          <w:szCs w:val="20"/>
          <w:color w:val="auto"/>
        </w:rPr>
      </w:pPr>
    </w:p>
    <w:p>
      <w:pPr>
        <w:jc w:val="both"/>
        <w:ind w:left="8" w:right="140"/>
        <w:spacing w:after="0" w:line="326" w:lineRule="auto"/>
        <w:rPr>
          <w:sz w:val="20"/>
          <w:szCs w:val="20"/>
          <w:color w:val="auto"/>
        </w:rPr>
      </w:pPr>
      <w:r>
        <w:rPr>
          <w:rFonts w:ascii="Arial" w:cs="Arial" w:eastAsia="Arial" w:hAnsi="Arial"/>
          <w:sz w:val="11"/>
          <w:szCs w:val="11"/>
          <w:color w:val="54585A"/>
        </w:rPr>
        <w:t>The following table reports, on an award-by-award basis, each outstanding equity award held by the named executive officers on December 31, 2022. We generally do not permit executive officers to transfer awards prior to the vesting date, and no transfers were permitted during 2022. In connection with his service as an executive officer of the Company, Mr. Monroe does not have any outstanding equity awards at 2022 fiscal year-end and is not included in the table below.</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900" w:type="dxa"/>
            <w:vAlign w:val="bottom"/>
            <w:tcBorders>
              <w:bottom w:val="single" w:sz="8" w:color="EEEDED"/>
            </w:tcBorders>
            <w:shd w:val="clear" w:color="auto" w:fill="EEEDED"/>
          </w:tcPr>
          <w:p>
            <w:pPr>
              <w:spacing w:after="0"/>
              <w:rPr>
                <w:sz w:val="13"/>
                <w:szCs w:val="13"/>
                <w:color w:val="auto"/>
              </w:rPr>
            </w:pPr>
          </w:p>
        </w:tc>
        <w:tc>
          <w:tcPr>
            <w:tcW w:w="1080" w:type="dxa"/>
            <w:vAlign w:val="bottom"/>
            <w:tcBorders>
              <w:bottom w:val="single" w:sz="8" w:color="54585A"/>
            </w:tcBorders>
            <w:shd w:val="clear" w:color="auto" w:fill="EEEDED"/>
          </w:tcPr>
          <w:p>
            <w:pPr>
              <w:spacing w:after="0"/>
              <w:rPr>
                <w:sz w:val="13"/>
                <w:szCs w:val="13"/>
                <w:color w:val="auto"/>
              </w:rPr>
            </w:pPr>
          </w:p>
        </w:tc>
        <w:tc>
          <w:tcPr>
            <w:tcW w:w="1300" w:type="dxa"/>
            <w:vAlign w:val="bottom"/>
            <w:tcBorders>
              <w:bottom w:val="single" w:sz="8" w:color="54585A"/>
            </w:tcBorders>
            <w:shd w:val="clear" w:color="auto" w:fill="EEEDED"/>
          </w:tcPr>
          <w:p>
            <w:pPr>
              <w:spacing w:after="0"/>
              <w:rPr>
                <w:sz w:val="13"/>
                <w:szCs w:val="13"/>
                <w:color w:val="auto"/>
              </w:rPr>
            </w:pPr>
          </w:p>
        </w:tc>
        <w:tc>
          <w:tcPr>
            <w:tcW w:w="1600" w:type="dxa"/>
            <w:vAlign w:val="bottom"/>
            <w:tcBorders>
              <w:bottom w:val="single" w:sz="8" w:color="54585A"/>
            </w:tcBorders>
            <w:shd w:val="clear" w:color="auto" w:fill="EEEDED"/>
          </w:tcPr>
          <w:p>
            <w:pPr>
              <w:ind w:left="140"/>
              <w:spacing w:after="0"/>
              <w:rPr>
                <w:sz w:val="20"/>
                <w:szCs w:val="20"/>
                <w:color w:val="auto"/>
              </w:rPr>
            </w:pPr>
            <w:r>
              <w:rPr>
                <w:rFonts w:ascii="Arial" w:cs="Arial" w:eastAsia="Arial" w:hAnsi="Arial"/>
                <w:sz w:val="10"/>
                <w:szCs w:val="10"/>
                <w:b w:val="1"/>
                <w:bCs w:val="1"/>
                <w:color w:val="54585A"/>
              </w:rPr>
              <w:t>Option Awards</w:t>
            </w:r>
          </w:p>
        </w:tc>
        <w:tc>
          <w:tcPr>
            <w:tcW w:w="740" w:type="dxa"/>
            <w:vAlign w:val="bottom"/>
            <w:tcBorders>
              <w:bottom w:val="single" w:sz="8" w:color="54585A"/>
            </w:tcBorders>
            <w:shd w:val="clear" w:color="auto" w:fill="EEEDED"/>
          </w:tcPr>
          <w:p>
            <w:pPr>
              <w:spacing w:after="0"/>
              <w:rPr>
                <w:sz w:val="13"/>
                <w:szCs w:val="13"/>
                <w:color w:val="auto"/>
              </w:rPr>
            </w:pPr>
          </w:p>
        </w:tc>
        <w:tc>
          <w:tcPr>
            <w:tcW w:w="1020" w:type="dxa"/>
            <w:vAlign w:val="bottom"/>
            <w:tcBorders>
              <w:bottom w:val="single" w:sz="8" w:color="54585A"/>
              <w:right w:val="single" w:sz="8" w:color="54585A"/>
            </w:tcBorders>
            <w:shd w:val="clear" w:color="auto" w:fill="EEEDED"/>
          </w:tcPr>
          <w:p>
            <w:pPr>
              <w:spacing w:after="0"/>
              <w:rPr>
                <w:sz w:val="13"/>
                <w:szCs w:val="13"/>
                <w:color w:val="auto"/>
              </w:rPr>
            </w:pPr>
          </w:p>
        </w:tc>
        <w:tc>
          <w:tcPr>
            <w:tcW w:w="920" w:type="dxa"/>
            <w:vAlign w:val="bottom"/>
            <w:tcBorders>
              <w:bottom w:val="single" w:sz="8" w:color="54585A"/>
            </w:tcBorders>
            <w:shd w:val="clear" w:color="auto" w:fill="EEEDED"/>
          </w:tcPr>
          <w:p>
            <w:pPr>
              <w:spacing w:after="0"/>
              <w:rPr>
                <w:sz w:val="13"/>
                <w:szCs w:val="13"/>
                <w:color w:val="auto"/>
              </w:rPr>
            </w:pPr>
          </w:p>
        </w:tc>
        <w:tc>
          <w:tcPr>
            <w:tcW w:w="1380" w:type="dxa"/>
            <w:vAlign w:val="bottom"/>
            <w:tcBorders>
              <w:bottom w:val="single" w:sz="8" w:color="54585A"/>
            </w:tcBorders>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Stock Awards</w:t>
            </w:r>
            <w:r>
              <w:rPr>
                <w:rFonts w:ascii="Arial" w:cs="Arial" w:eastAsia="Arial" w:hAnsi="Arial"/>
                <w:sz w:val="12"/>
                <w:szCs w:val="12"/>
                <w:b w:val="1"/>
                <w:bCs w:val="1"/>
                <w:color w:val="54585A"/>
                <w:vertAlign w:val="superscript"/>
              </w:rPr>
              <w:t>(1)</w:t>
            </w:r>
          </w:p>
        </w:tc>
        <w:tc>
          <w:tcPr>
            <w:tcW w:w="1220" w:type="dxa"/>
            <w:vAlign w:val="bottom"/>
            <w:tcBorders>
              <w:bottom w:val="single" w:sz="8" w:color="54585A"/>
            </w:tcBorders>
            <w:shd w:val="clear" w:color="auto" w:fill="EEEDED"/>
          </w:tcPr>
          <w:p>
            <w:pPr>
              <w:spacing w:after="0"/>
              <w:rPr>
                <w:sz w:val="13"/>
                <w:szCs w:val="13"/>
                <w:color w:val="auto"/>
              </w:rPr>
            </w:pPr>
          </w:p>
        </w:tc>
        <w:tc>
          <w:tcPr>
            <w:tcW w:w="140" w:type="dxa"/>
            <w:vAlign w:val="bottom"/>
            <w:tcBorders>
              <w:bottom w:val="single" w:sz="8" w:color="54585A"/>
            </w:tcBorders>
            <w:shd w:val="clear" w:color="auto" w:fill="EEEDED"/>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900" w:type="dxa"/>
            <w:vAlign w:val="bottom"/>
            <w:shd w:val="clear" w:color="auto" w:fill="EEEDED"/>
          </w:tcPr>
          <w:p>
            <w:pPr>
              <w:spacing w:after="0"/>
              <w:rPr>
                <w:sz w:val="9"/>
                <w:szCs w:val="9"/>
                <w:color w:val="auto"/>
              </w:rPr>
            </w:pPr>
          </w:p>
        </w:tc>
        <w:tc>
          <w:tcPr>
            <w:tcW w:w="1080" w:type="dxa"/>
            <w:vAlign w:val="bottom"/>
            <w:shd w:val="clear" w:color="auto" w:fill="EEEDED"/>
          </w:tcPr>
          <w:p>
            <w:pPr>
              <w:spacing w:after="0"/>
              <w:rPr>
                <w:sz w:val="9"/>
                <w:szCs w:val="9"/>
                <w:color w:val="auto"/>
              </w:rPr>
            </w:pPr>
          </w:p>
        </w:tc>
        <w:tc>
          <w:tcPr>
            <w:tcW w:w="1300" w:type="dxa"/>
            <w:vAlign w:val="bottom"/>
            <w:shd w:val="clear" w:color="auto" w:fill="EEEDED"/>
          </w:tcPr>
          <w:p>
            <w:pPr>
              <w:jc w:val="right"/>
              <w:ind w:right="92"/>
              <w:spacing w:after="0" w:line="106" w:lineRule="exact"/>
              <w:rPr>
                <w:sz w:val="20"/>
                <w:szCs w:val="20"/>
                <w:color w:val="auto"/>
              </w:rPr>
            </w:pPr>
            <w:r>
              <w:rPr>
                <w:rFonts w:ascii="Arial" w:cs="Arial" w:eastAsia="Arial" w:hAnsi="Arial"/>
                <w:sz w:val="10"/>
                <w:szCs w:val="10"/>
                <w:b w:val="1"/>
                <w:bCs w:val="1"/>
                <w:color w:val="54585A"/>
              </w:rPr>
              <w:t>Number of</w:t>
            </w:r>
          </w:p>
        </w:tc>
        <w:tc>
          <w:tcPr>
            <w:tcW w:w="1600" w:type="dxa"/>
            <w:vAlign w:val="bottom"/>
            <w:shd w:val="clear" w:color="auto" w:fill="EEEDED"/>
          </w:tcPr>
          <w:p>
            <w:pPr>
              <w:spacing w:after="0"/>
              <w:rPr>
                <w:sz w:val="9"/>
                <w:szCs w:val="9"/>
                <w:color w:val="auto"/>
              </w:rPr>
            </w:pPr>
          </w:p>
        </w:tc>
        <w:tc>
          <w:tcPr>
            <w:tcW w:w="740" w:type="dxa"/>
            <w:vAlign w:val="bottom"/>
            <w:shd w:val="clear" w:color="auto" w:fill="EEEDED"/>
          </w:tcPr>
          <w:p>
            <w:pPr>
              <w:spacing w:after="0"/>
              <w:rPr>
                <w:sz w:val="9"/>
                <w:szCs w:val="9"/>
                <w:color w:val="auto"/>
              </w:rPr>
            </w:pPr>
          </w:p>
        </w:tc>
        <w:tc>
          <w:tcPr>
            <w:tcW w:w="1020" w:type="dxa"/>
            <w:vAlign w:val="bottom"/>
            <w:tcBorders>
              <w:right w:val="single" w:sz="8" w:color="54585A"/>
            </w:tcBorders>
            <w:shd w:val="clear" w:color="auto" w:fill="EEEDED"/>
          </w:tcPr>
          <w:p>
            <w:pPr>
              <w:spacing w:after="0"/>
              <w:rPr>
                <w:sz w:val="9"/>
                <w:szCs w:val="9"/>
                <w:color w:val="auto"/>
              </w:rPr>
            </w:pPr>
          </w:p>
        </w:tc>
        <w:tc>
          <w:tcPr>
            <w:tcW w:w="920" w:type="dxa"/>
            <w:vAlign w:val="bottom"/>
            <w:shd w:val="clear" w:color="auto" w:fill="EEEDED"/>
          </w:tcPr>
          <w:p>
            <w:pPr>
              <w:spacing w:after="0"/>
              <w:rPr>
                <w:sz w:val="9"/>
                <w:szCs w:val="9"/>
                <w:color w:val="auto"/>
              </w:rPr>
            </w:pPr>
          </w:p>
        </w:tc>
        <w:tc>
          <w:tcPr>
            <w:tcW w:w="1380" w:type="dxa"/>
            <w:vAlign w:val="bottom"/>
            <w:shd w:val="clear" w:color="auto" w:fill="EEEDED"/>
          </w:tcPr>
          <w:p>
            <w:pPr>
              <w:spacing w:after="0"/>
              <w:rPr>
                <w:sz w:val="9"/>
                <w:szCs w:val="9"/>
                <w:color w:val="auto"/>
              </w:rPr>
            </w:pPr>
          </w:p>
        </w:tc>
        <w:tc>
          <w:tcPr>
            <w:tcW w:w="1220" w:type="dxa"/>
            <w:vAlign w:val="bottom"/>
            <w:shd w:val="clear" w:color="auto" w:fill="EEEDED"/>
          </w:tcPr>
          <w:p>
            <w:pPr>
              <w:spacing w:after="0"/>
              <w:rPr>
                <w:sz w:val="9"/>
                <w:szCs w:val="9"/>
                <w:color w:val="auto"/>
              </w:rPr>
            </w:pPr>
          </w:p>
        </w:tc>
        <w:tc>
          <w:tcPr>
            <w:tcW w:w="1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00" w:type="dxa"/>
            <w:vAlign w:val="bottom"/>
            <w:shd w:val="clear" w:color="auto" w:fill="EEEDED"/>
          </w:tcPr>
          <w:p>
            <w:pPr>
              <w:spacing w:after="0"/>
              <w:rPr>
                <w:sz w:val="10"/>
                <w:szCs w:val="10"/>
                <w:color w:val="auto"/>
              </w:rPr>
            </w:pPr>
          </w:p>
        </w:tc>
        <w:tc>
          <w:tcPr>
            <w:tcW w:w="108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Securities</w:t>
            </w:r>
          </w:p>
        </w:tc>
        <w:tc>
          <w:tcPr>
            <w:tcW w:w="1600" w:type="dxa"/>
            <w:vAlign w:val="bottom"/>
            <w:shd w:val="clear" w:color="auto" w:fill="EEEDED"/>
          </w:tcPr>
          <w:p>
            <w:pPr>
              <w:spacing w:after="0"/>
              <w:rPr>
                <w:sz w:val="10"/>
                <w:szCs w:val="10"/>
                <w:color w:val="auto"/>
              </w:rPr>
            </w:pPr>
          </w:p>
        </w:tc>
        <w:tc>
          <w:tcPr>
            <w:tcW w:w="740" w:type="dxa"/>
            <w:vAlign w:val="bottom"/>
            <w:shd w:val="clear" w:color="auto" w:fill="EEEDED"/>
          </w:tcPr>
          <w:p>
            <w:pPr>
              <w:spacing w:after="0"/>
              <w:rPr>
                <w:sz w:val="10"/>
                <w:szCs w:val="10"/>
                <w:color w:val="auto"/>
              </w:rPr>
            </w:pPr>
          </w:p>
        </w:tc>
        <w:tc>
          <w:tcPr>
            <w:tcW w:w="1020" w:type="dxa"/>
            <w:vAlign w:val="bottom"/>
            <w:tcBorders>
              <w:right w:val="single" w:sz="8" w:color="54585A"/>
            </w:tcBorders>
            <w:shd w:val="clear" w:color="auto" w:fill="EEEDED"/>
          </w:tcPr>
          <w:p>
            <w:pPr>
              <w:spacing w:after="0"/>
              <w:rPr>
                <w:sz w:val="10"/>
                <w:szCs w:val="10"/>
                <w:color w:val="auto"/>
              </w:rPr>
            </w:pPr>
          </w:p>
        </w:tc>
        <w:tc>
          <w:tcPr>
            <w:tcW w:w="920" w:type="dxa"/>
            <w:vAlign w:val="bottom"/>
            <w:shd w:val="clear" w:color="auto" w:fill="EEEDED"/>
          </w:tcPr>
          <w:p>
            <w:pPr>
              <w:spacing w:after="0"/>
              <w:rPr>
                <w:sz w:val="10"/>
                <w:szCs w:val="10"/>
                <w:color w:val="auto"/>
              </w:rPr>
            </w:pPr>
          </w:p>
        </w:tc>
        <w:tc>
          <w:tcPr>
            <w:tcW w:w="1380" w:type="dxa"/>
            <w:vAlign w:val="bottom"/>
            <w:shd w:val="clear" w:color="auto" w:fill="EEEDED"/>
          </w:tcPr>
          <w:p>
            <w:pPr>
              <w:spacing w:after="0"/>
              <w:rPr>
                <w:sz w:val="10"/>
                <w:szCs w:val="10"/>
                <w:color w:val="auto"/>
              </w:rPr>
            </w:pPr>
          </w:p>
        </w:tc>
        <w:tc>
          <w:tcPr>
            <w:tcW w:w="1220" w:type="dxa"/>
            <w:vAlign w:val="bottom"/>
            <w:shd w:val="clear" w:color="auto" w:fill="EEEDED"/>
          </w:tcPr>
          <w:p>
            <w:pPr>
              <w:spacing w:after="0"/>
              <w:rPr>
                <w:sz w:val="10"/>
                <w:szCs w:val="10"/>
                <w:color w:val="auto"/>
              </w:rPr>
            </w:pPr>
          </w:p>
        </w:tc>
        <w:tc>
          <w:tcPr>
            <w:tcW w:w="14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00" w:type="dxa"/>
            <w:vAlign w:val="bottom"/>
            <w:shd w:val="clear" w:color="auto" w:fill="EEEDED"/>
          </w:tcPr>
          <w:p>
            <w:pPr>
              <w:spacing w:after="0"/>
              <w:rPr>
                <w:sz w:val="10"/>
                <w:szCs w:val="10"/>
                <w:color w:val="auto"/>
              </w:rPr>
            </w:pPr>
          </w:p>
        </w:tc>
        <w:tc>
          <w:tcPr>
            <w:tcW w:w="108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Underlying</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Number of Securities</w:t>
            </w:r>
          </w:p>
        </w:tc>
        <w:tc>
          <w:tcPr>
            <w:tcW w:w="74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Option</w:t>
            </w:r>
          </w:p>
        </w:tc>
        <w:tc>
          <w:tcPr>
            <w:tcW w:w="1020" w:type="dxa"/>
            <w:vAlign w:val="bottom"/>
            <w:tcBorders>
              <w:right w:val="single" w:sz="8" w:color="54585A"/>
            </w:tcBorders>
            <w:shd w:val="clear" w:color="auto" w:fill="EEEDED"/>
          </w:tcPr>
          <w:p>
            <w:pPr>
              <w:spacing w:after="0"/>
              <w:rPr>
                <w:sz w:val="10"/>
                <w:szCs w:val="10"/>
                <w:color w:val="auto"/>
              </w:rPr>
            </w:pPr>
          </w:p>
        </w:tc>
        <w:tc>
          <w:tcPr>
            <w:tcW w:w="920" w:type="dxa"/>
            <w:vAlign w:val="bottom"/>
            <w:shd w:val="clear" w:color="auto" w:fill="EEEDED"/>
          </w:tcPr>
          <w:p>
            <w:pPr>
              <w:spacing w:after="0"/>
              <w:rPr>
                <w:sz w:val="10"/>
                <w:szCs w:val="10"/>
                <w:color w:val="auto"/>
              </w:rPr>
            </w:pPr>
          </w:p>
        </w:tc>
        <w:tc>
          <w:tcPr>
            <w:tcW w:w="1380" w:type="dxa"/>
            <w:vAlign w:val="bottom"/>
            <w:shd w:val="clear" w:color="auto" w:fill="EEEDED"/>
          </w:tcPr>
          <w:p>
            <w:pPr>
              <w:spacing w:after="0"/>
              <w:rPr>
                <w:sz w:val="10"/>
                <w:szCs w:val="10"/>
                <w:color w:val="auto"/>
              </w:rPr>
            </w:pPr>
          </w:p>
        </w:tc>
        <w:tc>
          <w:tcPr>
            <w:tcW w:w="1360" w:type="dxa"/>
            <w:vAlign w:val="bottom"/>
            <w:gridSpan w:val="2"/>
            <w:shd w:val="clear" w:color="auto" w:fill="EEEDED"/>
          </w:tcPr>
          <w:p>
            <w:pPr>
              <w:jc w:val="right"/>
              <w:ind w:right="140"/>
              <w:spacing w:after="0"/>
              <w:rPr>
                <w:sz w:val="20"/>
                <w:szCs w:val="20"/>
                <w:color w:val="auto"/>
              </w:rPr>
            </w:pPr>
            <w:r>
              <w:rPr>
                <w:rFonts w:ascii="Arial" w:cs="Arial" w:eastAsia="Arial" w:hAnsi="Arial"/>
                <w:sz w:val="10"/>
                <w:szCs w:val="10"/>
                <w:b w:val="1"/>
                <w:bCs w:val="1"/>
                <w:color w:val="54585A"/>
                <w:w w:val="97"/>
              </w:rPr>
              <w:t>Market Value of Shares or</w:t>
            </w:r>
          </w:p>
        </w:tc>
        <w:tc>
          <w:tcPr>
            <w:tcW w:w="0" w:type="dxa"/>
            <w:vAlign w:val="bottom"/>
          </w:tcPr>
          <w:p>
            <w:pPr>
              <w:spacing w:after="0"/>
              <w:rPr>
                <w:sz w:val="1"/>
                <w:szCs w:val="1"/>
                <w:color w:val="auto"/>
              </w:rPr>
            </w:pPr>
          </w:p>
        </w:tc>
      </w:tr>
      <w:tr>
        <w:trPr>
          <w:trHeight w:val="117"/>
        </w:trPr>
        <w:tc>
          <w:tcPr>
            <w:tcW w:w="1900" w:type="dxa"/>
            <w:vAlign w:val="bottom"/>
            <w:shd w:val="clear" w:color="auto" w:fill="EEEDED"/>
          </w:tcPr>
          <w:p>
            <w:pPr>
              <w:spacing w:after="0"/>
              <w:rPr>
                <w:sz w:val="10"/>
                <w:szCs w:val="10"/>
                <w:color w:val="auto"/>
              </w:rPr>
            </w:pPr>
          </w:p>
        </w:tc>
        <w:tc>
          <w:tcPr>
            <w:tcW w:w="108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Unexercised</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Underlying Unexercised</w:t>
            </w:r>
          </w:p>
        </w:tc>
        <w:tc>
          <w:tcPr>
            <w:tcW w:w="74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Exercise</w:t>
            </w:r>
          </w:p>
        </w:tc>
        <w:tc>
          <w:tcPr>
            <w:tcW w:w="1020" w:type="dxa"/>
            <w:vAlign w:val="bottom"/>
            <w:tcBorders>
              <w:right w:val="single" w:sz="8" w:color="54585A"/>
            </w:tcBorders>
            <w:shd w:val="clear" w:color="auto" w:fill="EEEDED"/>
          </w:tcPr>
          <w:p>
            <w:pPr>
              <w:spacing w:after="0"/>
              <w:rPr>
                <w:sz w:val="10"/>
                <w:szCs w:val="10"/>
                <w:color w:val="auto"/>
              </w:rPr>
            </w:pPr>
          </w:p>
        </w:tc>
        <w:tc>
          <w:tcPr>
            <w:tcW w:w="920" w:type="dxa"/>
            <w:vAlign w:val="bottom"/>
            <w:shd w:val="clear" w:color="auto" w:fill="EEEDED"/>
          </w:tcPr>
          <w:p>
            <w:pPr>
              <w:spacing w:after="0"/>
              <w:rPr>
                <w:sz w:val="10"/>
                <w:szCs w:val="10"/>
                <w:color w:val="auto"/>
              </w:rPr>
            </w:pPr>
          </w:p>
        </w:tc>
        <w:tc>
          <w:tcPr>
            <w:tcW w:w="13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Number of Shares or Units</w:t>
            </w:r>
          </w:p>
        </w:tc>
        <w:tc>
          <w:tcPr>
            <w:tcW w:w="1360" w:type="dxa"/>
            <w:vAlign w:val="bottom"/>
            <w:gridSpan w:val="2"/>
            <w:shd w:val="clear" w:color="auto" w:fill="EEEDED"/>
          </w:tcPr>
          <w:p>
            <w:pPr>
              <w:jc w:val="right"/>
              <w:ind w:right="140"/>
              <w:spacing w:after="0"/>
              <w:rPr>
                <w:sz w:val="20"/>
                <w:szCs w:val="20"/>
                <w:color w:val="auto"/>
              </w:rPr>
            </w:pPr>
            <w:r>
              <w:rPr>
                <w:rFonts w:ascii="Arial" w:cs="Arial" w:eastAsia="Arial" w:hAnsi="Arial"/>
                <w:sz w:val="10"/>
                <w:szCs w:val="10"/>
                <w:b w:val="1"/>
                <w:bCs w:val="1"/>
                <w:color w:val="54585A"/>
              </w:rPr>
              <w:t>Units of Stock That Have</w:t>
            </w:r>
          </w:p>
        </w:tc>
        <w:tc>
          <w:tcPr>
            <w:tcW w:w="0" w:type="dxa"/>
            <w:vAlign w:val="bottom"/>
          </w:tcPr>
          <w:p>
            <w:pPr>
              <w:spacing w:after="0"/>
              <w:rPr>
                <w:sz w:val="1"/>
                <w:szCs w:val="1"/>
                <w:color w:val="auto"/>
              </w:rPr>
            </w:pPr>
          </w:p>
        </w:tc>
      </w:tr>
      <w:tr>
        <w:trPr>
          <w:trHeight w:val="117"/>
        </w:trPr>
        <w:tc>
          <w:tcPr>
            <w:tcW w:w="1900" w:type="dxa"/>
            <w:vAlign w:val="bottom"/>
            <w:shd w:val="clear" w:color="auto" w:fill="EEEDED"/>
          </w:tcPr>
          <w:p>
            <w:pPr>
              <w:spacing w:after="0"/>
              <w:rPr>
                <w:sz w:val="10"/>
                <w:szCs w:val="10"/>
                <w:color w:val="auto"/>
              </w:rPr>
            </w:pPr>
          </w:p>
        </w:tc>
        <w:tc>
          <w:tcPr>
            <w:tcW w:w="108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Options</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Options</w:t>
            </w:r>
          </w:p>
        </w:tc>
        <w:tc>
          <w:tcPr>
            <w:tcW w:w="74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Price</w:t>
            </w:r>
          </w:p>
        </w:tc>
        <w:tc>
          <w:tcPr>
            <w:tcW w:w="1020" w:type="dxa"/>
            <w:vAlign w:val="bottom"/>
            <w:tcBorders>
              <w:right w:val="single" w:sz="8" w:color="54585A"/>
            </w:tcBorders>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7"/>
              </w:rPr>
              <w:t>Option Expiration</w:t>
            </w:r>
          </w:p>
        </w:tc>
        <w:tc>
          <w:tcPr>
            <w:tcW w:w="92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w w:val="95"/>
              </w:rPr>
              <w:t>Stock Award</w:t>
            </w:r>
          </w:p>
        </w:tc>
        <w:tc>
          <w:tcPr>
            <w:tcW w:w="13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of Stock That Have Not</w:t>
            </w:r>
          </w:p>
        </w:tc>
        <w:tc>
          <w:tcPr>
            <w:tcW w:w="1360" w:type="dxa"/>
            <w:vAlign w:val="bottom"/>
            <w:gridSpan w:val="2"/>
            <w:shd w:val="clear" w:color="auto" w:fill="EEEDED"/>
          </w:tcPr>
          <w:p>
            <w:pPr>
              <w:jc w:val="right"/>
              <w:ind w:right="140"/>
              <w:spacing w:after="0"/>
              <w:rPr>
                <w:sz w:val="20"/>
                <w:szCs w:val="20"/>
                <w:color w:val="auto"/>
              </w:rPr>
            </w:pPr>
            <w:r>
              <w:rPr>
                <w:rFonts w:ascii="Arial" w:cs="Arial" w:eastAsia="Arial" w:hAnsi="Arial"/>
                <w:sz w:val="10"/>
                <w:szCs w:val="10"/>
                <w:b w:val="1"/>
                <w:bCs w:val="1"/>
                <w:color w:val="54585A"/>
              </w:rPr>
              <w:t>Not Vested</w:t>
            </w:r>
          </w:p>
        </w:tc>
        <w:tc>
          <w:tcPr>
            <w:tcW w:w="0" w:type="dxa"/>
            <w:vAlign w:val="bottom"/>
          </w:tcPr>
          <w:p>
            <w:pPr>
              <w:spacing w:after="0"/>
              <w:rPr>
                <w:sz w:val="1"/>
                <w:szCs w:val="1"/>
                <w:color w:val="auto"/>
              </w:rPr>
            </w:pPr>
          </w:p>
        </w:tc>
      </w:tr>
      <w:tr>
        <w:trPr>
          <w:trHeight w:val="135"/>
        </w:trPr>
        <w:tc>
          <w:tcPr>
            <w:tcW w:w="190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1080" w:type="dxa"/>
            <w:vAlign w:val="bottom"/>
            <w:shd w:val="clear" w:color="auto" w:fill="EEEDED"/>
          </w:tcPr>
          <w:p>
            <w:pPr>
              <w:ind w:left="120"/>
              <w:spacing w:after="0"/>
              <w:rPr>
                <w:sz w:val="20"/>
                <w:szCs w:val="20"/>
                <w:color w:val="auto"/>
              </w:rPr>
            </w:pPr>
            <w:r>
              <w:rPr>
                <w:rFonts w:ascii="Arial" w:cs="Arial" w:eastAsia="Arial" w:hAnsi="Arial"/>
                <w:sz w:val="10"/>
                <w:szCs w:val="10"/>
                <w:b w:val="1"/>
                <w:bCs w:val="1"/>
                <w:color w:val="54585A"/>
              </w:rPr>
              <w:t>Option Grant Date</w:t>
            </w: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Exercisable</w:t>
            </w:r>
          </w:p>
        </w:tc>
        <w:tc>
          <w:tcPr>
            <w:tcW w:w="1600" w:type="dxa"/>
            <w:vAlign w:val="bottom"/>
            <w:shd w:val="clear" w:color="auto" w:fill="EEEDED"/>
          </w:tcPr>
          <w:p>
            <w:pPr>
              <w:jc w:val="right"/>
              <w:ind w:right="212"/>
              <w:spacing w:after="0" w:line="135" w:lineRule="exact"/>
              <w:rPr>
                <w:sz w:val="20"/>
                <w:szCs w:val="20"/>
                <w:color w:val="auto"/>
              </w:rPr>
            </w:pPr>
            <w:r>
              <w:rPr>
                <w:rFonts w:ascii="Arial" w:cs="Arial" w:eastAsia="Arial" w:hAnsi="Arial"/>
                <w:sz w:val="10"/>
                <w:szCs w:val="10"/>
                <w:b w:val="1"/>
                <w:bCs w:val="1"/>
                <w:color w:val="54585A"/>
              </w:rPr>
              <w:t>Unexercisable</w:t>
            </w:r>
            <w:r>
              <w:rPr>
                <w:rFonts w:ascii="Arial" w:cs="Arial" w:eastAsia="Arial" w:hAnsi="Arial"/>
                <w:sz w:val="12"/>
                <w:szCs w:val="12"/>
                <w:b w:val="1"/>
                <w:bCs w:val="1"/>
                <w:color w:val="54585A"/>
                <w:vertAlign w:val="superscript"/>
              </w:rPr>
              <w:t>(2)</w:t>
            </w:r>
          </w:p>
        </w:tc>
        <w:tc>
          <w:tcPr>
            <w:tcW w:w="74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w:t>
            </w:r>
          </w:p>
        </w:tc>
        <w:tc>
          <w:tcPr>
            <w:tcW w:w="1020" w:type="dxa"/>
            <w:vAlign w:val="bottom"/>
            <w:tcBorders>
              <w:right w:val="single" w:sz="8" w:color="54585A"/>
            </w:tcBorders>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rPr>
              <w:t>Date</w:t>
            </w:r>
          </w:p>
        </w:tc>
        <w:tc>
          <w:tcPr>
            <w:tcW w:w="92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w w:val="97"/>
              </w:rPr>
              <w:t>Grant Date</w:t>
            </w:r>
          </w:p>
        </w:tc>
        <w:tc>
          <w:tcPr>
            <w:tcW w:w="1380" w:type="dxa"/>
            <w:vAlign w:val="bottom"/>
            <w:shd w:val="clear" w:color="auto" w:fill="EEEDED"/>
          </w:tcPr>
          <w:p>
            <w:pPr>
              <w:jc w:val="right"/>
              <w:spacing w:after="0" w:line="135" w:lineRule="exact"/>
              <w:rPr>
                <w:sz w:val="20"/>
                <w:szCs w:val="20"/>
                <w:color w:val="auto"/>
              </w:rPr>
            </w:pPr>
            <w:r>
              <w:rPr>
                <w:rFonts w:ascii="Arial" w:cs="Arial" w:eastAsia="Arial" w:hAnsi="Arial"/>
                <w:sz w:val="10"/>
                <w:szCs w:val="10"/>
                <w:b w:val="1"/>
                <w:bCs w:val="1"/>
                <w:color w:val="54585A"/>
              </w:rPr>
              <w:t>Vested</w:t>
            </w:r>
            <w:r>
              <w:rPr>
                <w:rFonts w:ascii="Arial" w:cs="Arial" w:eastAsia="Arial" w:hAnsi="Arial"/>
                <w:sz w:val="12"/>
                <w:szCs w:val="12"/>
                <w:b w:val="1"/>
                <w:bCs w:val="1"/>
                <w:color w:val="54585A"/>
                <w:vertAlign w:val="superscript"/>
              </w:rPr>
              <w:t>(2)</w:t>
            </w:r>
          </w:p>
        </w:tc>
        <w:tc>
          <w:tcPr>
            <w:tcW w:w="122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c>
          <w:tcPr>
            <w:tcW w:w="140" w:type="dxa"/>
            <w:vAlign w:val="bottom"/>
            <w:shd w:val="clear" w:color="auto" w:fill="EEEDED"/>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00" w:type="dxa"/>
            <w:vAlign w:val="bottom"/>
            <w:shd w:val="clear" w:color="auto" w:fill="EEEDED"/>
          </w:tcPr>
          <w:p>
            <w:pPr>
              <w:spacing w:after="0"/>
              <w:rPr>
                <w:sz w:val="5"/>
                <w:szCs w:val="5"/>
                <w:color w:val="auto"/>
              </w:rPr>
            </w:pPr>
          </w:p>
        </w:tc>
        <w:tc>
          <w:tcPr>
            <w:tcW w:w="1080" w:type="dxa"/>
            <w:vAlign w:val="bottom"/>
            <w:shd w:val="clear" w:color="auto" w:fill="EEEDED"/>
          </w:tcPr>
          <w:p>
            <w:pPr>
              <w:spacing w:after="0"/>
              <w:rPr>
                <w:sz w:val="5"/>
                <w:szCs w:val="5"/>
                <w:color w:val="auto"/>
              </w:rPr>
            </w:pPr>
          </w:p>
        </w:tc>
        <w:tc>
          <w:tcPr>
            <w:tcW w:w="1300" w:type="dxa"/>
            <w:vAlign w:val="bottom"/>
            <w:shd w:val="clear" w:color="auto" w:fill="EEEDED"/>
          </w:tcPr>
          <w:p>
            <w:pPr>
              <w:spacing w:after="0"/>
              <w:rPr>
                <w:sz w:val="5"/>
                <w:szCs w:val="5"/>
                <w:color w:val="auto"/>
              </w:rPr>
            </w:pPr>
          </w:p>
        </w:tc>
        <w:tc>
          <w:tcPr>
            <w:tcW w:w="1600" w:type="dxa"/>
            <w:vAlign w:val="bottom"/>
            <w:shd w:val="clear" w:color="auto" w:fill="EEEDED"/>
          </w:tcPr>
          <w:p>
            <w:pPr>
              <w:spacing w:after="0"/>
              <w:rPr>
                <w:sz w:val="5"/>
                <w:szCs w:val="5"/>
                <w:color w:val="auto"/>
              </w:rPr>
            </w:pPr>
          </w:p>
        </w:tc>
        <w:tc>
          <w:tcPr>
            <w:tcW w:w="740" w:type="dxa"/>
            <w:vAlign w:val="bottom"/>
            <w:shd w:val="clear" w:color="auto" w:fill="EEEDED"/>
          </w:tcPr>
          <w:p>
            <w:pPr>
              <w:spacing w:after="0"/>
              <w:rPr>
                <w:sz w:val="5"/>
                <w:szCs w:val="5"/>
                <w:color w:val="auto"/>
              </w:rPr>
            </w:pPr>
          </w:p>
        </w:tc>
        <w:tc>
          <w:tcPr>
            <w:tcW w:w="1020" w:type="dxa"/>
            <w:vAlign w:val="bottom"/>
            <w:tcBorders>
              <w:right w:val="single" w:sz="8" w:color="54585A"/>
            </w:tcBorders>
            <w:shd w:val="clear" w:color="auto" w:fill="EEEDED"/>
          </w:tcPr>
          <w:p>
            <w:pPr>
              <w:spacing w:after="0"/>
              <w:rPr>
                <w:sz w:val="5"/>
                <w:szCs w:val="5"/>
                <w:color w:val="auto"/>
              </w:rPr>
            </w:pPr>
          </w:p>
        </w:tc>
        <w:tc>
          <w:tcPr>
            <w:tcW w:w="920" w:type="dxa"/>
            <w:vAlign w:val="bottom"/>
            <w:shd w:val="clear" w:color="auto" w:fill="EEEDED"/>
          </w:tcPr>
          <w:p>
            <w:pPr>
              <w:spacing w:after="0"/>
              <w:rPr>
                <w:sz w:val="5"/>
                <w:szCs w:val="5"/>
                <w:color w:val="auto"/>
              </w:rPr>
            </w:pPr>
          </w:p>
        </w:tc>
        <w:tc>
          <w:tcPr>
            <w:tcW w:w="1380" w:type="dxa"/>
            <w:vAlign w:val="bottom"/>
            <w:shd w:val="clear" w:color="auto" w:fill="EEEDED"/>
          </w:tcPr>
          <w:p>
            <w:pPr>
              <w:spacing w:after="0"/>
              <w:rPr>
                <w:sz w:val="5"/>
                <w:szCs w:val="5"/>
                <w:color w:val="auto"/>
              </w:rPr>
            </w:pPr>
          </w:p>
        </w:tc>
        <w:tc>
          <w:tcPr>
            <w:tcW w:w="1220" w:type="dxa"/>
            <w:vAlign w:val="bottom"/>
            <w:shd w:val="clear" w:color="auto" w:fill="EEEDED"/>
          </w:tcPr>
          <w:p>
            <w:pPr>
              <w:spacing w:after="0"/>
              <w:rPr>
                <w:sz w:val="5"/>
                <w:szCs w:val="5"/>
                <w:color w:val="auto"/>
              </w:rPr>
            </w:pPr>
          </w:p>
        </w:tc>
        <w:tc>
          <w:tcPr>
            <w:tcW w:w="14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98"/>
              </w:rPr>
              <w:t>1/13/2016</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250,000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54585A"/>
              </w:rPr>
              <w:t>1.21</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4"/>
              </w:rPr>
              <w:t>1/13/2026</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12/6/2017</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250,000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332,500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7"/>
              </w:rPr>
              <w:t>9/4/2018</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250,000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332,500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7"/>
              </w:rPr>
              <w:t>9/4/2018</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750,000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997,500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r>
              <w:rPr>
                <w:rFonts w:ascii="Arial" w:cs="Arial" w:eastAsia="Arial" w:hAnsi="Arial"/>
                <w:sz w:val="12"/>
                <w:szCs w:val="12"/>
                <w:b w:val="1"/>
                <w:bCs w:val="1"/>
                <w:color w:val="EB6C10"/>
                <w:vertAlign w:val="superscript"/>
              </w:rPr>
              <w:t>(3)</w:t>
            </w: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00" w:type="dxa"/>
            <w:vAlign w:val="bottom"/>
            <w:vMerge w:val="continue"/>
          </w:tcPr>
          <w:p>
            <w:pPr>
              <w:spacing w:after="0"/>
              <w:rPr>
                <w:sz w:val="18"/>
                <w:szCs w:val="18"/>
                <w:color w:val="auto"/>
              </w:rPr>
            </w:pPr>
          </w:p>
        </w:tc>
        <w:tc>
          <w:tcPr>
            <w:tcW w:w="108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Borders>
              <w:bottom w:val="single" w:sz="8" w:color="54585A"/>
            </w:tcBorders>
          </w:tcPr>
          <w:p>
            <w:pPr>
              <w:jc w:val="center"/>
              <w:ind w:left="52"/>
              <w:spacing w:after="0"/>
              <w:rPr>
                <w:sz w:val="20"/>
                <w:szCs w:val="20"/>
                <w:color w:val="auto"/>
              </w:rPr>
            </w:pPr>
            <w:r>
              <w:rPr>
                <w:rFonts w:ascii="Arial" w:cs="Arial" w:eastAsia="Arial" w:hAnsi="Arial"/>
                <w:sz w:val="10"/>
                <w:szCs w:val="10"/>
                <w:color w:val="54585A"/>
                <w:w w:val="97"/>
              </w:rPr>
              <w:t>9/4/2018</w:t>
            </w:r>
          </w:p>
        </w:tc>
        <w:tc>
          <w:tcPr>
            <w:tcW w:w="138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750,000</w:t>
            </w:r>
          </w:p>
        </w:tc>
        <w:tc>
          <w:tcPr>
            <w:tcW w:w="12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997,500</w:t>
            </w:r>
          </w:p>
        </w:tc>
        <w:tc>
          <w:tcPr>
            <w:tcW w:w="140" w:type="dxa"/>
            <w:vAlign w:val="bottom"/>
            <w:tcBorders>
              <w:bottom w:val="single" w:sz="8" w:color="54585A"/>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12/8/2021</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73,334</w:t>
            </w:r>
          </w:p>
        </w:tc>
        <w:tc>
          <w:tcPr>
            <w:tcW w:w="1220" w:type="dxa"/>
            <w:vAlign w:val="bottom"/>
          </w:tcPr>
          <w:p>
            <w:pPr>
              <w:jc w:val="right"/>
              <w:spacing w:after="0"/>
              <w:rPr>
                <w:sz w:val="20"/>
                <w:szCs w:val="20"/>
                <w:color w:val="auto"/>
              </w:rPr>
            </w:pPr>
            <w:r>
              <w:rPr>
                <w:rFonts w:ascii="Arial" w:cs="Arial" w:eastAsia="Arial" w:hAnsi="Arial"/>
                <w:sz w:val="10"/>
                <w:szCs w:val="10"/>
                <w:color w:val="54585A"/>
              </w:rPr>
              <w:t>97,534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80,004</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Borders>
              <w:bottom w:val="single" w:sz="8" w:color="54585A"/>
            </w:tcBorders>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95"/>
              </w:rPr>
              <w:t>12/13/2013</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54585A"/>
              </w:rPr>
              <w:t>1.97</w:t>
            </w:r>
          </w:p>
        </w:tc>
        <w:tc>
          <w:tcPr>
            <w:tcW w:w="1020" w:type="dxa"/>
            <w:vAlign w:val="bottom"/>
            <w:tcBorders>
              <w:right w:val="single" w:sz="8" w:color="54585A"/>
            </w:tcBorders>
          </w:tcPr>
          <w:p>
            <w:pPr>
              <w:jc w:val="center"/>
              <w:ind w:right="52"/>
              <w:spacing w:after="0"/>
              <w:rPr>
                <w:sz w:val="20"/>
                <w:szCs w:val="20"/>
                <w:color w:val="auto"/>
              </w:rPr>
            </w:pPr>
            <w:r>
              <w:rPr>
                <w:rFonts w:ascii="Arial" w:cs="Arial" w:eastAsia="Arial" w:hAnsi="Arial"/>
                <w:sz w:val="10"/>
                <w:szCs w:val="10"/>
                <w:color w:val="54585A"/>
                <w:w w:val="95"/>
              </w:rPr>
              <w:t>12/13/2023</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12/8/2021</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90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080" w:type="dxa"/>
            <w:vAlign w:val="bottom"/>
          </w:tcPr>
          <w:p>
            <w:pPr>
              <w:jc w:val="center"/>
              <w:spacing w:after="0"/>
              <w:rPr>
                <w:sz w:val="20"/>
                <w:szCs w:val="20"/>
                <w:color w:val="auto"/>
              </w:rPr>
            </w:pPr>
            <w:r>
              <w:rPr>
                <w:rFonts w:ascii="Arial" w:cs="Arial" w:eastAsia="Arial" w:hAnsi="Arial"/>
                <w:sz w:val="10"/>
                <w:szCs w:val="10"/>
                <w:color w:val="54585A"/>
                <w:w w:val="98"/>
              </w:rPr>
              <w:t>8/27/2014</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54585A"/>
              </w:rPr>
              <w:t>3.99</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4"/>
              </w:rPr>
              <w:t>8/27/2024</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56,667</w:t>
            </w:r>
          </w:p>
        </w:tc>
        <w:tc>
          <w:tcPr>
            <w:tcW w:w="1220" w:type="dxa"/>
            <w:vAlign w:val="bottom"/>
          </w:tcPr>
          <w:p>
            <w:pPr>
              <w:jc w:val="right"/>
              <w:spacing w:after="0"/>
              <w:rPr>
                <w:sz w:val="20"/>
                <w:szCs w:val="20"/>
                <w:color w:val="auto"/>
              </w:rPr>
            </w:pPr>
            <w:r>
              <w:rPr>
                <w:rFonts w:ascii="Arial" w:cs="Arial" w:eastAsia="Arial" w:hAnsi="Arial"/>
                <w:sz w:val="10"/>
                <w:szCs w:val="10"/>
                <w:color w:val="54585A"/>
              </w:rPr>
              <w:t>75,367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90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color w:val="54585A"/>
                <w:w w:val="95"/>
              </w:rPr>
              <w:t>12/12/2014</w:t>
            </w:r>
          </w:p>
        </w:tc>
        <w:tc>
          <w:tcPr>
            <w:tcW w:w="1300" w:type="dxa"/>
            <w:vAlign w:val="bottom"/>
            <w:vMerge w:val="restart"/>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vMerge w:val="restart"/>
          </w:tcPr>
          <w:p>
            <w:pPr>
              <w:ind w:left="1200"/>
              <w:spacing w:after="0"/>
              <w:rPr>
                <w:sz w:val="20"/>
                <w:szCs w:val="20"/>
                <w:color w:val="auto"/>
              </w:rPr>
            </w:pPr>
            <w:r>
              <w:rPr>
                <w:rFonts w:ascii="Arial" w:cs="Arial" w:eastAsia="Arial" w:hAnsi="Arial"/>
                <w:sz w:val="10"/>
                <w:szCs w:val="10"/>
                <w:color w:val="54585A"/>
              </w:rPr>
              <w:t>—</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54585A"/>
              </w:rPr>
              <w:t>2.58</w:t>
            </w:r>
          </w:p>
        </w:tc>
        <w:tc>
          <w:tcPr>
            <w:tcW w:w="1020" w:type="dxa"/>
            <w:vAlign w:val="bottom"/>
            <w:tcBorders>
              <w:right w:val="single" w:sz="8" w:color="54585A"/>
            </w:tcBorders>
            <w:vMerge w:val="restart"/>
          </w:tcPr>
          <w:p>
            <w:pPr>
              <w:jc w:val="center"/>
              <w:ind w:right="52"/>
              <w:spacing w:after="0"/>
              <w:rPr>
                <w:sz w:val="20"/>
                <w:szCs w:val="20"/>
                <w:color w:val="auto"/>
              </w:rPr>
            </w:pPr>
            <w:r>
              <w:rPr>
                <w:rFonts w:ascii="Arial" w:cs="Arial" w:eastAsia="Arial" w:hAnsi="Arial"/>
                <w:sz w:val="10"/>
                <w:szCs w:val="10"/>
                <w:color w:val="54585A"/>
                <w:w w:val="95"/>
              </w:rPr>
              <w:t>12/12/2024</w:t>
            </w:r>
          </w:p>
        </w:tc>
        <w:tc>
          <w:tcPr>
            <w:tcW w:w="920" w:type="dxa"/>
            <w:vAlign w:val="bottom"/>
            <w:vMerge w:val="restart"/>
          </w:tcPr>
          <w:p>
            <w:pPr>
              <w:jc w:val="center"/>
              <w:ind w:left="52"/>
              <w:spacing w:after="0"/>
              <w:rPr>
                <w:sz w:val="20"/>
                <w:szCs w:val="20"/>
                <w:color w:val="auto"/>
              </w:rPr>
            </w:pPr>
            <w:r>
              <w:rPr>
                <w:rFonts w:ascii="Arial" w:cs="Arial" w:eastAsia="Arial" w:hAnsi="Arial"/>
                <w:sz w:val="10"/>
                <w:szCs w:val="10"/>
                <w:color w:val="54585A"/>
                <w:w w:val="91"/>
              </w:rPr>
              <w:t>11/15/2022</w:t>
            </w:r>
          </w:p>
        </w:tc>
        <w:tc>
          <w:tcPr>
            <w:tcW w:w="1380" w:type="dxa"/>
            <w:vAlign w:val="bottom"/>
            <w:vMerge w:val="restart"/>
          </w:tcPr>
          <w:p>
            <w:pPr>
              <w:jc w:val="right"/>
              <w:ind w:right="12"/>
              <w:spacing w:after="0"/>
              <w:rPr>
                <w:sz w:val="20"/>
                <w:szCs w:val="20"/>
                <w:color w:val="auto"/>
              </w:rPr>
            </w:pPr>
            <w:r>
              <w:rPr>
                <w:rFonts w:ascii="Arial" w:cs="Arial" w:eastAsia="Arial" w:hAnsi="Arial"/>
                <w:sz w:val="10"/>
                <w:szCs w:val="10"/>
                <w:color w:val="54585A"/>
              </w:rPr>
              <w:t>500,000</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54585A"/>
              </w:rPr>
              <w:t>665,000</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9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20" w:type="dxa"/>
            <w:vAlign w:val="bottom"/>
            <w:tcBorders>
              <w:right w:val="single" w:sz="8" w:color="54585A"/>
            </w:tcBorders>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80,004</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Borders>
              <w:bottom w:val="single" w:sz="8" w:color="54585A"/>
            </w:tcBorders>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95"/>
              </w:rPr>
              <w:t>12/13/2013</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54585A"/>
              </w:rPr>
              <w:t>1.97</w:t>
            </w:r>
          </w:p>
        </w:tc>
        <w:tc>
          <w:tcPr>
            <w:tcW w:w="1020" w:type="dxa"/>
            <w:vAlign w:val="bottom"/>
            <w:tcBorders>
              <w:right w:val="single" w:sz="8" w:color="54585A"/>
            </w:tcBorders>
          </w:tcPr>
          <w:p>
            <w:pPr>
              <w:jc w:val="center"/>
              <w:ind w:right="52"/>
              <w:spacing w:after="0"/>
              <w:rPr>
                <w:sz w:val="20"/>
                <w:szCs w:val="20"/>
                <w:color w:val="auto"/>
              </w:rPr>
            </w:pPr>
            <w:r>
              <w:rPr>
                <w:rFonts w:ascii="Arial" w:cs="Arial" w:eastAsia="Arial" w:hAnsi="Arial"/>
                <w:sz w:val="10"/>
                <w:szCs w:val="10"/>
                <w:color w:val="54585A"/>
                <w:w w:val="95"/>
              </w:rPr>
              <w:t>12/13/2023</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12/8/2021</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90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080" w:type="dxa"/>
            <w:vAlign w:val="bottom"/>
          </w:tcPr>
          <w:p>
            <w:pPr>
              <w:jc w:val="center"/>
              <w:spacing w:after="0"/>
              <w:rPr>
                <w:sz w:val="20"/>
                <w:szCs w:val="20"/>
                <w:color w:val="auto"/>
              </w:rPr>
            </w:pPr>
            <w:r>
              <w:rPr>
                <w:rFonts w:ascii="Arial" w:cs="Arial" w:eastAsia="Arial" w:hAnsi="Arial"/>
                <w:sz w:val="10"/>
                <w:szCs w:val="10"/>
                <w:color w:val="54585A"/>
                <w:w w:val="95"/>
              </w:rPr>
              <w:t>12/12/2014</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54585A"/>
              </w:rPr>
              <w:t>2.58</w:t>
            </w:r>
          </w:p>
        </w:tc>
        <w:tc>
          <w:tcPr>
            <w:tcW w:w="1020" w:type="dxa"/>
            <w:vAlign w:val="bottom"/>
            <w:tcBorders>
              <w:right w:val="single" w:sz="8" w:color="54585A"/>
            </w:tcBorders>
          </w:tcPr>
          <w:p>
            <w:pPr>
              <w:jc w:val="center"/>
              <w:ind w:right="52"/>
              <w:spacing w:after="0"/>
              <w:rPr>
                <w:sz w:val="20"/>
                <w:szCs w:val="20"/>
                <w:color w:val="auto"/>
              </w:rPr>
            </w:pPr>
            <w:r>
              <w:rPr>
                <w:rFonts w:ascii="Arial" w:cs="Arial" w:eastAsia="Arial" w:hAnsi="Arial"/>
                <w:sz w:val="10"/>
                <w:szCs w:val="10"/>
                <w:color w:val="54585A"/>
                <w:w w:val="95"/>
              </w:rPr>
              <w:t>12/12/2024</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1"/>
              </w:rPr>
              <w:t>11/15/2022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73,334</w:t>
            </w:r>
          </w:p>
        </w:tc>
        <w:tc>
          <w:tcPr>
            <w:tcW w:w="1220" w:type="dxa"/>
            <w:vAlign w:val="bottom"/>
          </w:tcPr>
          <w:p>
            <w:pPr>
              <w:jc w:val="right"/>
              <w:spacing w:after="0"/>
              <w:rPr>
                <w:sz w:val="20"/>
                <w:szCs w:val="20"/>
                <w:color w:val="auto"/>
              </w:rPr>
            </w:pPr>
            <w:r>
              <w:rPr>
                <w:rFonts w:ascii="Arial" w:cs="Arial" w:eastAsia="Arial" w:hAnsi="Arial"/>
                <w:sz w:val="10"/>
                <w:szCs w:val="10"/>
                <w:color w:val="54585A"/>
              </w:rPr>
              <w:t>97,534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90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vMerge w:val="restart"/>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vMerge w:val="restart"/>
          </w:tcPr>
          <w:p>
            <w:pPr>
              <w:ind w:left="1200"/>
              <w:spacing w:after="0"/>
              <w:rPr>
                <w:sz w:val="20"/>
                <w:szCs w:val="20"/>
                <w:color w:val="auto"/>
              </w:rPr>
            </w:pPr>
            <w:r>
              <w:rPr>
                <w:rFonts w:ascii="Arial" w:cs="Arial" w:eastAsia="Arial" w:hAnsi="Arial"/>
                <w:sz w:val="10"/>
                <w:szCs w:val="10"/>
                <w:color w:val="54585A"/>
              </w:rPr>
              <w:t>—</w:t>
            </w:r>
          </w:p>
        </w:tc>
        <w:tc>
          <w:tcPr>
            <w:tcW w:w="740" w:type="dxa"/>
            <w:vAlign w:val="bottom"/>
            <w:vMerge w:val="restart"/>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vMerge w:val="restart"/>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vMerge w:val="restart"/>
          </w:tcPr>
          <w:p>
            <w:pPr>
              <w:jc w:val="center"/>
              <w:ind w:left="52"/>
              <w:spacing w:after="0"/>
              <w:rPr>
                <w:sz w:val="20"/>
                <w:szCs w:val="20"/>
                <w:color w:val="auto"/>
              </w:rPr>
            </w:pPr>
            <w:r>
              <w:rPr>
                <w:rFonts w:ascii="Arial" w:cs="Arial" w:eastAsia="Arial" w:hAnsi="Arial"/>
                <w:sz w:val="10"/>
                <w:szCs w:val="10"/>
                <w:color w:val="54585A"/>
                <w:w w:val="91"/>
              </w:rPr>
              <w:t>11/15/2022</w:t>
            </w:r>
          </w:p>
        </w:tc>
        <w:tc>
          <w:tcPr>
            <w:tcW w:w="1380" w:type="dxa"/>
            <w:vAlign w:val="bottom"/>
            <w:vMerge w:val="restart"/>
          </w:tcPr>
          <w:p>
            <w:pPr>
              <w:jc w:val="right"/>
              <w:ind w:right="12"/>
              <w:spacing w:after="0"/>
              <w:rPr>
                <w:sz w:val="20"/>
                <w:szCs w:val="20"/>
                <w:color w:val="auto"/>
              </w:rPr>
            </w:pPr>
            <w:r>
              <w:rPr>
                <w:rFonts w:ascii="Arial" w:cs="Arial" w:eastAsia="Arial" w:hAnsi="Arial"/>
                <w:sz w:val="10"/>
                <w:szCs w:val="10"/>
                <w:color w:val="54585A"/>
              </w:rPr>
              <w:t>300,000</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54585A"/>
              </w:rPr>
              <w:t>399,000</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9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20" w:type="dxa"/>
            <w:vAlign w:val="bottom"/>
            <w:tcBorders>
              <w:right w:val="single" w:sz="8" w:color="54585A"/>
            </w:tcBorders>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900" w:type="dxa"/>
            <w:vAlign w:val="bottom"/>
          </w:tcPr>
          <w:p>
            <w:pPr>
              <w:spacing w:after="0"/>
              <w:rPr>
                <w:sz w:val="5"/>
                <w:szCs w:val="5"/>
                <w:color w:val="auto"/>
              </w:rPr>
            </w:pPr>
          </w:p>
        </w:tc>
        <w:tc>
          <w:tcPr>
            <w:tcW w:w="108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4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2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54585A"/>
                <w:w w:val="7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32"/>
              <w:spacing w:after="0"/>
              <w:rPr>
                <w:sz w:val="20"/>
                <w:szCs w:val="20"/>
                <w:color w:val="auto"/>
              </w:rPr>
            </w:pPr>
            <w:r>
              <w:rPr>
                <w:rFonts w:ascii="Arial" w:cs="Arial" w:eastAsia="Arial" w:hAnsi="Arial"/>
                <w:sz w:val="10"/>
                <w:szCs w:val="10"/>
                <w:color w:val="54585A"/>
                <w:w w:val="99"/>
              </w:rPr>
              <w:t>—</w:t>
            </w:r>
          </w:p>
        </w:tc>
        <w:tc>
          <w:tcPr>
            <w:tcW w:w="92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380" w:type="dxa"/>
            <w:vAlign w:val="bottom"/>
          </w:tcPr>
          <w:p>
            <w:pPr>
              <w:jc w:val="right"/>
              <w:ind w:right="12"/>
              <w:spacing w:after="0"/>
              <w:rPr>
                <w:sz w:val="20"/>
                <w:szCs w:val="20"/>
                <w:color w:val="auto"/>
              </w:rPr>
            </w:pPr>
            <w:r>
              <w:rPr>
                <w:rFonts w:ascii="Arial" w:cs="Arial" w:eastAsia="Arial" w:hAnsi="Arial"/>
                <w:sz w:val="10"/>
                <w:szCs w:val="10"/>
                <w:color w:val="54585A"/>
              </w:rPr>
              <w:t>80,008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Borders>
              <w:bottom w:val="single" w:sz="8" w:color="54585A"/>
            </w:tcBorders>
          </w:tcPr>
          <w:p>
            <w:pPr>
              <w:spacing w:after="0"/>
              <w:rPr>
                <w:sz w:val="4"/>
                <w:szCs w:val="4"/>
                <w:color w:val="auto"/>
              </w:rPr>
            </w:pPr>
          </w:p>
        </w:tc>
        <w:tc>
          <w:tcPr>
            <w:tcW w:w="108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00" w:type="dxa"/>
            <w:vAlign w:val="bottom"/>
            <w:tcBorders>
              <w:bottom w:val="single" w:sz="8" w:color="54585A"/>
            </w:tcBorders>
          </w:tcPr>
          <w:p>
            <w:pPr>
              <w:spacing w:after="0"/>
              <w:rPr>
                <w:sz w:val="4"/>
                <w:szCs w:val="4"/>
                <w:color w:val="auto"/>
              </w:rPr>
            </w:pPr>
          </w:p>
        </w:tc>
        <w:tc>
          <w:tcPr>
            <w:tcW w:w="740" w:type="dxa"/>
            <w:vAlign w:val="bottom"/>
            <w:tcBorders>
              <w:bottom w:val="single" w:sz="8" w:color="54585A"/>
            </w:tcBorders>
          </w:tcPr>
          <w:p>
            <w:pPr>
              <w:spacing w:after="0"/>
              <w:rPr>
                <w:sz w:val="4"/>
                <w:szCs w:val="4"/>
                <w:color w:val="auto"/>
              </w:rPr>
            </w:pPr>
          </w:p>
        </w:tc>
        <w:tc>
          <w:tcPr>
            <w:tcW w:w="1020" w:type="dxa"/>
            <w:vAlign w:val="bottom"/>
            <w:tcBorders>
              <w:bottom w:val="single" w:sz="8" w:color="54585A"/>
              <w:right w:val="single" w:sz="8" w:color="54585A"/>
            </w:tcBorders>
          </w:tcPr>
          <w:p>
            <w:pPr>
              <w:spacing w:after="0"/>
              <w:rPr>
                <w:sz w:val="4"/>
                <w:szCs w:val="4"/>
                <w:color w:val="auto"/>
              </w:rPr>
            </w:pPr>
          </w:p>
        </w:tc>
        <w:tc>
          <w:tcPr>
            <w:tcW w:w="920" w:type="dxa"/>
            <w:vAlign w:val="bottom"/>
            <w:tcBorders>
              <w:bottom w:val="single" w:sz="8" w:color="54585A"/>
            </w:tcBorders>
          </w:tcPr>
          <w:p>
            <w:pPr>
              <w:spacing w:after="0"/>
              <w:rPr>
                <w:sz w:val="4"/>
                <w:szCs w:val="4"/>
                <w:color w:val="auto"/>
              </w:rPr>
            </w:pPr>
          </w:p>
        </w:tc>
        <w:tc>
          <w:tcPr>
            <w:tcW w:w="1380" w:type="dxa"/>
            <w:vAlign w:val="bottom"/>
            <w:tcBorders>
              <w:bottom w:val="single" w:sz="8" w:color="54585A"/>
            </w:tcBorders>
          </w:tcPr>
          <w:p>
            <w:pPr>
              <w:spacing w:after="0"/>
              <w:rPr>
                <w:sz w:val="4"/>
                <w:szCs w:val="4"/>
                <w:color w:val="auto"/>
              </w:rPr>
            </w:pPr>
          </w:p>
        </w:tc>
        <w:tc>
          <w:tcPr>
            <w:tcW w:w="1220" w:type="dxa"/>
            <w:vAlign w:val="bottom"/>
            <w:tcBorders>
              <w:bottom w:val="single" w:sz="8" w:color="54585A"/>
            </w:tcBorders>
          </w:tcPr>
          <w:p>
            <w:pPr>
              <w:spacing w:after="0"/>
              <w:rPr>
                <w:sz w:val="4"/>
                <w:szCs w:val="4"/>
                <w:color w:val="auto"/>
              </w:rPr>
            </w:pPr>
          </w:p>
        </w:tc>
        <w:tc>
          <w:tcPr>
            <w:tcW w:w="1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8" w:right="140" w:hanging="208"/>
        <w:spacing w:after="0" w:line="256" w:lineRule="auto"/>
        <w:tabs>
          <w:tab w:leader="none" w:pos="208" w:val="left"/>
        </w:tabs>
        <w:numPr>
          <w:ilvl w:val="0"/>
          <w:numId w:val="54"/>
        </w:numPr>
        <w:rPr>
          <w:rFonts w:ascii="Arial" w:cs="Arial" w:eastAsia="Arial" w:hAnsi="Arial"/>
          <w:sz w:val="10"/>
          <w:szCs w:val="10"/>
          <w:color w:val="54585A"/>
        </w:rPr>
      </w:pPr>
      <w:r>
        <w:rPr>
          <w:rFonts w:ascii="Arial" w:cs="Arial" w:eastAsia="Arial" w:hAnsi="Arial"/>
          <w:sz w:val="10"/>
          <w:szCs w:val="10"/>
          <w:color w:val="54585A"/>
        </w:rPr>
        <w:t>Market value for shares of unvested restricted stock and unearned equity-based incentive plan holdings is equal to the product of the closing market price of the Company’s stock at December 31, 2022 of $1.33 and the number of unvested restricted shares or units of stock or the number of unearned equity-based incentive plan awards, as applicable.</w:t>
      </w:r>
    </w:p>
    <w:p>
      <w:pPr>
        <w:spacing w:after="0" w:line="60" w:lineRule="exact"/>
        <w:rPr>
          <w:rFonts w:ascii="Arial" w:cs="Arial" w:eastAsia="Arial" w:hAnsi="Arial"/>
          <w:sz w:val="10"/>
          <w:szCs w:val="10"/>
          <w:color w:val="54585A"/>
        </w:rPr>
      </w:pPr>
    </w:p>
    <w:p>
      <w:pPr>
        <w:ind w:left="208" w:right="1620" w:hanging="208"/>
        <w:spacing w:after="0" w:line="481" w:lineRule="auto"/>
        <w:tabs>
          <w:tab w:leader="none" w:pos="208" w:val="left"/>
        </w:tabs>
        <w:numPr>
          <w:ilvl w:val="0"/>
          <w:numId w:val="54"/>
        </w:numPr>
        <w:rPr>
          <w:rFonts w:ascii="Arial" w:cs="Arial" w:eastAsia="Arial" w:hAnsi="Arial"/>
          <w:sz w:val="8"/>
          <w:szCs w:val="8"/>
          <w:color w:val="54585A"/>
        </w:rPr>
      </w:pPr>
      <w:r>
        <w:rPr>
          <w:rFonts w:ascii="Arial" w:cs="Arial" w:eastAsia="Arial" w:hAnsi="Arial"/>
          <w:sz w:val="8"/>
          <w:szCs w:val="8"/>
          <w:color w:val="54585A"/>
        </w:rPr>
        <w:t>Awards are granted pursuant to our 2006 Equity Incentive Plan and vest over different periods. Refer to table above "2022 Grants of Plan-Based Awards" for vesting terms of all options and stock awards granted during 2022. The stock awards for Mr. Kagan in the table above include 500,000 restricted shares that vested in March 2023 when the Company reported Adjusted EBITDA in excess of $50 million for the year ended December 31, 2022.</w:t>
      </w:r>
    </w:p>
    <w:p>
      <w:pPr>
        <w:ind w:left="208" w:hanging="208"/>
        <w:spacing w:after="0"/>
        <w:tabs>
          <w:tab w:leader="none" w:pos="208" w:val="left"/>
        </w:tabs>
        <w:numPr>
          <w:ilvl w:val="0"/>
          <w:numId w:val="54"/>
        </w:numPr>
        <w:rPr>
          <w:rFonts w:ascii="Arial" w:cs="Arial" w:eastAsia="Arial" w:hAnsi="Arial"/>
          <w:sz w:val="10"/>
          <w:szCs w:val="10"/>
          <w:color w:val="54585A"/>
        </w:rPr>
      </w:pPr>
      <w:r>
        <w:rPr>
          <w:rFonts w:ascii="Arial" w:cs="Arial" w:eastAsia="Arial" w:hAnsi="Arial"/>
          <w:sz w:val="10"/>
          <w:szCs w:val="10"/>
          <w:color w:val="54585A"/>
        </w:rPr>
        <w:t>Included in the table above are two grants of restricted stock awards totaling 1,500,000 shares, which are contingent upon Mr. Kagan's achievement of certain performance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214630</wp:posOffset>
            </wp:positionV>
            <wp:extent cx="1714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3"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2022 Option Exercises and Stock Vested</w:t>
      </w:r>
    </w:p>
    <w:p>
      <w:pPr>
        <w:spacing w:after="0" w:line="68" w:lineRule="exact"/>
        <w:rPr>
          <w:sz w:val="20"/>
          <w:szCs w:val="20"/>
          <w:color w:val="auto"/>
        </w:rPr>
      </w:pPr>
    </w:p>
    <w:p>
      <w:pPr>
        <w:ind w:left="8" w:right="200"/>
        <w:spacing w:after="0" w:line="345" w:lineRule="auto"/>
        <w:rPr>
          <w:sz w:val="20"/>
          <w:szCs w:val="20"/>
          <w:color w:val="auto"/>
        </w:rPr>
      </w:pPr>
      <w:r>
        <w:rPr>
          <w:rFonts w:ascii="Arial" w:cs="Arial" w:eastAsia="Arial" w:hAnsi="Arial"/>
          <w:sz w:val="11"/>
          <w:szCs w:val="11"/>
          <w:color w:val="54585A"/>
        </w:rPr>
        <w:t>The following table sets forth certain information regarding stock awards that vested during 2022 for the named executive officers. In connection with his service as an executive officer of the Company, Mr. Monroe did not exercise any options or have any restricted stock vest during 2022; therefore, he is not included in the table below.</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260" w:type="dxa"/>
            <w:vAlign w:val="bottom"/>
            <w:tcBorders>
              <w:bottom w:val="single" w:sz="8" w:color="EEEDED"/>
            </w:tcBorders>
            <w:shd w:val="clear" w:color="auto" w:fill="EEEDED"/>
          </w:tcPr>
          <w:p>
            <w:pPr>
              <w:spacing w:after="0"/>
              <w:rPr>
                <w:sz w:val="13"/>
                <w:szCs w:val="13"/>
                <w:color w:val="auto"/>
              </w:rPr>
            </w:pPr>
          </w:p>
        </w:tc>
        <w:tc>
          <w:tcPr>
            <w:tcW w:w="2140" w:type="dxa"/>
            <w:vAlign w:val="bottom"/>
            <w:tcBorders>
              <w:bottom w:val="single" w:sz="8" w:color="54585A"/>
            </w:tcBorders>
            <w:shd w:val="clear" w:color="auto" w:fill="EEEDED"/>
          </w:tcPr>
          <w:p>
            <w:pPr>
              <w:ind w:left="1400"/>
              <w:spacing w:after="0"/>
              <w:rPr>
                <w:sz w:val="20"/>
                <w:szCs w:val="20"/>
                <w:color w:val="auto"/>
              </w:rPr>
            </w:pPr>
            <w:r>
              <w:rPr>
                <w:rFonts w:ascii="Arial" w:cs="Arial" w:eastAsia="Arial" w:hAnsi="Arial"/>
                <w:sz w:val="10"/>
                <w:szCs w:val="10"/>
                <w:b w:val="1"/>
                <w:bCs w:val="1"/>
                <w:color w:val="54585A"/>
              </w:rPr>
              <w:t>Option Awards</w:t>
            </w:r>
          </w:p>
        </w:tc>
        <w:tc>
          <w:tcPr>
            <w:tcW w:w="1340" w:type="dxa"/>
            <w:vAlign w:val="bottom"/>
            <w:tcBorders>
              <w:bottom w:val="single" w:sz="8" w:color="54585A"/>
              <w:right w:val="single" w:sz="8" w:color="54585A"/>
            </w:tcBorders>
            <w:shd w:val="clear" w:color="auto" w:fill="EEEDED"/>
          </w:tcPr>
          <w:p>
            <w:pPr>
              <w:spacing w:after="0"/>
              <w:rPr>
                <w:sz w:val="13"/>
                <w:szCs w:val="13"/>
                <w:color w:val="auto"/>
              </w:rPr>
            </w:pPr>
          </w:p>
        </w:tc>
        <w:tc>
          <w:tcPr>
            <w:tcW w:w="2180" w:type="dxa"/>
            <w:vAlign w:val="bottom"/>
            <w:tcBorders>
              <w:bottom w:val="single" w:sz="8" w:color="54585A"/>
            </w:tcBorders>
            <w:shd w:val="clear" w:color="auto" w:fill="EEEDED"/>
          </w:tcPr>
          <w:p>
            <w:pPr>
              <w:jc w:val="right"/>
              <w:ind w:right="52"/>
              <w:spacing w:after="0"/>
              <w:rPr>
                <w:sz w:val="20"/>
                <w:szCs w:val="20"/>
                <w:color w:val="auto"/>
              </w:rPr>
            </w:pPr>
            <w:r>
              <w:rPr>
                <w:rFonts w:ascii="Arial" w:cs="Arial" w:eastAsia="Arial" w:hAnsi="Arial"/>
                <w:sz w:val="10"/>
                <w:szCs w:val="10"/>
                <w:b w:val="1"/>
                <w:bCs w:val="1"/>
                <w:color w:val="54585A"/>
              </w:rPr>
              <w:t>Stock Awards</w:t>
            </w:r>
          </w:p>
        </w:tc>
        <w:tc>
          <w:tcPr>
            <w:tcW w:w="1380" w:type="dxa"/>
            <w:vAlign w:val="bottom"/>
            <w:tcBorders>
              <w:bottom w:val="single" w:sz="8" w:color="54585A"/>
            </w:tcBorders>
            <w:shd w:val="clear" w:color="auto" w:fill="EEEDED"/>
          </w:tcPr>
          <w:p>
            <w:pPr>
              <w:spacing w:after="0"/>
              <w:rPr>
                <w:sz w:val="13"/>
                <w:szCs w:val="13"/>
                <w:color w:val="auto"/>
              </w:rPr>
            </w:pPr>
          </w:p>
        </w:tc>
      </w:tr>
      <w:tr>
        <w:trPr>
          <w:trHeight w:val="115"/>
        </w:trPr>
        <w:tc>
          <w:tcPr>
            <w:tcW w:w="4260" w:type="dxa"/>
            <w:vAlign w:val="bottom"/>
            <w:shd w:val="clear" w:color="auto" w:fill="EEEDED"/>
          </w:tcPr>
          <w:p>
            <w:pPr>
              <w:spacing w:after="0"/>
              <w:rPr>
                <w:sz w:val="10"/>
                <w:szCs w:val="10"/>
                <w:color w:val="auto"/>
              </w:rPr>
            </w:pPr>
          </w:p>
        </w:tc>
        <w:tc>
          <w:tcPr>
            <w:tcW w:w="2140" w:type="dxa"/>
            <w:vAlign w:val="bottom"/>
            <w:shd w:val="clear" w:color="auto" w:fill="EEEDED"/>
          </w:tcPr>
          <w:p>
            <w:pPr>
              <w:spacing w:after="0"/>
              <w:rPr>
                <w:sz w:val="10"/>
                <w:szCs w:val="10"/>
                <w:color w:val="auto"/>
              </w:rPr>
            </w:pPr>
          </w:p>
        </w:tc>
        <w:tc>
          <w:tcPr>
            <w:tcW w:w="1340" w:type="dxa"/>
            <w:vAlign w:val="bottom"/>
            <w:tcBorders>
              <w:right w:val="single" w:sz="8" w:color="54585A"/>
            </w:tcBorders>
            <w:shd w:val="clear" w:color="auto" w:fill="EEEDED"/>
          </w:tcPr>
          <w:p>
            <w:pPr>
              <w:ind w:left="80"/>
              <w:spacing w:after="0"/>
              <w:rPr>
                <w:sz w:val="20"/>
                <w:szCs w:val="20"/>
                <w:color w:val="auto"/>
              </w:rPr>
            </w:pPr>
            <w:r>
              <w:rPr>
                <w:rFonts w:ascii="Arial" w:cs="Arial" w:eastAsia="Arial" w:hAnsi="Arial"/>
                <w:sz w:val="10"/>
                <w:szCs w:val="10"/>
                <w:b w:val="1"/>
                <w:bCs w:val="1"/>
                <w:color w:val="54585A"/>
                <w:w w:val="94"/>
              </w:rPr>
              <w:t>Value Realized on Exercise</w:t>
            </w:r>
          </w:p>
        </w:tc>
        <w:tc>
          <w:tcPr>
            <w:tcW w:w="2180" w:type="dxa"/>
            <w:vAlign w:val="bottom"/>
            <w:shd w:val="clear" w:color="auto" w:fill="EEEDED"/>
          </w:tcPr>
          <w:p>
            <w:pPr>
              <w:spacing w:after="0"/>
              <w:rPr>
                <w:sz w:val="10"/>
                <w:szCs w:val="10"/>
                <w:color w:val="auto"/>
              </w:rPr>
            </w:pPr>
          </w:p>
        </w:tc>
        <w:tc>
          <w:tcPr>
            <w:tcW w:w="138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Value Realized on Vesting</w:t>
            </w:r>
          </w:p>
        </w:tc>
      </w:tr>
      <w:tr>
        <w:trPr>
          <w:trHeight w:val="178"/>
        </w:trPr>
        <w:tc>
          <w:tcPr>
            <w:tcW w:w="4260" w:type="dxa"/>
            <w:vAlign w:val="bottom"/>
            <w:tcBorders>
              <w:bottom w:val="single" w:sz="8" w:color="EEEDED"/>
            </w:tcBorders>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2140" w:type="dxa"/>
            <w:vAlign w:val="bottom"/>
            <w:tcBorders>
              <w:bottom w:val="single" w:sz="8" w:color="EEEDED"/>
            </w:tcBorders>
            <w:shd w:val="clear" w:color="auto" w:fill="EEEDED"/>
          </w:tcPr>
          <w:p>
            <w:pPr>
              <w:ind w:left="120"/>
              <w:spacing w:after="0"/>
              <w:rPr>
                <w:sz w:val="20"/>
                <w:szCs w:val="20"/>
                <w:color w:val="auto"/>
              </w:rPr>
            </w:pPr>
            <w:r>
              <w:rPr>
                <w:rFonts w:ascii="Arial" w:cs="Arial" w:eastAsia="Arial" w:hAnsi="Arial"/>
                <w:sz w:val="10"/>
                <w:szCs w:val="10"/>
                <w:b w:val="1"/>
                <w:bCs w:val="1"/>
                <w:color w:val="54585A"/>
              </w:rPr>
              <w:t>Number of Shares Acquired on Exercise</w:t>
            </w:r>
          </w:p>
        </w:tc>
        <w:tc>
          <w:tcPr>
            <w:tcW w:w="1340" w:type="dxa"/>
            <w:vAlign w:val="bottom"/>
            <w:tcBorders>
              <w:bottom w:val="single" w:sz="8" w:color="EEEDED"/>
              <w:right w:val="single" w:sz="8" w:color="54585A"/>
            </w:tcBorders>
            <w:shd w:val="clear" w:color="auto" w:fill="EEEDED"/>
          </w:tcPr>
          <w:p>
            <w:pPr>
              <w:ind w:left="1200"/>
              <w:spacing w:after="0"/>
              <w:rPr>
                <w:sz w:val="20"/>
                <w:szCs w:val="20"/>
                <w:color w:val="auto"/>
              </w:rPr>
            </w:pPr>
            <w:r>
              <w:rPr>
                <w:rFonts w:ascii="Arial" w:cs="Arial" w:eastAsia="Arial" w:hAnsi="Arial"/>
                <w:sz w:val="10"/>
                <w:szCs w:val="10"/>
                <w:b w:val="1"/>
                <w:bCs w:val="1"/>
                <w:color w:val="54585A"/>
                <w:w w:val="81"/>
              </w:rPr>
              <w:t>($)</w:t>
            </w:r>
          </w:p>
        </w:tc>
        <w:tc>
          <w:tcPr>
            <w:tcW w:w="2180" w:type="dxa"/>
            <w:vAlign w:val="bottom"/>
            <w:tcBorders>
              <w:bottom w:val="single" w:sz="8" w:color="EEEDED"/>
            </w:tcBorders>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Number of Shares Acquired on Vesting</w:t>
            </w:r>
          </w:p>
        </w:tc>
        <w:tc>
          <w:tcPr>
            <w:tcW w:w="1380" w:type="dxa"/>
            <w:vAlign w:val="bottom"/>
            <w:tcBorders>
              <w:bottom w:val="single" w:sz="8" w:color="EEEDED"/>
            </w:tcBorders>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12"/>
                <w:szCs w:val="12"/>
                <w:b w:val="1"/>
                <w:bCs w:val="1"/>
                <w:color w:val="54585A"/>
                <w:vertAlign w:val="superscript"/>
              </w:rPr>
              <w:t>(2)</w:t>
            </w:r>
          </w:p>
        </w:tc>
      </w:tr>
      <w:tr>
        <w:trPr>
          <w:trHeight w:val="148"/>
        </w:trPr>
        <w:tc>
          <w:tcPr>
            <w:tcW w:w="42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David B. Kagan</w:t>
            </w:r>
          </w:p>
        </w:tc>
        <w:tc>
          <w:tcPr>
            <w:tcW w:w="2140" w:type="dxa"/>
            <w:vAlign w:val="bottom"/>
            <w:tcBorders>
              <w:bottom w:val="single" w:sz="8" w:color="54585A"/>
            </w:tcBorders>
          </w:tcPr>
          <w:p>
            <w:pPr>
              <w:ind w:left="182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8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306,662</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530,261</w:t>
            </w:r>
          </w:p>
        </w:tc>
      </w:tr>
      <w:tr>
        <w:trPr>
          <w:trHeight w:val="142"/>
        </w:trPr>
        <w:tc>
          <w:tcPr>
            <w:tcW w:w="42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Rebecca S. Clary</w:t>
            </w:r>
          </w:p>
        </w:tc>
        <w:tc>
          <w:tcPr>
            <w:tcW w:w="2140" w:type="dxa"/>
            <w:vAlign w:val="bottom"/>
            <w:tcBorders>
              <w:bottom w:val="single" w:sz="8" w:color="54585A"/>
            </w:tcBorders>
          </w:tcPr>
          <w:p>
            <w:pPr>
              <w:ind w:left="182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8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356,679</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574,450</w:t>
            </w:r>
          </w:p>
        </w:tc>
      </w:tr>
      <w:tr>
        <w:trPr>
          <w:trHeight w:val="142"/>
        </w:trPr>
        <w:tc>
          <w:tcPr>
            <w:tcW w:w="42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2140" w:type="dxa"/>
            <w:vAlign w:val="bottom"/>
            <w:tcBorders>
              <w:bottom w:val="single" w:sz="8" w:color="54585A"/>
            </w:tcBorders>
          </w:tcPr>
          <w:p>
            <w:pPr>
              <w:ind w:left="182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8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369,654</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610,261</w:t>
            </w:r>
          </w:p>
        </w:tc>
      </w:tr>
    </w:tbl>
    <w:p>
      <w:pPr>
        <w:spacing w:after="0" w:line="123" w:lineRule="exact"/>
        <w:rPr>
          <w:sz w:val="20"/>
          <w:szCs w:val="20"/>
          <w:color w:val="auto"/>
        </w:rPr>
      </w:pPr>
    </w:p>
    <w:p>
      <w:pPr>
        <w:ind w:left="208" w:hanging="208"/>
        <w:spacing w:after="0"/>
        <w:tabs>
          <w:tab w:leader="none" w:pos="208" w:val="left"/>
        </w:tabs>
        <w:numPr>
          <w:ilvl w:val="0"/>
          <w:numId w:val="55"/>
        </w:numPr>
        <w:rPr>
          <w:rFonts w:ascii="Arial" w:cs="Arial" w:eastAsia="Arial" w:hAnsi="Arial"/>
          <w:sz w:val="10"/>
          <w:szCs w:val="10"/>
          <w:color w:val="54585A"/>
        </w:rPr>
      </w:pPr>
      <w:r>
        <w:rPr>
          <w:rFonts w:ascii="Arial" w:cs="Arial" w:eastAsia="Arial" w:hAnsi="Arial"/>
          <w:sz w:val="10"/>
          <w:szCs w:val="10"/>
          <w:color w:val="54585A"/>
        </w:rPr>
        <w:t>The value realized upon exercise represents the excess of the market price of the underlying securities on the date of exercise and the exercise price of the options.</w:t>
      </w:r>
    </w:p>
    <w:p>
      <w:pPr>
        <w:spacing w:after="0" w:line="74" w:lineRule="exact"/>
        <w:rPr>
          <w:rFonts w:ascii="Arial" w:cs="Arial" w:eastAsia="Arial" w:hAnsi="Arial"/>
          <w:sz w:val="10"/>
          <w:szCs w:val="10"/>
          <w:color w:val="54585A"/>
        </w:rPr>
      </w:pPr>
    </w:p>
    <w:p>
      <w:pPr>
        <w:ind w:left="208" w:right="340" w:hanging="208"/>
        <w:spacing w:after="0" w:line="238" w:lineRule="auto"/>
        <w:tabs>
          <w:tab w:leader="none" w:pos="208" w:val="left"/>
        </w:tabs>
        <w:numPr>
          <w:ilvl w:val="0"/>
          <w:numId w:val="55"/>
        </w:numPr>
        <w:rPr>
          <w:rFonts w:ascii="Arial" w:cs="Arial" w:eastAsia="Arial" w:hAnsi="Arial"/>
          <w:sz w:val="10"/>
          <w:szCs w:val="10"/>
          <w:color w:val="54585A"/>
        </w:rPr>
      </w:pPr>
      <w:r>
        <w:rPr>
          <w:rFonts w:ascii="Arial" w:cs="Arial" w:eastAsia="Arial" w:hAnsi="Arial"/>
          <w:sz w:val="10"/>
          <w:szCs w:val="10"/>
          <w:color w:val="54585A"/>
        </w:rPr>
        <w:t>The aggregate market value realized upon the vesting of restricted stock awards represents the aggregate market value of Globalstar common stock on the vesting date, which was determined using the closing price on the vesting date, or if such day is a weekend or holiday, on the immediately preceding trading day.</w:t>
      </w:r>
    </w:p>
    <w:p>
      <w:pPr>
        <w:spacing w:after="0" w:line="2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Payments Upon Termination or Change in Control</w:t>
      </w:r>
    </w:p>
    <w:p>
      <w:pPr>
        <w:spacing w:after="0" w:line="68" w:lineRule="exact"/>
        <w:rPr>
          <w:sz w:val="20"/>
          <w:szCs w:val="20"/>
          <w:color w:val="auto"/>
        </w:rPr>
      </w:pPr>
    </w:p>
    <w:p>
      <w:pPr>
        <w:ind w:left="8" w:right="20"/>
        <w:spacing w:after="0" w:line="326" w:lineRule="auto"/>
        <w:rPr>
          <w:sz w:val="20"/>
          <w:szCs w:val="20"/>
          <w:color w:val="auto"/>
        </w:rPr>
      </w:pPr>
      <w:r>
        <w:rPr>
          <w:rFonts w:ascii="Arial" w:cs="Arial" w:eastAsia="Arial" w:hAnsi="Arial"/>
          <w:sz w:val="11"/>
          <w:szCs w:val="11"/>
          <w:color w:val="54585A"/>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97" w:lineRule="exact"/>
        <w:rPr>
          <w:sz w:val="20"/>
          <w:szCs w:val="20"/>
          <w:color w:val="auto"/>
        </w:rPr>
      </w:pPr>
    </w:p>
    <w:p>
      <w:pPr>
        <w:ind w:left="8" w:right="180"/>
        <w:spacing w:after="0" w:line="345" w:lineRule="auto"/>
        <w:rPr>
          <w:sz w:val="20"/>
          <w:szCs w:val="20"/>
          <w:color w:val="auto"/>
        </w:rPr>
      </w:pPr>
      <w:r>
        <w:rPr>
          <w:rFonts w:ascii="Arial" w:cs="Arial" w:eastAsia="Arial" w:hAnsi="Arial"/>
          <w:sz w:val="11"/>
          <w:szCs w:val="11"/>
          <w:color w:val="54585A"/>
        </w:rPr>
        <w:t>Severance payments may be paid to eligible U.S.-based employees if an employee is terminated due to a reduction in workforce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77" w:lineRule="exact"/>
        <w:rPr>
          <w:sz w:val="20"/>
          <w:szCs w:val="20"/>
          <w:color w:val="auto"/>
        </w:rPr>
      </w:pPr>
    </w:p>
    <w:p>
      <w:pPr>
        <w:ind w:left="8" w:right="60"/>
        <w:spacing w:after="0" w:line="321" w:lineRule="auto"/>
        <w:rPr>
          <w:sz w:val="20"/>
          <w:szCs w:val="20"/>
          <w:color w:val="auto"/>
        </w:rPr>
      </w:pPr>
      <w:r>
        <w:rPr>
          <w:rFonts w:ascii="Arial" w:cs="Arial" w:eastAsia="Arial" w:hAnsi="Arial"/>
          <w:sz w:val="11"/>
          <w:szCs w:val="11"/>
          <w:color w:val="54585A"/>
        </w:rPr>
        <w:t>Under the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217170</wp:posOffset>
            </wp:positionV>
            <wp:extent cx="1714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2" w:name="page33"/>
    <w:bookmarkEnd w:id="32"/>
    <w:p>
      <w:pPr>
        <w:ind w:left="68" w:hanging="68"/>
        <w:spacing w:after="0"/>
        <w:tabs>
          <w:tab w:leader="none" w:pos="68" w:val="left"/>
        </w:tabs>
        <w:numPr>
          <w:ilvl w:val="0"/>
          <w:numId w:val="56"/>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8" w:right="260"/>
        <w:spacing w:after="0" w:line="326" w:lineRule="auto"/>
        <w:rPr>
          <w:sz w:val="20"/>
          <w:szCs w:val="20"/>
          <w:color w:val="auto"/>
        </w:rPr>
      </w:pPr>
      <w:r>
        <w:rPr>
          <w:rFonts w:ascii="Arial" w:cs="Arial" w:eastAsia="Arial" w:hAnsi="Arial"/>
          <w:sz w:val="11"/>
          <w:szCs w:val="11"/>
          <w:color w:val="54585A"/>
        </w:rPr>
        <w:t>The following table shows the amount of potential payments to the current named executive officers under the listed events, based on the assumption that the triggering event took place on December 31, 2022. In connection with his service as an executive officer of the Company, Mr. Monroe did not receive any compensation nor does Mr. Monroe does not have any outstanding equity awards at 2022 fiscal year-end and therefore not reflected in the table below. There are no unvested stock options for Messrs. Kagan and Ponder or Ms. Clary and therefore amounts are not reflected in the table below.</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6420" w:type="dxa"/>
            <w:vAlign w:val="bottom"/>
            <w:tcBorders>
              <w:bottom w:val="single" w:sz="8" w:color="EEEDED"/>
            </w:tcBorders>
            <w:shd w:val="clear" w:color="auto" w:fill="EEEDED"/>
          </w:tcPr>
          <w:p>
            <w:pPr>
              <w:spacing w:after="0"/>
              <w:rPr>
                <w:sz w:val="16"/>
                <w:szCs w:val="16"/>
                <w:color w:val="auto"/>
              </w:rPr>
            </w:pPr>
          </w:p>
        </w:tc>
        <w:tc>
          <w:tcPr>
            <w:tcW w:w="320" w:type="dxa"/>
            <w:vAlign w:val="bottom"/>
            <w:tcBorders>
              <w:bottom w:val="single" w:sz="8" w:color="EEEDED"/>
            </w:tcBorders>
            <w:shd w:val="clear" w:color="auto" w:fill="EEEDED"/>
          </w:tcPr>
          <w:p>
            <w:pPr>
              <w:spacing w:after="0"/>
              <w:rPr>
                <w:sz w:val="16"/>
                <w:szCs w:val="16"/>
                <w:color w:val="auto"/>
              </w:rPr>
            </w:pPr>
          </w:p>
        </w:tc>
        <w:tc>
          <w:tcPr>
            <w:tcW w:w="1280" w:type="dxa"/>
            <w:vAlign w:val="bottom"/>
            <w:tcBorders>
              <w:bottom w:val="single" w:sz="8" w:color="EEEDED"/>
            </w:tcBorders>
            <w:shd w:val="clear" w:color="auto" w:fill="EEEDED"/>
          </w:tcPr>
          <w:p>
            <w:pPr>
              <w:jc w:val="right"/>
              <w:ind w:right="512"/>
              <w:spacing w:after="0"/>
              <w:rPr>
                <w:sz w:val="20"/>
                <w:szCs w:val="20"/>
                <w:color w:val="auto"/>
              </w:rPr>
            </w:pPr>
            <w:r>
              <w:rPr>
                <w:rFonts w:ascii="Arial" w:cs="Arial" w:eastAsia="Arial" w:hAnsi="Arial"/>
                <w:sz w:val="10"/>
                <w:szCs w:val="10"/>
                <w:b w:val="1"/>
                <w:bCs w:val="1"/>
                <w:color w:val="54585A"/>
              </w:rPr>
              <w:t>Mr. Kagan</w:t>
            </w:r>
          </w:p>
        </w:tc>
        <w:tc>
          <w:tcPr>
            <w:tcW w:w="360" w:type="dxa"/>
            <w:vAlign w:val="bottom"/>
            <w:tcBorders>
              <w:bottom w:val="single" w:sz="8" w:color="EEEDED"/>
            </w:tcBorders>
            <w:shd w:val="clear" w:color="auto" w:fill="EEEDED"/>
          </w:tcPr>
          <w:p>
            <w:pPr>
              <w:spacing w:after="0"/>
              <w:rPr>
                <w:sz w:val="16"/>
                <w:szCs w:val="16"/>
                <w:color w:val="auto"/>
              </w:rPr>
            </w:pPr>
          </w:p>
        </w:tc>
        <w:tc>
          <w:tcPr>
            <w:tcW w:w="1280" w:type="dxa"/>
            <w:vAlign w:val="bottom"/>
            <w:tcBorders>
              <w:bottom w:val="single" w:sz="8" w:color="EEEDED"/>
            </w:tcBorders>
            <w:shd w:val="clear" w:color="auto" w:fill="EEEDED"/>
          </w:tcPr>
          <w:p>
            <w:pPr>
              <w:jc w:val="right"/>
              <w:ind w:right="552"/>
              <w:spacing w:after="0"/>
              <w:rPr>
                <w:sz w:val="20"/>
                <w:szCs w:val="20"/>
                <w:color w:val="auto"/>
              </w:rPr>
            </w:pPr>
            <w:r>
              <w:rPr>
                <w:rFonts w:ascii="Arial" w:cs="Arial" w:eastAsia="Arial" w:hAnsi="Arial"/>
                <w:sz w:val="10"/>
                <w:szCs w:val="10"/>
                <w:b w:val="1"/>
                <w:bCs w:val="1"/>
                <w:color w:val="54585A"/>
              </w:rPr>
              <w:t>Ms. Clary</w:t>
            </w:r>
          </w:p>
        </w:tc>
        <w:tc>
          <w:tcPr>
            <w:tcW w:w="320" w:type="dxa"/>
            <w:vAlign w:val="bottom"/>
            <w:tcBorders>
              <w:bottom w:val="single" w:sz="8" w:color="EEEDED"/>
            </w:tcBorders>
            <w:shd w:val="clear" w:color="auto" w:fill="EEEDED"/>
          </w:tcPr>
          <w:p>
            <w:pPr>
              <w:spacing w:after="0"/>
              <w:rPr>
                <w:sz w:val="16"/>
                <w:szCs w:val="16"/>
                <w:color w:val="auto"/>
              </w:rPr>
            </w:pPr>
          </w:p>
        </w:tc>
        <w:tc>
          <w:tcPr>
            <w:tcW w:w="1320" w:type="dxa"/>
            <w:vAlign w:val="bottom"/>
            <w:tcBorders>
              <w:bottom w:val="single" w:sz="8" w:color="EEEDED"/>
            </w:tcBorders>
            <w:shd w:val="clear" w:color="auto" w:fill="EEEDED"/>
          </w:tcPr>
          <w:p>
            <w:pPr>
              <w:jc w:val="right"/>
              <w:ind w:right="532"/>
              <w:spacing w:after="0"/>
              <w:rPr>
                <w:sz w:val="20"/>
                <w:szCs w:val="20"/>
                <w:color w:val="auto"/>
              </w:rPr>
            </w:pPr>
            <w:r>
              <w:rPr>
                <w:rFonts w:ascii="Arial" w:cs="Arial" w:eastAsia="Arial" w:hAnsi="Arial"/>
                <w:sz w:val="10"/>
                <w:szCs w:val="10"/>
                <w:b w:val="1"/>
                <w:bCs w:val="1"/>
                <w:color w:val="54585A"/>
              </w:rPr>
              <w:t>Mr. Ponder</w:t>
            </w:r>
          </w:p>
        </w:tc>
      </w:tr>
      <w:tr>
        <w:trPr>
          <w:trHeight w:val="148"/>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Death</w:t>
            </w:r>
          </w:p>
        </w:tc>
        <w:tc>
          <w:tcPr>
            <w:tcW w:w="32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6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39"/>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Insurance proceeds</w:t>
            </w:r>
          </w:p>
        </w:tc>
        <w:tc>
          <w:tcPr>
            <w:tcW w:w="32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700,000</w:t>
            </w:r>
          </w:p>
        </w:tc>
        <w:tc>
          <w:tcPr>
            <w:tcW w:w="3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574,000</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594,000</w:t>
            </w:r>
          </w:p>
        </w:tc>
      </w:tr>
      <w:tr>
        <w:trPr>
          <w:trHeight w:val="145"/>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Termination – Reduction in Workforce</w:t>
            </w:r>
          </w:p>
        </w:tc>
        <w:tc>
          <w:tcPr>
            <w:tcW w:w="32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6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35"/>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Severance</w:t>
            </w:r>
          </w:p>
        </w:tc>
        <w:tc>
          <w:tcPr>
            <w:tcW w:w="32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55,085</w:t>
            </w:r>
          </w:p>
        </w:tc>
        <w:tc>
          <w:tcPr>
            <w:tcW w:w="3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31,494</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33,090</w:t>
            </w:r>
          </w:p>
        </w:tc>
      </w:tr>
      <w:tr>
        <w:trPr>
          <w:trHeight w:val="140"/>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Change in Control</w:t>
            </w:r>
          </w:p>
        </w:tc>
        <w:tc>
          <w:tcPr>
            <w:tcW w:w="32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6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39"/>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Immediate Vesting of Unvested Restricted Stock Awards</w:t>
            </w:r>
          </w:p>
        </w:tc>
        <w:tc>
          <w:tcPr>
            <w:tcW w:w="32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2,252,150</w:t>
            </w:r>
          </w:p>
        </w:tc>
        <w:tc>
          <w:tcPr>
            <w:tcW w:w="3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899,983</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656,156</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
        <w:spacing w:after="0"/>
        <w:rPr>
          <w:sz w:val="20"/>
          <w:szCs w:val="20"/>
          <w:color w:val="auto"/>
        </w:rPr>
      </w:pPr>
      <w:r>
        <w:rPr>
          <w:rFonts w:ascii="Arial" w:cs="Arial" w:eastAsia="Arial" w:hAnsi="Arial"/>
          <w:sz w:val="19"/>
          <w:szCs w:val="19"/>
          <w:color w:val="54585A"/>
        </w:rPr>
        <w:t>Equity Compensation Plan Information</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following table provides information as of December 31, 2022 regarding the number of shares of Common Stock that may be issued under our equity compensation plans.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66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Number of securities to be issued upon</w:t>
            </w:r>
          </w:p>
        </w:tc>
        <w:tc>
          <w:tcPr>
            <w:tcW w:w="300" w:type="dxa"/>
            <w:vAlign w:val="bottom"/>
            <w:shd w:val="clear" w:color="auto" w:fill="EEEDED"/>
          </w:tcPr>
          <w:p>
            <w:pPr>
              <w:spacing w:after="0"/>
              <w:rPr>
                <w:sz w:val="10"/>
                <w:szCs w:val="10"/>
                <w:color w:val="auto"/>
              </w:rPr>
            </w:pPr>
          </w:p>
        </w:tc>
        <w:tc>
          <w:tcPr>
            <w:tcW w:w="1800" w:type="dxa"/>
            <w:vAlign w:val="bottom"/>
            <w:shd w:val="clear" w:color="auto" w:fill="EEEDED"/>
          </w:tcPr>
          <w:p>
            <w:pPr>
              <w:spacing w:after="0"/>
              <w:rPr>
                <w:sz w:val="10"/>
                <w:szCs w:val="10"/>
                <w:color w:val="auto"/>
              </w:rPr>
            </w:pPr>
          </w:p>
        </w:tc>
        <w:tc>
          <w:tcPr>
            <w:tcW w:w="300" w:type="dxa"/>
            <w:vAlign w:val="bottom"/>
            <w:shd w:val="clear" w:color="auto" w:fill="EEEDED"/>
          </w:tcPr>
          <w:p>
            <w:pPr>
              <w:spacing w:after="0"/>
              <w:rPr>
                <w:sz w:val="10"/>
                <w:szCs w:val="10"/>
                <w:color w:val="auto"/>
              </w:rPr>
            </w:pPr>
          </w:p>
        </w:tc>
        <w:tc>
          <w:tcPr>
            <w:tcW w:w="2680" w:type="dxa"/>
            <w:vAlign w:val="bottom"/>
            <w:shd w:val="clear" w:color="auto" w:fill="EEEDED"/>
          </w:tcPr>
          <w:p>
            <w:pPr>
              <w:spacing w:after="0"/>
              <w:rPr>
                <w:sz w:val="10"/>
                <w:szCs w:val="10"/>
                <w:color w:val="auto"/>
              </w:rPr>
            </w:pPr>
          </w:p>
        </w:tc>
        <w:tc>
          <w:tcPr>
            <w:tcW w:w="340" w:type="dxa"/>
            <w:vAlign w:val="bottom"/>
            <w:shd w:val="clear" w:color="auto" w:fill="EEEDED"/>
          </w:tcPr>
          <w:p>
            <w:pPr>
              <w:spacing w:after="0"/>
              <w:rPr>
                <w:sz w:val="10"/>
                <w:szCs w:val="10"/>
                <w:color w:val="auto"/>
              </w:rPr>
            </w:pPr>
          </w:p>
        </w:tc>
      </w:tr>
      <w:tr>
        <w:trPr>
          <w:trHeight w:val="117"/>
        </w:trPr>
        <w:tc>
          <w:tcPr>
            <w:tcW w:w="366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exercise of outstanding options, warrants and</w:t>
            </w:r>
          </w:p>
        </w:tc>
        <w:tc>
          <w:tcPr>
            <w:tcW w:w="300" w:type="dxa"/>
            <w:vAlign w:val="bottom"/>
            <w:shd w:val="clear" w:color="auto" w:fill="EEEDED"/>
          </w:tcPr>
          <w:p>
            <w:pPr>
              <w:spacing w:after="0"/>
              <w:rPr>
                <w:sz w:val="10"/>
                <w:szCs w:val="10"/>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Weighted-average exercise price of</w:t>
            </w:r>
          </w:p>
        </w:tc>
        <w:tc>
          <w:tcPr>
            <w:tcW w:w="300" w:type="dxa"/>
            <w:vAlign w:val="bottom"/>
            <w:shd w:val="clear" w:color="auto" w:fill="EEEDED"/>
          </w:tcPr>
          <w:p>
            <w:pPr>
              <w:spacing w:after="0"/>
              <w:rPr>
                <w:sz w:val="10"/>
                <w:szCs w:val="10"/>
                <w:color w:val="auto"/>
              </w:rPr>
            </w:pPr>
          </w:p>
        </w:tc>
        <w:tc>
          <w:tcPr>
            <w:tcW w:w="268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Number of securities remaining available for future</w:t>
            </w:r>
          </w:p>
        </w:tc>
        <w:tc>
          <w:tcPr>
            <w:tcW w:w="340" w:type="dxa"/>
            <w:vAlign w:val="bottom"/>
            <w:shd w:val="clear" w:color="auto" w:fill="EEEDED"/>
          </w:tcPr>
          <w:p>
            <w:pPr>
              <w:spacing w:after="0"/>
              <w:rPr>
                <w:sz w:val="10"/>
                <w:szCs w:val="10"/>
                <w:color w:val="auto"/>
              </w:rPr>
            </w:pPr>
          </w:p>
        </w:tc>
      </w:tr>
      <w:tr>
        <w:trPr>
          <w:trHeight w:val="117"/>
        </w:trPr>
        <w:tc>
          <w:tcPr>
            <w:tcW w:w="366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rPr>
              <w:t>rights</w:t>
            </w:r>
          </w:p>
        </w:tc>
        <w:tc>
          <w:tcPr>
            <w:tcW w:w="300" w:type="dxa"/>
            <w:vAlign w:val="bottom"/>
            <w:shd w:val="clear" w:color="auto" w:fill="EEEDED"/>
          </w:tcPr>
          <w:p>
            <w:pPr>
              <w:spacing w:after="0"/>
              <w:rPr>
                <w:sz w:val="10"/>
                <w:szCs w:val="10"/>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outstanding options, warrants and</w:t>
            </w:r>
          </w:p>
        </w:tc>
        <w:tc>
          <w:tcPr>
            <w:tcW w:w="300" w:type="dxa"/>
            <w:vAlign w:val="bottom"/>
            <w:shd w:val="clear" w:color="auto" w:fill="EEEDED"/>
          </w:tcPr>
          <w:p>
            <w:pPr>
              <w:spacing w:after="0"/>
              <w:rPr>
                <w:sz w:val="10"/>
                <w:szCs w:val="10"/>
                <w:color w:val="auto"/>
              </w:rPr>
            </w:pPr>
          </w:p>
        </w:tc>
        <w:tc>
          <w:tcPr>
            <w:tcW w:w="268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issuance under equity compensation plans (excluding</w:t>
            </w:r>
          </w:p>
        </w:tc>
        <w:tc>
          <w:tcPr>
            <w:tcW w:w="340" w:type="dxa"/>
            <w:vAlign w:val="bottom"/>
            <w:shd w:val="clear" w:color="auto" w:fill="EEEDED"/>
          </w:tcPr>
          <w:p>
            <w:pPr>
              <w:spacing w:after="0"/>
              <w:rPr>
                <w:sz w:val="10"/>
                <w:szCs w:val="10"/>
                <w:color w:val="auto"/>
              </w:rPr>
            </w:pPr>
          </w:p>
        </w:tc>
      </w:tr>
      <w:tr>
        <w:trPr>
          <w:trHeight w:val="133"/>
        </w:trPr>
        <w:tc>
          <w:tcPr>
            <w:tcW w:w="366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Plan category</w:t>
            </w: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7"/>
              </w:rPr>
              <w:t>(a)</w:t>
            </w:r>
          </w:p>
        </w:tc>
        <w:tc>
          <w:tcPr>
            <w:tcW w:w="300" w:type="dxa"/>
            <w:vAlign w:val="bottom"/>
            <w:shd w:val="clear" w:color="auto" w:fill="EEEDED"/>
          </w:tcPr>
          <w:p>
            <w:pPr>
              <w:spacing w:after="0"/>
              <w:rPr>
                <w:sz w:val="11"/>
                <w:szCs w:val="11"/>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rPr>
              <w:t>rights</w:t>
            </w:r>
          </w:p>
        </w:tc>
        <w:tc>
          <w:tcPr>
            <w:tcW w:w="300" w:type="dxa"/>
            <w:vAlign w:val="bottom"/>
            <w:shd w:val="clear" w:color="auto" w:fill="EEEDED"/>
          </w:tcPr>
          <w:p>
            <w:pPr>
              <w:spacing w:after="0"/>
              <w:rPr>
                <w:sz w:val="11"/>
                <w:szCs w:val="11"/>
                <w:color w:val="auto"/>
              </w:rPr>
            </w:pPr>
          </w:p>
        </w:tc>
        <w:tc>
          <w:tcPr>
            <w:tcW w:w="268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securities reflected in column (a))</w:t>
            </w:r>
          </w:p>
        </w:tc>
        <w:tc>
          <w:tcPr>
            <w:tcW w:w="340" w:type="dxa"/>
            <w:vAlign w:val="bottom"/>
            <w:shd w:val="clear" w:color="auto" w:fill="EEEDED"/>
          </w:tcPr>
          <w:p>
            <w:pPr>
              <w:spacing w:after="0"/>
              <w:rPr>
                <w:sz w:val="11"/>
                <w:szCs w:val="11"/>
                <w:color w:val="auto"/>
              </w:rPr>
            </w:pPr>
          </w:p>
        </w:tc>
      </w:tr>
      <w:tr>
        <w:trPr>
          <w:trHeight w:val="65"/>
        </w:trPr>
        <w:tc>
          <w:tcPr>
            <w:tcW w:w="3660" w:type="dxa"/>
            <w:vAlign w:val="bottom"/>
            <w:shd w:val="clear" w:color="auto" w:fill="EEEDED"/>
          </w:tcPr>
          <w:p>
            <w:pPr>
              <w:spacing w:after="0"/>
              <w:rPr>
                <w:sz w:val="5"/>
                <w:szCs w:val="5"/>
                <w:color w:val="auto"/>
              </w:rPr>
            </w:pPr>
          </w:p>
        </w:tc>
        <w:tc>
          <w:tcPr>
            <w:tcW w:w="2220" w:type="dxa"/>
            <w:vAlign w:val="bottom"/>
            <w:shd w:val="clear" w:color="auto" w:fill="EEEDED"/>
          </w:tcPr>
          <w:p>
            <w:pPr>
              <w:spacing w:after="0"/>
              <w:rPr>
                <w:sz w:val="5"/>
                <w:szCs w:val="5"/>
                <w:color w:val="auto"/>
              </w:rPr>
            </w:pPr>
          </w:p>
        </w:tc>
        <w:tc>
          <w:tcPr>
            <w:tcW w:w="300" w:type="dxa"/>
            <w:vAlign w:val="bottom"/>
            <w:shd w:val="clear" w:color="auto" w:fill="EEEDED"/>
          </w:tcPr>
          <w:p>
            <w:pPr>
              <w:spacing w:after="0"/>
              <w:rPr>
                <w:sz w:val="5"/>
                <w:szCs w:val="5"/>
                <w:color w:val="auto"/>
              </w:rPr>
            </w:pPr>
          </w:p>
        </w:tc>
        <w:tc>
          <w:tcPr>
            <w:tcW w:w="1800" w:type="dxa"/>
            <w:vAlign w:val="bottom"/>
            <w:shd w:val="clear" w:color="auto" w:fill="EEEDED"/>
          </w:tcPr>
          <w:p>
            <w:pPr>
              <w:spacing w:after="0"/>
              <w:rPr>
                <w:sz w:val="5"/>
                <w:szCs w:val="5"/>
                <w:color w:val="auto"/>
              </w:rPr>
            </w:pPr>
          </w:p>
        </w:tc>
        <w:tc>
          <w:tcPr>
            <w:tcW w:w="300" w:type="dxa"/>
            <w:vAlign w:val="bottom"/>
            <w:shd w:val="clear" w:color="auto" w:fill="EEEDED"/>
          </w:tcPr>
          <w:p>
            <w:pPr>
              <w:spacing w:after="0"/>
              <w:rPr>
                <w:sz w:val="5"/>
                <w:szCs w:val="5"/>
                <w:color w:val="auto"/>
              </w:rPr>
            </w:pPr>
          </w:p>
        </w:tc>
        <w:tc>
          <w:tcPr>
            <w:tcW w:w="2680" w:type="dxa"/>
            <w:vAlign w:val="bottom"/>
            <w:shd w:val="clear" w:color="auto" w:fill="EEEDED"/>
          </w:tcPr>
          <w:p>
            <w:pPr>
              <w:spacing w:after="0"/>
              <w:rPr>
                <w:sz w:val="5"/>
                <w:szCs w:val="5"/>
                <w:color w:val="auto"/>
              </w:rPr>
            </w:pPr>
          </w:p>
        </w:tc>
        <w:tc>
          <w:tcPr>
            <w:tcW w:w="340" w:type="dxa"/>
            <w:vAlign w:val="bottom"/>
            <w:shd w:val="clear" w:color="auto" w:fill="EEEDED"/>
          </w:tcPr>
          <w:p>
            <w:pPr>
              <w:spacing w:after="0"/>
              <w:rPr>
                <w:sz w:val="5"/>
                <w:szCs w:val="5"/>
                <w:color w:val="auto"/>
              </w:rPr>
            </w:pPr>
          </w:p>
        </w:tc>
      </w:tr>
      <w:tr>
        <w:trPr>
          <w:trHeight w:val="145"/>
        </w:trPr>
        <w:tc>
          <w:tcPr>
            <w:tcW w:w="366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Equity compensation plans approved by security holders</w:t>
            </w:r>
          </w:p>
        </w:tc>
        <w:tc>
          <w:tcPr>
            <w:tcW w:w="22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18,053,751</w:t>
            </w:r>
          </w:p>
        </w:tc>
        <w:tc>
          <w:tcPr>
            <w:tcW w:w="30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(1)</w:t>
            </w: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$1.29</w:t>
            </w:r>
          </w:p>
        </w:tc>
        <w:tc>
          <w:tcPr>
            <w:tcW w:w="30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(2)</w:t>
            </w:r>
          </w:p>
        </w:tc>
        <w:tc>
          <w:tcPr>
            <w:tcW w:w="268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4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(3)</w:t>
            </w:r>
          </w:p>
        </w:tc>
      </w:tr>
      <w:tr>
        <w:trPr>
          <w:trHeight w:val="142"/>
        </w:trPr>
        <w:tc>
          <w:tcPr>
            <w:tcW w:w="366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Equity compensation plans not approved by security holders</w:t>
            </w:r>
          </w:p>
        </w:tc>
        <w:tc>
          <w:tcPr>
            <w:tcW w:w="22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79"/>
              </w:rPr>
              <w:t>—</w:t>
            </w:r>
          </w:p>
        </w:tc>
        <w:tc>
          <w:tcPr>
            <w:tcW w:w="300" w:type="dxa"/>
            <w:vAlign w:val="bottom"/>
            <w:tcBorders>
              <w:bottom w:val="single" w:sz="8" w:color="54585A"/>
            </w:tcBorders>
          </w:tcPr>
          <w:p>
            <w:pPr>
              <w:spacing w:after="0"/>
              <w:rPr>
                <w:sz w:val="12"/>
                <w:szCs w:val="12"/>
                <w:color w:val="auto"/>
              </w:rPr>
            </w:pP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79"/>
              </w:rPr>
              <w:t>—</w:t>
            </w:r>
          </w:p>
        </w:tc>
        <w:tc>
          <w:tcPr>
            <w:tcW w:w="300" w:type="dxa"/>
            <w:vAlign w:val="bottom"/>
            <w:tcBorders>
              <w:bottom w:val="single" w:sz="8" w:color="54585A"/>
            </w:tcBorders>
          </w:tcPr>
          <w:p>
            <w:pPr>
              <w:spacing w:after="0"/>
              <w:rPr>
                <w:sz w:val="12"/>
                <w:szCs w:val="12"/>
                <w:color w:val="auto"/>
              </w:rPr>
            </w:pPr>
          </w:p>
        </w:tc>
        <w:tc>
          <w:tcPr>
            <w:tcW w:w="268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40" w:type="dxa"/>
            <w:vAlign w:val="bottom"/>
            <w:tcBorders>
              <w:bottom w:val="single" w:sz="8" w:color="54585A"/>
            </w:tcBorders>
          </w:tcPr>
          <w:p>
            <w:pPr>
              <w:spacing w:after="0"/>
              <w:rPr>
                <w:sz w:val="12"/>
                <w:szCs w:val="12"/>
                <w:color w:val="auto"/>
              </w:rPr>
            </w:pPr>
          </w:p>
        </w:tc>
      </w:tr>
      <w:tr>
        <w:trPr>
          <w:trHeight w:val="145"/>
        </w:trPr>
        <w:tc>
          <w:tcPr>
            <w:tcW w:w="366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Total</w:t>
            </w:r>
          </w:p>
        </w:tc>
        <w:tc>
          <w:tcPr>
            <w:tcW w:w="22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18,053,751</w:t>
            </w:r>
          </w:p>
        </w:tc>
        <w:tc>
          <w:tcPr>
            <w:tcW w:w="30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(1)</w:t>
            </w: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$1.29</w:t>
            </w:r>
          </w:p>
        </w:tc>
        <w:tc>
          <w:tcPr>
            <w:tcW w:w="30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(2)</w:t>
            </w:r>
          </w:p>
        </w:tc>
        <w:tc>
          <w:tcPr>
            <w:tcW w:w="268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4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(3)</w:t>
            </w:r>
          </w:p>
        </w:tc>
      </w:tr>
    </w:tbl>
    <w:p>
      <w:pPr>
        <w:spacing w:after="0" w:line="123" w:lineRule="exact"/>
        <w:rPr>
          <w:sz w:val="20"/>
          <w:szCs w:val="20"/>
          <w:color w:val="auto"/>
        </w:rPr>
      </w:pPr>
    </w:p>
    <w:p>
      <w:pPr>
        <w:ind w:left="208" w:hanging="208"/>
        <w:spacing w:after="0"/>
        <w:tabs>
          <w:tab w:leader="none" w:pos="208"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Consists of unvested restricted stock awards, unvested restricted stock units and unexercised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Restricted stock awards and restricted stock units do not have an exercise price; therefore, this column only reflects the weighted-average exercise price of outstanding stock options.</w:t>
      </w:r>
    </w:p>
    <w:p>
      <w:pPr>
        <w:spacing w:after="0" w:line="74" w:lineRule="exact"/>
        <w:rPr>
          <w:rFonts w:ascii="Arial" w:cs="Arial" w:eastAsia="Arial" w:hAnsi="Arial"/>
          <w:sz w:val="10"/>
          <w:szCs w:val="10"/>
          <w:color w:val="54585A"/>
        </w:rPr>
      </w:pPr>
    </w:p>
    <w:p>
      <w:pPr>
        <w:ind w:left="208" w:right="40" w:hanging="208"/>
        <w:spacing w:after="0" w:line="256" w:lineRule="auto"/>
        <w:tabs>
          <w:tab w:leader="none" w:pos="208"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As of December 31, 2022, there were no remaining shares of common stock reserved for future issuance under our 2006 Equity Incentive Plan. In February 2023, our board of directors authorized an additional 20 million shares to be reserved for future issuance under our 2006 Equity Incentive Plan. 7.3 million shares remain available for issuance under our ESPP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440055</wp:posOffset>
            </wp:positionV>
            <wp:extent cx="1714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Arial" w:cs="Arial" w:eastAsia="Arial" w:hAnsi="Arial"/>
          <w:sz w:val="19"/>
          <w:szCs w:val="19"/>
          <w:color w:val="54585A"/>
        </w:rPr>
        <w:t>Pay Versus Performance</w:t>
      </w:r>
    </w:p>
    <w:p>
      <w:pPr>
        <w:spacing w:after="0" w:line="152" w:lineRule="exact"/>
        <w:rPr>
          <w:sz w:val="20"/>
          <w:szCs w:val="20"/>
          <w:color w:val="auto"/>
        </w:rPr>
      </w:pPr>
    </w:p>
    <w:p>
      <w:pPr>
        <w:jc w:val="both"/>
        <w:ind w:left="8" w:right="200"/>
        <w:spacing w:after="0" w:line="326" w:lineRule="auto"/>
        <w:rPr>
          <w:sz w:val="20"/>
          <w:szCs w:val="20"/>
          <w:color w:val="auto"/>
        </w:rPr>
      </w:pPr>
      <w:r>
        <w:rPr>
          <w:rFonts w:ascii="Arial" w:cs="Arial" w:eastAsia="Arial" w:hAnsi="Arial"/>
          <w:sz w:val="11"/>
          <w:szCs w:val="11"/>
          <w:color w:val="54585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we align executive compensation with the Company's performance, refer to "Executive Officers and Compensation - Compensation Discussion and Analysis."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500" w:type="dxa"/>
            <w:vAlign w:val="bottom"/>
            <w:shd w:val="clear" w:color="auto" w:fill="EEEDED"/>
          </w:tcPr>
          <w:p>
            <w:pPr>
              <w:spacing w:after="0"/>
              <w:rPr>
                <w:sz w:val="15"/>
                <w:szCs w:val="15"/>
                <w:color w:val="auto"/>
              </w:rPr>
            </w:pPr>
          </w:p>
        </w:tc>
        <w:tc>
          <w:tcPr>
            <w:tcW w:w="100" w:type="dxa"/>
            <w:vAlign w:val="bottom"/>
            <w:shd w:val="clear" w:color="auto" w:fill="EEEDED"/>
          </w:tcPr>
          <w:p>
            <w:pPr>
              <w:spacing w:after="0"/>
              <w:rPr>
                <w:sz w:val="15"/>
                <w:szCs w:val="15"/>
                <w:color w:val="auto"/>
              </w:rPr>
            </w:pPr>
          </w:p>
        </w:tc>
        <w:tc>
          <w:tcPr>
            <w:tcW w:w="1260" w:type="dxa"/>
            <w:vAlign w:val="bottom"/>
            <w:shd w:val="clear" w:color="auto" w:fill="EEEDED"/>
          </w:tcPr>
          <w:p>
            <w:pPr>
              <w:spacing w:after="0"/>
              <w:rPr>
                <w:sz w:val="15"/>
                <w:szCs w:val="15"/>
                <w:color w:val="auto"/>
              </w:rPr>
            </w:pPr>
          </w:p>
        </w:tc>
        <w:tc>
          <w:tcPr>
            <w:tcW w:w="280" w:type="dxa"/>
            <w:vAlign w:val="bottom"/>
            <w:shd w:val="clear" w:color="auto" w:fill="EEEDED"/>
          </w:tcPr>
          <w:p>
            <w:pPr>
              <w:spacing w:after="0"/>
              <w:rPr>
                <w:sz w:val="15"/>
                <w:szCs w:val="15"/>
                <w:color w:val="auto"/>
              </w:rPr>
            </w:pPr>
          </w:p>
        </w:tc>
        <w:tc>
          <w:tcPr>
            <w:tcW w:w="1080" w:type="dxa"/>
            <w:vAlign w:val="bottom"/>
            <w:shd w:val="clear" w:color="auto" w:fill="EEEDED"/>
          </w:tcPr>
          <w:p>
            <w:pPr>
              <w:spacing w:after="0"/>
              <w:rPr>
                <w:sz w:val="15"/>
                <w:szCs w:val="15"/>
                <w:color w:val="auto"/>
              </w:rPr>
            </w:pPr>
          </w:p>
        </w:tc>
        <w:tc>
          <w:tcPr>
            <w:tcW w:w="200" w:type="dxa"/>
            <w:vAlign w:val="bottom"/>
            <w:shd w:val="clear" w:color="auto" w:fill="EEEDED"/>
          </w:tcPr>
          <w:p>
            <w:pPr>
              <w:spacing w:after="0"/>
              <w:rPr>
                <w:sz w:val="15"/>
                <w:szCs w:val="15"/>
                <w:color w:val="auto"/>
              </w:rPr>
            </w:pPr>
          </w:p>
        </w:tc>
        <w:tc>
          <w:tcPr>
            <w:tcW w:w="1180" w:type="dxa"/>
            <w:vAlign w:val="bottom"/>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6"/>
              </w:rPr>
              <w:t>Average</w:t>
            </w:r>
          </w:p>
        </w:tc>
        <w:tc>
          <w:tcPr>
            <w:tcW w:w="220" w:type="dxa"/>
            <w:vAlign w:val="bottom"/>
            <w:shd w:val="clear" w:color="auto" w:fill="EEEDED"/>
          </w:tcPr>
          <w:p>
            <w:pPr>
              <w:spacing w:after="0"/>
              <w:rPr>
                <w:sz w:val="15"/>
                <w:szCs w:val="15"/>
                <w:color w:val="auto"/>
              </w:rPr>
            </w:pPr>
          </w:p>
        </w:tc>
        <w:tc>
          <w:tcPr>
            <w:tcW w:w="1160" w:type="dxa"/>
            <w:vAlign w:val="bottom"/>
            <w:shd w:val="clear" w:color="auto" w:fill="EEEDED"/>
          </w:tcPr>
          <w:p>
            <w:pPr>
              <w:jc w:val="center"/>
              <w:ind w:right="175"/>
              <w:spacing w:after="0"/>
              <w:rPr>
                <w:sz w:val="20"/>
                <w:szCs w:val="20"/>
                <w:color w:val="auto"/>
              </w:rPr>
            </w:pPr>
            <w:r>
              <w:rPr>
                <w:rFonts w:ascii="Arial" w:cs="Arial" w:eastAsia="Arial" w:hAnsi="Arial"/>
                <w:sz w:val="10"/>
                <w:szCs w:val="10"/>
                <w:b w:val="1"/>
                <w:bCs w:val="1"/>
                <w:color w:val="54585A"/>
                <w:w w:val="96"/>
              </w:rPr>
              <w:t>Average</w:t>
            </w:r>
          </w:p>
        </w:tc>
        <w:tc>
          <w:tcPr>
            <w:tcW w:w="100" w:type="dxa"/>
            <w:vAlign w:val="bottom"/>
            <w:shd w:val="clear" w:color="auto" w:fill="EEEDED"/>
          </w:tcPr>
          <w:p>
            <w:pPr>
              <w:spacing w:after="0"/>
              <w:rPr>
                <w:sz w:val="15"/>
                <w:szCs w:val="15"/>
                <w:color w:val="auto"/>
              </w:rPr>
            </w:pPr>
          </w:p>
        </w:tc>
        <w:tc>
          <w:tcPr>
            <w:tcW w:w="2540" w:type="dxa"/>
            <w:vAlign w:val="bottom"/>
            <w:gridSpan w:val="3"/>
            <w:shd w:val="clear" w:color="auto" w:fill="EEEDED"/>
          </w:tcPr>
          <w:p>
            <w:pPr>
              <w:jc w:val="right"/>
              <w:ind w:right="712"/>
              <w:spacing w:after="0"/>
              <w:rPr>
                <w:sz w:val="20"/>
                <w:szCs w:val="20"/>
                <w:color w:val="auto"/>
              </w:rPr>
            </w:pPr>
            <w:r>
              <w:rPr>
                <w:rFonts w:ascii="Arial" w:cs="Arial" w:eastAsia="Arial" w:hAnsi="Arial"/>
                <w:sz w:val="10"/>
                <w:szCs w:val="10"/>
                <w:b w:val="1"/>
                <w:bCs w:val="1"/>
                <w:color w:val="54585A"/>
              </w:rPr>
              <w:t>Value of initial fixed $100</w:t>
            </w:r>
          </w:p>
        </w:tc>
        <w:tc>
          <w:tcPr>
            <w:tcW w:w="240" w:type="dxa"/>
            <w:vAlign w:val="bottom"/>
            <w:shd w:val="clear" w:color="auto" w:fill="EEEDED"/>
          </w:tcPr>
          <w:p>
            <w:pPr>
              <w:spacing w:after="0"/>
              <w:rPr>
                <w:sz w:val="15"/>
                <w:szCs w:val="15"/>
                <w:color w:val="auto"/>
              </w:rPr>
            </w:pPr>
          </w:p>
        </w:tc>
        <w:tc>
          <w:tcPr>
            <w:tcW w:w="560" w:type="dxa"/>
            <w:vAlign w:val="bottom"/>
            <w:shd w:val="clear" w:color="auto" w:fill="EEEDED"/>
          </w:tcPr>
          <w:p>
            <w:pPr>
              <w:spacing w:after="0"/>
              <w:rPr>
                <w:sz w:val="15"/>
                <w:szCs w:val="15"/>
                <w:color w:val="auto"/>
              </w:rPr>
            </w:pPr>
          </w:p>
        </w:tc>
        <w:tc>
          <w:tcPr>
            <w:tcW w:w="480" w:type="dxa"/>
            <w:vAlign w:val="bottom"/>
            <w:shd w:val="clear" w:color="auto" w:fill="EEEDED"/>
          </w:tcPr>
          <w:p>
            <w:pPr>
              <w:spacing w:after="0"/>
              <w:rPr>
                <w:sz w:val="15"/>
                <w:szCs w:val="15"/>
                <w:color w:val="auto"/>
              </w:rPr>
            </w:pPr>
          </w:p>
        </w:tc>
        <w:tc>
          <w:tcPr>
            <w:tcW w:w="120" w:type="dxa"/>
            <w:vAlign w:val="bottom"/>
            <w:shd w:val="clear" w:color="auto" w:fill="EEEDED"/>
          </w:tcPr>
          <w:p>
            <w:pPr>
              <w:spacing w:after="0"/>
              <w:rPr>
                <w:sz w:val="15"/>
                <w:szCs w:val="15"/>
                <w:color w:val="auto"/>
              </w:rPr>
            </w:pPr>
          </w:p>
        </w:tc>
        <w:tc>
          <w:tcPr>
            <w:tcW w:w="880" w:type="dxa"/>
            <w:vAlign w:val="bottom"/>
            <w:shd w:val="clear" w:color="auto" w:fill="EEEDED"/>
          </w:tcPr>
          <w:p>
            <w:pPr>
              <w:spacing w:after="0"/>
              <w:rPr>
                <w:sz w:val="15"/>
                <w:szCs w:val="15"/>
                <w:color w:val="auto"/>
              </w:rPr>
            </w:pPr>
          </w:p>
        </w:tc>
        <w:tc>
          <w:tcPr>
            <w:tcW w:w="260" w:type="dxa"/>
            <w:vAlign w:val="bottom"/>
            <w:shd w:val="clear" w:color="auto" w:fill="EEEDED"/>
          </w:tcPr>
          <w:p>
            <w:pPr>
              <w:spacing w:after="0"/>
              <w:rPr>
                <w:sz w:val="15"/>
                <w:szCs w:val="15"/>
                <w:color w:val="auto"/>
              </w:rPr>
            </w:pPr>
          </w:p>
        </w:tc>
        <w:tc>
          <w:tcPr>
            <w:tcW w:w="14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 w:type="dxa"/>
            <w:vAlign w:val="bottom"/>
            <w:tcBorders>
              <w:bottom w:val="single" w:sz="8" w:color="EEEDED"/>
            </w:tcBorders>
            <w:shd w:val="clear" w:color="auto" w:fill="EEEDED"/>
          </w:tcPr>
          <w:p>
            <w:pPr>
              <w:spacing w:after="0"/>
              <w:rPr>
                <w:sz w:val="15"/>
                <w:szCs w:val="15"/>
                <w:color w:val="auto"/>
              </w:rPr>
            </w:pPr>
          </w:p>
        </w:tc>
        <w:tc>
          <w:tcPr>
            <w:tcW w:w="100" w:type="dxa"/>
            <w:vAlign w:val="bottom"/>
            <w:tcBorders>
              <w:bottom w:val="single" w:sz="8" w:color="EEEDED"/>
            </w:tcBorders>
            <w:shd w:val="clear" w:color="auto" w:fill="EEEDED"/>
          </w:tcPr>
          <w:p>
            <w:pPr>
              <w:spacing w:after="0"/>
              <w:rPr>
                <w:sz w:val="15"/>
                <w:szCs w:val="15"/>
                <w:color w:val="auto"/>
              </w:rPr>
            </w:pPr>
          </w:p>
        </w:tc>
        <w:tc>
          <w:tcPr>
            <w:tcW w:w="1260" w:type="dxa"/>
            <w:vAlign w:val="bottom"/>
            <w:tcBorders>
              <w:bottom w:val="single" w:sz="8" w:color="EEEDED"/>
            </w:tcBorders>
            <w:shd w:val="clear" w:color="auto" w:fill="EEEDED"/>
          </w:tcPr>
          <w:p>
            <w:pPr>
              <w:jc w:val="right"/>
              <w:ind w:right="74"/>
              <w:spacing w:after="0"/>
              <w:rPr>
                <w:sz w:val="20"/>
                <w:szCs w:val="20"/>
                <w:color w:val="auto"/>
              </w:rPr>
            </w:pPr>
            <w:r>
              <w:rPr>
                <w:rFonts w:ascii="Arial" w:cs="Arial" w:eastAsia="Arial" w:hAnsi="Arial"/>
                <w:sz w:val="10"/>
                <w:szCs w:val="10"/>
                <w:b w:val="1"/>
                <w:bCs w:val="1"/>
                <w:color w:val="54585A"/>
                <w:w w:val="96"/>
              </w:rPr>
              <w:t>Summary compensation</w:t>
            </w:r>
          </w:p>
        </w:tc>
        <w:tc>
          <w:tcPr>
            <w:tcW w:w="1360" w:type="dxa"/>
            <w:vAlign w:val="bottom"/>
            <w:tcBorders>
              <w:bottom w:val="single" w:sz="8" w:color="EEEDED"/>
            </w:tcBorders>
            <w:gridSpan w:val="2"/>
            <w:shd w:val="clear" w:color="auto" w:fill="EEEDED"/>
          </w:tcPr>
          <w:p>
            <w:pPr>
              <w:jc w:val="right"/>
              <w:spacing w:after="0"/>
              <w:rPr>
                <w:sz w:val="20"/>
                <w:szCs w:val="20"/>
                <w:color w:val="auto"/>
              </w:rPr>
            </w:pPr>
            <w:r>
              <w:rPr>
                <w:rFonts w:ascii="Arial" w:cs="Arial" w:eastAsia="Arial" w:hAnsi="Arial"/>
                <w:sz w:val="10"/>
                <w:szCs w:val="10"/>
                <w:b w:val="1"/>
                <w:bCs w:val="1"/>
                <w:color w:val="54585A"/>
                <w:w w:val="99"/>
              </w:rPr>
              <w:t>Compensation actually paid</w:t>
            </w:r>
          </w:p>
        </w:tc>
        <w:tc>
          <w:tcPr>
            <w:tcW w:w="200" w:type="dxa"/>
            <w:vAlign w:val="bottom"/>
            <w:tcBorders>
              <w:bottom w:val="single" w:sz="8" w:color="EEEDED"/>
            </w:tcBorders>
            <w:shd w:val="clear" w:color="auto" w:fill="EEEDED"/>
          </w:tcPr>
          <w:p>
            <w:pPr>
              <w:spacing w:after="0"/>
              <w:rPr>
                <w:sz w:val="15"/>
                <w:szCs w:val="15"/>
                <w:color w:val="auto"/>
              </w:rPr>
            </w:pPr>
          </w:p>
        </w:tc>
        <w:tc>
          <w:tcPr>
            <w:tcW w:w="1180" w:type="dxa"/>
            <w:vAlign w:val="bottom"/>
            <w:tcBorders>
              <w:bottom w:val="single" w:sz="8" w:color="EEEDED"/>
            </w:tcBorders>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4"/>
              </w:rPr>
              <w:t>summary</w:t>
            </w:r>
          </w:p>
        </w:tc>
        <w:tc>
          <w:tcPr>
            <w:tcW w:w="220" w:type="dxa"/>
            <w:vAlign w:val="bottom"/>
            <w:tcBorders>
              <w:bottom w:val="single" w:sz="8" w:color="EEEDED"/>
            </w:tcBorders>
            <w:shd w:val="clear" w:color="auto" w:fill="EEEDED"/>
          </w:tcPr>
          <w:p>
            <w:pPr>
              <w:spacing w:after="0"/>
              <w:rPr>
                <w:sz w:val="15"/>
                <w:szCs w:val="15"/>
                <w:color w:val="auto"/>
              </w:rPr>
            </w:pPr>
          </w:p>
        </w:tc>
        <w:tc>
          <w:tcPr>
            <w:tcW w:w="1160" w:type="dxa"/>
            <w:vAlign w:val="bottom"/>
            <w:tcBorders>
              <w:bottom w:val="single" w:sz="8" w:color="EEEDED"/>
            </w:tcBorders>
            <w:shd w:val="clear" w:color="auto" w:fill="EEEDED"/>
          </w:tcPr>
          <w:p>
            <w:pPr>
              <w:jc w:val="center"/>
              <w:ind w:right="155"/>
              <w:spacing w:after="0"/>
              <w:rPr>
                <w:sz w:val="20"/>
                <w:szCs w:val="20"/>
                <w:color w:val="auto"/>
              </w:rPr>
            </w:pPr>
            <w:r>
              <w:rPr>
                <w:rFonts w:ascii="Arial" w:cs="Arial" w:eastAsia="Arial" w:hAnsi="Arial"/>
                <w:sz w:val="10"/>
                <w:szCs w:val="10"/>
                <w:b w:val="1"/>
                <w:bCs w:val="1"/>
                <w:color w:val="54585A"/>
                <w:w w:val="94"/>
              </w:rPr>
              <w:t>compensation</w:t>
            </w:r>
          </w:p>
        </w:tc>
        <w:tc>
          <w:tcPr>
            <w:tcW w:w="100" w:type="dxa"/>
            <w:vAlign w:val="bottom"/>
            <w:tcBorders>
              <w:bottom w:val="single" w:sz="8" w:color="EEEDED"/>
            </w:tcBorders>
            <w:shd w:val="clear" w:color="auto" w:fill="EEEDED"/>
          </w:tcPr>
          <w:p>
            <w:pPr>
              <w:spacing w:after="0"/>
              <w:rPr>
                <w:sz w:val="15"/>
                <w:szCs w:val="15"/>
                <w:color w:val="auto"/>
              </w:rPr>
            </w:pPr>
          </w:p>
        </w:tc>
        <w:tc>
          <w:tcPr>
            <w:tcW w:w="2540" w:type="dxa"/>
            <w:vAlign w:val="bottom"/>
            <w:tcBorders>
              <w:bottom w:val="single" w:sz="8" w:color="EEEDED"/>
            </w:tcBorders>
            <w:gridSpan w:val="3"/>
            <w:shd w:val="clear" w:color="auto" w:fill="EEEDED"/>
          </w:tcPr>
          <w:p>
            <w:pPr>
              <w:jc w:val="right"/>
              <w:ind w:right="772"/>
              <w:spacing w:after="0"/>
              <w:rPr>
                <w:sz w:val="20"/>
                <w:szCs w:val="20"/>
                <w:color w:val="auto"/>
              </w:rPr>
            </w:pPr>
            <w:r>
              <w:rPr>
                <w:rFonts w:ascii="Arial" w:cs="Arial" w:eastAsia="Arial" w:hAnsi="Arial"/>
                <w:sz w:val="10"/>
                <w:szCs w:val="10"/>
                <w:b w:val="1"/>
                <w:bCs w:val="1"/>
                <w:color w:val="54585A"/>
              </w:rPr>
              <w:t>investment based on:</w:t>
            </w:r>
          </w:p>
        </w:tc>
        <w:tc>
          <w:tcPr>
            <w:tcW w:w="240" w:type="dxa"/>
            <w:vAlign w:val="bottom"/>
            <w:tcBorders>
              <w:bottom w:val="single" w:sz="8" w:color="EEEDED"/>
            </w:tcBorders>
            <w:shd w:val="clear" w:color="auto" w:fill="EEEDED"/>
          </w:tcPr>
          <w:p>
            <w:pPr>
              <w:spacing w:after="0"/>
              <w:rPr>
                <w:sz w:val="15"/>
                <w:szCs w:val="15"/>
                <w:color w:val="auto"/>
              </w:rPr>
            </w:pPr>
          </w:p>
        </w:tc>
        <w:tc>
          <w:tcPr>
            <w:tcW w:w="560" w:type="dxa"/>
            <w:vAlign w:val="bottom"/>
            <w:tcBorders>
              <w:bottom w:val="single" w:sz="8" w:color="EEEDED"/>
            </w:tcBorders>
            <w:shd w:val="clear" w:color="auto" w:fill="EEEDED"/>
          </w:tcPr>
          <w:p>
            <w:pPr>
              <w:spacing w:after="0"/>
              <w:rPr>
                <w:sz w:val="15"/>
                <w:szCs w:val="15"/>
                <w:color w:val="auto"/>
              </w:rPr>
            </w:pPr>
          </w:p>
        </w:tc>
        <w:tc>
          <w:tcPr>
            <w:tcW w:w="480" w:type="dxa"/>
            <w:vAlign w:val="bottom"/>
            <w:tcBorders>
              <w:bottom w:val="single" w:sz="8" w:color="EEEDED"/>
            </w:tcBorders>
            <w:shd w:val="clear" w:color="auto" w:fill="EEEDED"/>
          </w:tcPr>
          <w:p>
            <w:pPr>
              <w:jc w:val="right"/>
              <w:ind w:right="369"/>
              <w:spacing w:after="0"/>
              <w:rPr>
                <w:sz w:val="20"/>
                <w:szCs w:val="20"/>
                <w:color w:val="auto"/>
              </w:rPr>
            </w:pPr>
            <w:r>
              <w:rPr>
                <w:rFonts w:ascii="Arial" w:cs="Arial" w:eastAsia="Arial" w:hAnsi="Arial"/>
                <w:sz w:val="6"/>
                <w:szCs w:val="6"/>
                <w:b w:val="1"/>
                <w:bCs w:val="1"/>
                <w:color w:val="54585A"/>
                <w:w w:val="81"/>
              </w:rPr>
              <w:t>(7)</w:t>
            </w:r>
          </w:p>
        </w:tc>
        <w:tc>
          <w:tcPr>
            <w:tcW w:w="120" w:type="dxa"/>
            <w:vAlign w:val="bottom"/>
            <w:tcBorders>
              <w:bottom w:val="single" w:sz="8" w:color="EEEDED"/>
            </w:tcBorders>
            <w:shd w:val="clear" w:color="auto" w:fill="EEEDED"/>
          </w:tcPr>
          <w:p>
            <w:pPr>
              <w:spacing w:after="0"/>
              <w:rPr>
                <w:sz w:val="15"/>
                <w:szCs w:val="15"/>
                <w:color w:val="auto"/>
              </w:rPr>
            </w:pPr>
          </w:p>
        </w:tc>
        <w:tc>
          <w:tcPr>
            <w:tcW w:w="880" w:type="dxa"/>
            <w:vAlign w:val="bottom"/>
            <w:tcBorders>
              <w:bottom w:val="single" w:sz="8" w:color="EEEDED"/>
            </w:tcBorders>
            <w:shd w:val="clear" w:color="auto" w:fill="EEEDED"/>
          </w:tcPr>
          <w:p>
            <w:pPr>
              <w:spacing w:after="0"/>
              <w:rPr>
                <w:sz w:val="15"/>
                <w:szCs w:val="15"/>
                <w:color w:val="auto"/>
              </w:rPr>
            </w:pPr>
          </w:p>
        </w:tc>
        <w:tc>
          <w:tcPr>
            <w:tcW w:w="260" w:type="dxa"/>
            <w:vAlign w:val="bottom"/>
            <w:tcBorders>
              <w:bottom w:val="single" w:sz="8" w:color="EEEDED"/>
            </w:tcBorders>
            <w:shd w:val="clear" w:color="auto" w:fill="EEEDED"/>
          </w:tcPr>
          <w:p>
            <w:pPr>
              <w:jc w:val="right"/>
              <w:ind w:right="179"/>
              <w:spacing w:after="0"/>
              <w:rPr>
                <w:sz w:val="20"/>
                <w:szCs w:val="20"/>
                <w:color w:val="auto"/>
              </w:rPr>
            </w:pPr>
            <w:r>
              <w:rPr>
                <w:rFonts w:ascii="Arial" w:cs="Arial" w:eastAsia="Arial" w:hAnsi="Arial"/>
                <w:sz w:val="4"/>
                <w:szCs w:val="4"/>
                <w:b w:val="1"/>
                <w:bCs w:val="1"/>
                <w:color w:val="54585A"/>
                <w:w w:val="80"/>
              </w:rPr>
              <w:t>(8)</w:t>
            </w:r>
          </w:p>
        </w:tc>
        <w:tc>
          <w:tcPr>
            <w:tcW w:w="140" w:type="dxa"/>
            <w:vAlign w:val="bottom"/>
            <w:tcBorders>
              <w:bottom w:val="single" w:sz="8" w:color="EEEDED"/>
            </w:tcBorders>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00" w:type="dxa"/>
            <w:vAlign w:val="bottom"/>
            <w:tcBorders>
              <w:top w:val="single" w:sz="8" w:color="EEEDED"/>
            </w:tcBorders>
            <w:shd w:val="clear" w:color="auto" w:fill="EEEDED"/>
          </w:tcPr>
          <w:p>
            <w:pPr>
              <w:spacing w:after="0"/>
              <w:rPr>
                <w:sz w:val="7"/>
                <w:szCs w:val="7"/>
                <w:color w:val="auto"/>
              </w:rPr>
            </w:pPr>
          </w:p>
        </w:tc>
        <w:tc>
          <w:tcPr>
            <w:tcW w:w="100" w:type="dxa"/>
            <w:vAlign w:val="bottom"/>
            <w:tcBorders>
              <w:top w:val="single" w:sz="8" w:color="EEEDED"/>
            </w:tcBorders>
            <w:shd w:val="clear" w:color="auto" w:fill="EEEDED"/>
          </w:tcPr>
          <w:p>
            <w:pPr>
              <w:spacing w:after="0"/>
              <w:rPr>
                <w:sz w:val="7"/>
                <w:szCs w:val="7"/>
                <w:color w:val="auto"/>
              </w:rPr>
            </w:pPr>
          </w:p>
        </w:tc>
        <w:tc>
          <w:tcPr>
            <w:tcW w:w="1260" w:type="dxa"/>
            <w:vAlign w:val="bottom"/>
            <w:tcBorders>
              <w:top w:val="single" w:sz="8" w:color="EEEDED"/>
            </w:tcBorders>
            <w:shd w:val="clear" w:color="auto" w:fill="EEEDED"/>
          </w:tcPr>
          <w:p>
            <w:pPr>
              <w:jc w:val="right"/>
              <w:ind w:right="174"/>
              <w:spacing w:after="0" w:line="88" w:lineRule="exact"/>
              <w:rPr>
                <w:sz w:val="20"/>
                <w:szCs w:val="20"/>
                <w:color w:val="auto"/>
              </w:rPr>
            </w:pPr>
            <w:r>
              <w:rPr>
                <w:rFonts w:ascii="Arial" w:cs="Arial" w:eastAsia="Arial" w:hAnsi="Arial"/>
                <w:sz w:val="8"/>
                <w:szCs w:val="8"/>
                <w:b w:val="1"/>
                <w:bCs w:val="1"/>
                <w:color w:val="54585A"/>
              </w:rPr>
              <w:t>table total for PEO</w:t>
            </w:r>
            <w:r>
              <w:rPr>
                <w:rFonts w:ascii="Arial" w:cs="Arial" w:eastAsia="Arial" w:hAnsi="Arial"/>
                <w:sz w:val="10"/>
                <w:szCs w:val="10"/>
                <w:b w:val="1"/>
                <w:bCs w:val="1"/>
                <w:color w:val="54585A"/>
                <w:vertAlign w:val="superscript"/>
              </w:rPr>
              <w:t>(1)</w:t>
            </w:r>
          </w:p>
        </w:tc>
        <w:tc>
          <w:tcPr>
            <w:tcW w:w="280" w:type="dxa"/>
            <w:vAlign w:val="bottom"/>
            <w:tcBorders>
              <w:top w:val="single" w:sz="8" w:color="EEEDED"/>
            </w:tcBorders>
            <w:shd w:val="clear" w:color="auto" w:fill="EEEDED"/>
          </w:tcPr>
          <w:p>
            <w:pPr>
              <w:spacing w:after="0"/>
              <w:rPr>
                <w:sz w:val="7"/>
                <w:szCs w:val="7"/>
                <w:color w:val="auto"/>
              </w:rPr>
            </w:pPr>
          </w:p>
        </w:tc>
        <w:tc>
          <w:tcPr>
            <w:tcW w:w="1080" w:type="dxa"/>
            <w:vAlign w:val="bottom"/>
            <w:tcBorders>
              <w:top w:val="single" w:sz="8" w:color="EEEDED"/>
            </w:tcBorders>
            <w:shd w:val="clear" w:color="auto" w:fill="EEEDED"/>
          </w:tcPr>
          <w:p>
            <w:pPr>
              <w:jc w:val="right"/>
              <w:ind w:right="414"/>
              <w:spacing w:after="0" w:line="88" w:lineRule="exact"/>
              <w:rPr>
                <w:sz w:val="20"/>
                <w:szCs w:val="20"/>
                <w:color w:val="auto"/>
              </w:rPr>
            </w:pPr>
            <w:r>
              <w:rPr>
                <w:rFonts w:ascii="Arial" w:cs="Arial" w:eastAsia="Arial" w:hAnsi="Arial"/>
                <w:sz w:val="8"/>
                <w:szCs w:val="8"/>
                <w:b w:val="1"/>
                <w:bCs w:val="1"/>
                <w:color w:val="54585A"/>
              </w:rPr>
              <w:t>to PEO</w:t>
            </w:r>
            <w:r>
              <w:rPr>
                <w:rFonts w:ascii="Arial" w:cs="Arial" w:eastAsia="Arial" w:hAnsi="Arial"/>
                <w:sz w:val="10"/>
                <w:szCs w:val="10"/>
                <w:b w:val="1"/>
                <w:bCs w:val="1"/>
                <w:color w:val="54585A"/>
                <w:vertAlign w:val="superscript"/>
              </w:rPr>
              <w:t>(2)</w:t>
            </w:r>
          </w:p>
        </w:tc>
        <w:tc>
          <w:tcPr>
            <w:tcW w:w="200" w:type="dxa"/>
            <w:vAlign w:val="bottom"/>
            <w:tcBorders>
              <w:top w:val="single" w:sz="8" w:color="EEEDED"/>
            </w:tcBorders>
            <w:shd w:val="clear" w:color="auto" w:fill="EEEDED"/>
          </w:tcPr>
          <w:p>
            <w:pPr>
              <w:spacing w:after="0"/>
              <w:rPr>
                <w:sz w:val="7"/>
                <w:szCs w:val="7"/>
                <w:color w:val="auto"/>
              </w:rPr>
            </w:pPr>
          </w:p>
        </w:tc>
        <w:tc>
          <w:tcPr>
            <w:tcW w:w="1180" w:type="dxa"/>
            <w:vAlign w:val="bottom"/>
            <w:tcBorders>
              <w:top w:val="single" w:sz="8" w:color="EEEDED"/>
            </w:tcBorders>
            <w:shd w:val="clear" w:color="auto" w:fill="EEEDED"/>
          </w:tcPr>
          <w:p>
            <w:pPr>
              <w:jc w:val="center"/>
              <w:ind w:right="115"/>
              <w:spacing w:after="0" w:line="59" w:lineRule="exact"/>
              <w:rPr>
                <w:sz w:val="20"/>
                <w:szCs w:val="20"/>
                <w:color w:val="auto"/>
              </w:rPr>
            </w:pPr>
            <w:r>
              <w:rPr>
                <w:rFonts w:ascii="Arial" w:cs="Arial" w:eastAsia="Arial" w:hAnsi="Arial"/>
                <w:sz w:val="6"/>
                <w:szCs w:val="6"/>
                <w:b w:val="1"/>
                <w:bCs w:val="1"/>
                <w:color w:val="54585A"/>
              </w:rPr>
              <w:t>compensation</w:t>
            </w:r>
          </w:p>
        </w:tc>
        <w:tc>
          <w:tcPr>
            <w:tcW w:w="220" w:type="dxa"/>
            <w:vAlign w:val="bottom"/>
            <w:tcBorders>
              <w:top w:val="single" w:sz="8" w:color="EEEDED"/>
            </w:tcBorders>
            <w:shd w:val="clear" w:color="auto" w:fill="EEEDED"/>
          </w:tcPr>
          <w:p>
            <w:pPr>
              <w:spacing w:after="0"/>
              <w:rPr>
                <w:sz w:val="7"/>
                <w:szCs w:val="7"/>
                <w:color w:val="auto"/>
              </w:rPr>
            </w:pPr>
          </w:p>
        </w:tc>
        <w:tc>
          <w:tcPr>
            <w:tcW w:w="1160" w:type="dxa"/>
            <w:vAlign w:val="bottom"/>
            <w:tcBorders>
              <w:top w:val="single" w:sz="8" w:color="EEEDED"/>
            </w:tcBorders>
            <w:shd w:val="clear" w:color="auto" w:fill="EEEDED"/>
          </w:tcPr>
          <w:p>
            <w:pPr>
              <w:jc w:val="center"/>
              <w:ind w:right="175"/>
              <w:spacing w:after="0" w:line="59" w:lineRule="exact"/>
              <w:rPr>
                <w:sz w:val="20"/>
                <w:szCs w:val="20"/>
                <w:color w:val="auto"/>
              </w:rPr>
            </w:pPr>
            <w:r>
              <w:rPr>
                <w:rFonts w:ascii="Arial" w:cs="Arial" w:eastAsia="Arial" w:hAnsi="Arial"/>
                <w:sz w:val="6"/>
                <w:szCs w:val="6"/>
                <w:b w:val="1"/>
                <w:bCs w:val="1"/>
                <w:color w:val="54585A"/>
              </w:rPr>
              <w:t>actually paid</w:t>
            </w:r>
          </w:p>
        </w:tc>
        <w:tc>
          <w:tcPr>
            <w:tcW w:w="100" w:type="dxa"/>
            <w:vAlign w:val="bottom"/>
            <w:tcBorders>
              <w:top w:val="single" w:sz="8" w:color="54585A"/>
            </w:tcBorders>
            <w:shd w:val="clear" w:color="auto" w:fill="EEEDED"/>
          </w:tcPr>
          <w:p>
            <w:pPr>
              <w:spacing w:after="0"/>
              <w:rPr>
                <w:sz w:val="7"/>
                <w:szCs w:val="7"/>
                <w:color w:val="auto"/>
              </w:rPr>
            </w:pPr>
          </w:p>
        </w:tc>
        <w:tc>
          <w:tcPr>
            <w:tcW w:w="1280" w:type="dxa"/>
            <w:vAlign w:val="bottom"/>
            <w:tcBorders>
              <w:top w:val="single" w:sz="8" w:color="54585A"/>
            </w:tcBorders>
            <w:vMerge w:val="restart"/>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w w:val="96"/>
              </w:rPr>
              <w:t>Total shareholder return</w:t>
            </w:r>
          </w:p>
        </w:tc>
        <w:tc>
          <w:tcPr>
            <w:tcW w:w="220" w:type="dxa"/>
            <w:vAlign w:val="bottom"/>
            <w:tcBorders>
              <w:top w:val="single" w:sz="8" w:color="54585A"/>
            </w:tcBorders>
            <w:shd w:val="clear" w:color="auto" w:fill="EEEDED"/>
          </w:tcPr>
          <w:p>
            <w:pPr>
              <w:spacing w:after="0"/>
              <w:rPr>
                <w:sz w:val="7"/>
                <w:szCs w:val="7"/>
                <w:color w:val="auto"/>
              </w:rPr>
            </w:pPr>
          </w:p>
        </w:tc>
        <w:tc>
          <w:tcPr>
            <w:tcW w:w="1040" w:type="dxa"/>
            <w:vAlign w:val="bottom"/>
            <w:tcBorders>
              <w:top w:val="single" w:sz="8" w:color="54585A"/>
            </w:tcBorders>
            <w:vMerge w:val="restart"/>
            <w:shd w:val="clear" w:color="auto" w:fill="EEEDED"/>
          </w:tcPr>
          <w:p>
            <w:pPr>
              <w:jc w:val="right"/>
              <w:ind w:right="332"/>
              <w:spacing w:after="0"/>
              <w:rPr>
                <w:sz w:val="20"/>
                <w:szCs w:val="20"/>
                <w:color w:val="auto"/>
              </w:rPr>
            </w:pPr>
            <w:r>
              <w:rPr>
                <w:rFonts w:ascii="Arial" w:cs="Arial" w:eastAsia="Arial" w:hAnsi="Arial"/>
                <w:sz w:val="10"/>
                <w:szCs w:val="10"/>
                <w:b w:val="1"/>
                <w:bCs w:val="1"/>
                <w:color w:val="54585A"/>
              </w:rPr>
              <w:t>Peer group</w:t>
            </w:r>
          </w:p>
        </w:tc>
        <w:tc>
          <w:tcPr>
            <w:tcW w:w="240" w:type="dxa"/>
            <w:vAlign w:val="bottom"/>
            <w:tcBorders>
              <w:top w:val="single" w:sz="8" w:color="EEEDED"/>
            </w:tcBorders>
            <w:shd w:val="clear" w:color="auto" w:fill="EEEDED"/>
          </w:tcPr>
          <w:p>
            <w:pPr>
              <w:spacing w:after="0"/>
              <w:rPr>
                <w:sz w:val="7"/>
                <w:szCs w:val="7"/>
                <w:color w:val="auto"/>
              </w:rPr>
            </w:pPr>
          </w:p>
        </w:tc>
        <w:tc>
          <w:tcPr>
            <w:tcW w:w="560" w:type="dxa"/>
            <w:vAlign w:val="bottom"/>
            <w:tcBorders>
              <w:top w:val="single" w:sz="8" w:color="EEEDED"/>
            </w:tcBorders>
            <w:shd w:val="clear" w:color="auto" w:fill="EEEDED"/>
          </w:tcPr>
          <w:p>
            <w:pPr>
              <w:ind w:left="160"/>
              <w:spacing w:after="0" w:line="59" w:lineRule="exact"/>
              <w:rPr>
                <w:sz w:val="20"/>
                <w:szCs w:val="20"/>
                <w:color w:val="auto"/>
              </w:rPr>
            </w:pPr>
            <w:r>
              <w:rPr>
                <w:rFonts w:ascii="Arial" w:cs="Arial" w:eastAsia="Arial" w:hAnsi="Arial"/>
                <w:sz w:val="6"/>
                <w:szCs w:val="6"/>
                <w:b w:val="1"/>
                <w:bCs w:val="1"/>
                <w:color w:val="54585A"/>
              </w:rPr>
              <w:t>Net Loss</w:t>
            </w:r>
          </w:p>
        </w:tc>
        <w:tc>
          <w:tcPr>
            <w:tcW w:w="480" w:type="dxa"/>
            <w:vAlign w:val="bottom"/>
            <w:tcBorders>
              <w:top w:val="single" w:sz="8" w:color="EEEDED"/>
            </w:tcBorders>
            <w:shd w:val="clear" w:color="auto" w:fill="EEEDED"/>
          </w:tcPr>
          <w:p>
            <w:pPr>
              <w:spacing w:after="0"/>
              <w:rPr>
                <w:sz w:val="7"/>
                <w:szCs w:val="7"/>
                <w:color w:val="auto"/>
              </w:rPr>
            </w:pPr>
          </w:p>
        </w:tc>
        <w:tc>
          <w:tcPr>
            <w:tcW w:w="120" w:type="dxa"/>
            <w:vAlign w:val="bottom"/>
            <w:tcBorders>
              <w:top w:val="single" w:sz="8" w:color="EEEDED"/>
            </w:tcBorders>
            <w:shd w:val="clear" w:color="auto" w:fill="EEEDED"/>
          </w:tcPr>
          <w:p>
            <w:pPr>
              <w:spacing w:after="0"/>
              <w:rPr>
                <w:sz w:val="7"/>
                <w:szCs w:val="7"/>
                <w:color w:val="auto"/>
              </w:rPr>
            </w:pPr>
          </w:p>
        </w:tc>
        <w:tc>
          <w:tcPr>
            <w:tcW w:w="880" w:type="dxa"/>
            <w:vAlign w:val="bottom"/>
            <w:tcBorders>
              <w:top w:val="single" w:sz="8" w:color="EEEDED"/>
            </w:tcBorders>
            <w:shd w:val="clear" w:color="auto" w:fill="EEEDED"/>
          </w:tcPr>
          <w:p>
            <w:pPr>
              <w:ind w:left="80"/>
              <w:spacing w:after="0" w:line="59" w:lineRule="exact"/>
              <w:rPr>
                <w:sz w:val="20"/>
                <w:szCs w:val="20"/>
                <w:color w:val="auto"/>
              </w:rPr>
            </w:pPr>
            <w:r>
              <w:rPr>
                <w:rFonts w:ascii="Arial" w:cs="Arial" w:eastAsia="Arial" w:hAnsi="Arial"/>
                <w:sz w:val="6"/>
                <w:szCs w:val="6"/>
                <w:b w:val="1"/>
                <w:bCs w:val="1"/>
                <w:color w:val="54585A"/>
              </w:rPr>
              <w:t>Adjusted EBITDA</w:t>
            </w:r>
          </w:p>
        </w:tc>
        <w:tc>
          <w:tcPr>
            <w:tcW w:w="260" w:type="dxa"/>
            <w:vAlign w:val="bottom"/>
            <w:tcBorders>
              <w:top w:val="single" w:sz="8" w:color="EEEDED"/>
            </w:tcBorders>
            <w:shd w:val="clear" w:color="auto" w:fill="EEEDED"/>
          </w:tcPr>
          <w:p>
            <w:pPr>
              <w:spacing w:after="0"/>
              <w:rPr>
                <w:sz w:val="7"/>
                <w:szCs w:val="7"/>
                <w:color w:val="auto"/>
              </w:rPr>
            </w:pPr>
          </w:p>
        </w:tc>
        <w:tc>
          <w:tcPr>
            <w:tcW w:w="140" w:type="dxa"/>
            <w:vAlign w:val="bottom"/>
            <w:tcBorders>
              <w:top w:val="single" w:sz="8" w:color="EEEDED"/>
            </w:tcBorders>
            <w:shd w:val="clear" w:color="auto" w:fill="EEEDED"/>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00" w:type="dxa"/>
            <w:vAlign w:val="bottom"/>
            <w:shd w:val="clear" w:color="auto" w:fill="EEEDED"/>
          </w:tcPr>
          <w:p>
            <w:pPr>
              <w:spacing w:after="0"/>
              <w:rPr>
                <w:sz w:val="6"/>
                <w:szCs w:val="6"/>
                <w:color w:val="auto"/>
              </w:rPr>
            </w:pPr>
          </w:p>
        </w:tc>
        <w:tc>
          <w:tcPr>
            <w:tcW w:w="100" w:type="dxa"/>
            <w:vAlign w:val="bottom"/>
            <w:shd w:val="clear" w:color="auto" w:fill="EEEDED"/>
          </w:tcPr>
          <w:p>
            <w:pPr>
              <w:spacing w:after="0"/>
              <w:rPr>
                <w:sz w:val="6"/>
                <w:szCs w:val="6"/>
                <w:color w:val="auto"/>
              </w:rPr>
            </w:pPr>
          </w:p>
        </w:tc>
        <w:tc>
          <w:tcPr>
            <w:tcW w:w="1260" w:type="dxa"/>
            <w:vAlign w:val="bottom"/>
            <w:shd w:val="clear" w:color="auto" w:fill="EEEDED"/>
          </w:tcPr>
          <w:p>
            <w:pPr>
              <w:spacing w:after="0"/>
              <w:rPr>
                <w:sz w:val="6"/>
                <w:szCs w:val="6"/>
                <w:color w:val="auto"/>
              </w:rPr>
            </w:pPr>
          </w:p>
        </w:tc>
        <w:tc>
          <w:tcPr>
            <w:tcW w:w="280" w:type="dxa"/>
            <w:vAlign w:val="bottom"/>
            <w:shd w:val="clear" w:color="auto" w:fill="EEEDED"/>
          </w:tcPr>
          <w:p>
            <w:pPr>
              <w:spacing w:after="0"/>
              <w:rPr>
                <w:sz w:val="6"/>
                <w:szCs w:val="6"/>
                <w:color w:val="auto"/>
              </w:rPr>
            </w:pPr>
          </w:p>
        </w:tc>
        <w:tc>
          <w:tcPr>
            <w:tcW w:w="1080" w:type="dxa"/>
            <w:vAlign w:val="bottom"/>
            <w:shd w:val="clear" w:color="auto" w:fill="EEEDED"/>
          </w:tcPr>
          <w:p>
            <w:pPr>
              <w:spacing w:after="0"/>
              <w:rPr>
                <w:sz w:val="6"/>
                <w:szCs w:val="6"/>
                <w:color w:val="auto"/>
              </w:rPr>
            </w:pPr>
          </w:p>
        </w:tc>
        <w:tc>
          <w:tcPr>
            <w:tcW w:w="200" w:type="dxa"/>
            <w:vAlign w:val="bottom"/>
            <w:shd w:val="clear" w:color="auto" w:fill="EEEDED"/>
          </w:tcPr>
          <w:p>
            <w:pPr>
              <w:spacing w:after="0"/>
              <w:rPr>
                <w:sz w:val="6"/>
                <w:szCs w:val="6"/>
                <w:color w:val="auto"/>
              </w:rPr>
            </w:pPr>
          </w:p>
        </w:tc>
        <w:tc>
          <w:tcPr>
            <w:tcW w:w="1180" w:type="dxa"/>
            <w:vAlign w:val="bottom"/>
            <w:shd w:val="clear" w:color="auto" w:fill="EEEDED"/>
          </w:tcPr>
          <w:p>
            <w:pPr>
              <w:jc w:val="center"/>
              <w:ind w:right="115"/>
              <w:spacing w:after="0" w:line="73" w:lineRule="exact"/>
              <w:rPr>
                <w:sz w:val="20"/>
                <w:szCs w:val="20"/>
                <w:color w:val="auto"/>
              </w:rPr>
            </w:pPr>
            <w:r>
              <w:rPr>
                <w:rFonts w:ascii="Arial" w:cs="Arial" w:eastAsia="Arial" w:hAnsi="Arial"/>
                <w:sz w:val="8"/>
                <w:szCs w:val="8"/>
                <w:b w:val="1"/>
                <w:bCs w:val="1"/>
                <w:color w:val="54585A"/>
              </w:rPr>
              <w:t>table total for</w:t>
            </w:r>
          </w:p>
        </w:tc>
        <w:tc>
          <w:tcPr>
            <w:tcW w:w="220" w:type="dxa"/>
            <w:vAlign w:val="bottom"/>
            <w:shd w:val="clear" w:color="auto" w:fill="EEEDED"/>
          </w:tcPr>
          <w:p>
            <w:pPr>
              <w:spacing w:after="0"/>
              <w:rPr>
                <w:sz w:val="6"/>
                <w:szCs w:val="6"/>
                <w:color w:val="auto"/>
              </w:rPr>
            </w:pPr>
          </w:p>
        </w:tc>
        <w:tc>
          <w:tcPr>
            <w:tcW w:w="1160" w:type="dxa"/>
            <w:vAlign w:val="bottom"/>
            <w:shd w:val="clear" w:color="auto" w:fill="EEEDED"/>
          </w:tcPr>
          <w:p>
            <w:pPr>
              <w:jc w:val="center"/>
              <w:ind w:right="155"/>
              <w:spacing w:after="0" w:line="73" w:lineRule="exact"/>
              <w:rPr>
                <w:sz w:val="20"/>
                <w:szCs w:val="20"/>
                <w:color w:val="auto"/>
              </w:rPr>
            </w:pPr>
            <w:r>
              <w:rPr>
                <w:rFonts w:ascii="Arial" w:cs="Arial" w:eastAsia="Arial" w:hAnsi="Arial"/>
                <w:sz w:val="8"/>
                <w:szCs w:val="8"/>
                <w:b w:val="1"/>
                <w:bCs w:val="1"/>
                <w:color w:val="54585A"/>
              </w:rPr>
              <w:t>to non-PEO</w:t>
            </w:r>
          </w:p>
        </w:tc>
        <w:tc>
          <w:tcPr>
            <w:tcW w:w="100" w:type="dxa"/>
            <w:vAlign w:val="bottom"/>
            <w:shd w:val="clear" w:color="auto" w:fill="EEEDED"/>
          </w:tcPr>
          <w:p>
            <w:pPr>
              <w:spacing w:after="0"/>
              <w:rPr>
                <w:sz w:val="6"/>
                <w:szCs w:val="6"/>
                <w:color w:val="auto"/>
              </w:rPr>
            </w:pPr>
          </w:p>
        </w:tc>
        <w:tc>
          <w:tcPr>
            <w:tcW w:w="1280" w:type="dxa"/>
            <w:vAlign w:val="bottom"/>
            <w:vMerge w:val="continue"/>
            <w:shd w:val="clear" w:color="auto" w:fill="EEEDED"/>
          </w:tcPr>
          <w:p>
            <w:pPr>
              <w:spacing w:after="0"/>
              <w:rPr>
                <w:sz w:val="6"/>
                <w:szCs w:val="6"/>
                <w:color w:val="auto"/>
              </w:rPr>
            </w:pPr>
          </w:p>
        </w:tc>
        <w:tc>
          <w:tcPr>
            <w:tcW w:w="220" w:type="dxa"/>
            <w:vAlign w:val="bottom"/>
            <w:shd w:val="clear" w:color="auto" w:fill="EEEDED"/>
          </w:tcPr>
          <w:p>
            <w:pPr>
              <w:spacing w:after="0"/>
              <w:rPr>
                <w:sz w:val="6"/>
                <w:szCs w:val="6"/>
                <w:color w:val="auto"/>
              </w:rPr>
            </w:pPr>
          </w:p>
        </w:tc>
        <w:tc>
          <w:tcPr>
            <w:tcW w:w="1040" w:type="dxa"/>
            <w:vAlign w:val="bottom"/>
            <w:vMerge w:val="continue"/>
            <w:shd w:val="clear" w:color="auto" w:fill="EEEDED"/>
          </w:tcPr>
          <w:p>
            <w:pPr>
              <w:spacing w:after="0"/>
              <w:rPr>
                <w:sz w:val="6"/>
                <w:szCs w:val="6"/>
                <w:color w:val="auto"/>
              </w:rPr>
            </w:pPr>
          </w:p>
        </w:tc>
        <w:tc>
          <w:tcPr>
            <w:tcW w:w="240" w:type="dxa"/>
            <w:vAlign w:val="bottom"/>
            <w:shd w:val="clear" w:color="auto" w:fill="EEEDED"/>
          </w:tcPr>
          <w:p>
            <w:pPr>
              <w:spacing w:after="0"/>
              <w:rPr>
                <w:sz w:val="6"/>
                <w:szCs w:val="6"/>
                <w:color w:val="auto"/>
              </w:rPr>
            </w:pPr>
          </w:p>
        </w:tc>
        <w:tc>
          <w:tcPr>
            <w:tcW w:w="560" w:type="dxa"/>
            <w:vAlign w:val="bottom"/>
            <w:shd w:val="clear" w:color="auto" w:fill="EEEDED"/>
          </w:tcPr>
          <w:p>
            <w:pPr>
              <w:spacing w:after="0"/>
              <w:rPr>
                <w:sz w:val="6"/>
                <w:szCs w:val="6"/>
                <w:color w:val="auto"/>
              </w:rPr>
            </w:pPr>
          </w:p>
        </w:tc>
        <w:tc>
          <w:tcPr>
            <w:tcW w:w="480" w:type="dxa"/>
            <w:vAlign w:val="bottom"/>
            <w:shd w:val="clear" w:color="auto" w:fill="EEEDED"/>
          </w:tcPr>
          <w:p>
            <w:pPr>
              <w:spacing w:after="0"/>
              <w:rPr>
                <w:sz w:val="6"/>
                <w:szCs w:val="6"/>
                <w:color w:val="auto"/>
              </w:rPr>
            </w:pPr>
          </w:p>
        </w:tc>
        <w:tc>
          <w:tcPr>
            <w:tcW w:w="120" w:type="dxa"/>
            <w:vAlign w:val="bottom"/>
            <w:shd w:val="clear" w:color="auto" w:fill="EEEDED"/>
          </w:tcPr>
          <w:p>
            <w:pPr>
              <w:spacing w:after="0"/>
              <w:rPr>
                <w:sz w:val="6"/>
                <w:szCs w:val="6"/>
                <w:color w:val="auto"/>
              </w:rPr>
            </w:pPr>
          </w:p>
        </w:tc>
        <w:tc>
          <w:tcPr>
            <w:tcW w:w="880" w:type="dxa"/>
            <w:vAlign w:val="bottom"/>
            <w:shd w:val="clear" w:color="auto" w:fill="EEEDED"/>
          </w:tcPr>
          <w:p>
            <w:pPr>
              <w:spacing w:after="0"/>
              <w:rPr>
                <w:sz w:val="6"/>
                <w:szCs w:val="6"/>
                <w:color w:val="auto"/>
              </w:rPr>
            </w:pPr>
          </w:p>
        </w:tc>
        <w:tc>
          <w:tcPr>
            <w:tcW w:w="260" w:type="dxa"/>
            <w:vAlign w:val="bottom"/>
            <w:shd w:val="clear" w:color="auto" w:fill="EEEDED"/>
          </w:tcPr>
          <w:p>
            <w:pPr>
              <w:spacing w:after="0"/>
              <w:rPr>
                <w:sz w:val="6"/>
                <w:szCs w:val="6"/>
                <w:color w:val="auto"/>
              </w:rPr>
            </w:pPr>
          </w:p>
        </w:tc>
        <w:tc>
          <w:tcPr>
            <w:tcW w:w="14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vMerge w:val="restart"/>
            <w:shd w:val="clear" w:color="auto" w:fill="EEEDED"/>
          </w:tcPr>
          <w:p>
            <w:pPr>
              <w:ind w:left="140"/>
              <w:spacing w:after="0"/>
              <w:rPr>
                <w:sz w:val="20"/>
                <w:szCs w:val="20"/>
                <w:color w:val="auto"/>
              </w:rPr>
            </w:pPr>
            <w:r>
              <w:rPr>
                <w:rFonts w:ascii="Arial" w:cs="Arial" w:eastAsia="Arial" w:hAnsi="Arial"/>
                <w:sz w:val="10"/>
                <w:szCs w:val="10"/>
                <w:b w:val="1"/>
                <w:bCs w:val="1"/>
                <w:color w:val="54585A"/>
              </w:rPr>
              <w:t>Year</w:t>
            </w:r>
          </w:p>
        </w:tc>
        <w:tc>
          <w:tcPr>
            <w:tcW w:w="100" w:type="dxa"/>
            <w:vAlign w:val="bottom"/>
            <w:shd w:val="clear" w:color="auto" w:fill="EEEDED"/>
          </w:tcPr>
          <w:p>
            <w:pPr>
              <w:spacing w:after="0"/>
              <w:rPr>
                <w:sz w:val="14"/>
                <w:szCs w:val="14"/>
                <w:color w:val="auto"/>
              </w:rPr>
            </w:pPr>
          </w:p>
        </w:tc>
        <w:tc>
          <w:tcPr>
            <w:tcW w:w="1260" w:type="dxa"/>
            <w:vAlign w:val="bottom"/>
            <w:shd w:val="clear" w:color="auto" w:fill="EEEDED"/>
          </w:tcPr>
          <w:p>
            <w:pPr>
              <w:spacing w:after="0"/>
              <w:rPr>
                <w:sz w:val="14"/>
                <w:szCs w:val="14"/>
                <w:color w:val="auto"/>
              </w:rPr>
            </w:pPr>
          </w:p>
        </w:tc>
        <w:tc>
          <w:tcPr>
            <w:tcW w:w="280" w:type="dxa"/>
            <w:vAlign w:val="bottom"/>
            <w:shd w:val="clear" w:color="auto" w:fill="EEEDED"/>
          </w:tcPr>
          <w:p>
            <w:pPr>
              <w:spacing w:after="0"/>
              <w:rPr>
                <w:sz w:val="14"/>
                <w:szCs w:val="14"/>
                <w:color w:val="auto"/>
              </w:rPr>
            </w:pPr>
          </w:p>
        </w:tc>
        <w:tc>
          <w:tcPr>
            <w:tcW w:w="1080" w:type="dxa"/>
            <w:vAlign w:val="bottom"/>
            <w:shd w:val="clear" w:color="auto" w:fill="EEEDED"/>
          </w:tcPr>
          <w:p>
            <w:pPr>
              <w:spacing w:after="0"/>
              <w:rPr>
                <w:sz w:val="14"/>
                <w:szCs w:val="14"/>
                <w:color w:val="auto"/>
              </w:rPr>
            </w:pPr>
          </w:p>
        </w:tc>
        <w:tc>
          <w:tcPr>
            <w:tcW w:w="200" w:type="dxa"/>
            <w:vAlign w:val="bottom"/>
            <w:shd w:val="clear" w:color="auto" w:fill="EEEDED"/>
          </w:tcPr>
          <w:p>
            <w:pPr>
              <w:spacing w:after="0"/>
              <w:rPr>
                <w:sz w:val="14"/>
                <w:szCs w:val="14"/>
                <w:color w:val="auto"/>
              </w:rPr>
            </w:pPr>
          </w:p>
        </w:tc>
        <w:tc>
          <w:tcPr>
            <w:tcW w:w="1180" w:type="dxa"/>
            <w:vAlign w:val="bottom"/>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4"/>
              </w:rPr>
              <w:t>non-PEO NEOs</w:t>
            </w:r>
            <w:r>
              <w:rPr>
                <w:rFonts w:ascii="Arial" w:cs="Arial" w:eastAsia="Arial" w:hAnsi="Arial"/>
                <w:sz w:val="12"/>
                <w:szCs w:val="12"/>
                <w:b w:val="1"/>
                <w:bCs w:val="1"/>
                <w:color w:val="54585A"/>
                <w:w w:val="94"/>
                <w:vertAlign w:val="superscript"/>
              </w:rPr>
              <w:t>(3)</w:t>
            </w:r>
          </w:p>
        </w:tc>
        <w:tc>
          <w:tcPr>
            <w:tcW w:w="220" w:type="dxa"/>
            <w:vAlign w:val="bottom"/>
            <w:shd w:val="clear" w:color="auto" w:fill="EEEDED"/>
          </w:tcPr>
          <w:p>
            <w:pPr>
              <w:spacing w:after="0"/>
              <w:rPr>
                <w:sz w:val="14"/>
                <w:szCs w:val="14"/>
                <w:color w:val="auto"/>
              </w:rPr>
            </w:pPr>
          </w:p>
        </w:tc>
        <w:tc>
          <w:tcPr>
            <w:tcW w:w="1160" w:type="dxa"/>
            <w:vAlign w:val="bottom"/>
            <w:shd w:val="clear" w:color="auto" w:fill="EEEDED"/>
          </w:tcPr>
          <w:p>
            <w:pPr>
              <w:jc w:val="center"/>
              <w:ind w:right="175"/>
              <w:spacing w:after="0"/>
              <w:rPr>
                <w:sz w:val="20"/>
                <w:szCs w:val="20"/>
                <w:color w:val="auto"/>
              </w:rPr>
            </w:pPr>
            <w:r>
              <w:rPr>
                <w:rFonts w:ascii="Arial" w:cs="Arial" w:eastAsia="Arial" w:hAnsi="Arial"/>
                <w:sz w:val="10"/>
                <w:szCs w:val="10"/>
                <w:b w:val="1"/>
                <w:bCs w:val="1"/>
                <w:color w:val="54585A"/>
                <w:w w:val="91"/>
              </w:rPr>
              <w:t>NEOs</w:t>
            </w:r>
            <w:r>
              <w:rPr>
                <w:rFonts w:ascii="Arial" w:cs="Arial" w:eastAsia="Arial" w:hAnsi="Arial"/>
                <w:sz w:val="12"/>
                <w:szCs w:val="12"/>
                <w:b w:val="1"/>
                <w:bCs w:val="1"/>
                <w:color w:val="54585A"/>
                <w:w w:val="91"/>
                <w:vertAlign w:val="superscript"/>
              </w:rPr>
              <w:t>(4)</w:t>
            </w:r>
          </w:p>
        </w:tc>
        <w:tc>
          <w:tcPr>
            <w:tcW w:w="100" w:type="dxa"/>
            <w:vAlign w:val="bottom"/>
            <w:shd w:val="clear" w:color="auto" w:fill="EEEDED"/>
          </w:tcPr>
          <w:p>
            <w:pPr>
              <w:spacing w:after="0"/>
              <w:rPr>
                <w:sz w:val="14"/>
                <w:szCs w:val="14"/>
                <w:color w:val="auto"/>
              </w:rPr>
            </w:pPr>
          </w:p>
        </w:tc>
        <w:tc>
          <w:tcPr>
            <w:tcW w:w="1280" w:type="dxa"/>
            <w:vAlign w:val="bottom"/>
            <w:shd w:val="clear" w:color="auto" w:fill="EEEDED"/>
          </w:tcPr>
          <w:p>
            <w:pPr>
              <w:jc w:val="right"/>
              <w:ind w:right="472"/>
              <w:spacing w:after="0"/>
              <w:rPr>
                <w:sz w:val="20"/>
                <w:szCs w:val="20"/>
                <w:color w:val="auto"/>
              </w:rPr>
            </w:pPr>
            <w:r>
              <w:rPr>
                <w:rFonts w:ascii="Arial" w:cs="Arial" w:eastAsia="Arial" w:hAnsi="Arial"/>
                <w:sz w:val="10"/>
                <w:szCs w:val="10"/>
                <w:b w:val="1"/>
                <w:bCs w:val="1"/>
                <w:color w:val="54585A"/>
              </w:rPr>
              <w:t>(TSR)</w:t>
            </w:r>
            <w:r>
              <w:rPr>
                <w:rFonts w:ascii="Arial" w:cs="Arial" w:eastAsia="Arial" w:hAnsi="Arial"/>
                <w:sz w:val="12"/>
                <w:szCs w:val="12"/>
                <w:b w:val="1"/>
                <w:bCs w:val="1"/>
                <w:color w:val="54585A"/>
                <w:vertAlign w:val="superscript"/>
              </w:rPr>
              <w:t>(5)</w:t>
            </w:r>
          </w:p>
        </w:tc>
        <w:tc>
          <w:tcPr>
            <w:tcW w:w="220" w:type="dxa"/>
            <w:vAlign w:val="bottom"/>
            <w:shd w:val="clear" w:color="auto" w:fill="EEEDED"/>
          </w:tcPr>
          <w:p>
            <w:pPr>
              <w:spacing w:after="0"/>
              <w:rPr>
                <w:sz w:val="14"/>
                <w:szCs w:val="14"/>
                <w:color w:val="auto"/>
              </w:rPr>
            </w:pPr>
          </w:p>
        </w:tc>
        <w:tc>
          <w:tcPr>
            <w:tcW w:w="1040" w:type="dxa"/>
            <w:vAlign w:val="bottom"/>
            <w:shd w:val="clear" w:color="auto" w:fill="EEEDED"/>
          </w:tcPr>
          <w:p>
            <w:pPr>
              <w:jc w:val="right"/>
              <w:ind w:right="452"/>
              <w:spacing w:after="0"/>
              <w:rPr>
                <w:sz w:val="20"/>
                <w:szCs w:val="20"/>
                <w:color w:val="auto"/>
              </w:rPr>
            </w:pPr>
            <w:r>
              <w:rPr>
                <w:rFonts w:ascii="Arial" w:cs="Arial" w:eastAsia="Arial" w:hAnsi="Arial"/>
                <w:sz w:val="10"/>
                <w:szCs w:val="10"/>
                <w:b w:val="1"/>
                <w:bCs w:val="1"/>
                <w:color w:val="54585A"/>
              </w:rPr>
              <w:t>TSR</w:t>
            </w:r>
            <w:r>
              <w:rPr>
                <w:rFonts w:ascii="Arial" w:cs="Arial" w:eastAsia="Arial" w:hAnsi="Arial"/>
                <w:sz w:val="12"/>
                <w:szCs w:val="12"/>
                <w:b w:val="1"/>
                <w:bCs w:val="1"/>
                <w:color w:val="54585A"/>
                <w:vertAlign w:val="superscript"/>
              </w:rPr>
              <w:t>(6)</w:t>
            </w:r>
          </w:p>
        </w:tc>
        <w:tc>
          <w:tcPr>
            <w:tcW w:w="240" w:type="dxa"/>
            <w:vAlign w:val="bottom"/>
            <w:shd w:val="clear" w:color="auto" w:fill="EEEDED"/>
          </w:tcPr>
          <w:p>
            <w:pPr>
              <w:spacing w:after="0"/>
              <w:rPr>
                <w:sz w:val="14"/>
                <w:szCs w:val="14"/>
                <w:color w:val="auto"/>
              </w:rPr>
            </w:pPr>
          </w:p>
        </w:tc>
        <w:tc>
          <w:tcPr>
            <w:tcW w:w="560" w:type="dxa"/>
            <w:vAlign w:val="bottom"/>
            <w:shd w:val="clear" w:color="auto" w:fill="EEEDED"/>
          </w:tcPr>
          <w:p>
            <w:pPr>
              <w:spacing w:after="0"/>
              <w:rPr>
                <w:sz w:val="14"/>
                <w:szCs w:val="14"/>
                <w:color w:val="auto"/>
              </w:rPr>
            </w:pPr>
          </w:p>
        </w:tc>
        <w:tc>
          <w:tcPr>
            <w:tcW w:w="480" w:type="dxa"/>
            <w:vAlign w:val="bottom"/>
            <w:shd w:val="clear" w:color="auto" w:fill="EEEDED"/>
          </w:tcPr>
          <w:p>
            <w:pPr>
              <w:spacing w:after="0"/>
              <w:rPr>
                <w:sz w:val="14"/>
                <w:szCs w:val="14"/>
                <w:color w:val="auto"/>
              </w:rPr>
            </w:pPr>
          </w:p>
        </w:tc>
        <w:tc>
          <w:tcPr>
            <w:tcW w:w="120" w:type="dxa"/>
            <w:vAlign w:val="bottom"/>
            <w:shd w:val="clear" w:color="auto" w:fill="EEEDED"/>
          </w:tcPr>
          <w:p>
            <w:pPr>
              <w:spacing w:after="0"/>
              <w:rPr>
                <w:sz w:val="14"/>
                <w:szCs w:val="14"/>
                <w:color w:val="auto"/>
              </w:rPr>
            </w:pPr>
          </w:p>
        </w:tc>
        <w:tc>
          <w:tcPr>
            <w:tcW w:w="880" w:type="dxa"/>
            <w:vAlign w:val="bottom"/>
            <w:shd w:val="clear" w:color="auto" w:fill="EEEDED"/>
          </w:tcPr>
          <w:p>
            <w:pPr>
              <w:spacing w:after="0"/>
              <w:rPr>
                <w:sz w:val="14"/>
                <w:szCs w:val="14"/>
                <w:color w:val="auto"/>
              </w:rPr>
            </w:pPr>
          </w:p>
        </w:tc>
        <w:tc>
          <w:tcPr>
            <w:tcW w:w="260" w:type="dxa"/>
            <w:vAlign w:val="bottom"/>
            <w:shd w:val="clear" w:color="auto" w:fill="EEEDED"/>
          </w:tcPr>
          <w:p>
            <w:pPr>
              <w:spacing w:after="0"/>
              <w:rPr>
                <w:sz w:val="14"/>
                <w:szCs w:val="14"/>
                <w:color w:val="auto"/>
              </w:rPr>
            </w:pPr>
          </w:p>
        </w:tc>
        <w:tc>
          <w:tcPr>
            <w:tcW w:w="14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00" w:type="dxa"/>
            <w:vAlign w:val="bottom"/>
            <w:tcBorders>
              <w:bottom w:val="single" w:sz="8" w:color="EEEDED"/>
            </w:tcBorders>
            <w:vMerge w:val="continue"/>
            <w:shd w:val="clear" w:color="auto" w:fill="EEEDED"/>
          </w:tcPr>
          <w:p>
            <w:pPr>
              <w:spacing w:after="0"/>
              <w:rPr>
                <w:sz w:val="5"/>
                <w:szCs w:val="5"/>
                <w:color w:val="auto"/>
              </w:rPr>
            </w:pPr>
          </w:p>
        </w:tc>
        <w:tc>
          <w:tcPr>
            <w:tcW w:w="100" w:type="dxa"/>
            <w:vAlign w:val="bottom"/>
            <w:tcBorders>
              <w:bottom w:val="single" w:sz="8" w:color="EEEDED"/>
            </w:tcBorders>
            <w:shd w:val="clear" w:color="auto" w:fill="EEEDED"/>
          </w:tcPr>
          <w:p>
            <w:pPr>
              <w:spacing w:after="0"/>
              <w:rPr>
                <w:sz w:val="5"/>
                <w:szCs w:val="5"/>
                <w:color w:val="auto"/>
              </w:rPr>
            </w:pPr>
          </w:p>
        </w:tc>
        <w:tc>
          <w:tcPr>
            <w:tcW w:w="1260" w:type="dxa"/>
            <w:vAlign w:val="bottom"/>
            <w:tcBorders>
              <w:bottom w:val="single" w:sz="8" w:color="EEEDED"/>
            </w:tcBorders>
            <w:shd w:val="clear" w:color="auto" w:fill="EEEDED"/>
          </w:tcPr>
          <w:p>
            <w:pPr>
              <w:spacing w:after="0"/>
              <w:rPr>
                <w:sz w:val="5"/>
                <w:szCs w:val="5"/>
                <w:color w:val="auto"/>
              </w:rPr>
            </w:pPr>
          </w:p>
        </w:tc>
        <w:tc>
          <w:tcPr>
            <w:tcW w:w="280" w:type="dxa"/>
            <w:vAlign w:val="bottom"/>
            <w:tcBorders>
              <w:bottom w:val="single" w:sz="8" w:color="EEEDED"/>
            </w:tcBorders>
            <w:shd w:val="clear" w:color="auto" w:fill="EEEDED"/>
          </w:tcPr>
          <w:p>
            <w:pPr>
              <w:spacing w:after="0"/>
              <w:rPr>
                <w:sz w:val="5"/>
                <w:szCs w:val="5"/>
                <w:color w:val="auto"/>
              </w:rPr>
            </w:pPr>
          </w:p>
        </w:tc>
        <w:tc>
          <w:tcPr>
            <w:tcW w:w="1080" w:type="dxa"/>
            <w:vAlign w:val="bottom"/>
            <w:tcBorders>
              <w:bottom w:val="single" w:sz="8" w:color="EEEDED"/>
            </w:tcBorders>
            <w:shd w:val="clear" w:color="auto" w:fill="EEEDED"/>
          </w:tcPr>
          <w:p>
            <w:pPr>
              <w:spacing w:after="0"/>
              <w:rPr>
                <w:sz w:val="5"/>
                <w:szCs w:val="5"/>
                <w:color w:val="auto"/>
              </w:rPr>
            </w:pPr>
          </w:p>
        </w:tc>
        <w:tc>
          <w:tcPr>
            <w:tcW w:w="200" w:type="dxa"/>
            <w:vAlign w:val="bottom"/>
            <w:tcBorders>
              <w:bottom w:val="single" w:sz="8" w:color="EEEDED"/>
            </w:tcBorders>
            <w:shd w:val="clear" w:color="auto" w:fill="EEEDED"/>
          </w:tcPr>
          <w:p>
            <w:pPr>
              <w:spacing w:after="0"/>
              <w:rPr>
                <w:sz w:val="5"/>
                <w:szCs w:val="5"/>
                <w:color w:val="auto"/>
              </w:rPr>
            </w:pPr>
          </w:p>
        </w:tc>
        <w:tc>
          <w:tcPr>
            <w:tcW w:w="1180" w:type="dxa"/>
            <w:vAlign w:val="bottom"/>
            <w:tcBorders>
              <w:bottom w:val="single" w:sz="8" w:color="EEEDED"/>
            </w:tcBorders>
            <w:shd w:val="clear" w:color="auto" w:fill="EEEDED"/>
          </w:tcPr>
          <w:p>
            <w:pPr>
              <w:spacing w:after="0"/>
              <w:rPr>
                <w:sz w:val="5"/>
                <w:szCs w:val="5"/>
                <w:color w:val="auto"/>
              </w:rPr>
            </w:pPr>
          </w:p>
        </w:tc>
        <w:tc>
          <w:tcPr>
            <w:tcW w:w="220" w:type="dxa"/>
            <w:vAlign w:val="bottom"/>
            <w:tcBorders>
              <w:bottom w:val="single" w:sz="8" w:color="EEEDED"/>
            </w:tcBorders>
            <w:shd w:val="clear" w:color="auto" w:fill="EEEDED"/>
          </w:tcPr>
          <w:p>
            <w:pPr>
              <w:spacing w:after="0"/>
              <w:rPr>
                <w:sz w:val="5"/>
                <w:szCs w:val="5"/>
                <w:color w:val="auto"/>
              </w:rPr>
            </w:pPr>
          </w:p>
        </w:tc>
        <w:tc>
          <w:tcPr>
            <w:tcW w:w="1160" w:type="dxa"/>
            <w:vAlign w:val="bottom"/>
            <w:tcBorders>
              <w:bottom w:val="single" w:sz="8" w:color="EEEDED"/>
            </w:tcBorders>
            <w:shd w:val="clear" w:color="auto" w:fill="EEEDED"/>
          </w:tcPr>
          <w:p>
            <w:pPr>
              <w:spacing w:after="0"/>
              <w:rPr>
                <w:sz w:val="5"/>
                <w:szCs w:val="5"/>
                <w:color w:val="auto"/>
              </w:rPr>
            </w:pPr>
          </w:p>
        </w:tc>
        <w:tc>
          <w:tcPr>
            <w:tcW w:w="100" w:type="dxa"/>
            <w:vAlign w:val="bottom"/>
            <w:tcBorders>
              <w:bottom w:val="single" w:sz="8" w:color="EEEDED"/>
            </w:tcBorders>
            <w:shd w:val="clear" w:color="auto" w:fill="EEEDED"/>
          </w:tcPr>
          <w:p>
            <w:pPr>
              <w:spacing w:after="0"/>
              <w:rPr>
                <w:sz w:val="5"/>
                <w:szCs w:val="5"/>
                <w:color w:val="auto"/>
              </w:rPr>
            </w:pPr>
          </w:p>
        </w:tc>
        <w:tc>
          <w:tcPr>
            <w:tcW w:w="1280" w:type="dxa"/>
            <w:vAlign w:val="bottom"/>
            <w:tcBorders>
              <w:bottom w:val="single" w:sz="8" w:color="EEEDED"/>
            </w:tcBorders>
            <w:shd w:val="clear" w:color="auto" w:fill="EEEDED"/>
          </w:tcPr>
          <w:p>
            <w:pPr>
              <w:spacing w:after="0"/>
              <w:rPr>
                <w:sz w:val="5"/>
                <w:szCs w:val="5"/>
                <w:color w:val="auto"/>
              </w:rPr>
            </w:pPr>
          </w:p>
        </w:tc>
        <w:tc>
          <w:tcPr>
            <w:tcW w:w="220" w:type="dxa"/>
            <w:vAlign w:val="bottom"/>
            <w:tcBorders>
              <w:bottom w:val="single" w:sz="8" w:color="EEEDED"/>
            </w:tcBorders>
            <w:shd w:val="clear" w:color="auto" w:fill="EEEDED"/>
          </w:tcPr>
          <w:p>
            <w:pPr>
              <w:spacing w:after="0"/>
              <w:rPr>
                <w:sz w:val="5"/>
                <w:szCs w:val="5"/>
                <w:color w:val="auto"/>
              </w:rPr>
            </w:pPr>
          </w:p>
        </w:tc>
        <w:tc>
          <w:tcPr>
            <w:tcW w:w="1040" w:type="dxa"/>
            <w:vAlign w:val="bottom"/>
            <w:tcBorders>
              <w:bottom w:val="single" w:sz="8" w:color="EEEDED"/>
            </w:tcBorders>
            <w:shd w:val="clear" w:color="auto" w:fill="EEEDED"/>
          </w:tcPr>
          <w:p>
            <w:pPr>
              <w:spacing w:after="0"/>
              <w:rPr>
                <w:sz w:val="5"/>
                <w:szCs w:val="5"/>
                <w:color w:val="auto"/>
              </w:rPr>
            </w:pPr>
          </w:p>
        </w:tc>
        <w:tc>
          <w:tcPr>
            <w:tcW w:w="240" w:type="dxa"/>
            <w:vAlign w:val="bottom"/>
            <w:tcBorders>
              <w:bottom w:val="single" w:sz="8" w:color="EEEDED"/>
            </w:tcBorders>
            <w:shd w:val="clear" w:color="auto" w:fill="EEEDED"/>
          </w:tcPr>
          <w:p>
            <w:pPr>
              <w:spacing w:after="0"/>
              <w:rPr>
                <w:sz w:val="5"/>
                <w:szCs w:val="5"/>
                <w:color w:val="auto"/>
              </w:rPr>
            </w:pPr>
          </w:p>
        </w:tc>
        <w:tc>
          <w:tcPr>
            <w:tcW w:w="560" w:type="dxa"/>
            <w:vAlign w:val="bottom"/>
            <w:tcBorders>
              <w:bottom w:val="single" w:sz="8" w:color="EEEDED"/>
            </w:tcBorders>
            <w:shd w:val="clear" w:color="auto" w:fill="EEEDED"/>
          </w:tcPr>
          <w:p>
            <w:pPr>
              <w:spacing w:after="0"/>
              <w:rPr>
                <w:sz w:val="5"/>
                <w:szCs w:val="5"/>
                <w:color w:val="auto"/>
              </w:rPr>
            </w:pPr>
          </w:p>
        </w:tc>
        <w:tc>
          <w:tcPr>
            <w:tcW w:w="480" w:type="dxa"/>
            <w:vAlign w:val="bottom"/>
            <w:tcBorders>
              <w:bottom w:val="single" w:sz="8" w:color="EEEDED"/>
            </w:tcBorders>
            <w:shd w:val="clear" w:color="auto" w:fill="EEEDED"/>
          </w:tcPr>
          <w:p>
            <w:pPr>
              <w:spacing w:after="0"/>
              <w:rPr>
                <w:sz w:val="5"/>
                <w:szCs w:val="5"/>
                <w:color w:val="auto"/>
              </w:rPr>
            </w:pPr>
          </w:p>
        </w:tc>
        <w:tc>
          <w:tcPr>
            <w:tcW w:w="120" w:type="dxa"/>
            <w:vAlign w:val="bottom"/>
            <w:tcBorders>
              <w:bottom w:val="single" w:sz="8" w:color="EEEDED"/>
            </w:tcBorders>
            <w:shd w:val="clear" w:color="auto" w:fill="EEEDED"/>
          </w:tcPr>
          <w:p>
            <w:pPr>
              <w:spacing w:after="0"/>
              <w:rPr>
                <w:sz w:val="5"/>
                <w:szCs w:val="5"/>
                <w:color w:val="auto"/>
              </w:rPr>
            </w:pPr>
          </w:p>
        </w:tc>
        <w:tc>
          <w:tcPr>
            <w:tcW w:w="880" w:type="dxa"/>
            <w:vAlign w:val="bottom"/>
            <w:tcBorders>
              <w:bottom w:val="single" w:sz="8" w:color="EEEDED"/>
            </w:tcBorders>
            <w:shd w:val="clear" w:color="auto" w:fill="EEEDED"/>
          </w:tcPr>
          <w:p>
            <w:pPr>
              <w:spacing w:after="0"/>
              <w:rPr>
                <w:sz w:val="5"/>
                <w:szCs w:val="5"/>
                <w:color w:val="auto"/>
              </w:rPr>
            </w:pPr>
          </w:p>
        </w:tc>
        <w:tc>
          <w:tcPr>
            <w:tcW w:w="260" w:type="dxa"/>
            <w:vAlign w:val="bottom"/>
            <w:tcBorders>
              <w:bottom w:val="single" w:sz="8" w:color="EEEDED"/>
            </w:tcBorders>
            <w:shd w:val="clear" w:color="auto" w:fill="EEEDED"/>
          </w:tcPr>
          <w:p>
            <w:pPr>
              <w:spacing w:after="0"/>
              <w:rPr>
                <w:sz w:val="5"/>
                <w:szCs w:val="5"/>
                <w:color w:val="auto"/>
              </w:rPr>
            </w:pPr>
          </w:p>
        </w:tc>
        <w:tc>
          <w:tcPr>
            <w:tcW w:w="140" w:type="dxa"/>
            <w:vAlign w:val="bottom"/>
            <w:tcBorders>
              <w:bottom w:val="single" w:sz="8" w:color="EEEDED"/>
            </w:tcBorders>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0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1,892,166</w:t>
            </w:r>
          </w:p>
        </w:tc>
        <w:tc>
          <w:tcPr>
            <w:tcW w:w="280" w:type="dxa"/>
            <w:vAlign w:val="bottom"/>
            <w:tcBorders>
              <w:bottom w:val="single" w:sz="8" w:color="54585A"/>
            </w:tcBorders>
          </w:tcPr>
          <w:p>
            <w:pPr>
              <w:jc w:val="right"/>
              <w:ind w:right="152"/>
              <w:spacing w:after="0"/>
              <w:rPr>
                <w:sz w:val="20"/>
                <w:szCs w:val="20"/>
                <w:color w:val="auto"/>
              </w:rPr>
            </w:pPr>
            <w:r>
              <w:rPr>
                <w:rFonts w:ascii="Arial" w:cs="Arial" w:eastAsia="Arial" w:hAnsi="Arial"/>
                <w:sz w:val="10"/>
                <w:szCs w:val="10"/>
                <w:color w:val="54585A"/>
              </w:rPr>
              <w:t>$</w:t>
            </w:r>
          </w:p>
        </w:tc>
        <w:tc>
          <w:tcPr>
            <w:tcW w:w="10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1,250,965</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1,764,537</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1,277,946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255.77</w:t>
            </w:r>
          </w:p>
        </w:tc>
        <w:tc>
          <w:tcPr>
            <w:tcW w:w="22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95.61</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gridSpan w:val="2"/>
          </w:tcPr>
          <w:p>
            <w:pPr>
              <w:jc w:val="right"/>
              <w:spacing w:after="0"/>
              <w:rPr>
                <w:sz w:val="20"/>
                <w:szCs w:val="20"/>
                <w:color w:val="auto"/>
              </w:rPr>
            </w:pPr>
            <w:r>
              <w:rPr>
                <w:rFonts w:ascii="Arial" w:cs="Arial" w:eastAsia="Arial" w:hAnsi="Arial"/>
                <w:sz w:val="10"/>
                <w:szCs w:val="10"/>
                <w:color w:val="54585A"/>
              </w:rPr>
              <w:t>(256,915,000)</w:t>
            </w:r>
          </w:p>
        </w:tc>
        <w:tc>
          <w:tcPr>
            <w:tcW w:w="1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gridSpan w:val="2"/>
          </w:tcPr>
          <w:p>
            <w:pPr>
              <w:jc w:val="right"/>
              <w:ind w:right="19"/>
              <w:spacing w:after="0"/>
              <w:rPr>
                <w:sz w:val="20"/>
                <w:szCs w:val="20"/>
                <w:color w:val="auto"/>
              </w:rPr>
            </w:pPr>
            <w:r>
              <w:rPr>
                <w:rFonts w:ascii="Arial" w:cs="Arial" w:eastAsia="Arial" w:hAnsi="Arial"/>
                <w:sz w:val="10"/>
                <w:szCs w:val="10"/>
                <w:color w:val="54585A"/>
              </w:rPr>
              <w:t>57,396,000</w:t>
            </w:r>
          </w:p>
        </w:tc>
        <w:tc>
          <w:tcPr>
            <w:tcW w:w="1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2021</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871,997</w:t>
            </w:r>
          </w:p>
        </w:tc>
        <w:tc>
          <w:tcPr>
            <w:tcW w:w="280" w:type="dxa"/>
            <w:vAlign w:val="bottom"/>
            <w:tcBorders>
              <w:bottom w:val="single" w:sz="8" w:color="54585A"/>
            </w:tcBorders>
          </w:tcPr>
          <w:p>
            <w:pPr>
              <w:jc w:val="right"/>
              <w:ind w:right="152"/>
              <w:spacing w:after="0"/>
              <w:rPr>
                <w:sz w:val="20"/>
                <w:szCs w:val="20"/>
                <w:color w:val="auto"/>
              </w:rPr>
            </w:pPr>
            <w:r>
              <w:rPr>
                <w:rFonts w:ascii="Arial" w:cs="Arial" w:eastAsia="Arial" w:hAnsi="Arial"/>
                <w:sz w:val="10"/>
                <w:szCs w:val="10"/>
                <w:color w:val="54585A"/>
              </w:rPr>
              <w:t>$</w:t>
            </w:r>
          </w:p>
        </w:tc>
        <w:tc>
          <w:tcPr>
            <w:tcW w:w="10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4,318,956</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595,857</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952,036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223.08</w:t>
            </w:r>
          </w:p>
        </w:tc>
        <w:tc>
          <w:tcPr>
            <w:tcW w:w="22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127.87</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gridSpan w:val="2"/>
          </w:tcPr>
          <w:p>
            <w:pPr>
              <w:jc w:val="right"/>
              <w:spacing w:after="0"/>
              <w:rPr>
                <w:sz w:val="20"/>
                <w:szCs w:val="20"/>
                <w:color w:val="auto"/>
              </w:rPr>
            </w:pPr>
            <w:r>
              <w:rPr>
                <w:rFonts w:ascii="Arial" w:cs="Arial" w:eastAsia="Arial" w:hAnsi="Arial"/>
                <w:sz w:val="10"/>
                <w:szCs w:val="10"/>
                <w:color w:val="54585A"/>
              </w:rPr>
              <w:t>(112,625,000)</w:t>
            </w:r>
          </w:p>
        </w:tc>
        <w:tc>
          <w:tcPr>
            <w:tcW w:w="1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gridSpan w:val="2"/>
          </w:tcPr>
          <w:p>
            <w:pPr>
              <w:jc w:val="right"/>
              <w:ind w:right="19"/>
              <w:spacing w:after="0"/>
              <w:rPr>
                <w:sz w:val="20"/>
                <w:szCs w:val="20"/>
                <w:color w:val="auto"/>
              </w:rPr>
            </w:pPr>
            <w:r>
              <w:rPr>
                <w:rFonts w:ascii="Arial" w:cs="Arial" w:eastAsia="Arial" w:hAnsi="Arial"/>
                <w:sz w:val="10"/>
                <w:szCs w:val="10"/>
                <w:color w:val="54585A"/>
              </w:rPr>
              <w:t>38,711,000</w:t>
            </w:r>
          </w:p>
        </w:tc>
        <w:tc>
          <w:tcPr>
            <w:tcW w:w="1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2020</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727,937</w:t>
            </w:r>
          </w:p>
        </w:tc>
        <w:tc>
          <w:tcPr>
            <w:tcW w:w="280" w:type="dxa"/>
            <w:vAlign w:val="bottom"/>
            <w:tcBorders>
              <w:bottom w:val="single" w:sz="8" w:color="54585A"/>
            </w:tcBorders>
          </w:tcPr>
          <w:p>
            <w:pPr>
              <w:jc w:val="right"/>
              <w:ind w:right="152"/>
              <w:spacing w:after="0"/>
              <w:rPr>
                <w:sz w:val="20"/>
                <w:szCs w:val="20"/>
                <w:color w:val="auto"/>
              </w:rPr>
            </w:pPr>
            <w:r>
              <w:rPr>
                <w:rFonts w:ascii="Arial" w:cs="Arial" w:eastAsia="Arial" w:hAnsi="Arial"/>
                <w:sz w:val="10"/>
                <w:szCs w:val="10"/>
                <w:color w:val="54585A"/>
              </w:rPr>
              <w:t>$</w:t>
            </w:r>
          </w:p>
        </w:tc>
        <w:tc>
          <w:tcPr>
            <w:tcW w:w="10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145,209</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580,343</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375,332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8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65.38</w:t>
            </w:r>
          </w:p>
        </w:tc>
        <w:tc>
          <w:tcPr>
            <w:tcW w:w="22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122.04</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1040" w:type="dxa"/>
            <w:vAlign w:val="bottom"/>
            <w:tcBorders>
              <w:bottom w:val="single" w:sz="8" w:color="54585A"/>
            </w:tcBorders>
            <w:gridSpan w:val="2"/>
          </w:tcPr>
          <w:p>
            <w:pPr>
              <w:jc w:val="right"/>
              <w:spacing w:after="0"/>
              <w:rPr>
                <w:sz w:val="20"/>
                <w:szCs w:val="20"/>
                <w:color w:val="auto"/>
              </w:rPr>
            </w:pPr>
            <w:r>
              <w:rPr>
                <w:rFonts w:ascii="Arial" w:cs="Arial" w:eastAsia="Arial" w:hAnsi="Arial"/>
                <w:sz w:val="10"/>
                <w:szCs w:val="10"/>
                <w:color w:val="54585A"/>
              </w:rPr>
              <w:t>(109,639,000)</w:t>
            </w:r>
          </w:p>
        </w:tc>
        <w:tc>
          <w:tcPr>
            <w:tcW w:w="1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gridSpan w:val="2"/>
          </w:tcPr>
          <w:p>
            <w:pPr>
              <w:jc w:val="right"/>
              <w:ind w:right="19"/>
              <w:spacing w:after="0"/>
              <w:rPr>
                <w:sz w:val="20"/>
                <w:szCs w:val="20"/>
                <w:color w:val="auto"/>
              </w:rPr>
            </w:pPr>
            <w:r>
              <w:rPr>
                <w:rFonts w:ascii="Arial" w:cs="Arial" w:eastAsia="Arial" w:hAnsi="Arial"/>
                <w:sz w:val="10"/>
                <w:szCs w:val="10"/>
                <w:color w:val="54585A"/>
              </w:rPr>
              <w:t>42,158,000</w:t>
            </w:r>
          </w:p>
        </w:tc>
        <w:tc>
          <w:tcPr>
            <w:tcW w:w="14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8" w:right="220" w:hanging="208"/>
        <w:spacing w:after="0" w:line="238" w:lineRule="auto"/>
        <w:tabs>
          <w:tab w:leader="none" w:pos="208" w:val="left"/>
        </w:tabs>
        <w:numPr>
          <w:ilvl w:val="0"/>
          <w:numId w:val="58"/>
        </w:numPr>
        <w:rPr>
          <w:rFonts w:ascii="Arial" w:cs="Arial" w:eastAsia="Arial" w:hAnsi="Arial"/>
          <w:sz w:val="10"/>
          <w:szCs w:val="10"/>
          <w:color w:val="54585A"/>
        </w:rPr>
      </w:pPr>
      <w:r>
        <w:rPr>
          <w:rFonts w:ascii="Arial" w:cs="Arial" w:eastAsia="Arial" w:hAnsi="Arial"/>
          <w:sz w:val="10"/>
          <w:szCs w:val="10"/>
          <w:color w:val="54585A"/>
        </w:rPr>
        <w:t>David B. Kagan, our Chief Executive Officer, was our PEO for each year presented. The dollar amounts reported are the amounts of total compensation reported for Mr. Kagan for each corresponding year in the “Total” column of the Summary Compensation Table. Refer to Executive Compensation – Summary Compensation Table.</w:t>
      </w:r>
    </w:p>
    <w:p>
      <w:pPr>
        <w:spacing w:after="0" w:line="68" w:lineRule="exact"/>
        <w:rPr>
          <w:rFonts w:ascii="Arial" w:cs="Arial" w:eastAsia="Arial" w:hAnsi="Arial"/>
          <w:sz w:val="10"/>
          <w:szCs w:val="10"/>
          <w:color w:val="54585A"/>
        </w:rPr>
      </w:pPr>
    </w:p>
    <w:p>
      <w:pPr>
        <w:jc w:val="both"/>
        <w:ind w:left="208" w:right="120" w:hanging="208"/>
        <w:spacing w:after="0" w:line="250" w:lineRule="auto"/>
        <w:tabs>
          <w:tab w:leader="none" w:pos="208" w:val="left"/>
        </w:tabs>
        <w:numPr>
          <w:ilvl w:val="0"/>
          <w:numId w:val="58"/>
        </w:numPr>
        <w:rPr>
          <w:rFonts w:ascii="Arial" w:cs="Arial" w:eastAsia="Arial" w:hAnsi="Arial"/>
          <w:sz w:val="10"/>
          <w:szCs w:val="10"/>
          <w:color w:val="54585A"/>
        </w:rPr>
      </w:pPr>
      <w:r>
        <w:rPr>
          <w:rFonts w:ascii="Arial" w:cs="Arial" w:eastAsia="Arial" w:hAnsi="Arial"/>
          <w:sz w:val="10"/>
          <w:szCs w:val="10"/>
          <w:color w:val="54585A"/>
        </w:rPr>
        <w:t>The dollar amounts reported represent the amount of “compensation actually paid” to Mr. Kagan, as calculated in accordance with Item 402(v) of Regulation S-K. The dollar amounts do not reflect the actual amount of compensation earned or paid to Mr. Kagan during the applicable year. These amounts reflect the Summary Compensation Table Total with certain adjustments as described below. Mr. Kagan does not have pension benefits; therefore, columns reporting Change in Actuarial Value of Pension Benefits and Pension Benefit Adjustments are omitted.</w:t>
      </w:r>
    </w:p>
    <w:p>
      <w:pPr>
        <w:spacing w:after="0" w:line="120" w:lineRule="exact"/>
        <w:rPr>
          <w:sz w:val="20"/>
          <w:szCs w:val="20"/>
          <w:color w:val="auto"/>
        </w:rPr>
      </w:pPr>
    </w:p>
    <w:tbl>
      <w:tblPr>
        <w:tblLayout w:type="fixed"/>
        <w:tblInd w:w="168" w:type="dxa"/>
        <w:tblCellMar>
          <w:top w:w="0" w:type="dxa"/>
          <w:left w:w="0" w:type="dxa"/>
          <w:bottom w:w="0" w:type="dxa"/>
          <w:right w:w="0" w:type="dxa"/>
        </w:tblCellMar>
      </w:tblPr>
      <w:tr>
        <w:trPr>
          <w:trHeight w:val="144"/>
        </w:trPr>
        <w:tc>
          <w:tcPr>
            <w:tcW w:w="940" w:type="dxa"/>
            <w:vAlign w:val="bottom"/>
            <w:shd w:val="clear" w:color="auto" w:fill="EEEDED"/>
          </w:tcPr>
          <w:p>
            <w:pPr>
              <w:ind w:left="360"/>
              <w:spacing w:after="0"/>
              <w:rPr>
                <w:sz w:val="20"/>
                <w:szCs w:val="20"/>
                <w:color w:val="auto"/>
              </w:rPr>
            </w:pPr>
            <w:r>
              <w:rPr>
                <w:rFonts w:ascii="Arial" w:cs="Arial" w:eastAsia="Arial" w:hAnsi="Arial"/>
                <w:sz w:val="10"/>
                <w:szCs w:val="10"/>
                <w:b w:val="1"/>
                <w:bCs w:val="1"/>
                <w:color w:val="54585A"/>
              </w:rPr>
              <w:t>Year</w:t>
            </w:r>
          </w:p>
        </w:tc>
        <w:tc>
          <w:tcPr>
            <w:tcW w:w="180" w:type="dxa"/>
            <w:vAlign w:val="bottom"/>
            <w:shd w:val="clear" w:color="auto" w:fill="EEEDED"/>
          </w:tcPr>
          <w:p>
            <w:pPr>
              <w:spacing w:after="0"/>
              <w:rPr>
                <w:sz w:val="12"/>
                <w:szCs w:val="12"/>
                <w:color w:val="auto"/>
              </w:rPr>
            </w:pPr>
          </w:p>
        </w:tc>
        <w:tc>
          <w:tcPr>
            <w:tcW w:w="234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w w:val="99"/>
              </w:rPr>
              <w:t>Summary compensation table total for PEO</w:t>
            </w:r>
          </w:p>
        </w:tc>
        <w:tc>
          <w:tcPr>
            <w:tcW w:w="180" w:type="dxa"/>
            <w:vAlign w:val="bottom"/>
            <w:shd w:val="clear" w:color="auto" w:fill="EEEDED"/>
          </w:tcPr>
          <w:p>
            <w:pPr>
              <w:spacing w:after="0"/>
              <w:rPr>
                <w:sz w:val="12"/>
                <w:szCs w:val="12"/>
                <w:color w:val="auto"/>
              </w:rPr>
            </w:pPr>
          </w:p>
        </w:tc>
        <w:tc>
          <w:tcPr>
            <w:tcW w:w="2300" w:type="dxa"/>
            <w:vAlign w:val="bottom"/>
            <w:shd w:val="clear" w:color="auto" w:fill="EEEDED"/>
          </w:tcPr>
          <w:p>
            <w:pPr>
              <w:jc w:val="right"/>
              <w:ind w:right="192"/>
              <w:spacing w:after="0"/>
              <w:rPr>
                <w:sz w:val="20"/>
                <w:szCs w:val="20"/>
                <w:color w:val="auto"/>
              </w:rPr>
            </w:pPr>
            <w:r>
              <w:rPr>
                <w:rFonts w:ascii="Arial" w:cs="Arial" w:eastAsia="Arial" w:hAnsi="Arial"/>
                <w:sz w:val="10"/>
                <w:szCs w:val="10"/>
                <w:b w:val="1"/>
                <w:bCs w:val="1"/>
                <w:color w:val="54585A"/>
                <w:w w:val="98"/>
              </w:rPr>
              <w:t>Reported Value of Equity Awards for PEO</w:t>
            </w:r>
            <w:r>
              <w:rPr>
                <w:rFonts w:ascii="Arial" w:cs="Arial" w:eastAsia="Arial" w:hAnsi="Arial"/>
                <w:sz w:val="12"/>
                <w:szCs w:val="12"/>
                <w:b w:val="1"/>
                <w:bCs w:val="1"/>
                <w:color w:val="54585A"/>
                <w:w w:val="98"/>
                <w:vertAlign w:val="superscript"/>
              </w:rPr>
              <w:t>(a)</w:t>
            </w:r>
          </w:p>
        </w:tc>
        <w:tc>
          <w:tcPr>
            <w:tcW w:w="200" w:type="dxa"/>
            <w:vAlign w:val="bottom"/>
            <w:shd w:val="clear" w:color="auto" w:fill="EEEDED"/>
          </w:tcPr>
          <w:p>
            <w:pPr>
              <w:spacing w:after="0"/>
              <w:rPr>
                <w:sz w:val="12"/>
                <w:szCs w:val="12"/>
                <w:color w:val="auto"/>
              </w:rPr>
            </w:pPr>
          </w:p>
        </w:tc>
        <w:tc>
          <w:tcPr>
            <w:tcW w:w="2120" w:type="dxa"/>
            <w:vAlign w:val="bottom"/>
            <w:shd w:val="clear" w:color="auto" w:fill="EEEDED"/>
          </w:tcPr>
          <w:p>
            <w:pPr>
              <w:jc w:val="right"/>
              <w:ind w:right="272"/>
              <w:spacing w:after="0"/>
              <w:rPr>
                <w:sz w:val="20"/>
                <w:szCs w:val="20"/>
                <w:color w:val="auto"/>
              </w:rPr>
            </w:pPr>
            <w:r>
              <w:rPr>
                <w:rFonts w:ascii="Arial" w:cs="Arial" w:eastAsia="Arial" w:hAnsi="Arial"/>
                <w:sz w:val="10"/>
                <w:szCs w:val="10"/>
                <w:b w:val="1"/>
                <w:bCs w:val="1"/>
                <w:color w:val="54585A"/>
              </w:rPr>
              <w:t>Equity Award Adjustments for PEO</w:t>
            </w:r>
            <w:r>
              <w:rPr>
                <w:rFonts w:ascii="Arial" w:cs="Arial" w:eastAsia="Arial" w:hAnsi="Arial"/>
                <w:sz w:val="12"/>
                <w:szCs w:val="12"/>
                <w:b w:val="1"/>
                <w:bCs w:val="1"/>
                <w:color w:val="54585A"/>
                <w:vertAlign w:val="superscript"/>
              </w:rPr>
              <w:t>(b)</w:t>
            </w:r>
          </w:p>
        </w:tc>
        <w:tc>
          <w:tcPr>
            <w:tcW w:w="240" w:type="dxa"/>
            <w:vAlign w:val="bottom"/>
            <w:shd w:val="clear" w:color="auto" w:fill="EEEDED"/>
          </w:tcPr>
          <w:p>
            <w:pPr>
              <w:spacing w:after="0"/>
              <w:rPr>
                <w:sz w:val="12"/>
                <w:szCs w:val="12"/>
                <w:color w:val="auto"/>
              </w:rPr>
            </w:pPr>
          </w:p>
        </w:tc>
        <w:tc>
          <w:tcPr>
            <w:tcW w:w="2340" w:type="dxa"/>
            <w:vAlign w:val="bottom"/>
            <w:shd w:val="clear" w:color="auto" w:fill="EEEDED"/>
          </w:tcPr>
          <w:p>
            <w:pPr>
              <w:jc w:val="right"/>
              <w:ind w:right="492"/>
              <w:spacing w:after="0"/>
              <w:rPr>
                <w:sz w:val="20"/>
                <w:szCs w:val="20"/>
                <w:color w:val="auto"/>
              </w:rPr>
            </w:pPr>
            <w:r>
              <w:rPr>
                <w:rFonts w:ascii="Arial" w:cs="Arial" w:eastAsia="Arial" w:hAnsi="Arial"/>
                <w:sz w:val="10"/>
                <w:szCs w:val="10"/>
                <w:b w:val="1"/>
                <w:bCs w:val="1"/>
                <w:color w:val="54585A"/>
              </w:rPr>
              <w:t>Compensation actually paid to PEO</w:t>
            </w:r>
          </w:p>
        </w:tc>
      </w:tr>
      <w:tr>
        <w:trPr>
          <w:trHeight w:val="63"/>
        </w:trPr>
        <w:tc>
          <w:tcPr>
            <w:tcW w:w="940" w:type="dxa"/>
            <w:vAlign w:val="bottom"/>
            <w:shd w:val="clear" w:color="auto" w:fill="EEEDED"/>
          </w:tcPr>
          <w:p>
            <w:pPr>
              <w:spacing w:after="0"/>
              <w:rPr>
                <w:sz w:val="5"/>
                <w:szCs w:val="5"/>
                <w:color w:val="auto"/>
              </w:rPr>
            </w:pPr>
          </w:p>
        </w:tc>
        <w:tc>
          <w:tcPr>
            <w:tcW w:w="180" w:type="dxa"/>
            <w:vAlign w:val="bottom"/>
            <w:shd w:val="clear" w:color="auto" w:fill="EEEDED"/>
          </w:tcPr>
          <w:p>
            <w:pPr>
              <w:spacing w:after="0"/>
              <w:rPr>
                <w:sz w:val="5"/>
                <w:szCs w:val="5"/>
                <w:color w:val="auto"/>
              </w:rPr>
            </w:pPr>
          </w:p>
        </w:tc>
        <w:tc>
          <w:tcPr>
            <w:tcW w:w="2340" w:type="dxa"/>
            <w:vAlign w:val="bottom"/>
            <w:shd w:val="clear" w:color="auto" w:fill="EEEDED"/>
          </w:tcPr>
          <w:p>
            <w:pPr>
              <w:spacing w:after="0"/>
              <w:rPr>
                <w:sz w:val="5"/>
                <w:szCs w:val="5"/>
                <w:color w:val="auto"/>
              </w:rPr>
            </w:pPr>
          </w:p>
        </w:tc>
        <w:tc>
          <w:tcPr>
            <w:tcW w:w="180" w:type="dxa"/>
            <w:vAlign w:val="bottom"/>
            <w:shd w:val="clear" w:color="auto" w:fill="EEEDED"/>
          </w:tcPr>
          <w:p>
            <w:pPr>
              <w:spacing w:after="0"/>
              <w:rPr>
                <w:sz w:val="5"/>
                <w:szCs w:val="5"/>
                <w:color w:val="auto"/>
              </w:rPr>
            </w:pPr>
          </w:p>
        </w:tc>
        <w:tc>
          <w:tcPr>
            <w:tcW w:w="2300" w:type="dxa"/>
            <w:vAlign w:val="bottom"/>
            <w:shd w:val="clear" w:color="auto" w:fill="EEEDED"/>
          </w:tcPr>
          <w:p>
            <w:pPr>
              <w:spacing w:after="0"/>
              <w:rPr>
                <w:sz w:val="5"/>
                <w:szCs w:val="5"/>
                <w:color w:val="auto"/>
              </w:rPr>
            </w:pPr>
          </w:p>
        </w:tc>
        <w:tc>
          <w:tcPr>
            <w:tcW w:w="200" w:type="dxa"/>
            <w:vAlign w:val="bottom"/>
            <w:shd w:val="clear" w:color="auto" w:fill="EEEDED"/>
          </w:tcPr>
          <w:p>
            <w:pPr>
              <w:spacing w:after="0"/>
              <w:rPr>
                <w:sz w:val="5"/>
                <w:szCs w:val="5"/>
                <w:color w:val="auto"/>
              </w:rPr>
            </w:pPr>
          </w:p>
        </w:tc>
        <w:tc>
          <w:tcPr>
            <w:tcW w:w="2120" w:type="dxa"/>
            <w:vAlign w:val="bottom"/>
            <w:shd w:val="clear" w:color="auto" w:fill="EEEDED"/>
          </w:tcPr>
          <w:p>
            <w:pPr>
              <w:spacing w:after="0"/>
              <w:rPr>
                <w:sz w:val="5"/>
                <w:szCs w:val="5"/>
                <w:color w:val="auto"/>
              </w:rPr>
            </w:pPr>
          </w:p>
        </w:tc>
        <w:tc>
          <w:tcPr>
            <w:tcW w:w="240" w:type="dxa"/>
            <w:vAlign w:val="bottom"/>
            <w:shd w:val="clear" w:color="auto" w:fill="EEEDED"/>
          </w:tcPr>
          <w:p>
            <w:pPr>
              <w:spacing w:after="0"/>
              <w:rPr>
                <w:sz w:val="5"/>
                <w:szCs w:val="5"/>
                <w:color w:val="auto"/>
              </w:rPr>
            </w:pPr>
          </w:p>
        </w:tc>
        <w:tc>
          <w:tcPr>
            <w:tcW w:w="2340" w:type="dxa"/>
            <w:vAlign w:val="bottom"/>
            <w:shd w:val="clear" w:color="auto" w:fill="EEEDED"/>
          </w:tcPr>
          <w:p>
            <w:pPr>
              <w:spacing w:after="0"/>
              <w:rPr>
                <w:sz w:val="5"/>
                <w:szCs w:val="5"/>
                <w:color w:val="auto"/>
              </w:rPr>
            </w:pPr>
          </w:p>
        </w:tc>
      </w:tr>
      <w:tr>
        <w:trPr>
          <w:trHeight w:val="145"/>
        </w:trPr>
        <w:tc>
          <w:tcPr>
            <w:tcW w:w="94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2022</w:t>
            </w:r>
          </w:p>
        </w:tc>
        <w:tc>
          <w:tcPr>
            <w:tcW w:w="18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1,892,166</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1,330,400</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2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689,199</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1,250,965</w:t>
            </w:r>
          </w:p>
        </w:tc>
      </w:tr>
      <w:tr>
        <w:trPr>
          <w:trHeight w:val="142"/>
        </w:trPr>
        <w:tc>
          <w:tcPr>
            <w:tcW w:w="94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2021</w:t>
            </w:r>
          </w:p>
        </w:tc>
        <w:tc>
          <w:tcPr>
            <w:tcW w:w="18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871,997</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165,600</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2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3,612,559</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4,318,956</w:t>
            </w:r>
          </w:p>
        </w:tc>
      </w:tr>
      <w:tr>
        <w:trPr>
          <w:trHeight w:val="138"/>
        </w:trPr>
        <w:tc>
          <w:tcPr>
            <w:tcW w:w="94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2020</w:t>
            </w:r>
          </w:p>
        </w:tc>
        <w:tc>
          <w:tcPr>
            <w:tcW w:w="18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727,937</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182,359</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2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(400,369)</w:t>
            </w:r>
          </w:p>
        </w:tc>
        <w:tc>
          <w:tcPr>
            <w:tcW w:w="2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w w:val="71"/>
              </w:rPr>
              <w:t>$</w:t>
            </w:r>
          </w:p>
        </w:tc>
        <w:tc>
          <w:tcPr>
            <w:tcW w:w="23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145,209</w:t>
            </w:r>
          </w:p>
        </w:tc>
      </w:tr>
    </w:tbl>
    <w:p>
      <w:pPr>
        <w:spacing w:after="0" w:line="132" w:lineRule="exact"/>
        <w:rPr>
          <w:sz w:val="20"/>
          <w:szCs w:val="20"/>
          <w:color w:val="auto"/>
        </w:rPr>
      </w:pPr>
    </w:p>
    <w:p>
      <w:pPr>
        <w:ind w:left="428" w:hanging="212"/>
        <w:spacing w:after="0"/>
        <w:tabs>
          <w:tab w:leader="none" w:pos="428" w:val="left"/>
        </w:tabs>
        <w:numPr>
          <w:ilvl w:val="0"/>
          <w:numId w:val="59"/>
        </w:numPr>
        <w:rPr>
          <w:rFonts w:ascii="Arial" w:cs="Arial" w:eastAsia="Arial" w:hAnsi="Arial"/>
          <w:sz w:val="10"/>
          <w:szCs w:val="10"/>
          <w:color w:val="54585A"/>
        </w:rPr>
      </w:pPr>
      <w:r>
        <w:rPr>
          <w:rFonts w:ascii="Arial" w:cs="Arial" w:eastAsia="Arial" w:hAnsi="Arial"/>
          <w:sz w:val="10"/>
          <w:szCs w:val="10"/>
          <w:color w:val="54585A"/>
        </w:rPr>
        <w:t>The grant date fair value of equity awards represents the total of the amounts reported in the “Stock Awards” and “Option Awards” columns in the Summary Compensation Table for the applicable year.</w:t>
      </w:r>
    </w:p>
    <w:p>
      <w:pPr>
        <w:spacing w:after="0" w:line="65" w:lineRule="exact"/>
        <w:rPr>
          <w:rFonts w:ascii="Arial" w:cs="Arial" w:eastAsia="Arial" w:hAnsi="Arial"/>
          <w:sz w:val="10"/>
          <w:szCs w:val="10"/>
          <w:color w:val="54585A"/>
        </w:rPr>
      </w:pPr>
    </w:p>
    <w:p>
      <w:pPr>
        <w:ind w:left="428" w:right="100" w:hanging="212"/>
        <w:spacing w:after="0" w:line="248" w:lineRule="auto"/>
        <w:tabs>
          <w:tab w:leader="none" w:pos="428" w:val="left"/>
        </w:tabs>
        <w:numPr>
          <w:ilvl w:val="0"/>
          <w:numId w:val="59"/>
        </w:numPr>
        <w:rPr>
          <w:rFonts w:ascii="Arial" w:cs="Arial" w:eastAsia="Arial" w:hAnsi="Arial"/>
          <w:sz w:val="10"/>
          <w:szCs w:val="10"/>
          <w:color w:val="54585A"/>
        </w:rPr>
      </w:pPr>
      <w:r>
        <w:rPr>
          <w:rFonts w:ascii="Arial" w:cs="Arial" w:eastAsia="Arial" w:hAnsi="Arial"/>
          <w:sz w:val="10"/>
          <w:szCs w:val="10"/>
          <w:color w:val="54585A"/>
        </w:rPr>
        <w:t>The equity award adjustments for each applicable year include the addition (or subtraction, as applicable) of the following to the extent applicable: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and (iv) for awards granted in prior years that vest in the applicable year, the amount equal to the change as of the vesting date (from the end of the prior fiscal year) in fair value. The valuation assumptions used to calculate fair values did not materially differ from those disclosed at the time of grant.</w:t>
      </w:r>
    </w:p>
    <w:p>
      <w:pPr>
        <w:spacing w:after="0" w:line="187" w:lineRule="exact"/>
        <w:rPr>
          <w:sz w:val="20"/>
          <w:szCs w:val="20"/>
          <w:color w:val="auto"/>
        </w:rPr>
      </w:pPr>
    </w:p>
    <w:p>
      <w:pPr>
        <w:ind w:left="208" w:right="80"/>
        <w:spacing w:after="0" w:line="328" w:lineRule="auto"/>
        <w:rPr>
          <w:sz w:val="20"/>
          <w:szCs w:val="20"/>
          <w:color w:val="auto"/>
        </w:rPr>
      </w:pPr>
      <w:r>
        <w:rPr>
          <w:rFonts w:ascii="Arial" w:cs="Arial" w:eastAsia="Arial" w:hAnsi="Arial"/>
          <w:sz w:val="11"/>
          <w:szCs w:val="11"/>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1714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400"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4" w:name="page35"/>
    <w:bookmarkEnd w:id="34"/>
    <w:p>
      <w:pPr>
        <w:ind w:left="68" w:hanging="68"/>
        <w:spacing w:after="0"/>
        <w:tabs>
          <w:tab w:leader="none" w:pos="68" w:val="left"/>
        </w:tabs>
        <w:numPr>
          <w:ilvl w:val="0"/>
          <w:numId w:val="60"/>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8" w:type="dxa"/>
        <w:tblCellMar>
          <w:top w:w="0" w:type="dxa"/>
          <w:left w:w="0" w:type="dxa"/>
          <w:bottom w:w="0" w:type="dxa"/>
          <w:right w:w="0" w:type="dxa"/>
        </w:tblCellMar>
      </w:tblPr>
      <w:tr>
        <w:trPr>
          <w:trHeight w:val="126"/>
        </w:trPr>
        <w:tc>
          <w:tcPr>
            <w:tcW w:w="680" w:type="dxa"/>
            <w:vAlign w:val="bottom"/>
            <w:shd w:val="clear" w:color="auto" w:fill="EEEDED"/>
          </w:tcPr>
          <w:p>
            <w:pPr>
              <w:spacing w:after="0"/>
              <w:rPr>
                <w:sz w:val="10"/>
                <w:szCs w:val="10"/>
                <w:color w:val="auto"/>
              </w:rPr>
            </w:pPr>
          </w:p>
        </w:tc>
        <w:tc>
          <w:tcPr>
            <w:tcW w:w="8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Year-End Fair Value of Equity Awards Granted</w:t>
            </w:r>
          </w:p>
        </w:tc>
        <w:tc>
          <w:tcPr>
            <w:tcW w:w="2100" w:type="dxa"/>
            <w:vAlign w:val="bottom"/>
            <w:gridSpan w:val="2"/>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Change in Fair Value from Last Day of Prior</w:t>
            </w:r>
          </w:p>
        </w:tc>
        <w:tc>
          <w:tcPr>
            <w:tcW w:w="100" w:type="dxa"/>
            <w:vAlign w:val="bottom"/>
            <w:shd w:val="clear" w:color="auto" w:fill="EEEDED"/>
          </w:tcPr>
          <w:p>
            <w:pPr>
              <w:spacing w:after="0"/>
              <w:rPr>
                <w:sz w:val="10"/>
                <w:szCs w:val="10"/>
                <w:color w:val="auto"/>
              </w:rPr>
            </w:pPr>
          </w:p>
        </w:tc>
        <w:tc>
          <w:tcPr>
            <w:tcW w:w="196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4"/>
              </w:rPr>
              <w:t>Change in Fair Value of Equity Awards</w:t>
            </w:r>
          </w:p>
        </w:tc>
        <w:tc>
          <w:tcPr>
            <w:tcW w:w="100" w:type="dxa"/>
            <w:vAlign w:val="bottom"/>
            <w:shd w:val="clear" w:color="auto" w:fill="EEEDED"/>
          </w:tcPr>
          <w:p>
            <w:pPr>
              <w:spacing w:after="0"/>
              <w:rPr>
                <w:sz w:val="10"/>
                <w:szCs w:val="10"/>
                <w:color w:val="auto"/>
              </w:rPr>
            </w:pPr>
          </w:p>
        </w:tc>
        <w:tc>
          <w:tcPr>
            <w:tcW w:w="226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Change in Fair Value from Last Day of Prior Year</w:t>
            </w:r>
          </w:p>
        </w:tc>
        <w:tc>
          <w:tcPr>
            <w:tcW w:w="100" w:type="dxa"/>
            <w:vAlign w:val="bottom"/>
            <w:shd w:val="clear" w:color="auto" w:fill="EEEDED"/>
          </w:tcPr>
          <w:p>
            <w:pPr>
              <w:spacing w:after="0"/>
              <w:rPr>
                <w:sz w:val="10"/>
                <w:szCs w:val="10"/>
                <w:color w:val="auto"/>
              </w:rPr>
            </w:pPr>
          </w:p>
        </w:tc>
        <w:tc>
          <w:tcPr>
            <w:tcW w:w="1120" w:type="dxa"/>
            <w:vAlign w:val="bottom"/>
            <w:vMerge w:val="restart"/>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w w:val="94"/>
              </w:rPr>
              <w:t>Total - Inclusion of</w:t>
            </w:r>
          </w:p>
        </w:tc>
        <w:tc>
          <w:tcPr>
            <w:tcW w:w="0" w:type="dxa"/>
            <w:vAlign w:val="bottom"/>
          </w:tcPr>
          <w:p>
            <w:pPr>
              <w:spacing w:after="0"/>
              <w:rPr>
                <w:sz w:val="1"/>
                <w:szCs w:val="1"/>
                <w:color w:val="auto"/>
              </w:rPr>
            </w:pPr>
          </w:p>
        </w:tc>
      </w:tr>
      <w:tr>
        <w:trPr>
          <w:trHeight w:val="54"/>
        </w:trPr>
        <w:tc>
          <w:tcPr>
            <w:tcW w:w="680" w:type="dxa"/>
            <w:vAlign w:val="bottom"/>
            <w:shd w:val="clear" w:color="auto" w:fill="EEEDED"/>
          </w:tcPr>
          <w:p>
            <w:pPr>
              <w:spacing w:after="0"/>
              <w:rPr>
                <w:sz w:val="4"/>
                <w:szCs w:val="4"/>
                <w:color w:val="auto"/>
              </w:rPr>
            </w:pPr>
          </w:p>
        </w:tc>
        <w:tc>
          <w:tcPr>
            <w:tcW w:w="80" w:type="dxa"/>
            <w:vAlign w:val="bottom"/>
            <w:shd w:val="clear" w:color="auto" w:fill="EEEDED"/>
          </w:tcPr>
          <w:p>
            <w:pPr>
              <w:spacing w:after="0"/>
              <w:rPr>
                <w:sz w:val="4"/>
                <w:szCs w:val="4"/>
                <w:color w:val="auto"/>
              </w:rPr>
            </w:pPr>
          </w:p>
        </w:tc>
        <w:tc>
          <w:tcPr>
            <w:tcW w:w="222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During Year That Remained Unvested as of Last</w:t>
            </w:r>
          </w:p>
        </w:tc>
        <w:tc>
          <w:tcPr>
            <w:tcW w:w="2100" w:type="dxa"/>
            <w:vAlign w:val="bottom"/>
            <w:gridSpan w:val="2"/>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Year to Last Day of Year of Unvested Equity</w:t>
            </w:r>
          </w:p>
        </w:tc>
        <w:tc>
          <w:tcPr>
            <w:tcW w:w="100" w:type="dxa"/>
            <w:vAlign w:val="bottom"/>
            <w:shd w:val="clear" w:color="auto" w:fill="EEEDED"/>
          </w:tcPr>
          <w:p>
            <w:pPr>
              <w:spacing w:after="0"/>
              <w:rPr>
                <w:sz w:val="4"/>
                <w:szCs w:val="4"/>
                <w:color w:val="auto"/>
              </w:rPr>
            </w:pPr>
          </w:p>
        </w:tc>
        <w:tc>
          <w:tcPr>
            <w:tcW w:w="19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Granted and Vested in the same Covered</w:t>
            </w:r>
          </w:p>
        </w:tc>
        <w:tc>
          <w:tcPr>
            <w:tcW w:w="100" w:type="dxa"/>
            <w:vAlign w:val="bottom"/>
            <w:shd w:val="clear" w:color="auto" w:fill="EEEDED"/>
          </w:tcPr>
          <w:p>
            <w:pPr>
              <w:spacing w:after="0"/>
              <w:rPr>
                <w:sz w:val="4"/>
                <w:szCs w:val="4"/>
                <w:color w:val="auto"/>
              </w:rPr>
            </w:pPr>
          </w:p>
        </w:tc>
        <w:tc>
          <w:tcPr>
            <w:tcW w:w="22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to Vesting Date of Unvested Equity Awards that</w:t>
            </w:r>
          </w:p>
        </w:tc>
        <w:tc>
          <w:tcPr>
            <w:tcW w:w="100" w:type="dxa"/>
            <w:vAlign w:val="bottom"/>
            <w:shd w:val="clear" w:color="auto" w:fill="EEEDED"/>
          </w:tcPr>
          <w:p>
            <w:pPr>
              <w:spacing w:after="0"/>
              <w:rPr>
                <w:sz w:val="4"/>
                <w:szCs w:val="4"/>
                <w:color w:val="auto"/>
              </w:rPr>
            </w:pPr>
          </w:p>
        </w:tc>
        <w:tc>
          <w:tcPr>
            <w:tcW w:w="1120" w:type="dxa"/>
            <w:vAlign w:val="bottom"/>
            <w:vMerge w:val="continue"/>
            <w:shd w:val="clear" w:color="auto" w:fill="EEEDED"/>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80" w:type="dxa"/>
            <w:vAlign w:val="bottom"/>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2220" w:type="dxa"/>
            <w:vAlign w:val="bottom"/>
            <w:vMerge w:val="continue"/>
            <w:shd w:val="clear" w:color="auto" w:fill="EEEDED"/>
          </w:tcPr>
          <w:p>
            <w:pPr>
              <w:spacing w:after="0"/>
              <w:rPr>
                <w:sz w:val="5"/>
                <w:szCs w:val="5"/>
                <w:color w:val="auto"/>
              </w:rPr>
            </w:pPr>
          </w:p>
        </w:tc>
        <w:tc>
          <w:tcPr>
            <w:tcW w:w="2100" w:type="dxa"/>
            <w:vAlign w:val="bottom"/>
            <w:gridSpan w:val="2"/>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96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2260" w:type="dxa"/>
            <w:vAlign w:val="bottom"/>
            <w:vMerge w:val="continue"/>
            <w:shd w:val="clear" w:color="auto" w:fill="EEEDED"/>
          </w:tcPr>
          <w:p>
            <w:pPr>
              <w:spacing w:after="0"/>
              <w:rPr>
                <w:sz w:val="5"/>
                <w:szCs w:val="5"/>
                <w:color w:val="auto"/>
              </w:rPr>
            </w:pPr>
          </w:p>
        </w:tc>
        <w:tc>
          <w:tcPr>
            <w:tcW w:w="1220" w:type="dxa"/>
            <w:vAlign w:val="bottom"/>
            <w:gridSpan w:val="2"/>
            <w:vMerge w:val="restart"/>
            <w:shd w:val="clear" w:color="auto" w:fill="EEEDED"/>
          </w:tcPr>
          <w:p>
            <w:pPr>
              <w:jc w:val="right"/>
              <w:ind w:right="132"/>
              <w:spacing w:after="0"/>
              <w:rPr>
                <w:sz w:val="20"/>
                <w:szCs w:val="20"/>
                <w:color w:val="auto"/>
              </w:rPr>
            </w:pPr>
            <w:r>
              <w:rPr>
                <w:rFonts w:ascii="Arial" w:cs="Arial" w:eastAsia="Arial" w:hAnsi="Arial"/>
                <w:sz w:val="10"/>
                <w:szCs w:val="10"/>
                <w:b w:val="1"/>
                <w:bCs w:val="1"/>
                <w:color w:val="54585A"/>
                <w:w w:val="96"/>
              </w:rPr>
              <w:t>Equity Values for PEO</w:t>
            </w:r>
          </w:p>
        </w:tc>
        <w:tc>
          <w:tcPr>
            <w:tcW w:w="0" w:type="dxa"/>
            <w:vAlign w:val="bottom"/>
          </w:tcPr>
          <w:p>
            <w:pPr>
              <w:spacing w:after="0"/>
              <w:rPr>
                <w:sz w:val="1"/>
                <w:szCs w:val="1"/>
                <w:color w:val="auto"/>
              </w:rPr>
            </w:pPr>
          </w:p>
        </w:tc>
      </w:tr>
      <w:tr>
        <w:trPr>
          <w:trHeight w:val="70"/>
        </w:trPr>
        <w:tc>
          <w:tcPr>
            <w:tcW w:w="680" w:type="dxa"/>
            <w:vAlign w:val="bottom"/>
            <w:vMerge w:val="restart"/>
            <w:shd w:val="clear" w:color="auto" w:fill="EEEDED"/>
          </w:tcPr>
          <w:p>
            <w:pPr>
              <w:ind w:left="240"/>
              <w:spacing w:after="0"/>
              <w:rPr>
                <w:sz w:val="20"/>
                <w:szCs w:val="20"/>
                <w:color w:val="auto"/>
              </w:rPr>
            </w:pPr>
            <w:r>
              <w:rPr>
                <w:rFonts w:ascii="Arial" w:cs="Arial" w:eastAsia="Arial" w:hAnsi="Arial"/>
                <w:sz w:val="10"/>
                <w:szCs w:val="10"/>
                <w:b w:val="1"/>
                <w:bCs w:val="1"/>
                <w:color w:val="54585A"/>
              </w:rPr>
              <w:t>Year</w:t>
            </w:r>
          </w:p>
        </w:tc>
        <w:tc>
          <w:tcPr>
            <w:tcW w:w="80" w:type="dxa"/>
            <w:vAlign w:val="bottom"/>
            <w:shd w:val="clear" w:color="auto" w:fill="EEEDED"/>
          </w:tcPr>
          <w:p>
            <w:pPr>
              <w:spacing w:after="0"/>
              <w:rPr>
                <w:sz w:val="6"/>
                <w:szCs w:val="6"/>
                <w:color w:val="auto"/>
              </w:rPr>
            </w:pPr>
          </w:p>
        </w:tc>
        <w:tc>
          <w:tcPr>
            <w:tcW w:w="222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Day of Year for PEO</w:t>
            </w:r>
          </w:p>
        </w:tc>
        <w:tc>
          <w:tcPr>
            <w:tcW w:w="400" w:type="dxa"/>
            <w:vAlign w:val="bottom"/>
            <w:shd w:val="clear" w:color="auto" w:fill="EEEDED"/>
          </w:tcPr>
          <w:p>
            <w:pPr>
              <w:spacing w:after="0"/>
              <w:rPr>
                <w:sz w:val="6"/>
                <w:szCs w:val="6"/>
                <w:color w:val="auto"/>
              </w:rPr>
            </w:pPr>
          </w:p>
        </w:tc>
        <w:tc>
          <w:tcPr>
            <w:tcW w:w="1700" w:type="dxa"/>
            <w:vAlign w:val="bottom"/>
            <w:vMerge w:val="restart"/>
            <w:shd w:val="clear" w:color="auto" w:fill="EEEDED"/>
          </w:tcPr>
          <w:p>
            <w:pPr>
              <w:jc w:val="center"/>
              <w:ind w:right="332"/>
              <w:spacing w:after="0"/>
              <w:rPr>
                <w:sz w:val="20"/>
                <w:szCs w:val="20"/>
                <w:color w:val="auto"/>
              </w:rPr>
            </w:pPr>
            <w:r>
              <w:rPr>
                <w:rFonts w:ascii="Arial" w:cs="Arial" w:eastAsia="Arial" w:hAnsi="Arial"/>
                <w:sz w:val="10"/>
                <w:szCs w:val="10"/>
                <w:b w:val="1"/>
                <w:bCs w:val="1"/>
                <w:color w:val="54585A"/>
                <w:w w:val="94"/>
              </w:rPr>
              <w:t>Awards for PEO</w:t>
            </w:r>
          </w:p>
        </w:tc>
        <w:tc>
          <w:tcPr>
            <w:tcW w:w="100" w:type="dxa"/>
            <w:vAlign w:val="bottom"/>
            <w:shd w:val="clear" w:color="auto" w:fill="EEEDED"/>
          </w:tcPr>
          <w:p>
            <w:pPr>
              <w:spacing w:after="0"/>
              <w:rPr>
                <w:sz w:val="6"/>
                <w:szCs w:val="6"/>
                <w:color w:val="auto"/>
              </w:rPr>
            </w:pPr>
          </w:p>
        </w:tc>
        <w:tc>
          <w:tcPr>
            <w:tcW w:w="19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3"/>
              </w:rPr>
              <w:t>Year for PEO</w:t>
            </w:r>
          </w:p>
        </w:tc>
        <w:tc>
          <w:tcPr>
            <w:tcW w:w="100" w:type="dxa"/>
            <w:vAlign w:val="bottom"/>
            <w:shd w:val="clear" w:color="auto" w:fill="EEEDED"/>
          </w:tcPr>
          <w:p>
            <w:pPr>
              <w:spacing w:after="0"/>
              <w:rPr>
                <w:sz w:val="6"/>
                <w:szCs w:val="6"/>
                <w:color w:val="auto"/>
              </w:rPr>
            </w:pPr>
          </w:p>
        </w:tc>
        <w:tc>
          <w:tcPr>
            <w:tcW w:w="2260" w:type="dxa"/>
            <w:vAlign w:val="bottom"/>
            <w:vMerge w:val="restart"/>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5"/>
              </w:rPr>
              <w:t>Vested During Year for PEO</w:t>
            </w:r>
          </w:p>
        </w:tc>
        <w:tc>
          <w:tcPr>
            <w:tcW w:w="1220" w:type="dxa"/>
            <w:vAlign w:val="bottom"/>
            <w:gridSpan w:val="2"/>
            <w:vMerge w:val="continue"/>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2220" w:type="dxa"/>
            <w:vAlign w:val="bottom"/>
            <w:vMerge w:val="continue"/>
            <w:shd w:val="clear" w:color="auto" w:fill="EEEDED"/>
          </w:tcPr>
          <w:p>
            <w:pPr>
              <w:spacing w:after="0"/>
              <w:rPr>
                <w:sz w:val="5"/>
                <w:szCs w:val="5"/>
                <w:color w:val="auto"/>
              </w:rPr>
            </w:pPr>
          </w:p>
        </w:tc>
        <w:tc>
          <w:tcPr>
            <w:tcW w:w="400" w:type="dxa"/>
            <w:vAlign w:val="bottom"/>
            <w:shd w:val="clear" w:color="auto" w:fill="EEEDED"/>
          </w:tcPr>
          <w:p>
            <w:pPr>
              <w:spacing w:after="0"/>
              <w:rPr>
                <w:sz w:val="5"/>
                <w:szCs w:val="5"/>
                <w:color w:val="auto"/>
              </w:rPr>
            </w:pPr>
          </w:p>
        </w:tc>
        <w:tc>
          <w:tcPr>
            <w:tcW w:w="170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96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226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1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80" w:type="dxa"/>
            <w:vAlign w:val="bottom"/>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2220" w:type="dxa"/>
            <w:vAlign w:val="bottom"/>
            <w:shd w:val="clear" w:color="auto" w:fill="EEEDED"/>
          </w:tcPr>
          <w:p>
            <w:pPr>
              <w:spacing w:after="0"/>
              <w:rPr>
                <w:sz w:val="5"/>
                <w:szCs w:val="5"/>
                <w:color w:val="auto"/>
              </w:rPr>
            </w:pPr>
          </w:p>
        </w:tc>
        <w:tc>
          <w:tcPr>
            <w:tcW w:w="400" w:type="dxa"/>
            <w:vAlign w:val="bottom"/>
            <w:shd w:val="clear" w:color="auto" w:fill="EEEDED"/>
          </w:tcPr>
          <w:p>
            <w:pPr>
              <w:spacing w:after="0"/>
              <w:rPr>
                <w:sz w:val="5"/>
                <w:szCs w:val="5"/>
                <w:color w:val="auto"/>
              </w:rPr>
            </w:pPr>
          </w:p>
        </w:tc>
        <w:tc>
          <w:tcPr>
            <w:tcW w:w="1700" w:type="dxa"/>
            <w:vAlign w:val="bottom"/>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2060" w:type="dxa"/>
            <w:vAlign w:val="bottom"/>
            <w:gridSpan w:val="2"/>
            <w:shd w:val="clear" w:color="auto" w:fill="EEEDED"/>
          </w:tcPr>
          <w:p>
            <w:pPr>
              <w:spacing w:after="0"/>
              <w:rPr>
                <w:sz w:val="5"/>
                <w:szCs w:val="5"/>
                <w:color w:val="auto"/>
              </w:rPr>
            </w:pPr>
          </w:p>
        </w:tc>
        <w:tc>
          <w:tcPr>
            <w:tcW w:w="2260" w:type="dxa"/>
            <w:vAlign w:val="bottom"/>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1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2022</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203,940</w:t>
            </w:r>
          </w:p>
        </w:tc>
        <w:tc>
          <w:tcPr>
            <w:tcW w:w="400" w:type="dxa"/>
            <w:vAlign w:val="bottom"/>
            <w:tcBorders>
              <w:bottom w:val="single" w:sz="8" w:color="54585A"/>
            </w:tcBorders>
          </w:tcPr>
          <w:p>
            <w:pPr>
              <w:jc w:val="right"/>
              <w:ind w:right="27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310,726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060" w:type="dxa"/>
            <w:vAlign w:val="bottom"/>
            <w:tcBorders>
              <w:bottom w:val="single" w:sz="8" w:color="54585A"/>
            </w:tcBorders>
            <w:gridSpan w:val="2"/>
          </w:tcPr>
          <w:p>
            <w:pPr>
              <w:jc w:val="right"/>
              <w:spacing w:after="0"/>
              <w:rPr>
                <w:sz w:val="20"/>
                <w:szCs w:val="20"/>
                <w:color w:val="auto"/>
              </w:rPr>
            </w:pPr>
            <w:r>
              <w:rPr>
                <w:rFonts w:ascii="Arial" w:cs="Arial" w:eastAsia="Arial" w:hAnsi="Arial"/>
                <w:sz w:val="10"/>
                <w:szCs w:val="10"/>
                <w:color w:val="54585A"/>
              </w:rPr>
              <w:t>— $</w:t>
            </w:r>
          </w:p>
        </w:tc>
        <w:tc>
          <w:tcPr>
            <w:tcW w:w="2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174,533</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2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689,199</w:t>
            </w:r>
          </w:p>
        </w:tc>
        <w:tc>
          <w:tcPr>
            <w:tcW w:w="0" w:type="dxa"/>
            <w:vAlign w:val="bottom"/>
          </w:tcPr>
          <w:p>
            <w:pPr>
              <w:spacing w:after="0"/>
              <w:rPr>
                <w:sz w:val="1"/>
                <w:szCs w:val="1"/>
                <w:color w:val="auto"/>
              </w:rPr>
            </w:pPr>
          </w:p>
        </w:tc>
      </w:tr>
      <w:tr>
        <w:trPr>
          <w:trHeight w:val="142"/>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2021</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139,200</w:t>
            </w:r>
          </w:p>
        </w:tc>
        <w:tc>
          <w:tcPr>
            <w:tcW w:w="400" w:type="dxa"/>
            <w:vAlign w:val="bottom"/>
            <w:tcBorders>
              <w:bottom w:val="single" w:sz="8" w:color="54585A"/>
            </w:tcBorders>
          </w:tcPr>
          <w:p>
            <w:pPr>
              <w:jc w:val="right"/>
              <w:ind w:right="27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1,852,132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9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144,999</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1,476,228</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2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3,612,559</w:t>
            </w:r>
          </w:p>
        </w:tc>
        <w:tc>
          <w:tcPr>
            <w:tcW w:w="0" w:type="dxa"/>
            <w:vAlign w:val="bottom"/>
          </w:tcPr>
          <w:p>
            <w:pPr>
              <w:spacing w:after="0"/>
              <w:rPr>
                <w:sz w:val="1"/>
                <w:szCs w:val="1"/>
                <w:color w:val="auto"/>
              </w:rPr>
            </w:pPr>
          </w:p>
        </w:tc>
      </w:tr>
      <w:tr>
        <w:trPr>
          <w:trHeight w:val="138"/>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2020</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27,201</w:t>
            </w:r>
          </w:p>
        </w:tc>
        <w:tc>
          <w:tcPr>
            <w:tcW w:w="400" w:type="dxa"/>
            <w:vAlign w:val="bottom"/>
            <w:tcBorders>
              <w:bottom w:val="single" w:sz="8" w:color="54585A"/>
            </w:tcBorders>
          </w:tcPr>
          <w:p>
            <w:pPr>
              <w:jc w:val="right"/>
              <w:ind w:right="27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(409,926)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9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130,992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(148,636)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2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(400,369)</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08" w:hanging="208"/>
        <w:spacing w:after="0" w:line="331" w:lineRule="auto"/>
        <w:tabs>
          <w:tab w:leader="none" w:pos="208" w:val="left"/>
        </w:tabs>
        <w:numPr>
          <w:ilvl w:val="0"/>
          <w:numId w:val="61"/>
        </w:numPr>
        <w:rPr>
          <w:rFonts w:ascii="Arial" w:cs="Arial" w:eastAsia="Arial" w:hAnsi="Arial"/>
          <w:sz w:val="8"/>
          <w:szCs w:val="8"/>
          <w:color w:val="54585A"/>
        </w:rPr>
      </w:pPr>
      <w:r>
        <w:rPr>
          <w:rFonts w:ascii="Arial" w:cs="Arial" w:eastAsia="Arial" w:hAnsi="Arial"/>
          <w:sz w:val="8"/>
          <w:szCs w:val="8"/>
          <w:color w:val="54585A"/>
        </w:rPr>
        <w:t>The dollar amounts reported represent the average of the amounts reported for the Company’s named executive officers (NEOs) as a group (excluding Mr. Kagan) in the “Total” column of the Summary Compensation Table in each applicable year. The names of each of the NEOs (excluding Mr. Kagan) included for purposes of calculating the average amounts in each of 2022, 2021 and 2020 are as follows Rebecca S. Clary, Vice President and Chief Financial Officer, and L. Barbee Ponder IV, Vice President of Regulatory Affairs and General Counsel. As discussed in this Proxy Statement, Mr. Monroe did not receive any compensation during 2020 through 2022 for his service as an executive officer of the Company; therefore, he is not included.</w:t>
      </w:r>
    </w:p>
    <w:p>
      <w:pPr>
        <w:spacing w:after="0" w:line="33" w:lineRule="exact"/>
        <w:rPr>
          <w:rFonts w:ascii="Arial" w:cs="Arial" w:eastAsia="Arial" w:hAnsi="Arial"/>
          <w:sz w:val="8"/>
          <w:szCs w:val="8"/>
          <w:color w:val="54585A"/>
        </w:rPr>
      </w:pPr>
    </w:p>
    <w:p>
      <w:pPr>
        <w:ind w:left="208" w:right="20" w:hanging="208"/>
        <w:spacing w:after="0" w:line="241" w:lineRule="auto"/>
        <w:tabs>
          <w:tab w:leader="none" w:pos="208" w:val="left"/>
        </w:tabs>
        <w:numPr>
          <w:ilvl w:val="0"/>
          <w:numId w:val="61"/>
        </w:numPr>
        <w:rPr>
          <w:rFonts w:ascii="Arial" w:cs="Arial" w:eastAsia="Arial" w:hAnsi="Arial"/>
          <w:sz w:val="10"/>
          <w:szCs w:val="10"/>
          <w:color w:val="54585A"/>
        </w:rPr>
      </w:pPr>
      <w:r>
        <w:rPr>
          <w:rFonts w:ascii="Arial" w:cs="Arial" w:eastAsia="Arial" w:hAnsi="Arial"/>
          <w:sz w:val="10"/>
          <w:szCs w:val="10"/>
          <w:color w:val="54585A"/>
        </w:rPr>
        <w:t>The dollar amounts reported represent the average amount of “compensation actually paid” to the NEOs as a group (excluding Mr. Kagan), as computed in accordance with Item 402(v) of Regulation S-K. The dollar amounts do not reflect the actual average amount of compensation earned by or paid to the NEOs as a group (excluding Mr. Kagan) during the applicable year. In accordance with the requirements of Item 402(v) of Regulation S-K, the following adjustments were made to average total compensation for the NEOs as a group (excluding Mr. Kagan) for each year to determine the compensation actually paid, using the same methodology described above in Note 2. The NEOs do not have pension benefits; therefore, columns reporting Change in Actuarial Value of Pension Benefits and Pension Benefit Adjustments are omitted.</w:t>
      </w:r>
    </w:p>
    <w:p>
      <w:pPr>
        <w:spacing w:after="0" w:line="90" w:lineRule="exact"/>
        <w:rPr>
          <w:sz w:val="20"/>
          <w:szCs w:val="20"/>
          <w:color w:val="auto"/>
        </w:rPr>
      </w:pPr>
    </w:p>
    <w:tbl>
      <w:tblPr>
        <w:tblLayout w:type="fixed"/>
        <w:tblInd w:w="208" w:type="dxa"/>
        <w:tblCellMar>
          <w:top w:w="0" w:type="dxa"/>
          <w:left w:w="0" w:type="dxa"/>
          <w:bottom w:w="0" w:type="dxa"/>
          <w:right w:w="0" w:type="dxa"/>
        </w:tblCellMar>
      </w:tblPr>
      <w:tr>
        <w:trPr>
          <w:trHeight w:val="171"/>
        </w:trPr>
        <w:tc>
          <w:tcPr>
            <w:tcW w:w="580" w:type="dxa"/>
            <w:vAlign w:val="bottom"/>
            <w:vMerge w:val="restart"/>
            <w:shd w:val="clear" w:color="auto" w:fill="EEEDED"/>
          </w:tcPr>
          <w:p>
            <w:pPr>
              <w:ind w:left="180"/>
              <w:spacing w:after="0"/>
              <w:rPr>
                <w:sz w:val="20"/>
                <w:szCs w:val="20"/>
                <w:color w:val="auto"/>
              </w:rPr>
            </w:pPr>
            <w:r>
              <w:rPr>
                <w:rFonts w:ascii="Arial" w:cs="Arial" w:eastAsia="Arial" w:hAnsi="Arial"/>
                <w:sz w:val="10"/>
                <w:szCs w:val="10"/>
                <w:b w:val="1"/>
                <w:bCs w:val="1"/>
                <w:color w:val="54585A"/>
              </w:rPr>
              <w:t>Year</w:t>
            </w:r>
          </w:p>
        </w:tc>
        <w:tc>
          <w:tcPr>
            <w:tcW w:w="60" w:type="dxa"/>
            <w:vAlign w:val="bottom"/>
            <w:shd w:val="clear" w:color="auto" w:fill="EEEDED"/>
          </w:tcPr>
          <w:p>
            <w:pPr>
              <w:spacing w:after="0"/>
              <w:rPr>
                <w:sz w:val="14"/>
                <w:szCs w:val="14"/>
                <w:color w:val="auto"/>
              </w:rPr>
            </w:pPr>
          </w:p>
        </w:tc>
        <w:tc>
          <w:tcPr>
            <w:tcW w:w="244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w w:val="95"/>
              </w:rPr>
              <w:t>Average summary compensation table total for non-</w:t>
            </w:r>
          </w:p>
        </w:tc>
        <w:tc>
          <w:tcPr>
            <w:tcW w:w="2480" w:type="dxa"/>
            <w:vAlign w:val="bottom"/>
            <w:gridSpan w:val="2"/>
            <w:shd w:val="clear" w:color="auto" w:fill="EEEDED"/>
          </w:tcPr>
          <w:p>
            <w:pPr>
              <w:jc w:val="right"/>
              <w:spacing w:after="0"/>
              <w:rPr>
                <w:sz w:val="20"/>
                <w:szCs w:val="20"/>
                <w:color w:val="auto"/>
              </w:rPr>
            </w:pPr>
            <w:r>
              <w:rPr>
                <w:rFonts w:ascii="Arial" w:cs="Arial" w:eastAsia="Arial" w:hAnsi="Arial"/>
                <w:sz w:val="10"/>
                <w:szCs w:val="10"/>
                <w:b w:val="1"/>
                <w:bCs w:val="1"/>
                <w:color w:val="54585A"/>
                <w:w w:val="97"/>
              </w:rPr>
              <w:t>Reported Value of Equity Awards for non-PEO NEOs</w:t>
            </w:r>
          </w:p>
        </w:tc>
        <w:tc>
          <w:tcPr>
            <w:tcW w:w="140" w:type="dxa"/>
            <w:vAlign w:val="bottom"/>
            <w:shd w:val="clear" w:color="auto" w:fill="EEEDED"/>
          </w:tcPr>
          <w:p>
            <w:pPr>
              <w:spacing w:after="0"/>
              <w:rPr>
                <w:sz w:val="14"/>
                <w:szCs w:val="14"/>
                <w:color w:val="auto"/>
              </w:rPr>
            </w:pPr>
          </w:p>
        </w:tc>
        <w:tc>
          <w:tcPr>
            <w:tcW w:w="234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w w:val="95"/>
              </w:rPr>
              <w:t>Equity Award Adjustments for non-PEO NEOs</w:t>
            </w:r>
            <w:r>
              <w:rPr>
                <w:rFonts w:ascii="Arial" w:cs="Arial" w:eastAsia="Arial" w:hAnsi="Arial"/>
                <w:sz w:val="12"/>
                <w:szCs w:val="12"/>
                <w:b w:val="1"/>
                <w:bCs w:val="1"/>
                <w:color w:val="54585A"/>
                <w:w w:val="95"/>
                <w:vertAlign w:val="superscript"/>
              </w:rPr>
              <w:t>(a)</w:t>
            </w:r>
          </w:p>
        </w:tc>
        <w:tc>
          <w:tcPr>
            <w:tcW w:w="2680" w:type="dxa"/>
            <w:vAlign w:val="bottom"/>
            <w:gridSpan w:val="2"/>
            <w:shd w:val="clear" w:color="auto" w:fill="EEEDED"/>
          </w:tcPr>
          <w:p>
            <w:pPr>
              <w:ind w:left="40"/>
              <w:spacing w:after="0"/>
              <w:rPr>
                <w:sz w:val="20"/>
                <w:szCs w:val="20"/>
                <w:color w:val="auto"/>
              </w:rPr>
            </w:pPr>
            <w:r>
              <w:rPr>
                <w:rFonts w:ascii="Arial" w:cs="Arial" w:eastAsia="Arial" w:hAnsi="Arial"/>
                <w:sz w:val="10"/>
                <w:szCs w:val="10"/>
                <w:b w:val="1"/>
                <w:bCs w:val="1"/>
                <w:color w:val="54585A"/>
              </w:rPr>
              <w:t>Average compensation actually paid to non-PEO NEOs</w:t>
            </w:r>
          </w:p>
        </w:tc>
        <w:tc>
          <w:tcPr>
            <w:tcW w:w="0" w:type="dxa"/>
            <w:vAlign w:val="bottom"/>
          </w:tcPr>
          <w:p>
            <w:pPr>
              <w:spacing w:after="0"/>
              <w:rPr>
                <w:sz w:val="1"/>
                <w:szCs w:val="1"/>
                <w:color w:val="auto"/>
              </w:rPr>
            </w:pPr>
          </w:p>
        </w:tc>
      </w:tr>
      <w:tr>
        <w:trPr>
          <w:trHeight w:val="133"/>
        </w:trPr>
        <w:tc>
          <w:tcPr>
            <w:tcW w:w="580" w:type="dxa"/>
            <w:vAlign w:val="bottom"/>
            <w:tcBorders>
              <w:bottom w:val="single" w:sz="8" w:color="EEEDED"/>
            </w:tcBorders>
            <w:vMerge w:val="continue"/>
            <w:shd w:val="clear" w:color="auto" w:fill="EEEDED"/>
          </w:tcPr>
          <w:p>
            <w:pPr>
              <w:spacing w:after="0"/>
              <w:rPr>
                <w:sz w:val="11"/>
                <w:szCs w:val="11"/>
                <w:color w:val="auto"/>
              </w:rPr>
            </w:pPr>
          </w:p>
        </w:tc>
        <w:tc>
          <w:tcPr>
            <w:tcW w:w="60" w:type="dxa"/>
            <w:vAlign w:val="bottom"/>
            <w:tcBorders>
              <w:bottom w:val="single" w:sz="8" w:color="EEEDED"/>
            </w:tcBorders>
            <w:shd w:val="clear" w:color="auto" w:fill="EEEDED"/>
          </w:tcPr>
          <w:p>
            <w:pPr>
              <w:spacing w:after="0"/>
              <w:rPr>
                <w:sz w:val="11"/>
                <w:szCs w:val="11"/>
                <w:color w:val="auto"/>
              </w:rPr>
            </w:pPr>
          </w:p>
        </w:tc>
        <w:tc>
          <w:tcPr>
            <w:tcW w:w="2440" w:type="dxa"/>
            <w:vAlign w:val="bottom"/>
            <w:tcBorders>
              <w:bottom w:val="single" w:sz="8" w:color="EEEDED"/>
            </w:tcBorders>
            <w:shd w:val="clear" w:color="auto" w:fill="EEEDED"/>
          </w:tcPr>
          <w:p>
            <w:pPr>
              <w:jc w:val="right"/>
              <w:ind w:right="952"/>
              <w:spacing w:after="0" w:line="99" w:lineRule="exact"/>
              <w:rPr>
                <w:sz w:val="20"/>
                <w:szCs w:val="20"/>
                <w:color w:val="auto"/>
              </w:rPr>
            </w:pPr>
            <w:r>
              <w:rPr>
                <w:rFonts w:ascii="Arial" w:cs="Arial" w:eastAsia="Arial" w:hAnsi="Arial"/>
                <w:sz w:val="10"/>
                <w:szCs w:val="10"/>
                <w:b w:val="1"/>
                <w:bCs w:val="1"/>
                <w:color w:val="54585A"/>
              </w:rPr>
              <w:t>PEO NEOs</w:t>
            </w:r>
          </w:p>
        </w:tc>
        <w:tc>
          <w:tcPr>
            <w:tcW w:w="1060" w:type="dxa"/>
            <w:vAlign w:val="bottom"/>
            <w:tcBorders>
              <w:bottom w:val="single" w:sz="8" w:color="EEEDED"/>
            </w:tcBorders>
            <w:shd w:val="clear" w:color="auto" w:fill="EEEDED"/>
          </w:tcPr>
          <w:p>
            <w:pPr>
              <w:spacing w:after="0"/>
              <w:rPr>
                <w:sz w:val="11"/>
                <w:szCs w:val="11"/>
                <w:color w:val="auto"/>
              </w:rPr>
            </w:pPr>
          </w:p>
        </w:tc>
        <w:tc>
          <w:tcPr>
            <w:tcW w:w="1420" w:type="dxa"/>
            <w:vAlign w:val="bottom"/>
            <w:tcBorders>
              <w:bottom w:val="single" w:sz="8" w:color="EEEDED"/>
            </w:tcBorders>
            <w:shd w:val="clear" w:color="auto" w:fill="EEEDED"/>
          </w:tcPr>
          <w:p>
            <w:pPr>
              <w:spacing w:after="0"/>
              <w:rPr>
                <w:sz w:val="11"/>
                <w:szCs w:val="11"/>
                <w:color w:val="auto"/>
              </w:rPr>
            </w:pPr>
          </w:p>
        </w:tc>
        <w:tc>
          <w:tcPr>
            <w:tcW w:w="140" w:type="dxa"/>
            <w:vAlign w:val="bottom"/>
            <w:tcBorders>
              <w:bottom w:val="single" w:sz="8" w:color="EEEDED"/>
            </w:tcBorders>
            <w:shd w:val="clear" w:color="auto" w:fill="EEEDED"/>
          </w:tcPr>
          <w:p>
            <w:pPr>
              <w:spacing w:after="0"/>
              <w:rPr>
                <w:sz w:val="11"/>
                <w:szCs w:val="11"/>
                <w:color w:val="auto"/>
              </w:rPr>
            </w:pPr>
          </w:p>
        </w:tc>
        <w:tc>
          <w:tcPr>
            <w:tcW w:w="2340" w:type="dxa"/>
            <w:vAlign w:val="bottom"/>
            <w:tcBorders>
              <w:bottom w:val="single" w:sz="8" w:color="EEEDED"/>
            </w:tcBorders>
            <w:shd w:val="clear" w:color="auto" w:fill="EEEDED"/>
          </w:tcPr>
          <w:p>
            <w:pPr>
              <w:spacing w:after="0"/>
              <w:rPr>
                <w:sz w:val="11"/>
                <w:szCs w:val="11"/>
                <w:color w:val="auto"/>
              </w:rPr>
            </w:pPr>
          </w:p>
        </w:tc>
        <w:tc>
          <w:tcPr>
            <w:tcW w:w="1080" w:type="dxa"/>
            <w:vAlign w:val="bottom"/>
            <w:tcBorders>
              <w:bottom w:val="single" w:sz="8" w:color="EEEDED"/>
            </w:tcBorders>
            <w:shd w:val="clear" w:color="auto" w:fill="EEEDED"/>
          </w:tcPr>
          <w:p>
            <w:pPr>
              <w:spacing w:after="0"/>
              <w:rPr>
                <w:sz w:val="11"/>
                <w:szCs w:val="11"/>
                <w:color w:val="auto"/>
              </w:rPr>
            </w:pPr>
          </w:p>
        </w:tc>
        <w:tc>
          <w:tcPr>
            <w:tcW w:w="1600" w:type="dxa"/>
            <w:vAlign w:val="bottom"/>
            <w:tcBorders>
              <w:bottom w:val="single" w:sz="8" w:color="EEEDED"/>
            </w:tcBorders>
            <w:shd w:val="clear" w:color="auto" w:fill="EEEDED"/>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2022</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1,764,537</w:t>
            </w:r>
          </w:p>
        </w:tc>
        <w:tc>
          <w:tcPr>
            <w:tcW w:w="1060" w:type="dxa"/>
            <w:vAlign w:val="bottom"/>
            <w:tcBorders>
              <w:bottom w:val="single" w:sz="8" w:color="54585A"/>
            </w:tcBorders>
          </w:tcPr>
          <w:p>
            <w:pPr>
              <w:jc w:val="right"/>
              <w:ind w:right="93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1,414,900</w:t>
            </w:r>
          </w:p>
        </w:tc>
        <w:tc>
          <w:tcPr>
            <w:tcW w:w="1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928,309</w:t>
            </w:r>
          </w:p>
        </w:tc>
        <w:tc>
          <w:tcPr>
            <w:tcW w:w="108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1,277,946</w:t>
            </w:r>
          </w:p>
        </w:tc>
        <w:tc>
          <w:tcPr>
            <w:tcW w:w="0" w:type="dxa"/>
            <w:vAlign w:val="bottom"/>
          </w:tcPr>
          <w:p>
            <w:pPr>
              <w:spacing w:after="0"/>
              <w:rPr>
                <w:sz w:val="1"/>
                <w:szCs w:val="1"/>
                <w:color w:val="auto"/>
              </w:rPr>
            </w:pPr>
          </w:p>
        </w:tc>
      </w:tr>
      <w:tr>
        <w:trPr>
          <w:trHeight w:val="142"/>
        </w:trPr>
        <w:tc>
          <w:tcPr>
            <w:tcW w:w="58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2021</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595,857</w:t>
            </w:r>
          </w:p>
        </w:tc>
        <w:tc>
          <w:tcPr>
            <w:tcW w:w="1060" w:type="dxa"/>
            <w:vAlign w:val="bottom"/>
            <w:tcBorders>
              <w:bottom w:val="single" w:sz="8" w:color="54585A"/>
            </w:tcBorders>
          </w:tcPr>
          <w:p>
            <w:pPr>
              <w:jc w:val="right"/>
              <w:ind w:right="93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216,400</w:t>
            </w:r>
          </w:p>
        </w:tc>
        <w:tc>
          <w:tcPr>
            <w:tcW w:w="1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572,579</w:t>
            </w:r>
          </w:p>
        </w:tc>
        <w:tc>
          <w:tcPr>
            <w:tcW w:w="108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952,036</w:t>
            </w:r>
          </w:p>
        </w:tc>
        <w:tc>
          <w:tcPr>
            <w:tcW w:w="0" w:type="dxa"/>
            <w:vAlign w:val="bottom"/>
          </w:tcPr>
          <w:p>
            <w:pPr>
              <w:spacing w:after="0"/>
              <w:rPr>
                <w:sz w:val="1"/>
                <w:szCs w:val="1"/>
                <w:color w:val="auto"/>
              </w:rPr>
            </w:pPr>
          </w:p>
        </w:tc>
      </w:tr>
      <w:tr>
        <w:trPr>
          <w:trHeight w:val="142"/>
        </w:trPr>
        <w:tc>
          <w:tcPr>
            <w:tcW w:w="58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2020</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580,343</w:t>
            </w:r>
          </w:p>
        </w:tc>
        <w:tc>
          <w:tcPr>
            <w:tcW w:w="1060" w:type="dxa"/>
            <w:vAlign w:val="bottom"/>
            <w:tcBorders>
              <w:bottom w:val="single" w:sz="8" w:color="54585A"/>
            </w:tcBorders>
          </w:tcPr>
          <w:p>
            <w:pPr>
              <w:jc w:val="right"/>
              <w:ind w:right="93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267,973</w:t>
            </w:r>
          </w:p>
        </w:tc>
        <w:tc>
          <w:tcPr>
            <w:tcW w:w="1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62,962</w:t>
            </w:r>
          </w:p>
        </w:tc>
        <w:tc>
          <w:tcPr>
            <w:tcW w:w="108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375,332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28" w:right="240" w:hanging="212"/>
        <w:spacing w:after="0" w:line="256" w:lineRule="auto"/>
        <w:tabs>
          <w:tab w:leader="none" w:pos="428" w:val="left"/>
        </w:tabs>
        <w:numPr>
          <w:ilvl w:val="0"/>
          <w:numId w:val="62"/>
        </w:numPr>
        <w:rPr>
          <w:rFonts w:ascii="Arial" w:cs="Arial" w:eastAsia="Arial" w:hAnsi="Arial"/>
          <w:sz w:val="10"/>
          <w:szCs w:val="10"/>
          <w:color w:val="54585A"/>
        </w:rPr>
      </w:pPr>
      <w:r>
        <w:rPr>
          <w:rFonts w:ascii="Arial" w:cs="Arial" w:eastAsia="Arial" w:hAnsi="Arial"/>
          <w:sz w:val="10"/>
          <w:szCs w:val="10"/>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82" w:lineRule="exact"/>
        <w:rPr>
          <w:sz w:val="20"/>
          <w:szCs w:val="20"/>
          <w:color w:val="auto"/>
        </w:rPr>
      </w:pPr>
    </w:p>
    <w:tbl>
      <w:tblPr>
        <w:tblLayout w:type="fixed"/>
        <w:tblInd w:w="428" w:type="dxa"/>
        <w:tblCellMar>
          <w:top w:w="0" w:type="dxa"/>
          <w:left w:w="0" w:type="dxa"/>
          <w:bottom w:w="0" w:type="dxa"/>
          <w:right w:w="0" w:type="dxa"/>
        </w:tblCellMar>
      </w:tblPr>
      <w:tr>
        <w:trPr>
          <w:trHeight w:val="117"/>
        </w:trPr>
        <w:tc>
          <w:tcPr>
            <w:tcW w:w="660" w:type="dxa"/>
            <w:vAlign w:val="bottom"/>
            <w:shd w:val="clear" w:color="auto" w:fill="EEEDED"/>
          </w:tcPr>
          <w:p>
            <w:pPr>
              <w:spacing w:after="0"/>
              <w:rPr>
                <w:sz w:val="10"/>
                <w:szCs w:val="10"/>
                <w:color w:val="auto"/>
              </w:rPr>
            </w:pPr>
          </w:p>
        </w:tc>
        <w:tc>
          <w:tcPr>
            <w:tcW w:w="1840" w:type="dxa"/>
            <w:vAlign w:val="bottom"/>
            <w:gridSpan w:val="2"/>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Average Year-End Fair Value of Equity</w:t>
            </w:r>
          </w:p>
        </w:tc>
        <w:tc>
          <w:tcPr>
            <w:tcW w:w="1880" w:type="dxa"/>
            <w:vAlign w:val="bottom"/>
            <w:gridSpan w:val="2"/>
            <w:shd w:val="clear" w:color="auto" w:fill="EEEDED"/>
          </w:tcPr>
          <w:p>
            <w:pPr>
              <w:ind w:left="40"/>
              <w:spacing w:after="0"/>
              <w:rPr>
                <w:sz w:val="20"/>
                <w:szCs w:val="20"/>
                <w:color w:val="auto"/>
              </w:rPr>
            </w:pPr>
            <w:r>
              <w:rPr>
                <w:rFonts w:ascii="Arial" w:cs="Arial" w:eastAsia="Arial" w:hAnsi="Arial"/>
                <w:sz w:val="10"/>
                <w:szCs w:val="10"/>
                <w:b w:val="1"/>
                <w:bCs w:val="1"/>
                <w:color w:val="54585A"/>
                <w:w w:val="96"/>
              </w:rPr>
              <w:t>Average Change in Fair Value from Last</w:t>
            </w:r>
          </w:p>
        </w:tc>
        <w:tc>
          <w:tcPr>
            <w:tcW w:w="1840" w:type="dxa"/>
            <w:vAlign w:val="bottom"/>
            <w:gridSpan w:val="2"/>
            <w:vMerge w:val="restart"/>
            <w:shd w:val="clear" w:color="auto" w:fill="EEEDED"/>
          </w:tcPr>
          <w:p>
            <w:pPr>
              <w:ind w:left="40"/>
              <w:spacing w:after="0"/>
              <w:rPr>
                <w:sz w:val="20"/>
                <w:szCs w:val="20"/>
                <w:color w:val="auto"/>
              </w:rPr>
            </w:pPr>
            <w:r>
              <w:rPr>
                <w:rFonts w:ascii="Arial" w:cs="Arial" w:eastAsia="Arial" w:hAnsi="Arial"/>
                <w:sz w:val="10"/>
                <w:szCs w:val="10"/>
                <w:b w:val="1"/>
                <w:bCs w:val="1"/>
                <w:color w:val="54585A"/>
                <w:w w:val="95"/>
              </w:rPr>
              <w:t>Average Change in Fair Value of Equity</w:t>
            </w:r>
          </w:p>
        </w:tc>
        <w:tc>
          <w:tcPr>
            <w:tcW w:w="1860" w:type="dxa"/>
            <w:vAlign w:val="bottom"/>
            <w:gridSpan w:val="2"/>
            <w:shd w:val="clear" w:color="auto" w:fill="EEEDED"/>
          </w:tcPr>
          <w:p>
            <w:pPr>
              <w:ind w:left="40"/>
              <w:spacing w:after="0"/>
              <w:rPr>
                <w:sz w:val="20"/>
                <w:szCs w:val="20"/>
                <w:color w:val="auto"/>
              </w:rPr>
            </w:pPr>
            <w:r>
              <w:rPr>
                <w:rFonts w:ascii="Arial" w:cs="Arial" w:eastAsia="Arial" w:hAnsi="Arial"/>
                <w:sz w:val="10"/>
                <w:szCs w:val="10"/>
                <w:b w:val="1"/>
                <w:bCs w:val="1"/>
                <w:color w:val="54585A"/>
                <w:w w:val="94"/>
              </w:rPr>
              <w:t>Average Change in Fair Value from Last</w:t>
            </w:r>
          </w:p>
        </w:tc>
        <w:tc>
          <w:tcPr>
            <w:tcW w:w="100" w:type="dxa"/>
            <w:vAlign w:val="bottom"/>
            <w:shd w:val="clear" w:color="auto" w:fill="EEEDED"/>
          </w:tcPr>
          <w:p>
            <w:pPr>
              <w:spacing w:after="0"/>
              <w:rPr>
                <w:sz w:val="10"/>
                <w:szCs w:val="10"/>
                <w:color w:val="auto"/>
              </w:rPr>
            </w:pPr>
          </w:p>
        </w:tc>
        <w:tc>
          <w:tcPr>
            <w:tcW w:w="188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60" w:type="dxa"/>
            <w:vAlign w:val="bottom"/>
            <w:shd w:val="clear" w:color="auto" w:fill="EEEDED"/>
          </w:tcPr>
          <w:p>
            <w:pPr>
              <w:spacing w:after="0"/>
              <w:rPr>
                <w:sz w:val="8"/>
                <w:szCs w:val="8"/>
                <w:color w:val="auto"/>
              </w:rPr>
            </w:pPr>
          </w:p>
        </w:tc>
        <w:tc>
          <w:tcPr>
            <w:tcW w:w="80" w:type="dxa"/>
            <w:vAlign w:val="bottom"/>
            <w:shd w:val="clear" w:color="auto" w:fill="EEEDED"/>
          </w:tcPr>
          <w:p>
            <w:pPr>
              <w:spacing w:after="0"/>
              <w:rPr>
                <w:sz w:val="8"/>
                <w:szCs w:val="8"/>
                <w:color w:val="auto"/>
              </w:rPr>
            </w:pPr>
          </w:p>
        </w:tc>
        <w:tc>
          <w:tcPr>
            <w:tcW w:w="1760" w:type="dxa"/>
            <w:vAlign w:val="bottom"/>
            <w:shd w:val="clear" w:color="auto" w:fill="EEEDED"/>
          </w:tcPr>
          <w:p>
            <w:pPr>
              <w:jc w:val="center"/>
              <w:ind w:right="12"/>
              <w:spacing w:after="0" w:line="99" w:lineRule="exact"/>
              <w:rPr>
                <w:sz w:val="20"/>
                <w:szCs w:val="20"/>
                <w:color w:val="auto"/>
              </w:rPr>
            </w:pPr>
            <w:r>
              <w:rPr>
                <w:rFonts w:ascii="Arial" w:cs="Arial" w:eastAsia="Arial" w:hAnsi="Arial"/>
                <w:sz w:val="10"/>
                <w:szCs w:val="10"/>
                <w:b w:val="1"/>
                <w:bCs w:val="1"/>
                <w:color w:val="54585A"/>
                <w:w w:val="95"/>
              </w:rPr>
              <w:t>Awards Granted During Year That</w:t>
            </w:r>
          </w:p>
        </w:tc>
        <w:tc>
          <w:tcPr>
            <w:tcW w:w="1880" w:type="dxa"/>
            <w:vAlign w:val="bottom"/>
            <w:gridSpan w:val="2"/>
            <w:shd w:val="clear" w:color="auto" w:fill="EEEDED"/>
          </w:tcPr>
          <w:p>
            <w:pPr>
              <w:jc w:val="center"/>
              <w:spacing w:after="0" w:line="99" w:lineRule="exact"/>
              <w:rPr>
                <w:sz w:val="20"/>
                <w:szCs w:val="20"/>
                <w:color w:val="auto"/>
              </w:rPr>
            </w:pPr>
            <w:r>
              <w:rPr>
                <w:rFonts w:ascii="Arial" w:cs="Arial" w:eastAsia="Arial" w:hAnsi="Arial"/>
                <w:sz w:val="10"/>
                <w:szCs w:val="10"/>
                <w:b w:val="1"/>
                <w:bCs w:val="1"/>
                <w:color w:val="54585A"/>
                <w:w w:val="95"/>
              </w:rPr>
              <w:t>Day of Prior Year to Last Day of Year of</w:t>
            </w:r>
          </w:p>
        </w:tc>
        <w:tc>
          <w:tcPr>
            <w:tcW w:w="1840" w:type="dxa"/>
            <w:vAlign w:val="bottom"/>
            <w:gridSpan w:val="2"/>
            <w:vMerge w:val="continue"/>
            <w:shd w:val="clear" w:color="auto" w:fill="EEEDED"/>
          </w:tcPr>
          <w:p>
            <w:pPr>
              <w:spacing w:after="0"/>
              <w:rPr>
                <w:sz w:val="8"/>
                <w:szCs w:val="8"/>
                <w:color w:val="auto"/>
              </w:rPr>
            </w:pPr>
          </w:p>
        </w:tc>
        <w:tc>
          <w:tcPr>
            <w:tcW w:w="100" w:type="dxa"/>
            <w:vAlign w:val="bottom"/>
            <w:shd w:val="clear" w:color="auto" w:fill="EEEDED"/>
          </w:tcPr>
          <w:p>
            <w:pPr>
              <w:spacing w:after="0"/>
              <w:rPr>
                <w:sz w:val="8"/>
                <w:szCs w:val="8"/>
                <w:color w:val="auto"/>
              </w:rPr>
            </w:pPr>
          </w:p>
        </w:tc>
        <w:tc>
          <w:tcPr>
            <w:tcW w:w="1760" w:type="dxa"/>
            <w:vAlign w:val="bottom"/>
            <w:shd w:val="clear" w:color="auto" w:fill="EEEDED"/>
          </w:tcPr>
          <w:p>
            <w:pPr>
              <w:jc w:val="center"/>
              <w:ind w:right="32"/>
              <w:spacing w:after="0" w:line="99" w:lineRule="exact"/>
              <w:rPr>
                <w:sz w:val="20"/>
                <w:szCs w:val="20"/>
                <w:color w:val="auto"/>
              </w:rPr>
            </w:pPr>
            <w:r>
              <w:rPr>
                <w:rFonts w:ascii="Arial" w:cs="Arial" w:eastAsia="Arial" w:hAnsi="Arial"/>
                <w:sz w:val="10"/>
                <w:szCs w:val="10"/>
                <w:b w:val="1"/>
                <w:bCs w:val="1"/>
                <w:color w:val="54585A"/>
                <w:w w:val="94"/>
              </w:rPr>
              <w:t>Day of Prior Year to Vesting Date of</w:t>
            </w:r>
          </w:p>
        </w:tc>
        <w:tc>
          <w:tcPr>
            <w:tcW w:w="100" w:type="dxa"/>
            <w:vAlign w:val="bottom"/>
            <w:shd w:val="clear" w:color="auto" w:fill="EEEDED"/>
          </w:tcPr>
          <w:p>
            <w:pPr>
              <w:spacing w:after="0"/>
              <w:rPr>
                <w:sz w:val="8"/>
                <w:szCs w:val="8"/>
                <w:color w:val="auto"/>
              </w:rPr>
            </w:pPr>
          </w:p>
        </w:tc>
        <w:tc>
          <w:tcPr>
            <w:tcW w:w="1880" w:type="dxa"/>
            <w:vAlign w:val="bottom"/>
            <w:shd w:val="clear" w:color="auto" w:fill="EEEDED"/>
          </w:tcPr>
          <w:p>
            <w:pPr>
              <w:jc w:val="right"/>
              <w:ind w:right="212"/>
              <w:spacing w:after="0" w:line="99" w:lineRule="exact"/>
              <w:rPr>
                <w:sz w:val="20"/>
                <w:szCs w:val="20"/>
                <w:color w:val="auto"/>
              </w:rPr>
            </w:pPr>
            <w:r>
              <w:rPr>
                <w:rFonts w:ascii="Arial" w:cs="Arial" w:eastAsia="Arial" w:hAnsi="Arial"/>
                <w:sz w:val="10"/>
                <w:szCs w:val="10"/>
                <w:b w:val="1"/>
                <w:bCs w:val="1"/>
                <w:color w:val="54585A"/>
                <w:w w:val="97"/>
              </w:rPr>
              <w:t>Total - Average Inclusion of Equity</w:t>
            </w:r>
          </w:p>
        </w:tc>
        <w:tc>
          <w:tcPr>
            <w:tcW w:w="0" w:type="dxa"/>
            <w:vAlign w:val="bottom"/>
          </w:tcPr>
          <w:p>
            <w:pPr>
              <w:spacing w:after="0"/>
              <w:rPr>
                <w:sz w:val="1"/>
                <w:szCs w:val="1"/>
                <w:color w:val="auto"/>
              </w:rPr>
            </w:pPr>
          </w:p>
        </w:tc>
      </w:tr>
      <w:tr>
        <w:trPr>
          <w:trHeight w:val="117"/>
        </w:trPr>
        <w:tc>
          <w:tcPr>
            <w:tcW w:w="660" w:type="dxa"/>
            <w:vAlign w:val="bottom"/>
            <w:shd w:val="clear" w:color="auto" w:fill="EEEDED"/>
          </w:tcPr>
          <w:p>
            <w:pPr>
              <w:spacing w:after="0"/>
              <w:rPr>
                <w:sz w:val="10"/>
                <w:szCs w:val="10"/>
                <w:color w:val="auto"/>
              </w:rPr>
            </w:pPr>
          </w:p>
        </w:tc>
        <w:tc>
          <w:tcPr>
            <w:tcW w:w="80" w:type="dxa"/>
            <w:vAlign w:val="bottom"/>
            <w:shd w:val="clear" w:color="auto" w:fill="EEEDED"/>
          </w:tcPr>
          <w:p>
            <w:pPr>
              <w:spacing w:after="0"/>
              <w:rPr>
                <w:sz w:val="10"/>
                <w:szCs w:val="10"/>
                <w:color w:val="auto"/>
              </w:rPr>
            </w:pPr>
          </w:p>
        </w:tc>
        <w:tc>
          <w:tcPr>
            <w:tcW w:w="176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Remained Unvested as of Last Day of</w:t>
            </w:r>
          </w:p>
        </w:tc>
        <w:tc>
          <w:tcPr>
            <w:tcW w:w="80" w:type="dxa"/>
            <w:vAlign w:val="bottom"/>
            <w:shd w:val="clear" w:color="auto" w:fill="EEEDED"/>
          </w:tcPr>
          <w:p>
            <w:pPr>
              <w:spacing w:after="0"/>
              <w:rPr>
                <w:sz w:val="10"/>
                <w:szCs w:val="10"/>
                <w:color w:val="auto"/>
              </w:rPr>
            </w:pPr>
          </w:p>
        </w:tc>
        <w:tc>
          <w:tcPr>
            <w:tcW w:w="1800" w:type="dxa"/>
            <w:vAlign w:val="bottom"/>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5"/>
              </w:rPr>
              <w:t>Unvested Equity Awards for Non-PEO</w:t>
            </w:r>
          </w:p>
        </w:tc>
        <w:tc>
          <w:tcPr>
            <w:tcW w:w="1840" w:type="dxa"/>
            <w:vAlign w:val="bottom"/>
            <w:gridSpan w:val="2"/>
            <w:shd w:val="clear" w:color="auto" w:fill="EEEDED"/>
          </w:tcPr>
          <w:p>
            <w:pPr>
              <w:spacing w:after="0"/>
              <w:rPr>
                <w:sz w:val="20"/>
                <w:szCs w:val="20"/>
                <w:color w:val="auto"/>
              </w:rPr>
            </w:pPr>
            <w:r>
              <w:rPr>
                <w:rFonts w:ascii="Arial" w:cs="Arial" w:eastAsia="Arial" w:hAnsi="Arial"/>
                <w:sz w:val="10"/>
                <w:szCs w:val="10"/>
                <w:b w:val="1"/>
                <w:bCs w:val="1"/>
                <w:color w:val="54585A"/>
                <w:w w:val="95"/>
              </w:rPr>
              <w:t>Awards Granted and Vested in the same</w:t>
            </w:r>
          </w:p>
        </w:tc>
        <w:tc>
          <w:tcPr>
            <w:tcW w:w="100" w:type="dxa"/>
            <w:vAlign w:val="bottom"/>
            <w:shd w:val="clear" w:color="auto" w:fill="EEEDED"/>
          </w:tcPr>
          <w:p>
            <w:pPr>
              <w:spacing w:after="0"/>
              <w:rPr>
                <w:sz w:val="10"/>
                <w:szCs w:val="10"/>
                <w:color w:val="auto"/>
              </w:rPr>
            </w:pPr>
          </w:p>
        </w:tc>
        <w:tc>
          <w:tcPr>
            <w:tcW w:w="1760" w:type="dxa"/>
            <w:vAlign w:val="bottom"/>
            <w:shd w:val="clear" w:color="auto" w:fill="EEEDED"/>
          </w:tcPr>
          <w:p>
            <w:pPr>
              <w:jc w:val="center"/>
              <w:ind w:right="52"/>
              <w:spacing w:after="0"/>
              <w:rPr>
                <w:sz w:val="20"/>
                <w:szCs w:val="20"/>
                <w:color w:val="auto"/>
              </w:rPr>
            </w:pPr>
            <w:r>
              <w:rPr>
                <w:rFonts w:ascii="Arial" w:cs="Arial" w:eastAsia="Arial" w:hAnsi="Arial"/>
                <w:sz w:val="10"/>
                <w:szCs w:val="10"/>
                <w:b w:val="1"/>
                <w:bCs w:val="1"/>
                <w:color w:val="54585A"/>
                <w:w w:val="95"/>
              </w:rPr>
              <w:t>Unvested Equity Awards that Vested</w:t>
            </w:r>
          </w:p>
        </w:tc>
        <w:tc>
          <w:tcPr>
            <w:tcW w:w="100" w:type="dxa"/>
            <w:vAlign w:val="bottom"/>
            <w:shd w:val="clear" w:color="auto" w:fill="EEEDED"/>
          </w:tcPr>
          <w:p>
            <w:pPr>
              <w:spacing w:after="0"/>
              <w:rPr>
                <w:sz w:val="10"/>
                <w:szCs w:val="10"/>
                <w:color w:val="auto"/>
              </w:rPr>
            </w:pPr>
          </w:p>
        </w:tc>
        <w:tc>
          <w:tcPr>
            <w:tcW w:w="1880" w:type="dxa"/>
            <w:vAlign w:val="bottom"/>
            <w:shd w:val="clear" w:color="auto" w:fill="EEEDED"/>
          </w:tcPr>
          <w:p>
            <w:pPr>
              <w:jc w:val="right"/>
              <w:ind w:right="412"/>
              <w:spacing w:after="0"/>
              <w:rPr>
                <w:sz w:val="20"/>
                <w:szCs w:val="20"/>
                <w:color w:val="auto"/>
              </w:rPr>
            </w:pPr>
            <w:r>
              <w:rPr>
                <w:rFonts w:ascii="Arial" w:cs="Arial" w:eastAsia="Arial" w:hAnsi="Arial"/>
                <w:sz w:val="10"/>
                <w:szCs w:val="10"/>
                <w:b w:val="1"/>
                <w:bCs w:val="1"/>
                <w:color w:val="54585A"/>
              </w:rPr>
              <w:t>Values for Non-PEO NEOs</w:t>
            </w:r>
          </w:p>
        </w:tc>
        <w:tc>
          <w:tcPr>
            <w:tcW w:w="0" w:type="dxa"/>
            <w:vAlign w:val="bottom"/>
          </w:tcPr>
          <w:p>
            <w:pPr>
              <w:spacing w:after="0"/>
              <w:rPr>
                <w:sz w:val="1"/>
                <w:szCs w:val="1"/>
                <w:color w:val="auto"/>
              </w:rPr>
            </w:pPr>
          </w:p>
        </w:tc>
      </w:tr>
      <w:tr>
        <w:trPr>
          <w:trHeight w:val="117"/>
        </w:trPr>
        <w:tc>
          <w:tcPr>
            <w:tcW w:w="660" w:type="dxa"/>
            <w:vAlign w:val="bottom"/>
            <w:vMerge w:val="restart"/>
            <w:shd w:val="clear" w:color="auto" w:fill="EEEDED"/>
          </w:tcPr>
          <w:p>
            <w:pPr>
              <w:ind w:left="240"/>
              <w:spacing w:after="0"/>
              <w:rPr>
                <w:sz w:val="20"/>
                <w:szCs w:val="20"/>
                <w:color w:val="auto"/>
              </w:rPr>
            </w:pPr>
            <w:r>
              <w:rPr>
                <w:rFonts w:ascii="Arial" w:cs="Arial" w:eastAsia="Arial" w:hAnsi="Arial"/>
                <w:sz w:val="10"/>
                <w:szCs w:val="10"/>
                <w:b w:val="1"/>
                <w:bCs w:val="1"/>
                <w:color w:val="54585A"/>
              </w:rPr>
              <w:t>Year</w:t>
            </w:r>
          </w:p>
        </w:tc>
        <w:tc>
          <w:tcPr>
            <w:tcW w:w="80" w:type="dxa"/>
            <w:vAlign w:val="bottom"/>
            <w:shd w:val="clear" w:color="auto" w:fill="EEEDED"/>
          </w:tcPr>
          <w:p>
            <w:pPr>
              <w:spacing w:after="0"/>
              <w:rPr>
                <w:sz w:val="10"/>
                <w:szCs w:val="10"/>
                <w:color w:val="auto"/>
              </w:rPr>
            </w:pPr>
          </w:p>
        </w:tc>
        <w:tc>
          <w:tcPr>
            <w:tcW w:w="17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6"/>
              </w:rPr>
              <w:t>Year for Non-PEO NEOs</w:t>
            </w:r>
          </w:p>
        </w:tc>
        <w:tc>
          <w:tcPr>
            <w:tcW w:w="80" w:type="dxa"/>
            <w:vAlign w:val="bottom"/>
            <w:shd w:val="clear" w:color="auto" w:fill="EEEDED"/>
          </w:tcPr>
          <w:p>
            <w:pPr>
              <w:spacing w:after="0"/>
              <w:rPr>
                <w:sz w:val="10"/>
                <w:szCs w:val="10"/>
                <w:color w:val="auto"/>
              </w:rPr>
            </w:pPr>
          </w:p>
        </w:tc>
        <w:tc>
          <w:tcPr>
            <w:tcW w:w="180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NEOs</w:t>
            </w:r>
          </w:p>
        </w:tc>
        <w:tc>
          <w:tcPr>
            <w:tcW w:w="120" w:type="dxa"/>
            <w:vAlign w:val="bottom"/>
            <w:shd w:val="clear" w:color="auto" w:fill="EEEDED"/>
          </w:tcPr>
          <w:p>
            <w:pPr>
              <w:spacing w:after="0"/>
              <w:rPr>
                <w:sz w:val="10"/>
                <w:szCs w:val="10"/>
                <w:color w:val="auto"/>
              </w:rPr>
            </w:pPr>
          </w:p>
        </w:tc>
        <w:tc>
          <w:tcPr>
            <w:tcW w:w="1720" w:type="dxa"/>
            <w:vAlign w:val="bottom"/>
            <w:shd w:val="clear" w:color="auto" w:fill="EEEDED"/>
          </w:tcPr>
          <w:p>
            <w:pPr>
              <w:jc w:val="right"/>
              <w:ind w:right="112"/>
              <w:spacing w:after="0"/>
              <w:rPr>
                <w:sz w:val="20"/>
                <w:szCs w:val="20"/>
                <w:color w:val="auto"/>
              </w:rPr>
            </w:pPr>
            <w:r>
              <w:rPr>
                <w:rFonts w:ascii="Arial" w:cs="Arial" w:eastAsia="Arial" w:hAnsi="Arial"/>
                <w:sz w:val="10"/>
                <w:szCs w:val="10"/>
                <w:b w:val="1"/>
                <w:bCs w:val="1"/>
                <w:color w:val="54585A"/>
                <w:w w:val="97"/>
              </w:rPr>
              <w:t>Covered Year for Non-PEO NEOs</w:t>
            </w:r>
          </w:p>
        </w:tc>
        <w:tc>
          <w:tcPr>
            <w:tcW w:w="100" w:type="dxa"/>
            <w:vAlign w:val="bottom"/>
            <w:shd w:val="clear" w:color="auto" w:fill="EEEDED"/>
          </w:tcPr>
          <w:p>
            <w:pPr>
              <w:spacing w:after="0"/>
              <w:rPr>
                <w:sz w:val="10"/>
                <w:szCs w:val="10"/>
                <w:color w:val="auto"/>
              </w:rPr>
            </w:pPr>
          </w:p>
        </w:tc>
        <w:tc>
          <w:tcPr>
            <w:tcW w:w="1760" w:type="dxa"/>
            <w:vAlign w:val="bottom"/>
            <w:vMerge w:val="restart"/>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6"/>
              </w:rPr>
              <w:t>During Year for Non-PEO NEOs</w:t>
            </w:r>
          </w:p>
        </w:tc>
        <w:tc>
          <w:tcPr>
            <w:tcW w:w="100" w:type="dxa"/>
            <w:vAlign w:val="bottom"/>
            <w:shd w:val="clear" w:color="auto" w:fill="EEEDED"/>
          </w:tcPr>
          <w:p>
            <w:pPr>
              <w:spacing w:after="0"/>
              <w:rPr>
                <w:sz w:val="10"/>
                <w:szCs w:val="10"/>
                <w:color w:val="auto"/>
              </w:rPr>
            </w:pPr>
          </w:p>
        </w:tc>
        <w:tc>
          <w:tcPr>
            <w:tcW w:w="188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60" w:type="dxa"/>
            <w:vAlign w:val="bottom"/>
            <w:vMerge w:val="continue"/>
            <w:shd w:val="clear" w:color="auto" w:fill="EEEDED"/>
          </w:tcPr>
          <w:p>
            <w:pPr>
              <w:spacing w:after="0"/>
              <w:rPr>
                <w:sz w:val="2"/>
                <w:szCs w:val="2"/>
                <w:color w:val="auto"/>
              </w:rPr>
            </w:pPr>
          </w:p>
        </w:tc>
        <w:tc>
          <w:tcPr>
            <w:tcW w:w="80" w:type="dxa"/>
            <w:vAlign w:val="bottom"/>
            <w:shd w:val="clear" w:color="auto" w:fill="EEEDED"/>
          </w:tcPr>
          <w:p>
            <w:pPr>
              <w:spacing w:after="0"/>
              <w:rPr>
                <w:sz w:val="2"/>
                <w:szCs w:val="2"/>
                <w:color w:val="auto"/>
              </w:rPr>
            </w:pPr>
          </w:p>
        </w:tc>
        <w:tc>
          <w:tcPr>
            <w:tcW w:w="1760" w:type="dxa"/>
            <w:vAlign w:val="bottom"/>
            <w:vMerge w:val="continue"/>
            <w:shd w:val="clear" w:color="auto" w:fill="EEEDED"/>
          </w:tcPr>
          <w:p>
            <w:pPr>
              <w:spacing w:after="0"/>
              <w:rPr>
                <w:sz w:val="2"/>
                <w:szCs w:val="2"/>
                <w:color w:val="auto"/>
              </w:rPr>
            </w:pPr>
          </w:p>
        </w:tc>
        <w:tc>
          <w:tcPr>
            <w:tcW w:w="80" w:type="dxa"/>
            <w:vAlign w:val="bottom"/>
            <w:shd w:val="clear" w:color="auto" w:fill="EEEDED"/>
          </w:tcPr>
          <w:p>
            <w:pPr>
              <w:spacing w:after="0"/>
              <w:rPr>
                <w:sz w:val="2"/>
                <w:szCs w:val="2"/>
                <w:color w:val="auto"/>
              </w:rPr>
            </w:pPr>
          </w:p>
        </w:tc>
        <w:tc>
          <w:tcPr>
            <w:tcW w:w="1800" w:type="dxa"/>
            <w:vAlign w:val="bottom"/>
            <w:vMerge w:val="continue"/>
            <w:shd w:val="clear" w:color="auto" w:fill="EEEDED"/>
          </w:tcPr>
          <w:p>
            <w:pPr>
              <w:spacing w:after="0"/>
              <w:rPr>
                <w:sz w:val="2"/>
                <w:szCs w:val="2"/>
                <w:color w:val="auto"/>
              </w:rPr>
            </w:pPr>
          </w:p>
        </w:tc>
        <w:tc>
          <w:tcPr>
            <w:tcW w:w="120" w:type="dxa"/>
            <w:vAlign w:val="bottom"/>
            <w:shd w:val="clear" w:color="auto" w:fill="EEEDED"/>
          </w:tcPr>
          <w:p>
            <w:pPr>
              <w:spacing w:after="0"/>
              <w:rPr>
                <w:sz w:val="2"/>
                <w:szCs w:val="2"/>
                <w:color w:val="auto"/>
              </w:rPr>
            </w:pPr>
          </w:p>
        </w:tc>
        <w:tc>
          <w:tcPr>
            <w:tcW w:w="1720" w:type="dxa"/>
            <w:vAlign w:val="bottom"/>
            <w:shd w:val="clear" w:color="auto" w:fill="EEEDED"/>
          </w:tcPr>
          <w:p>
            <w:pPr>
              <w:spacing w:after="0"/>
              <w:rPr>
                <w:sz w:val="2"/>
                <w:szCs w:val="2"/>
                <w:color w:val="auto"/>
              </w:rPr>
            </w:pPr>
          </w:p>
        </w:tc>
        <w:tc>
          <w:tcPr>
            <w:tcW w:w="100" w:type="dxa"/>
            <w:vAlign w:val="bottom"/>
            <w:shd w:val="clear" w:color="auto" w:fill="EEEDED"/>
          </w:tcPr>
          <w:p>
            <w:pPr>
              <w:spacing w:after="0"/>
              <w:rPr>
                <w:sz w:val="2"/>
                <w:szCs w:val="2"/>
                <w:color w:val="auto"/>
              </w:rPr>
            </w:pPr>
          </w:p>
        </w:tc>
        <w:tc>
          <w:tcPr>
            <w:tcW w:w="1760" w:type="dxa"/>
            <w:vAlign w:val="bottom"/>
            <w:vMerge w:val="continue"/>
            <w:shd w:val="clear" w:color="auto" w:fill="EEEDED"/>
          </w:tcPr>
          <w:p>
            <w:pPr>
              <w:spacing w:after="0"/>
              <w:rPr>
                <w:sz w:val="2"/>
                <w:szCs w:val="2"/>
                <w:color w:val="auto"/>
              </w:rPr>
            </w:pPr>
          </w:p>
        </w:tc>
        <w:tc>
          <w:tcPr>
            <w:tcW w:w="100" w:type="dxa"/>
            <w:vAlign w:val="bottom"/>
            <w:shd w:val="clear" w:color="auto" w:fill="EEEDED"/>
          </w:tcPr>
          <w:p>
            <w:pPr>
              <w:spacing w:after="0"/>
              <w:rPr>
                <w:sz w:val="2"/>
                <w:szCs w:val="2"/>
                <w:color w:val="auto"/>
              </w:rPr>
            </w:pPr>
          </w:p>
        </w:tc>
        <w:tc>
          <w:tcPr>
            <w:tcW w:w="1880" w:type="dxa"/>
            <w:vAlign w:val="bottom"/>
            <w:shd w:val="clear" w:color="auto" w:fill="EEED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660" w:type="dxa"/>
            <w:vAlign w:val="bottom"/>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1760" w:type="dxa"/>
            <w:vAlign w:val="bottom"/>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1800" w:type="dxa"/>
            <w:vAlign w:val="bottom"/>
            <w:shd w:val="clear" w:color="auto" w:fill="EEEDED"/>
          </w:tcPr>
          <w:p>
            <w:pPr>
              <w:spacing w:after="0"/>
              <w:rPr>
                <w:sz w:val="5"/>
                <w:szCs w:val="5"/>
                <w:color w:val="auto"/>
              </w:rPr>
            </w:pPr>
          </w:p>
        </w:tc>
        <w:tc>
          <w:tcPr>
            <w:tcW w:w="120" w:type="dxa"/>
            <w:vAlign w:val="bottom"/>
            <w:shd w:val="clear" w:color="auto" w:fill="EEEDED"/>
          </w:tcPr>
          <w:p>
            <w:pPr>
              <w:spacing w:after="0"/>
              <w:rPr>
                <w:sz w:val="5"/>
                <w:szCs w:val="5"/>
                <w:color w:val="auto"/>
              </w:rPr>
            </w:pPr>
          </w:p>
        </w:tc>
        <w:tc>
          <w:tcPr>
            <w:tcW w:w="1720" w:type="dxa"/>
            <w:vAlign w:val="bottom"/>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760" w:type="dxa"/>
            <w:vAlign w:val="bottom"/>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88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2022</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724,856</w:t>
            </w:r>
          </w:p>
        </w:tc>
        <w:tc>
          <w:tcPr>
            <w:tcW w:w="80" w:type="dxa"/>
            <w:vAlign w:val="bottom"/>
            <w:tcBorders>
              <w:bottom w:val="single" w:sz="8" w:color="54585A"/>
            </w:tcBorders>
          </w:tcPr>
          <w:p>
            <w:pPr>
              <w:ind w:left="40"/>
              <w:spacing w:after="0"/>
              <w:rPr>
                <w:sz w:val="20"/>
                <w:szCs w:val="20"/>
                <w:color w:val="auto"/>
              </w:rPr>
            </w:pPr>
            <w:r>
              <w:rPr>
                <w:rFonts w:ascii="Arial" w:cs="Arial" w:eastAsia="Arial" w:hAnsi="Arial"/>
                <w:sz w:val="5"/>
                <w:szCs w:val="5"/>
                <w:color w:val="54585A"/>
                <w:w w:val="70"/>
              </w:rPr>
              <w:t>$</w:t>
            </w:r>
          </w:p>
        </w:tc>
        <w:tc>
          <w:tcPr>
            <w:tcW w:w="18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(7,629)</w:t>
            </w:r>
          </w:p>
        </w:tc>
        <w:tc>
          <w:tcPr>
            <w:tcW w:w="120" w:type="dxa"/>
            <w:vAlign w:val="bottom"/>
            <w:tcBorders>
              <w:bottom w:val="single" w:sz="8" w:color="54585A"/>
            </w:tcBorders>
          </w:tcPr>
          <w:p>
            <w:pPr>
              <w:spacing w:after="0"/>
              <w:rPr>
                <w:sz w:val="20"/>
                <w:szCs w:val="20"/>
                <w:color w:val="auto"/>
              </w:rPr>
            </w:pPr>
            <w:r>
              <w:rPr>
                <w:rFonts w:ascii="Arial" w:cs="Arial" w:eastAsia="Arial" w:hAnsi="Arial"/>
                <w:sz w:val="10"/>
                <w:szCs w:val="10"/>
                <w:color w:val="54585A"/>
              </w:rPr>
              <w:t>$</w:t>
            </w:r>
          </w:p>
        </w:tc>
        <w:tc>
          <w:tcPr>
            <w:tcW w:w="17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40,000</w:t>
            </w:r>
          </w:p>
        </w:tc>
        <w:tc>
          <w:tcPr>
            <w:tcW w:w="10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171,082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928,309</w:t>
            </w:r>
          </w:p>
        </w:tc>
        <w:tc>
          <w:tcPr>
            <w:tcW w:w="0" w:type="dxa"/>
            <w:vAlign w:val="bottom"/>
          </w:tcPr>
          <w:p>
            <w:pPr>
              <w:spacing w:after="0"/>
              <w:rPr>
                <w:sz w:val="1"/>
                <w:szCs w:val="1"/>
                <w:color w:val="auto"/>
              </w:rPr>
            </w:pPr>
          </w:p>
        </w:tc>
      </w:tr>
      <w:tr>
        <w:trPr>
          <w:trHeight w:val="142"/>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2021</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139,200</w:t>
            </w:r>
          </w:p>
        </w:tc>
        <w:tc>
          <w:tcPr>
            <w:tcW w:w="80" w:type="dxa"/>
            <w:vAlign w:val="bottom"/>
            <w:tcBorders>
              <w:bottom w:val="single" w:sz="8" w:color="54585A"/>
            </w:tcBorders>
          </w:tcPr>
          <w:p>
            <w:pPr>
              <w:ind w:left="40"/>
              <w:spacing w:after="0"/>
              <w:rPr>
                <w:sz w:val="20"/>
                <w:szCs w:val="20"/>
                <w:color w:val="auto"/>
              </w:rPr>
            </w:pPr>
            <w:r>
              <w:rPr>
                <w:rFonts w:ascii="Arial" w:cs="Arial" w:eastAsia="Arial" w:hAnsi="Arial"/>
                <w:sz w:val="5"/>
                <w:szCs w:val="5"/>
                <w:color w:val="54585A"/>
                <w:w w:val="70"/>
              </w:rPr>
              <w:t>$</w:t>
            </w:r>
          </w:p>
        </w:tc>
        <w:tc>
          <w:tcPr>
            <w:tcW w:w="18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118,139</w:t>
            </w:r>
          </w:p>
        </w:tc>
        <w:tc>
          <w:tcPr>
            <w:tcW w:w="120" w:type="dxa"/>
            <w:vAlign w:val="bottom"/>
            <w:tcBorders>
              <w:bottom w:val="single" w:sz="8" w:color="54585A"/>
            </w:tcBorders>
          </w:tcPr>
          <w:p>
            <w:pPr>
              <w:spacing w:after="0"/>
              <w:rPr>
                <w:sz w:val="20"/>
                <w:szCs w:val="20"/>
                <w:color w:val="auto"/>
              </w:rPr>
            </w:pPr>
            <w:r>
              <w:rPr>
                <w:rFonts w:ascii="Arial" w:cs="Arial" w:eastAsia="Arial" w:hAnsi="Arial"/>
                <w:sz w:val="10"/>
                <w:szCs w:val="10"/>
                <w:color w:val="54585A"/>
              </w:rPr>
              <w:t>$</w:t>
            </w:r>
          </w:p>
        </w:tc>
        <w:tc>
          <w:tcPr>
            <w:tcW w:w="17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93,300</w:t>
            </w:r>
          </w:p>
        </w:tc>
        <w:tc>
          <w:tcPr>
            <w:tcW w:w="10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221,940</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572,579</w:t>
            </w:r>
          </w:p>
        </w:tc>
        <w:tc>
          <w:tcPr>
            <w:tcW w:w="0" w:type="dxa"/>
            <w:vAlign w:val="bottom"/>
          </w:tcPr>
          <w:p>
            <w:pPr>
              <w:spacing w:after="0"/>
              <w:rPr>
                <w:sz w:val="1"/>
                <w:szCs w:val="1"/>
                <w:color w:val="auto"/>
              </w:rPr>
            </w:pPr>
          </w:p>
        </w:tc>
      </w:tr>
      <w:tr>
        <w:trPr>
          <w:trHeight w:val="142"/>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2020</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55,536</w:t>
            </w:r>
          </w:p>
        </w:tc>
        <w:tc>
          <w:tcPr>
            <w:tcW w:w="80" w:type="dxa"/>
            <w:vAlign w:val="bottom"/>
            <w:tcBorders>
              <w:bottom w:val="single" w:sz="8" w:color="54585A"/>
            </w:tcBorders>
          </w:tcPr>
          <w:p>
            <w:pPr>
              <w:ind w:left="40"/>
              <w:spacing w:after="0"/>
              <w:rPr>
                <w:sz w:val="20"/>
                <w:szCs w:val="20"/>
                <w:color w:val="auto"/>
              </w:rPr>
            </w:pPr>
            <w:r>
              <w:rPr>
                <w:rFonts w:ascii="Arial" w:cs="Arial" w:eastAsia="Arial" w:hAnsi="Arial"/>
                <w:sz w:val="5"/>
                <w:szCs w:val="5"/>
                <w:color w:val="54585A"/>
                <w:w w:val="70"/>
              </w:rPr>
              <w:t>$</w:t>
            </w:r>
          </w:p>
        </w:tc>
        <w:tc>
          <w:tcPr>
            <w:tcW w:w="18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(17,090)</w:t>
            </w:r>
          </w:p>
        </w:tc>
        <w:tc>
          <w:tcPr>
            <w:tcW w:w="120" w:type="dxa"/>
            <w:vAlign w:val="bottom"/>
            <w:tcBorders>
              <w:bottom w:val="single" w:sz="8" w:color="54585A"/>
            </w:tcBorders>
          </w:tcPr>
          <w:p>
            <w:pPr>
              <w:spacing w:after="0"/>
              <w:rPr>
                <w:sz w:val="20"/>
                <w:szCs w:val="20"/>
                <w:color w:val="auto"/>
              </w:rPr>
            </w:pPr>
            <w:r>
              <w:rPr>
                <w:rFonts w:ascii="Arial" w:cs="Arial" w:eastAsia="Arial" w:hAnsi="Arial"/>
                <w:sz w:val="10"/>
                <w:szCs w:val="10"/>
                <w:color w:val="54585A"/>
              </w:rPr>
              <w:t>$</w:t>
            </w:r>
          </w:p>
        </w:tc>
        <w:tc>
          <w:tcPr>
            <w:tcW w:w="17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170,481</w:t>
            </w:r>
          </w:p>
        </w:tc>
        <w:tc>
          <w:tcPr>
            <w:tcW w:w="10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(145,965)</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62,962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8" w:right="120" w:hanging="208"/>
        <w:spacing w:after="0" w:line="256" w:lineRule="auto"/>
        <w:tabs>
          <w:tab w:leader="none" w:pos="208"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Cumulative TSR is calculated by dividing the difference between the Company’s share price at the end and the beginning of the measurement period by the Company’s share price at the beginning of the measurement period. TSR is determined based on the value of an initial fixed investment of $100.</w:t>
      </w:r>
    </w:p>
    <w:p>
      <w:pPr>
        <w:spacing w:after="0" w:line="60" w:lineRule="exact"/>
        <w:rPr>
          <w:rFonts w:ascii="Arial" w:cs="Arial" w:eastAsia="Arial" w:hAnsi="Arial"/>
          <w:sz w:val="10"/>
          <w:szCs w:val="10"/>
          <w:color w:val="54585A"/>
        </w:rPr>
      </w:pPr>
    </w:p>
    <w:p>
      <w:pPr>
        <w:ind w:left="208" w:hanging="208"/>
        <w:spacing w:after="0"/>
        <w:tabs>
          <w:tab w:leader="none" w:pos="208"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The peer group used for this purpose is the Nasdaq Telecommunications index.</w:t>
      </w:r>
    </w:p>
    <w:p>
      <w:pPr>
        <w:spacing w:after="0" w:line="65" w:lineRule="exact"/>
        <w:rPr>
          <w:rFonts w:ascii="Arial" w:cs="Arial" w:eastAsia="Arial" w:hAnsi="Arial"/>
          <w:sz w:val="10"/>
          <w:szCs w:val="10"/>
          <w:color w:val="54585A"/>
        </w:rPr>
      </w:pPr>
    </w:p>
    <w:p>
      <w:pPr>
        <w:ind w:left="208" w:hanging="208"/>
        <w:spacing w:after="0"/>
        <w:tabs>
          <w:tab w:leader="none" w:pos="208"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The dollar amounts reported represent the amount of net loss reflected in the Company’s audited financial statements for the applicable year.</w:t>
      </w:r>
    </w:p>
    <w:p>
      <w:pPr>
        <w:spacing w:after="0" w:line="74" w:lineRule="exact"/>
        <w:rPr>
          <w:rFonts w:ascii="Arial" w:cs="Arial" w:eastAsia="Arial" w:hAnsi="Arial"/>
          <w:sz w:val="10"/>
          <w:szCs w:val="10"/>
          <w:color w:val="54585A"/>
        </w:rPr>
      </w:pPr>
    </w:p>
    <w:p>
      <w:pPr>
        <w:ind w:left="208" w:right="240" w:hanging="208"/>
        <w:spacing w:after="0" w:line="342" w:lineRule="auto"/>
        <w:tabs>
          <w:tab w:leader="none" w:pos="208" w:val="left"/>
        </w:tabs>
        <w:numPr>
          <w:ilvl w:val="0"/>
          <w:numId w:val="63"/>
        </w:numPr>
        <w:rPr>
          <w:rFonts w:ascii="Arial" w:cs="Arial" w:eastAsia="Arial" w:hAnsi="Arial"/>
          <w:sz w:val="8"/>
          <w:szCs w:val="8"/>
          <w:color w:val="54585A"/>
        </w:rPr>
      </w:pPr>
      <w:r>
        <w:rPr>
          <w:rFonts w:ascii="Arial" w:cs="Arial" w:eastAsia="Arial" w:hAnsi="Arial"/>
          <w:sz w:val="8"/>
          <w:szCs w:val="8"/>
          <w:color w:val="54585A"/>
        </w:rPr>
        <w:t>Adjusted EBITDA is a non-GAAP measure defined as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249555</wp:posOffset>
            </wp:positionV>
            <wp:extent cx="1714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Non-PEOs and Company Cumulative Total Shareholder Return (TSR)</w:t>
      </w:r>
    </w:p>
    <w:p>
      <w:pPr>
        <w:spacing w:after="0" w:line="104" w:lineRule="exact"/>
        <w:rPr>
          <w:sz w:val="20"/>
          <w:szCs w:val="20"/>
          <w:color w:val="auto"/>
        </w:rPr>
      </w:pPr>
    </w:p>
    <w:p>
      <w:pPr>
        <w:ind w:right="60"/>
        <w:spacing w:after="0" w:line="345" w:lineRule="auto"/>
        <w:rPr>
          <w:sz w:val="20"/>
          <w:szCs w:val="20"/>
          <w:color w:val="auto"/>
        </w:rPr>
      </w:pPr>
      <w:r>
        <w:rPr>
          <w:rFonts w:ascii="Arial" w:cs="Arial" w:eastAsia="Arial" w:hAnsi="Arial"/>
          <w:sz w:val="11"/>
          <w:szCs w:val="11"/>
          <w:color w:val="54585A"/>
        </w:rPr>
        <w:t>The following chart sets forth the relationship between Compensation Actually Paid to our PEO, the average of Compensation Actually Paid to our Non-PEO NEOs, and the our cumulative TSR for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41910</wp:posOffset>
            </wp:positionV>
            <wp:extent cx="3886200" cy="2286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2602230</wp:posOffset>
            </wp:positionV>
            <wp:extent cx="1714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ind w:left="68" w:hanging="68"/>
        <w:spacing w:after="0"/>
        <w:tabs>
          <w:tab w:leader="none" w:pos="68" w:val="left"/>
        </w:tabs>
        <w:numPr>
          <w:ilvl w:val="0"/>
          <w:numId w:val="64"/>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 NEOs and Company Net Loss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0"/>
          <w:szCs w:val="10"/>
          <w:color w:val="54585A"/>
        </w:rPr>
        <w:t>The following chart sets forth the relationship between Compensation Actually Paid to our PEO, the average of Compensation Actually Paid to our Non-PEO NEOs, and our Net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74295</wp:posOffset>
            </wp:positionV>
            <wp:extent cx="3886200" cy="22860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2628900</wp:posOffset>
            </wp:positionV>
            <wp:extent cx="1714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 NEOs and Adjusted EBITDA</w:t>
      </w:r>
    </w:p>
    <w:p>
      <w:pPr>
        <w:spacing w:after="0" w:line="104" w:lineRule="exact"/>
        <w:rPr>
          <w:sz w:val="20"/>
          <w:szCs w:val="20"/>
          <w:color w:val="auto"/>
        </w:rPr>
      </w:pPr>
    </w:p>
    <w:p>
      <w:pPr>
        <w:ind w:right="20"/>
        <w:spacing w:after="0" w:line="322" w:lineRule="auto"/>
        <w:rPr>
          <w:sz w:val="20"/>
          <w:szCs w:val="20"/>
          <w:color w:val="auto"/>
        </w:rPr>
      </w:pPr>
      <w:r>
        <w:rPr>
          <w:rFonts w:ascii="Arial" w:cs="Arial" w:eastAsia="Arial" w:hAnsi="Arial"/>
          <w:sz w:val="11"/>
          <w:szCs w:val="11"/>
          <w:color w:val="54585A"/>
        </w:rPr>
        <w:t>The following chart sets forth the relationship between Compensation Actually Paid to our PEO, the average of Compensation Actually Paid to our other NEOs, and our Adjusted EBITDA for the three most recently completed fiscal years. As described above, Adjusted EBITDA is defined as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 Under the Company’s annual bonus plan, which is designed to reward NEOs’ efforts to meet and exceed the Company's financial performance goals, the Company used Adjusted EBITDA when determining the bonus pool available for distribution to the NEOs during the fiscal year. As described in more detail in the section “Executive Officers and Compensation – Compensation Discussion and Analysis,” for each 1% of Adjusted EBITDA above or below the plan year target Adjusted EBITDA, adjustments are made to either increase or decrease the bonus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2610485</wp:posOffset>
            </wp:positionV>
            <wp:extent cx="1714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8" w:name="page39"/>
    <w:bookmarkEnd w:id="38"/>
    <w:p>
      <w:pPr>
        <w:ind w:left="68" w:hanging="68"/>
        <w:spacing w:after="0"/>
        <w:tabs>
          <w:tab w:leader="none" w:pos="68" w:val="left"/>
        </w:tabs>
        <w:numPr>
          <w:ilvl w:val="0"/>
          <w:numId w:val="65"/>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Description of Relationship Between Company TSR and Peer Group TSR</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following chart compares our cumulative TSR over the three most recently completed fiscal years to that of the Nasdaq Telecommunications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89535</wp:posOffset>
            </wp:positionV>
            <wp:extent cx="3886200" cy="2286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Tabular List of Most Important Financial Performance Measures</w:t>
      </w:r>
    </w:p>
    <w:p>
      <w:pPr>
        <w:spacing w:after="0" w:line="68" w:lineRule="exact"/>
        <w:rPr>
          <w:sz w:val="20"/>
          <w:szCs w:val="20"/>
          <w:color w:val="auto"/>
        </w:rPr>
      </w:pPr>
    </w:p>
    <w:p>
      <w:pPr>
        <w:ind w:left="8" w:right="120"/>
        <w:spacing w:after="0" w:line="326" w:lineRule="auto"/>
        <w:rPr>
          <w:sz w:val="20"/>
          <w:szCs w:val="20"/>
          <w:color w:val="auto"/>
        </w:rPr>
      </w:pPr>
      <w:r>
        <w:rPr>
          <w:rFonts w:ascii="Arial" w:cs="Arial" w:eastAsia="Arial" w:hAnsi="Arial"/>
          <w:sz w:val="11"/>
          <w:szCs w:val="11"/>
          <w:color w:val="54585A"/>
        </w:rPr>
        <w:t>The following table presents the financial and non-financial performance measures that the Company considers to have been the most important in linking Compensation Actually Paid to our PEO and other NEOs for 2022 to Company performance. The measures in this table are not ranked. Adjusted EBITDA was the sole financial performance measure that is used by the Company to link compensation actually paid to the NEOs, for the most recently completed fiscal year, to company performance.</w:t>
      </w:r>
    </w:p>
    <w:p>
      <w:pPr>
        <w:spacing w:after="0" w:line="97" w:lineRule="exact"/>
        <w:rPr>
          <w:sz w:val="20"/>
          <w:szCs w:val="20"/>
          <w:color w:val="auto"/>
        </w:rPr>
      </w:pPr>
    </w:p>
    <w:p>
      <w:pPr>
        <w:ind w:left="8" w:right="220"/>
        <w:spacing w:after="0" w:line="326" w:lineRule="auto"/>
        <w:rPr>
          <w:sz w:val="20"/>
          <w:szCs w:val="20"/>
          <w:color w:val="auto"/>
        </w:rPr>
      </w:pPr>
      <w:r>
        <w:rPr>
          <w:rFonts w:ascii="Arial" w:cs="Arial" w:eastAsia="Arial" w:hAnsi="Arial"/>
          <w:sz w:val="11"/>
          <w:szCs w:val="11"/>
          <w:color w:val="54585A"/>
        </w:rPr>
        <w:t>The Company also used non-financial performance measures (i.e., performance measures other than those that fall within the definition of financial performance measures) to link compensation actually paid to the NEOs, for the most recently completed fiscal year, to company performance. The Company determined that specific goal achievements and individual performance achievements, both non-financial performance measures, are among its three most important performance measures.</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2800" w:type="dxa"/>
            <w:vAlign w:val="bottom"/>
            <w:tcBorders>
              <w:bottom w:val="single" w:sz="8" w:color="EEEDED"/>
            </w:tcBorders>
            <w:shd w:val="clear" w:color="auto" w:fill="EEEDED"/>
          </w:tcPr>
          <w:p>
            <w:pPr>
              <w:ind w:left="60"/>
              <w:spacing w:after="0"/>
              <w:rPr>
                <w:sz w:val="20"/>
                <w:szCs w:val="20"/>
                <w:color w:val="auto"/>
              </w:rPr>
            </w:pPr>
            <w:r>
              <w:rPr>
                <w:rFonts w:ascii="Arial" w:cs="Arial" w:eastAsia="Arial" w:hAnsi="Arial"/>
                <w:sz w:val="10"/>
                <w:szCs w:val="10"/>
                <w:b w:val="1"/>
                <w:bCs w:val="1"/>
                <w:color w:val="54585A"/>
              </w:rPr>
              <w:t>Most Important Financial Performance Measures</w:t>
            </w:r>
          </w:p>
        </w:tc>
        <w:tc>
          <w:tcPr>
            <w:tcW w:w="1540" w:type="dxa"/>
            <w:vAlign w:val="bottom"/>
            <w:tcBorders>
              <w:bottom w:val="single" w:sz="8" w:color="EEEDED"/>
            </w:tcBorders>
            <w:shd w:val="clear" w:color="auto" w:fill="EEEDED"/>
          </w:tcPr>
          <w:p>
            <w:pPr>
              <w:ind w:left="20"/>
              <w:spacing w:after="0"/>
              <w:rPr>
                <w:sz w:val="20"/>
                <w:szCs w:val="20"/>
                <w:color w:val="auto"/>
              </w:rPr>
            </w:pPr>
            <w:r>
              <w:rPr>
                <w:rFonts w:ascii="Arial" w:cs="Arial" w:eastAsia="Arial" w:hAnsi="Arial"/>
                <w:sz w:val="10"/>
                <w:szCs w:val="10"/>
                <w:b w:val="1"/>
                <w:bCs w:val="1"/>
                <w:color w:val="54585A"/>
              </w:rPr>
              <w:t>Nature</w:t>
            </w:r>
          </w:p>
        </w:tc>
        <w:tc>
          <w:tcPr>
            <w:tcW w:w="6960" w:type="dxa"/>
            <w:vAlign w:val="bottom"/>
            <w:tcBorders>
              <w:bottom w:val="single" w:sz="8" w:color="EEEDED"/>
            </w:tcBorders>
            <w:shd w:val="clear" w:color="auto" w:fill="EEEDED"/>
          </w:tcPr>
          <w:p>
            <w:pPr>
              <w:ind w:left="560"/>
              <w:spacing w:after="0"/>
              <w:rPr>
                <w:sz w:val="20"/>
                <w:szCs w:val="20"/>
                <w:color w:val="auto"/>
              </w:rPr>
            </w:pPr>
            <w:r>
              <w:rPr>
                <w:rFonts w:ascii="Arial" w:cs="Arial" w:eastAsia="Arial" w:hAnsi="Arial"/>
                <w:sz w:val="10"/>
                <w:szCs w:val="10"/>
                <w:b w:val="1"/>
                <w:bCs w:val="1"/>
                <w:color w:val="54585A"/>
              </w:rPr>
              <w:t>Explanation</w:t>
            </w: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960" w:type="dxa"/>
            <w:vAlign w:val="bottom"/>
          </w:tcPr>
          <w:p>
            <w:pPr>
              <w:ind w:left="560"/>
              <w:spacing w:after="0"/>
              <w:rPr>
                <w:sz w:val="20"/>
                <w:szCs w:val="20"/>
                <w:color w:val="auto"/>
              </w:rPr>
            </w:pPr>
            <w:r>
              <w:rPr>
                <w:rFonts w:ascii="Arial" w:cs="Arial" w:eastAsia="Arial" w:hAnsi="Arial"/>
                <w:sz w:val="10"/>
                <w:szCs w:val="10"/>
                <w:color w:val="54585A"/>
              </w:rPr>
              <w:t>A non-GAAP measure defined as earnings before interest, income taxes, depreciation, amortization, accretion and derivative (gains)/losses.</w:t>
            </w:r>
          </w:p>
        </w:tc>
        <w:tc>
          <w:tcPr>
            <w:tcW w:w="0" w:type="dxa"/>
            <w:vAlign w:val="bottom"/>
          </w:tcPr>
          <w:p>
            <w:pPr>
              <w:spacing w:after="0"/>
              <w:rPr>
                <w:sz w:val="1"/>
                <w:szCs w:val="1"/>
                <w:color w:val="auto"/>
              </w:rPr>
            </w:pPr>
          </w:p>
        </w:tc>
      </w:tr>
      <w:tr>
        <w:trPr>
          <w:trHeight w:val="117"/>
        </w:trPr>
        <w:tc>
          <w:tcPr>
            <w:tcW w:w="2800" w:type="dxa"/>
            <w:vAlign w:val="bottom"/>
            <w:vMerge w:val="restart"/>
          </w:tcPr>
          <w:p>
            <w:pPr>
              <w:ind w:left="60"/>
              <w:spacing w:after="0"/>
              <w:rPr>
                <w:sz w:val="20"/>
                <w:szCs w:val="20"/>
                <w:color w:val="auto"/>
              </w:rPr>
            </w:pPr>
            <w:r>
              <w:rPr>
                <w:rFonts w:ascii="Arial" w:cs="Arial" w:eastAsia="Arial" w:hAnsi="Arial"/>
                <w:sz w:val="10"/>
                <w:szCs w:val="10"/>
                <w:color w:val="54585A"/>
              </w:rPr>
              <w:t>Adjusted EBITDA</w:t>
            </w:r>
          </w:p>
        </w:tc>
        <w:tc>
          <w:tcPr>
            <w:tcW w:w="1540" w:type="dxa"/>
            <w:vAlign w:val="bottom"/>
            <w:vMerge w:val="restart"/>
          </w:tcPr>
          <w:p>
            <w:pPr>
              <w:ind w:left="20"/>
              <w:spacing w:after="0"/>
              <w:rPr>
                <w:sz w:val="20"/>
                <w:szCs w:val="20"/>
                <w:color w:val="auto"/>
              </w:rPr>
            </w:pPr>
            <w:r>
              <w:rPr>
                <w:rFonts w:ascii="Arial" w:cs="Arial" w:eastAsia="Arial" w:hAnsi="Arial"/>
                <w:sz w:val="10"/>
                <w:szCs w:val="10"/>
                <w:color w:val="54585A"/>
              </w:rPr>
              <w:t>Financial measure</w:t>
            </w:r>
          </w:p>
        </w:tc>
        <w:tc>
          <w:tcPr>
            <w:tcW w:w="6960" w:type="dxa"/>
            <w:vAlign w:val="bottom"/>
          </w:tcPr>
          <w:p>
            <w:pPr>
              <w:ind w:left="560"/>
              <w:spacing w:after="0"/>
              <w:rPr>
                <w:sz w:val="20"/>
                <w:szCs w:val="20"/>
                <w:color w:val="auto"/>
              </w:rPr>
            </w:pPr>
            <w:r>
              <w:rPr>
                <w:rFonts w:ascii="Arial" w:cs="Arial" w:eastAsia="Arial" w:hAnsi="Arial"/>
                <w:sz w:val="10"/>
                <w:szCs w:val="10"/>
                <w:color w:val="54585A"/>
                <w:w w:val="99"/>
              </w:rPr>
              <w:t>Adjusted EBITDA excludes non-cash compensation expense, reduction in the value of assets, foreign exchange (gains)/losses, and certain other</w:t>
            </w:r>
          </w:p>
        </w:tc>
        <w:tc>
          <w:tcPr>
            <w:tcW w:w="0" w:type="dxa"/>
            <w:vAlign w:val="bottom"/>
          </w:tcPr>
          <w:p>
            <w:pPr>
              <w:spacing w:after="0"/>
              <w:rPr>
                <w:sz w:val="1"/>
                <w:szCs w:val="1"/>
                <w:color w:val="auto"/>
              </w:rPr>
            </w:pPr>
          </w:p>
        </w:tc>
      </w:tr>
      <w:tr>
        <w:trPr>
          <w:trHeight w:val="121"/>
        </w:trPr>
        <w:tc>
          <w:tcPr>
            <w:tcW w:w="28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960" w:type="dxa"/>
            <w:vAlign w:val="bottom"/>
          </w:tcPr>
          <w:p>
            <w:pPr>
              <w:ind w:left="560"/>
              <w:spacing w:after="0"/>
              <w:rPr>
                <w:sz w:val="20"/>
                <w:szCs w:val="20"/>
                <w:color w:val="auto"/>
              </w:rPr>
            </w:pPr>
            <w:r>
              <w:rPr>
                <w:rFonts w:ascii="Arial" w:cs="Arial" w:eastAsia="Arial" w:hAnsi="Arial"/>
                <w:sz w:val="10"/>
                <w:szCs w:val="10"/>
                <w:color w:val="54585A"/>
              </w:rPr>
              <w:t>non-cash or non-recurring charges as applicable.</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54585A"/>
            </w:tcBorders>
          </w:tcPr>
          <w:p>
            <w:pPr>
              <w:spacing w:after="0"/>
              <w:rPr>
                <w:sz w:val="17"/>
                <w:szCs w:val="17"/>
                <w:color w:val="auto"/>
              </w:rPr>
            </w:pPr>
          </w:p>
        </w:tc>
        <w:tc>
          <w:tcPr>
            <w:tcW w:w="1540" w:type="dxa"/>
            <w:vAlign w:val="bottom"/>
            <w:tcBorders>
              <w:bottom w:val="single" w:sz="8" w:color="54585A"/>
            </w:tcBorders>
          </w:tcPr>
          <w:p>
            <w:pPr>
              <w:spacing w:after="0"/>
              <w:rPr>
                <w:sz w:val="17"/>
                <w:szCs w:val="17"/>
                <w:color w:val="auto"/>
              </w:rPr>
            </w:pPr>
          </w:p>
        </w:tc>
        <w:tc>
          <w:tcPr>
            <w:tcW w:w="6960" w:type="dxa"/>
            <w:vAlign w:val="bottom"/>
            <w:tcBorders>
              <w:bottom w:val="single" w:sz="8" w:color="54585A"/>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0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Specific Goal Achievements</w:t>
            </w:r>
          </w:p>
        </w:tc>
        <w:tc>
          <w:tcPr>
            <w:tcW w:w="154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Financial measure</w:t>
            </w:r>
          </w:p>
        </w:tc>
        <w:tc>
          <w:tcPr>
            <w:tcW w:w="6960" w:type="dxa"/>
            <w:vAlign w:val="bottom"/>
            <w:tcBorders>
              <w:bottom w:val="single" w:sz="8" w:color="54585A"/>
            </w:tcBorders>
          </w:tcPr>
          <w:p>
            <w:pPr>
              <w:ind w:left="560"/>
              <w:spacing w:after="0"/>
              <w:rPr>
                <w:sz w:val="20"/>
                <w:szCs w:val="20"/>
                <w:color w:val="auto"/>
              </w:rPr>
            </w:pPr>
            <w:r>
              <w:rPr>
                <w:rFonts w:ascii="Arial" w:cs="Arial" w:eastAsia="Arial" w:hAnsi="Arial"/>
                <w:sz w:val="10"/>
                <w:szCs w:val="10"/>
                <w:color w:val="54585A"/>
              </w:rPr>
              <w:t>Obtaining predetermined financial goals or benchmarks for individual NEOs.</w:t>
            </w:r>
          </w:p>
        </w:tc>
        <w:tc>
          <w:tcPr>
            <w:tcW w:w="0" w:type="dxa"/>
            <w:vAlign w:val="bottom"/>
          </w:tcPr>
          <w:p>
            <w:pPr>
              <w:spacing w:after="0"/>
              <w:rPr>
                <w:sz w:val="1"/>
                <w:szCs w:val="1"/>
                <w:color w:val="auto"/>
              </w:rPr>
            </w:pPr>
          </w:p>
        </w:tc>
      </w:tr>
      <w:tr>
        <w:trPr>
          <w:trHeight w:val="138"/>
        </w:trPr>
        <w:tc>
          <w:tcPr>
            <w:tcW w:w="280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Performance Achievements</w:t>
            </w:r>
          </w:p>
        </w:tc>
        <w:tc>
          <w:tcPr>
            <w:tcW w:w="154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Non-financial measure</w:t>
            </w:r>
          </w:p>
        </w:tc>
        <w:tc>
          <w:tcPr>
            <w:tcW w:w="6960" w:type="dxa"/>
            <w:vAlign w:val="bottom"/>
            <w:tcBorders>
              <w:bottom w:val="single" w:sz="8" w:color="54585A"/>
            </w:tcBorders>
          </w:tcPr>
          <w:p>
            <w:pPr>
              <w:ind w:left="560"/>
              <w:spacing w:after="0"/>
              <w:rPr>
                <w:sz w:val="20"/>
                <w:szCs w:val="20"/>
                <w:color w:val="auto"/>
              </w:rPr>
            </w:pPr>
            <w:r>
              <w:rPr>
                <w:rFonts w:ascii="Arial" w:cs="Arial" w:eastAsia="Arial" w:hAnsi="Arial"/>
                <w:sz w:val="10"/>
                <w:szCs w:val="10"/>
                <w:color w:val="54585A"/>
              </w:rPr>
              <w:t>Obtaining predetermined non-financial goals or benchmarks for individual NEOs.</w:t>
            </w:r>
          </w:p>
        </w:tc>
        <w:tc>
          <w:tcPr>
            <w:tcW w:w="0" w:type="dxa"/>
            <w:vAlign w:val="bottom"/>
          </w:tcPr>
          <w:p>
            <w:pPr>
              <w:spacing w:after="0"/>
              <w:rPr>
                <w:sz w:val="1"/>
                <w:szCs w:val="1"/>
                <w:color w:val="auto"/>
              </w:rPr>
            </w:pPr>
          </w:p>
        </w:tc>
      </w:tr>
      <w:tr>
        <w:trPr>
          <w:trHeight w:val="555"/>
        </w:trPr>
        <w:tc>
          <w:tcPr>
            <w:tcW w:w="2800" w:type="dxa"/>
            <w:vAlign w:val="bottom"/>
          </w:tcPr>
          <w:p>
            <w:pPr>
              <w:spacing w:after="0"/>
              <w:rPr>
                <w:sz w:val="20"/>
                <w:szCs w:val="20"/>
                <w:color w:val="auto"/>
              </w:rPr>
            </w:pPr>
            <w:r>
              <w:rPr>
                <w:rFonts w:ascii="Arial" w:cs="Arial" w:eastAsia="Arial" w:hAnsi="Arial"/>
                <w:sz w:val="10"/>
                <w:szCs w:val="10"/>
                <w:color w:val="54585A"/>
              </w:rPr>
              <w:t xml:space="preserve">36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tc>
        <w:tc>
          <w:tcPr>
            <w:tcW w:w="1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6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-302260</wp:posOffset>
            </wp:positionV>
            <wp:extent cx="1714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54585A"/>
        </w:rPr>
        <w:t>2022 Pay Ratio</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54585A"/>
        </w:rPr>
        <w:t>The Dodd-Frank Act requires that we disclose the ratio of annual total compensation of Mr. Kagan, our CEO, to the annual total compensation of the median employee of Globalstar.</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54585A"/>
        </w:rPr>
        <w:t>For 2022, the total compensation for the median employee of Globalstar was $92,989. Mr. Kagan’s compensation from Globalstar, based on his total compensation as CEO, was $1,892,167 and, as such, the ratio is 1 to 20.</w:t>
      </w:r>
    </w:p>
    <w:p>
      <w:pPr>
        <w:spacing w:after="0" w:line="153" w:lineRule="exact"/>
        <w:rPr>
          <w:sz w:val="20"/>
          <w:szCs w:val="20"/>
          <w:color w:val="auto"/>
        </w:rPr>
      </w:pPr>
    </w:p>
    <w:p>
      <w:pPr>
        <w:ind w:right="60"/>
        <w:spacing w:after="0" w:line="326" w:lineRule="auto"/>
        <w:rPr>
          <w:sz w:val="20"/>
          <w:szCs w:val="20"/>
          <w:color w:val="auto"/>
        </w:rPr>
      </w:pPr>
      <w:r>
        <w:rPr>
          <w:rFonts w:ascii="Arial" w:cs="Arial" w:eastAsia="Arial" w:hAnsi="Arial"/>
          <w:sz w:val="11"/>
          <w:szCs w:val="11"/>
          <w:color w:val="54585A"/>
        </w:rPr>
        <w:t>The median employee was identified by reviewing the total cash base salary for all Globalstar employees, including its consolidated subsidiaries, on December 31, 2022. As of this date, we employed 328 individuals in 14 countries. Any salaries denominated in foreign currencies were translated to U.S. dollars at the corresponding exchange rate as of March 9, 2023.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97" w:lineRule="exact"/>
        <w:rPr>
          <w:sz w:val="20"/>
          <w:szCs w:val="20"/>
          <w:color w:val="auto"/>
        </w:rPr>
      </w:pPr>
    </w:p>
    <w:p>
      <w:pPr>
        <w:ind w:right="60"/>
        <w:spacing w:after="0" w:line="326" w:lineRule="auto"/>
        <w:rPr>
          <w:sz w:val="20"/>
          <w:szCs w:val="20"/>
          <w:color w:val="auto"/>
        </w:rPr>
      </w:pPr>
      <w:r>
        <w:rPr>
          <w:rFonts w:ascii="Arial" w:cs="Arial" w:eastAsia="Arial" w:hAnsi="Arial"/>
          <w:sz w:val="11"/>
          <w:szCs w:val="11"/>
          <w:color w:val="54585A"/>
        </w:rPr>
        <w:t>After identifying the median employee based on the criteria described above, the total compensation for this employee was calculated using the same methodology that was used in the 2022 Summary Compensation Table. Total compensation during 2022 for this employee includes base salary, accrued vacation as of December 31, 2022, matching contributions to the Company's 401(k) plan and premiums paid by Globalstar for life insurance. This employee was not granted a cash bonus or any equity awards during 2022.</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54585A"/>
        </w:rPr>
        <w:t>As a global telecommunications company, our workforce is diverse from full-time engineers and technical experts to part-time hourly customer care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1714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0" w:name="page41"/>
    <w:bookmarkEnd w:id="40"/>
    <w:p>
      <w:pPr>
        <w:ind w:left="68" w:hanging="68"/>
        <w:spacing w:after="0"/>
        <w:tabs>
          <w:tab w:leader="none" w:pos="68" w:val="left"/>
        </w:tabs>
        <w:numPr>
          <w:ilvl w:val="0"/>
          <w:numId w:val="66"/>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1800225" cy="4932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022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8"/>
        <w:spacing w:after="0"/>
        <w:rPr>
          <w:sz w:val="20"/>
          <w:szCs w:val="20"/>
          <w:color w:val="auto"/>
        </w:rPr>
      </w:pPr>
      <w:r>
        <w:rPr>
          <w:rFonts w:ascii="Arial" w:cs="Arial" w:eastAsia="Arial" w:hAnsi="Arial"/>
          <w:sz w:val="14"/>
          <w:szCs w:val="14"/>
          <w:b w:val="1"/>
          <w:bCs w:val="1"/>
          <w:color w:val="FFFFFF"/>
        </w:rPr>
        <w:t>Proposal Five</w:t>
      </w:r>
    </w:p>
    <w:p>
      <w:pPr>
        <w:spacing w:after="0" w:line="137" w:lineRule="exact"/>
        <w:rPr>
          <w:sz w:val="20"/>
          <w:szCs w:val="20"/>
          <w:color w:val="auto"/>
        </w:rPr>
      </w:pPr>
    </w:p>
    <w:p>
      <w:pPr>
        <w:ind w:left="448" w:right="40" w:hanging="100"/>
        <w:spacing w:after="0" w:line="331" w:lineRule="auto"/>
        <w:tabs>
          <w:tab w:leader="none" w:pos="407" w:val="left"/>
        </w:tabs>
        <w:numPr>
          <w:ilvl w:val="0"/>
          <w:numId w:val="67"/>
        </w:numPr>
        <w:rPr>
          <w:rFonts w:ascii="Arial" w:cs="Arial" w:eastAsia="Arial" w:hAnsi="Arial"/>
          <w:sz w:val="12"/>
          <w:szCs w:val="12"/>
          <w:b w:val="1"/>
          <w:bCs w:val="1"/>
          <w:color w:val="FFFFFF"/>
        </w:rPr>
      </w:pPr>
      <w:r>
        <w:rPr>
          <w:rFonts w:ascii="Arial" w:cs="Arial" w:eastAsia="Arial" w:hAnsi="Arial"/>
          <w:sz w:val="12"/>
          <w:szCs w:val="12"/>
          <w:color w:val="FFFFFF"/>
        </w:rPr>
        <w:t xml:space="preserve">The Strategic Review Committee of the and the Board recommend that stockholders vote </w:t>
      </w:r>
      <w:r>
        <w:rPr>
          <w:rFonts w:ascii="Arial" w:cs="Arial" w:eastAsia="Arial" w:hAnsi="Arial"/>
          <w:sz w:val="12"/>
          <w:szCs w:val="12"/>
          <w:b w:val="1"/>
          <w:bCs w:val="1"/>
          <w:color w:val="FFFFFF"/>
        </w:rPr>
        <w:t>FOR</w:t>
      </w:r>
      <w:r>
        <w:rPr>
          <w:rFonts w:ascii="Arial" w:cs="Arial" w:eastAsia="Arial" w:hAnsi="Arial"/>
          <w:sz w:val="12"/>
          <w:szCs w:val="12"/>
          <w:color w:val="FFFFFF"/>
        </w:rPr>
        <w:t xml:space="preserve"> the approval of the Thermo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54585A"/>
        </w:rPr>
        <w:t>Approval of Entry into Thermo Guaranty</w:t>
      </w:r>
    </w:p>
    <w:p>
      <w:pPr>
        <w:spacing w:after="0" w:line="155" w:lineRule="exact"/>
        <w:rPr>
          <w:sz w:val="20"/>
          <w:szCs w:val="20"/>
          <w:color w:val="auto"/>
        </w:rPr>
      </w:pPr>
    </w:p>
    <w:p>
      <w:pPr>
        <w:ind w:right="20"/>
        <w:spacing w:after="0" w:line="310" w:lineRule="auto"/>
        <w:rPr>
          <w:sz w:val="20"/>
          <w:szCs w:val="20"/>
          <w:color w:val="auto"/>
        </w:rPr>
      </w:pPr>
      <w:r>
        <w:rPr>
          <w:rFonts w:ascii="Arial" w:cs="Arial" w:eastAsia="Arial" w:hAnsi="Arial"/>
          <w:sz w:val="10"/>
          <w:szCs w:val="10"/>
          <w:color w:val="54585A"/>
        </w:rPr>
        <w:t>On February 27, 2023, the Company and its partner under the Partnership Agreements (the “Partner”) agreed to amend its previously disclosed Partnership Agreements to provide for, among other things, the Partner’s prepayment of $252 million to the Company (the “Prepayment”). The Company plans to use the proceeds of the Prepayment to pay amounts due under its previously disclosed Satellite Procurement Agreement (the “SPA”) with Macdonald, Dettwiler and Associates Corporation (“MDA”), as well as launch, insurance and ancillary costs incurred in connection with the construction and launch of these satellites. In connection with the foregoing, Thermo Funding II, LLC, a Thermo controlled affiliate, entered into a Secured Guaranty with the Partner directly, whereby Thermo agreed to guaranty to the Partner the Company’s Prepayment and certain other obligations related to the Partnership Agreements and the SPA (the “Guaranteed Obligations”). These agreements also provide for Thermo to guaranty these obligations directly in favor of the Company subject to, among other things, the approval of our stockholders other than Thermo. Accordingly, the Company proposes to enter into the Guaranty with Thermo, substantially in the form included in Appendix A attached hereto (the “Thermo Guaranty”). As previously disclosed, Mr. Monroe, our Executive Chairman and largest beneficial owner, controls Thermo.</w:t>
      </w:r>
    </w:p>
    <w:p>
      <w:pPr>
        <w:spacing w:after="0" w:line="108" w:lineRule="exact"/>
        <w:rPr>
          <w:sz w:val="20"/>
          <w:szCs w:val="20"/>
          <w:color w:val="auto"/>
        </w:rPr>
      </w:pPr>
    </w:p>
    <w:p>
      <w:pPr>
        <w:spacing w:after="0" w:line="314" w:lineRule="auto"/>
        <w:rPr>
          <w:sz w:val="20"/>
          <w:szCs w:val="20"/>
          <w:color w:val="auto"/>
        </w:rPr>
      </w:pPr>
      <w:r>
        <w:rPr>
          <w:rFonts w:ascii="Arial" w:cs="Arial" w:eastAsia="Arial" w:hAnsi="Arial"/>
          <w:sz w:val="10"/>
          <w:szCs w:val="10"/>
          <w:color w:val="54585A"/>
        </w:rPr>
        <w:t>Under the Thermo Guaranty, Thermo is obligated directly to the Company to make payments in respect of the Guaranteed Obligations if the Company fails to pay or otherwise does not make payment in respect of the Guaranteed Obligations to the Partner or MDA. Thermo is also required to comply with certain covenants, which include advancing funds to the Company to allow it to maintain compliance with its minimum liquidity covenant and maintenance of a minimum asset level in excess of the obligations guaranteed by Thermo. In the event Thermo is required to pay amounts to the Company in respect of the Guaranteed Obligations (each such amount, a “Guaranty Payment”), the Company will issue a number of shares of the Company’s common stock to Thermo equal to (i) the amount of the Guaranty Payment multiplied by (ii) the average of the five (5) trailing volume-weighted average prices of the common stock for the trading days immediately preceding the date of such Guaranty Payment.</w:t>
      </w:r>
    </w:p>
    <w:p>
      <w:pPr>
        <w:spacing w:after="0" w:line="96" w:lineRule="exact"/>
        <w:rPr>
          <w:sz w:val="20"/>
          <w:szCs w:val="20"/>
          <w:color w:val="auto"/>
        </w:rPr>
      </w:pPr>
    </w:p>
    <w:p>
      <w:pPr>
        <w:ind w:right="80"/>
        <w:spacing w:after="0" w:line="312" w:lineRule="auto"/>
        <w:rPr>
          <w:sz w:val="20"/>
          <w:szCs w:val="20"/>
          <w:color w:val="auto"/>
        </w:rPr>
      </w:pPr>
      <w:r>
        <w:rPr>
          <w:rFonts w:ascii="Arial" w:cs="Arial" w:eastAsia="Arial" w:hAnsi="Arial"/>
          <w:sz w:val="10"/>
          <w:szCs w:val="10"/>
          <w:color w:val="54585A"/>
        </w:rPr>
        <w:t>As consideration for Thermo guaranteeing the Guaranteed Obligations, the Company will issue to Thermo warrants to purchase 10,000,000 shares of the Company’s common stock (the “Warrants”) at an exercise price equal to the greater of (i) $2.00 and (ii) the closing price of the common stock on the trading day immediately preceding the date of stockholder approval of the Thermo Guaranty, substantially in the form included in Appendix A hereto. 5,000,000 Warrants vest immediately upon effectiveness of the Thermo Guaranty, and the remaining 5,000,000 Warrants vest if and when Thermo advances aggregate funds of $25,000,000 or more to the Company or a permitted third party pursuant to the terms of the Thermo Guaranty. The Warrants expire five (5) years after the date of issuance.</w:t>
      </w:r>
    </w:p>
    <w:p>
      <w:pPr>
        <w:spacing w:after="0" w:line="108" w:lineRule="exact"/>
        <w:rPr>
          <w:sz w:val="20"/>
          <w:szCs w:val="20"/>
          <w:color w:val="auto"/>
        </w:rPr>
      </w:pPr>
    </w:p>
    <w:p>
      <w:pPr>
        <w:ind w:right="60"/>
        <w:spacing w:after="0" w:line="312" w:lineRule="auto"/>
        <w:rPr>
          <w:sz w:val="20"/>
          <w:szCs w:val="20"/>
          <w:color w:val="auto"/>
        </w:rPr>
      </w:pPr>
      <w:r>
        <w:rPr>
          <w:rFonts w:ascii="Arial" w:cs="Arial" w:eastAsia="Arial" w:hAnsi="Arial"/>
          <w:sz w:val="10"/>
          <w:szCs w:val="10"/>
          <w:color w:val="54585A"/>
        </w:rPr>
        <w:t>The Thermo Guaranty, the Warrants and the related transactions between the Company and Thermo were negotiated, reviewed and approved by a special committee of independent directors constituted by our Strategic Review Committee and represented by independent counsel.</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Thermo Guaranty</w:t>
      </w:r>
    </w:p>
    <w:p>
      <w:pPr>
        <w:spacing w:after="0" w:line="72" w:lineRule="exact"/>
        <w:rPr>
          <w:sz w:val="20"/>
          <w:szCs w:val="20"/>
          <w:color w:val="auto"/>
        </w:rPr>
      </w:pPr>
    </w:p>
    <w:p>
      <w:pPr>
        <w:ind w:right="20"/>
        <w:spacing w:after="0" w:line="310" w:lineRule="auto"/>
        <w:rPr>
          <w:sz w:val="20"/>
          <w:szCs w:val="20"/>
          <w:color w:val="auto"/>
        </w:rPr>
      </w:pPr>
      <w:r>
        <w:rPr>
          <w:rFonts w:ascii="Arial" w:cs="Arial" w:eastAsia="Arial" w:hAnsi="Arial"/>
          <w:sz w:val="10"/>
          <w:szCs w:val="10"/>
          <w:color w:val="54585A"/>
        </w:rPr>
        <w:t>Because the Thermo Guaranty and the Warrants provide for a transaction between Thermo, on one hand, and the Company, on the other, which has a value greater than $5 million, as determined by the Company’s Strategic Review Committee, it is a Related Party Transaction under our Certificate of Incorporation. Under our Certificate of Incorporation, Related Party Transactions must be approved by the affirmative vote of a majority of shares of common stock of the Company owned by stockholders other than Thermo and voting affirmatively or negatively on the matter.</w:t>
      </w:r>
    </w:p>
    <w:p>
      <w:pPr>
        <w:spacing w:after="0" w:line="108" w:lineRule="exact"/>
        <w:rPr>
          <w:sz w:val="20"/>
          <w:szCs w:val="20"/>
          <w:color w:val="auto"/>
        </w:rPr>
      </w:pPr>
    </w:p>
    <w:p>
      <w:pPr>
        <w:ind w:right="40"/>
        <w:spacing w:after="0" w:line="312" w:lineRule="auto"/>
        <w:rPr>
          <w:sz w:val="20"/>
          <w:szCs w:val="20"/>
          <w:color w:val="auto"/>
        </w:rPr>
      </w:pPr>
      <w:r>
        <w:rPr>
          <w:rFonts w:ascii="Arial" w:cs="Arial" w:eastAsia="Arial" w:hAnsi="Arial"/>
          <w:sz w:val="10"/>
          <w:szCs w:val="10"/>
          <w:color w:val="54585A"/>
        </w:rPr>
        <w:t>Accordingly, the affirmative vote of the holders of a majority of the shares of common stock other than Thermo represented, in person or by proxy, and entitled to vote at the meeting is required to approve this Proposal No. 5. Thermo is not eligible to vote 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2279650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2000885</wp:posOffset>
            </wp:positionV>
            <wp:extent cx="1714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2">
            <w:col w:w="2408" w:space="720"/>
            <w:col w:w="8140"/>
          </w:cols>
          <w:pgMar w:left="292" w:top="156" w:right="339" w:bottom="1440" w:gutter="0" w:footer="0" w:header="0"/>
        </w:sectPr>
      </w:pPr>
    </w:p>
    <w:bookmarkStart w:id="41" w:name="page42"/>
    <w:bookmarkEnd w:id="41"/>
    <w:p>
      <w:pPr>
        <w:ind w:left="8548"/>
        <w:spacing w:after="0"/>
        <w:rPr>
          <w:sz w:val="20"/>
          <w:szCs w:val="20"/>
          <w:color w:val="auto"/>
        </w:rPr>
      </w:pPr>
      <w:r>
        <w:rPr>
          <w:rFonts w:ascii="Arial" w:cs="Arial" w:eastAsia="Arial" w:hAnsi="Arial"/>
          <w:sz w:val="9"/>
          <w:szCs w:val="9"/>
          <w:color w:val="54585A"/>
        </w:rPr>
        <w:t xml:space="preserve">Security Ownership of Principal Stockholders and Management </w:t>
      </w:r>
      <w:r>
        <w:rPr>
          <w:rFonts w:ascii="Arial" w:cs="Arial" w:eastAsia="Arial" w:hAnsi="Arial"/>
          <w:sz w:val="10"/>
          <w:szCs w:val="10"/>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
        <w:spacing w:after="0"/>
        <w:rPr>
          <w:sz w:val="20"/>
          <w:szCs w:val="20"/>
          <w:color w:val="auto"/>
        </w:rPr>
      </w:pPr>
      <w:r>
        <w:rPr>
          <w:rFonts w:ascii="Arial" w:cs="Arial" w:eastAsia="Arial" w:hAnsi="Arial"/>
          <w:sz w:val="36"/>
          <w:szCs w:val="36"/>
          <w:color w:val="EB6C10"/>
        </w:rPr>
        <w:t>Security Ownership of Principal Stockholders and Management</w:t>
      </w:r>
    </w:p>
    <w:p>
      <w:pPr>
        <w:spacing w:after="0" w:line="211" w:lineRule="exact"/>
        <w:rPr>
          <w:sz w:val="20"/>
          <w:szCs w:val="20"/>
          <w:color w:val="auto"/>
        </w:rPr>
      </w:pPr>
    </w:p>
    <w:p>
      <w:pPr>
        <w:ind w:left="8" w:right="160"/>
        <w:spacing w:after="0" w:line="326" w:lineRule="auto"/>
        <w:rPr>
          <w:sz w:val="20"/>
          <w:szCs w:val="20"/>
          <w:color w:val="auto"/>
        </w:rPr>
      </w:pPr>
      <w:r>
        <w:rPr>
          <w:rFonts w:ascii="Arial" w:cs="Arial" w:eastAsia="Arial" w:hAnsi="Arial"/>
          <w:sz w:val="11"/>
          <w:szCs w:val="11"/>
          <w:color w:val="54585A"/>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May 1, 2023 based upon 1,813,134,974 shares of common stock outstanding as of that date. Holders of our common stock are entitled to one vote per share.</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620" w:type="dxa"/>
            <w:vAlign w:val="bottom"/>
            <w:shd w:val="clear" w:color="auto" w:fill="EEEDED"/>
          </w:tcPr>
          <w:p>
            <w:pPr>
              <w:spacing w:after="0"/>
              <w:rPr>
                <w:sz w:val="10"/>
                <w:szCs w:val="10"/>
                <w:color w:val="auto"/>
              </w:rPr>
            </w:pPr>
          </w:p>
        </w:tc>
        <w:tc>
          <w:tcPr>
            <w:tcW w:w="1260" w:type="dxa"/>
            <w:vAlign w:val="bottom"/>
            <w:shd w:val="clear" w:color="auto" w:fill="EEEDED"/>
          </w:tcPr>
          <w:p>
            <w:pPr>
              <w:spacing w:after="0"/>
              <w:rPr>
                <w:sz w:val="10"/>
                <w:szCs w:val="10"/>
                <w:color w:val="auto"/>
              </w:rPr>
            </w:pPr>
          </w:p>
        </w:tc>
        <w:tc>
          <w:tcPr>
            <w:tcW w:w="2420" w:type="dxa"/>
            <w:vAlign w:val="bottom"/>
            <w:gridSpan w:val="2"/>
            <w:shd w:val="clear" w:color="auto" w:fill="EEEDED"/>
          </w:tcPr>
          <w:p>
            <w:pPr>
              <w:jc w:val="center"/>
              <w:ind w:right="1232"/>
              <w:spacing w:after="0"/>
              <w:rPr>
                <w:sz w:val="20"/>
                <w:szCs w:val="20"/>
                <w:color w:val="auto"/>
              </w:rPr>
            </w:pPr>
            <w:r>
              <w:rPr>
                <w:rFonts w:ascii="Arial" w:cs="Arial" w:eastAsia="Arial" w:hAnsi="Arial"/>
                <w:sz w:val="10"/>
                <w:szCs w:val="10"/>
                <w:b w:val="1"/>
                <w:bCs w:val="1"/>
                <w:color w:val="54585A"/>
                <w:w w:val="96"/>
              </w:rPr>
              <w:t>Amount and Nature</w:t>
            </w:r>
          </w:p>
        </w:tc>
        <w:tc>
          <w:tcPr>
            <w:tcW w:w="0" w:type="dxa"/>
            <w:vAlign w:val="bottom"/>
          </w:tcPr>
          <w:p>
            <w:pPr>
              <w:spacing w:after="0"/>
              <w:rPr>
                <w:sz w:val="1"/>
                <w:szCs w:val="1"/>
                <w:color w:val="auto"/>
              </w:rPr>
            </w:pPr>
          </w:p>
        </w:tc>
      </w:tr>
      <w:tr>
        <w:trPr>
          <w:trHeight w:val="134"/>
        </w:trPr>
        <w:tc>
          <w:tcPr>
            <w:tcW w:w="7620" w:type="dxa"/>
            <w:vAlign w:val="bottom"/>
            <w:tcBorders>
              <w:bottom w:val="single" w:sz="8" w:color="EEEDED"/>
            </w:tcBorders>
            <w:shd w:val="clear" w:color="auto" w:fill="EEEDED"/>
          </w:tcPr>
          <w:p>
            <w:pPr>
              <w:spacing w:after="0"/>
              <w:rPr>
                <w:sz w:val="11"/>
                <w:szCs w:val="11"/>
                <w:color w:val="auto"/>
              </w:rPr>
            </w:pPr>
          </w:p>
        </w:tc>
        <w:tc>
          <w:tcPr>
            <w:tcW w:w="1260" w:type="dxa"/>
            <w:vAlign w:val="bottom"/>
            <w:tcBorders>
              <w:bottom w:val="single" w:sz="8" w:color="54585A"/>
            </w:tcBorders>
            <w:shd w:val="clear" w:color="auto" w:fill="EEEDED"/>
          </w:tcPr>
          <w:p>
            <w:pPr>
              <w:spacing w:after="0"/>
              <w:rPr>
                <w:sz w:val="11"/>
                <w:szCs w:val="11"/>
                <w:color w:val="auto"/>
              </w:rPr>
            </w:pPr>
          </w:p>
        </w:tc>
        <w:tc>
          <w:tcPr>
            <w:tcW w:w="2420" w:type="dxa"/>
            <w:vAlign w:val="bottom"/>
            <w:tcBorders>
              <w:bottom w:val="single" w:sz="8" w:color="54585A"/>
            </w:tcBorders>
            <w:gridSpan w:val="2"/>
            <w:shd w:val="clear" w:color="auto" w:fill="EEEDED"/>
          </w:tcPr>
          <w:p>
            <w:pPr>
              <w:jc w:val="center"/>
              <w:ind w:right="1232"/>
              <w:spacing w:after="0"/>
              <w:rPr>
                <w:sz w:val="20"/>
                <w:szCs w:val="20"/>
                <w:color w:val="auto"/>
              </w:rPr>
            </w:pPr>
            <w:r>
              <w:rPr>
                <w:rFonts w:ascii="Arial" w:cs="Arial" w:eastAsia="Arial" w:hAnsi="Arial"/>
                <w:sz w:val="10"/>
                <w:szCs w:val="10"/>
                <w:b w:val="1"/>
                <w:bCs w:val="1"/>
                <w:color w:val="54585A"/>
                <w:w w:val="96"/>
              </w:rPr>
              <w:t>of Beneficial Ownership</w:t>
            </w:r>
          </w:p>
        </w:tc>
        <w:tc>
          <w:tcPr>
            <w:tcW w:w="0" w:type="dxa"/>
            <w:vAlign w:val="bottom"/>
          </w:tcPr>
          <w:p>
            <w:pPr>
              <w:spacing w:after="0"/>
              <w:rPr>
                <w:sz w:val="1"/>
                <w:szCs w:val="1"/>
                <w:color w:val="auto"/>
              </w:rPr>
            </w:pPr>
          </w:p>
        </w:tc>
      </w:tr>
      <w:tr>
        <w:trPr>
          <w:trHeight w:val="138"/>
        </w:trPr>
        <w:tc>
          <w:tcPr>
            <w:tcW w:w="7620" w:type="dxa"/>
            <w:vAlign w:val="bottom"/>
            <w:tcBorders>
              <w:bottom w:val="single" w:sz="8" w:color="EEEDED"/>
            </w:tcBorders>
            <w:shd w:val="clear" w:color="auto" w:fill="EEEDED"/>
          </w:tcPr>
          <w:p>
            <w:pPr>
              <w:spacing w:after="0"/>
              <w:rPr>
                <w:sz w:val="11"/>
                <w:szCs w:val="11"/>
                <w:color w:val="auto"/>
              </w:rPr>
            </w:pPr>
          </w:p>
        </w:tc>
        <w:tc>
          <w:tcPr>
            <w:tcW w:w="1260" w:type="dxa"/>
            <w:vAlign w:val="bottom"/>
            <w:tcBorders>
              <w:bottom w:val="single" w:sz="8" w:color="54585A"/>
            </w:tcBorders>
            <w:shd w:val="clear" w:color="auto" w:fill="EEEDED"/>
          </w:tcPr>
          <w:p>
            <w:pPr>
              <w:spacing w:after="0"/>
              <w:rPr>
                <w:sz w:val="11"/>
                <w:szCs w:val="11"/>
                <w:color w:val="auto"/>
              </w:rPr>
            </w:pPr>
          </w:p>
        </w:tc>
        <w:tc>
          <w:tcPr>
            <w:tcW w:w="2420" w:type="dxa"/>
            <w:vAlign w:val="bottom"/>
            <w:tcBorders>
              <w:bottom w:val="single" w:sz="8" w:color="54585A"/>
            </w:tcBorders>
            <w:gridSpan w:val="2"/>
            <w:shd w:val="clear" w:color="auto" w:fill="EEEDED"/>
          </w:tcPr>
          <w:p>
            <w:pPr>
              <w:jc w:val="center"/>
              <w:ind w:right="1232"/>
              <w:spacing w:after="0"/>
              <w:rPr>
                <w:sz w:val="20"/>
                <w:szCs w:val="20"/>
                <w:color w:val="auto"/>
              </w:rPr>
            </w:pPr>
            <w:r>
              <w:rPr>
                <w:rFonts w:ascii="Arial" w:cs="Arial" w:eastAsia="Arial" w:hAnsi="Arial"/>
                <w:sz w:val="10"/>
                <w:szCs w:val="10"/>
                <w:b w:val="1"/>
                <w:bCs w:val="1"/>
                <w:color w:val="54585A"/>
                <w:w w:val="95"/>
              </w:rPr>
              <w:t>Common Stock</w:t>
            </w:r>
          </w:p>
        </w:tc>
        <w:tc>
          <w:tcPr>
            <w:tcW w:w="0" w:type="dxa"/>
            <w:vAlign w:val="bottom"/>
          </w:tcPr>
          <w:p>
            <w:pPr>
              <w:spacing w:after="0"/>
              <w:rPr>
                <w:sz w:val="1"/>
                <w:szCs w:val="1"/>
                <w:color w:val="auto"/>
              </w:rPr>
            </w:pPr>
          </w:p>
        </w:tc>
      </w:tr>
      <w:tr>
        <w:trPr>
          <w:trHeight w:val="147"/>
        </w:trPr>
        <w:tc>
          <w:tcPr>
            <w:tcW w:w="76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 of Beneficial Owner</w:t>
            </w:r>
            <w:r>
              <w:rPr>
                <w:rFonts w:ascii="Arial" w:cs="Arial" w:eastAsia="Arial" w:hAnsi="Arial"/>
                <w:sz w:val="12"/>
                <w:szCs w:val="12"/>
                <w:b w:val="1"/>
                <w:bCs w:val="1"/>
                <w:color w:val="54585A"/>
                <w:vertAlign w:val="superscript"/>
              </w:rPr>
              <w:t>(1)</w:t>
            </w:r>
          </w:p>
        </w:tc>
        <w:tc>
          <w:tcPr>
            <w:tcW w:w="1260" w:type="dxa"/>
            <w:vAlign w:val="bottom"/>
            <w:shd w:val="clear" w:color="auto" w:fill="EEEDED"/>
          </w:tcPr>
          <w:p>
            <w:pPr>
              <w:ind w:left="760"/>
              <w:spacing w:after="0"/>
              <w:rPr>
                <w:sz w:val="20"/>
                <w:szCs w:val="20"/>
                <w:color w:val="auto"/>
              </w:rPr>
            </w:pPr>
            <w:r>
              <w:rPr>
                <w:rFonts w:ascii="Arial" w:cs="Arial" w:eastAsia="Arial" w:hAnsi="Arial"/>
                <w:sz w:val="10"/>
                <w:szCs w:val="10"/>
                <w:b w:val="1"/>
                <w:bCs w:val="1"/>
                <w:color w:val="54585A"/>
              </w:rPr>
              <w:t>Shares</w:t>
            </w:r>
          </w:p>
        </w:tc>
        <w:tc>
          <w:tcPr>
            <w:tcW w:w="600" w:type="dxa"/>
            <w:vAlign w:val="bottom"/>
            <w:tcBorders>
              <w:right w:val="single" w:sz="8" w:color="54585A"/>
            </w:tcBorders>
            <w:shd w:val="clear" w:color="auto" w:fill="EEEDED"/>
          </w:tcPr>
          <w:p>
            <w:pPr>
              <w:spacing w:after="0"/>
              <w:rPr>
                <w:sz w:val="12"/>
                <w:szCs w:val="12"/>
                <w:color w:val="auto"/>
              </w:rPr>
            </w:pPr>
          </w:p>
        </w:tc>
        <w:tc>
          <w:tcPr>
            <w:tcW w:w="1820" w:type="dxa"/>
            <w:vAlign w:val="bottom"/>
            <w:shd w:val="clear" w:color="auto" w:fill="EEEDED"/>
          </w:tcPr>
          <w:p>
            <w:pPr>
              <w:ind w:left="520"/>
              <w:spacing w:after="0"/>
              <w:rPr>
                <w:sz w:val="20"/>
                <w:szCs w:val="20"/>
                <w:color w:val="auto"/>
              </w:rPr>
            </w:pPr>
            <w:r>
              <w:rPr>
                <w:rFonts w:ascii="Arial" w:cs="Arial" w:eastAsia="Arial" w:hAnsi="Arial"/>
                <w:sz w:val="10"/>
                <w:szCs w:val="10"/>
                <w:b w:val="1"/>
                <w:bCs w:val="1"/>
                <w:color w:val="54585A"/>
              </w:rPr>
              <w:t>Percent of Class</w:t>
            </w:r>
          </w:p>
        </w:tc>
        <w:tc>
          <w:tcPr>
            <w:tcW w:w="0" w:type="dxa"/>
            <w:vAlign w:val="bottom"/>
          </w:tcPr>
          <w:p>
            <w:pPr>
              <w:spacing w:after="0"/>
              <w:rPr>
                <w:sz w:val="1"/>
                <w:szCs w:val="1"/>
                <w:color w:val="auto"/>
              </w:rPr>
            </w:pPr>
          </w:p>
        </w:tc>
      </w:tr>
      <w:tr>
        <w:trPr>
          <w:trHeight w:val="63"/>
        </w:trPr>
        <w:tc>
          <w:tcPr>
            <w:tcW w:w="7620" w:type="dxa"/>
            <w:vAlign w:val="bottom"/>
            <w:shd w:val="clear" w:color="auto" w:fill="EEEDED"/>
          </w:tcPr>
          <w:p>
            <w:pPr>
              <w:spacing w:after="0"/>
              <w:rPr>
                <w:sz w:val="5"/>
                <w:szCs w:val="5"/>
                <w:color w:val="auto"/>
              </w:rPr>
            </w:pPr>
          </w:p>
        </w:tc>
        <w:tc>
          <w:tcPr>
            <w:tcW w:w="1260" w:type="dxa"/>
            <w:vAlign w:val="bottom"/>
            <w:shd w:val="clear" w:color="auto" w:fill="EEEDED"/>
          </w:tcPr>
          <w:p>
            <w:pPr>
              <w:spacing w:after="0"/>
              <w:rPr>
                <w:sz w:val="5"/>
                <w:szCs w:val="5"/>
                <w:color w:val="auto"/>
              </w:rPr>
            </w:pPr>
          </w:p>
        </w:tc>
        <w:tc>
          <w:tcPr>
            <w:tcW w:w="600" w:type="dxa"/>
            <w:vAlign w:val="bottom"/>
            <w:tcBorders>
              <w:right w:val="single" w:sz="8" w:color="54585A"/>
            </w:tcBorders>
            <w:shd w:val="clear" w:color="auto" w:fill="EEEDED"/>
          </w:tcPr>
          <w:p>
            <w:pPr>
              <w:spacing w:after="0"/>
              <w:rPr>
                <w:sz w:val="5"/>
                <w:szCs w:val="5"/>
                <w:color w:val="auto"/>
              </w:rPr>
            </w:pPr>
          </w:p>
        </w:tc>
        <w:tc>
          <w:tcPr>
            <w:tcW w:w="18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7620" w:type="dxa"/>
            <w:vAlign w:val="bottom"/>
          </w:tcPr>
          <w:p>
            <w:pPr>
              <w:ind w:left="60"/>
              <w:spacing w:after="0" w:line="124" w:lineRule="exact"/>
              <w:rPr>
                <w:sz w:val="20"/>
                <w:szCs w:val="20"/>
                <w:color w:val="auto"/>
              </w:rPr>
            </w:pPr>
            <w:r>
              <w:rPr>
                <w:rFonts w:ascii="Arial" w:cs="Arial" w:eastAsia="Arial" w:hAnsi="Arial"/>
                <w:sz w:val="10"/>
                <w:szCs w:val="10"/>
                <w:b w:val="1"/>
                <w:bCs w:val="1"/>
                <w:color w:val="EB6C10"/>
              </w:rPr>
              <w:t>James Monroe III</w:t>
            </w:r>
            <w:r>
              <w:rPr>
                <w:rFonts w:ascii="Arial" w:cs="Arial" w:eastAsia="Arial" w:hAnsi="Arial"/>
                <w:sz w:val="12"/>
                <w:szCs w:val="12"/>
                <w:b w:val="1"/>
                <w:bCs w:val="1"/>
                <w:color w:val="EB6C10"/>
                <w:vertAlign w:val="superscript"/>
              </w:rPr>
              <w:t>(2)</w:t>
            </w:r>
          </w:p>
        </w:tc>
        <w:tc>
          <w:tcPr>
            <w:tcW w:w="1260" w:type="dxa"/>
            <w:vAlign w:val="bottom"/>
          </w:tcPr>
          <w:p>
            <w:pPr>
              <w:spacing w:after="0"/>
              <w:rPr>
                <w:sz w:val="10"/>
                <w:szCs w:val="10"/>
                <w:color w:val="auto"/>
              </w:rPr>
            </w:pPr>
          </w:p>
        </w:tc>
        <w:tc>
          <w:tcPr>
            <w:tcW w:w="600" w:type="dxa"/>
            <w:vAlign w:val="bottom"/>
            <w:tcBorders>
              <w:right w:val="single" w:sz="8" w:color="54585A"/>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20" w:type="dxa"/>
            <w:vAlign w:val="bottom"/>
          </w:tcPr>
          <w:p>
            <w:pPr>
              <w:ind w:left="120"/>
              <w:spacing w:after="0"/>
              <w:rPr>
                <w:sz w:val="20"/>
                <w:szCs w:val="20"/>
                <w:color w:val="auto"/>
              </w:rPr>
            </w:pPr>
            <w:r>
              <w:rPr>
                <w:rFonts w:ascii="Arial" w:cs="Arial" w:eastAsia="Arial" w:hAnsi="Arial"/>
                <w:sz w:val="10"/>
                <w:szCs w:val="10"/>
                <w:color w:val="54585A"/>
              </w:rPr>
              <w:t>FL Investment Holdings, LLC</w:t>
            </w:r>
          </w:p>
        </w:tc>
        <w:tc>
          <w:tcPr>
            <w:tcW w:w="1260" w:type="dxa"/>
            <w:vAlign w:val="bottom"/>
          </w:tcPr>
          <w:p>
            <w:pPr>
              <w:spacing w:after="0"/>
              <w:rPr>
                <w:sz w:val="10"/>
                <w:szCs w:val="10"/>
                <w:color w:val="auto"/>
              </w:rPr>
            </w:pPr>
          </w:p>
        </w:tc>
        <w:tc>
          <w:tcPr>
            <w:tcW w:w="600" w:type="dxa"/>
            <w:vAlign w:val="bottom"/>
            <w:tcBorders>
              <w:right w:val="single" w:sz="8" w:color="54585A"/>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20" w:type="dxa"/>
            <w:vAlign w:val="bottom"/>
          </w:tcPr>
          <w:p>
            <w:pPr>
              <w:ind w:left="120"/>
              <w:spacing w:after="0"/>
              <w:rPr>
                <w:sz w:val="20"/>
                <w:szCs w:val="20"/>
                <w:color w:val="auto"/>
              </w:rPr>
            </w:pPr>
            <w:r>
              <w:rPr>
                <w:rFonts w:ascii="Arial" w:cs="Arial" w:eastAsia="Arial" w:hAnsi="Arial"/>
                <w:sz w:val="10"/>
                <w:szCs w:val="10"/>
                <w:color w:val="54585A"/>
              </w:rPr>
              <w:t>Thermo Funding Company, LLC</w:t>
            </w:r>
          </w:p>
        </w:tc>
        <w:tc>
          <w:tcPr>
            <w:tcW w:w="1260" w:type="dxa"/>
            <w:vAlign w:val="bottom"/>
            <w:vMerge w:val="restart"/>
          </w:tcPr>
          <w:p>
            <w:pPr>
              <w:jc w:val="center"/>
              <w:ind w:left="512"/>
              <w:spacing w:after="0"/>
              <w:rPr>
                <w:sz w:val="20"/>
                <w:szCs w:val="20"/>
                <w:color w:val="auto"/>
              </w:rPr>
            </w:pPr>
            <w:r>
              <w:rPr>
                <w:rFonts w:ascii="Arial" w:cs="Arial" w:eastAsia="Arial" w:hAnsi="Arial"/>
                <w:sz w:val="10"/>
                <w:szCs w:val="10"/>
                <w:color w:val="54585A"/>
                <w:w w:val="96"/>
              </w:rPr>
              <w:t>1,078,157,992</w:t>
            </w:r>
          </w:p>
        </w:tc>
        <w:tc>
          <w:tcPr>
            <w:tcW w:w="600" w:type="dxa"/>
            <w:vAlign w:val="bottom"/>
            <w:tcBorders>
              <w:right w:val="single" w:sz="8" w:color="54585A"/>
            </w:tcBorders>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w w:val="99"/>
              </w:rPr>
              <w:t>59%</w:t>
            </w:r>
          </w:p>
        </w:tc>
        <w:tc>
          <w:tcPr>
            <w:tcW w:w="0" w:type="dxa"/>
            <w:vAlign w:val="bottom"/>
          </w:tcPr>
          <w:p>
            <w:pPr>
              <w:spacing w:after="0"/>
              <w:rPr>
                <w:sz w:val="1"/>
                <w:szCs w:val="1"/>
                <w:color w:val="auto"/>
              </w:rPr>
            </w:pPr>
          </w:p>
        </w:tc>
      </w:tr>
      <w:tr>
        <w:trPr>
          <w:trHeight w:val="67"/>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Funding II LLC</w:t>
            </w:r>
          </w:p>
        </w:tc>
        <w:tc>
          <w:tcPr>
            <w:tcW w:w="1260" w:type="dxa"/>
            <w:vAlign w:val="bottom"/>
            <w:vMerge w:val="continue"/>
          </w:tcPr>
          <w:p>
            <w:pPr>
              <w:spacing w:after="0"/>
              <w:rPr>
                <w:sz w:val="5"/>
                <w:szCs w:val="5"/>
                <w:color w:val="auto"/>
              </w:rPr>
            </w:pPr>
          </w:p>
        </w:tc>
        <w:tc>
          <w:tcPr>
            <w:tcW w:w="600" w:type="dxa"/>
            <w:vAlign w:val="bottom"/>
            <w:tcBorders>
              <w:right w:val="single" w:sz="8" w:color="54585A"/>
            </w:tcBorders>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762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right w:val="single" w:sz="8" w:color="54585A"/>
            </w:tcBorders>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620" w:type="dxa"/>
            <w:vAlign w:val="bottom"/>
          </w:tcPr>
          <w:p>
            <w:pPr>
              <w:ind w:left="120"/>
              <w:spacing w:after="0"/>
              <w:rPr>
                <w:sz w:val="20"/>
                <w:szCs w:val="20"/>
                <w:color w:val="auto"/>
              </w:rPr>
            </w:pPr>
            <w:r>
              <w:rPr>
                <w:rFonts w:ascii="Arial" w:cs="Arial" w:eastAsia="Arial" w:hAnsi="Arial"/>
                <w:sz w:val="10"/>
                <w:szCs w:val="10"/>
                <w:color w:val="54585A"/>
              </w:rPr>
              <w:t>Globalstar Satellite, L.P.</w:t>
            </w:r>
          </w:p>
        </w:tc>
        <w:tc>
          <w:tcPr>
            <w:tcW w:w="1260" w:type="dxa"/>
            <w:vAlign w:val="bottom"/>
          </w:tcPr>
          <w:p>
            <w:pPr>
              <w:spacing w:after="0"/>
              <w:rPr>
                <w:sz w:val="10"/>
                <w:szCs w:val="10"/>
                <w:color w:val="auto"/>
              </w:rPr>
            </w:pPr>
          </w:p>
        </w:tc>
        <w:tc>
          <w:tcPr>
            <w:tcW w:w="600" w:type="dxa"/>
            <w:vAlign w:val="bottom"/>
            <w:tcBorders>
              <w:right w:val="single" w:sz="8" w:color="54585A"/>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20" w:type="dxa"/>
            <w:vAlign w:val="bottom"/>
            <w:tcBorders>
              <w:bottom w:val="single" w:sz="8" w:color="54585A"/>
            </w:tcBorders>
          </w:tcPr>
          <w:p>
            <w:pPr>
              <w:ind w:left="120"/>
              <w:spacing w:after="0"/>
              <w:rPr>
                <w:sz w:val="20"/>
                <w:szCs w:val="20"/>
                <w:color w:val="auto"/>
              </w:rPr>
            </w:pPr>
            <w:r>
              <w:rPr>
                <w:rFonts w:ascii="Arial" w:cs="Arial" w:eastAsia="Arial" w:hAnsi="Arial"/>
                <w:sz w:val="10"/>
                <w:szCs w:val="10"/>
                <w:color w:val="54585A"/>
              </w:rPr>
              <w:t>Monroe Irr. Educational Trust</w:t>
            </w:r>
          </w:p>
        </w:tc>
        <w:tc>
          <w:tcPr>
            <w:tcW w:w="1260" w:type="dxa"/>
            <w:vAlign w:val="bottom"/>
            <w:tcBorders>
              <w:bottom w:val="single" w:sz="8" w:color="54585A"/>
            </w:tcBorders>
          </w:tcPr>
          <w:p>
            <w:pPr>
              <w:spacing w:after="0"/>
              <w:rPr>
                <w:sz w:val="10"/>
                <w:szCs w:val="10"/>
                <w:color w:val="auto"/>
              </w:rPr>
            </w:pPr>
          </w:p>
        </w:tc>
        <w:tc>
          <w:tcPr>
            <w:tcW w:w="600" w:type="dxa"/>
            <w:vAlign w:val="bottom"/>
            <w:tcBorders>
              <w:bottom w:val="single" w:sz="8" w:color="54585A"/>
              <w:right w:val="single" w:sz="8" w:color="54585A"/>
            </w:tcBorders>
          </w:tcPr>
          <w:p>
            <w:pPr>
              <w:spacing w:after="0"/>
              <w:rPr>
                <w:sz w:val="10"/>
                <w:szCs w:val="10"/>
                <w:color w:val="auto"/>
              </w:rPr>
            </w:pPr>
          </w:p>
        </w:tc>
        <w:tc>
          <w:tcPr>
            <w:tcW w:w="18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20" w:type="dxa"/>
            <w:vAlign w:val="bottom"/>
          </w:tcPr>
          <w:p>
            <w:pPr>
              <w:ind w:left="60"/>
              <w:spacing w:after="0"/>
              <w:rPr>
                <w:sz w:val="20"/>
                <w:szCs w:val="20"/>
                <w:color w:val="auto"/>
              </w:rPr>
            </w:pPr>
            <w:r>
              <w:rPr>
                <w:rFonts w:ascii="Arial" w:cs="Arial" w:eastAsia="Arial" w:hAnsi="Arial"/>
                <w:sz w:val="10"/>
                <w:szCs w:val="10"/>
                <w:b w:val="1"/>
                <w:bCs w:val="1"/>
                <w:color w:val="EB6C10"/>
              </w:rPr>
              <w:t>Timothy E. Taylor</w:t>
            </w:r>
            <w:r>
              <w:rPr>
                <w:rFonts w:ascii="Arial" w:cs="Arial" w:eastAsia="Arial" w:hAnsi="Arial"/>
                <w:sz w:val="6"/>
                <w:szCs w:val="6"/>
                <w:b w:val="1"/>
                <w:bCs w:val="1"/>
                <w:color w:val="EB6C10"/>
              </w:rPr>
              <w:t>(3)</w:t>
            </w:r>
          </w:p>
        </w:tc>
        <w:tc>
          <w:tcPr>
            <w:tcW w:w="1260" w:type="dxa"/>
            <w:vAlign w:val="bottom"/>
            <w:vMerge w:val="restart"/>
          </w:tcPr>
          <w:p>
            <w:pPr>
              <w:jc w:val="center"/>
              <w:ind w:left="532"/>
              <w:spacing w:after="0"/>
              <w:rPr>
                <w:sz w:val="20"/>
                <w:szCs w:val="20"/>
                <w:color w:val="auto"/>
              </w:rPr>
            </w:pPr>
            <w:r>
              <w:rPr>
                <w:rFonts w:ascii="Arial" w:cs="Arial" w:eastAsia="Arial" w:hAnsi="Arial"/>
                <w:sz w:val="10"/>
                <w:szCs w:val="10"/>
                <w:color w:val="54585A"/>
                <w:w w:val="95"/>
              </w:rPr>
              <w:t>14,938,402</w:t>
            </w:r>
          </w:p>
        </w:tc>
        <w:tc>
          <w:tcPr>
            <w:tcW w:w="600" w:type="dxa"/>
            <w:vAlign w:val="bottom"/>
            <w:tcBorders>
              <w:right w:val="single" w:sz="8" w:color="54585A"/>
            </w:tcBorders>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67"/>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Investments III LLC</w:t>
            </w:r>
          </w:p>
        </w:tc>
        <w:tc>
          <w:tcPr>
            <w:tcW w:w="1260" w:type="dxa"/>
            <w:vAlign w:val="bottom"/>
            <w:vMerge w:val="continue"/>
          </w:tcPr>
          <w:p>
            <w:pPr>
              <w:spacing w:after="0"/>
              <w:rPr>
                <w:sz w:val="5"/>
                <w:szCs w:val="5"/>
                <w:color w:val="auto"/>
              </w:rPr>
            </w:pPr>
          </w:p>
        </w:tc>
        <w:tc>
          <w:tcPr>
            <w:tcW w:w="600" w:type="dxa"/>
            <w:vAlign w:val="bottom"/>
            <w:tcBorders>
              <w:right w:val="single" w:sz="8" w:color="54585A"/>
            </w:tcBorders>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7620" w:type="dxa"/>
            <w:vAlign w:val="bottom"/>
            <w:tcBorders>
              <w:bottom w:val="single" w:sz="8" w:color="54585A"/>
            </w:tcBorders>
            <w:vMerge w:val="continue"/>
          </w:tcPr>
          <w:p>
            <w:pPr>
              <w:spacing w:after="0"/>
              <w:rPr>
                <w:sz w:val="5"/>
                <w:szCs w:val="5"/>
                <w:color w:val="auto"/>
              </w:rPr>
            </w:pPr>
          </w:p>
        </w:tc>
        <w:tc>
          <w:tcPr>
            <w:tcW w:w="1260" w:type="dxa"/>
            <w:vAlign w:val="bottom"/>
            <w:tcBorders>
              <w:bottom w:val="single" w:sz="8" w:color="54585A"/>
            </w:tcBorders>
          </w:tcPr>
          <w:p>
            <w:pPr>
              <w:spacing w:after="0"/>
              <w:rPr>
                <w:sz w:val="5"/>
                <w:szCs w:val="5"/>
                <w:color w:val="auto"/>
              </w:rPr>
            </w:pPr>
          </w:p>
        </w:tc>
        <w:tc>
          <w:tcPr>
            <w:tcW w:w="600" w:type="dxa"/>
            <w:vAlign w:val="bottom"/>
            <w:tcBorders>
              <w:bottom w:val="single" w:sz="8" w:color="54585A"/>
              <w:right w:val="single" w:sz="8" w:color="54585A"/>
            </w:tcBorders>
          </w:tcPr>
          <w:p>
            <w:pPr>
              <w:spacing w:after="0"/>
              <w:rPr>
                <w:sz w:val="5"/>
                <w:szCs w:val="5"/>
                <w:color w:val="auto"/>
              </w:rPr>
            </w:pPr>
          </w:p>
        </w:tc>
        <w:tc>
          <w:tcPr>
            <w:tcW w:w="182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7620" w:type="dxa"/>
            <w:vAlign w:val="bottom"/>
          </w:tcPr>
          <w:p>
            <w:pPr>
              <w:ind w:left="60"/>
              <w:spacing w:after="0" w:line="130" w:lineRule="exact"/>
              <w:rPr>
                <w:sz w:val="20"/>
                <w:szCs w:val="20"/>
                <w:color w:val="auto"/>
              </w:rPr>
            </w:pPr>
            <w:r>
              <w:rPr>
                <w:rFonts w:ascii="Arial" w:cs="Arial" w:eastAsia="Arial" w:hAnsi="Arial"/>
                <w:sz w:val="10"/>
                <w:szCs w:val="10"/>
                <w:b w:val="1"/>
                <w:bCs w:val="1"/>
                <w:color w:val="EB6C10"/>
              </w:rPr>
              <w:t>James F. Lynch</w:t>
            </w:r>
            <w:r>
              <w:rPr>
                <w:rFonts w:ascii="Arial" w:cs="Arial" w:eastAsia="Arial" w:hAnsi="Arial"/>
                <w:sz w:val="12"/>
                <w:szCs w:val="12"/>
                <w:b w:val="1"/>
                <w:bCs w:val="1"/>
                <w:color w:val="EB6C10"/>
                <w:vertAlign w:val="superscript"/>
              </w:rPr>
              <w:t>(4)</w:t>
            </w:r>
          </w:p>
        </w:tc>
        <w:tc>
          <w:tcPr>
            <w:tcW w:w="1260" w:type="dxa"/>
            <w:vAlign w:val="bottom"/>
            <w:vMerge w:val="restart"/>
          </w:tcPr>
          <w:p>
            <w:pPr>
              <w:jc w:val="center"/>
              <w:ind w:left="532"/>
              <w:spacing w:after="0"/>
              <w:rPr>
                <w:sz w:val="20"/>
                <w:szCs w:val="20"/>
                <w:color w:val="auto"/>
              </w:rPr>
            </w:pPr>
            <w:r>
              <w:rPr>
                <w:rFonts w:ascii="Arial" w:cs="Arial" w:eastAsia="Arial" w:hAnsi="Arial"/>
                <w:sz w:val="10"/>
                <w:szCs w:val="10"/>
                <w:color w:val="54585A"/>
                <w:w w:val="95"/>
              </w:rPr>
              <w:t>13,939,603</w:t>
            </w:r>
          </w:p>
        </w:tc>
        <w:tc>
          <w:tcPr>
            <w:tcW w:w="600" w:type="dxa"/>
            <w:vAlign w:val="bottom"/>
            <w:tcBorders>
              <w:right w:val="single" w:sz="8" w:color="54585A"/>
            </w:tcBorders>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58"/>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Investments II LLC</w:t>
            </w:r>
          </w:p>
        </w:tc>
        <w:tc>
          <w:tcPr>
            <w:tcW w:w="1260" w:type="dxa"/>
            <w:vAlign w:val="bottom"/>
            <w:vMerge w:val="continue"/>
          </w:tcPr>
          <w:p>
            <w:pPr>
              <w:spacing w:after="0"/>
              <w:rPr>
                <w:sz w:val="5"/>
                <w:szCs w:val="5"/>
                <w:color w:val="auto"/>
              </w:rPr>
            </w:pPr>
          </w:p>
        </w:tc>
        <w:tc>
          <w:tcPr>
            <w:tcW w:w="600" w:type="dxa"/>
            <w:vAlign w:val="bottom"/>
            <w:tcBorders>
              <w:right w:val="single" w:sz="8" w:color="54585A"/>
            </w:tcBorders>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620" w:type="dxa"/>
            <w:vAlign w:val="bottom"/>
            <w:tcBorders>
              <w:bottom w:val="single" w:sz="8" w:color="54585A"/>
            </w:tcBorders>
            <w:vMerge w:val="continue"/>
          </w:tcPr>
          <w:p>
            <w:pPr>
              <w:spacing w:after="0"/>
              <w:rPr>
                <w:sz w:val="6"/>
                <w:szCs w:val="6"/>
                <w:color w:val="auto"/>
              </w:rPr>
            </w:pPr>
          </w:p>
        </w:tc>
        <w:tc>
          <w:tcPr>
            <w:tcW w:w="1260" w:type="dxa"/>
            <w:vAlign w:val="bottom"/>
            <w:tcBorders>
              <w:bottom w:val="single" w:sz="8" w:color="54585A"/>
            </w:tcBorders>
          </w:tcPr>
          <w:p>
            <w:pPr>
              <w:spacing w:after="0"/>
              <w:rPr>
                <w:sz w:val="6"/>
                <w:szCs w:val="6"/>
                <w:color w:val="auto"/>
              </w:rPr>
            </w:pPr>
          </w:p>
        </w:tc>
        <w:tc>
          <w:tcPr>
            <w:tcW w:w="600" w:type="dxa"/>
            <w:vAlign w:val="bottom"/>
            <w:tcBorders>
              <w:bottom w:val="single" w:sz="8" w:color="54585A"/>
              <w:right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David B. Kagan</w:t>
            </w:r>
            <w:r>
              <w:rPr>
                <w:rFonts w:ascii="Arial" w:cs="Arial" w:eastAsia="Arial" w:hAnsi="Arial"/>
                <w:sz w:val="12"/>
                <w:szCs w:val="12"/>
                <w:b w:val="1"/>
                <w:bCs w:val="1"/>
                <w:color w:val="EB6C10"/>
                <w:vertAlign w:val="superscript"/>
              </w:rPr>
              <w:t>(5)</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4"/>
              </w:rPr>
              <w:t>3,988,266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36"/>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L. Barbee Ponder</w:t>
            </w:r>
            <w:r>
              <w:rPr>
                <w:rFonts w:ascii="Arial" w:cs="Arial" w:eastAsia="Arial" w:hAnsi="Arial"/>
                <w:sz w:val="6"/>
                <w:szCs w:val="6"/>
                <w:b w:val="1"/>
                <w:bCs w:val="1"/>
                <w:color w:val="EB6C10"/>
              </w:rPr>
              <w:t>(6)</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4"/>
              </w:rPr>
              <w:t>1,861,906</w:t>
            </w:r>
          </w:p>
        </w:tc>
        <w:tc>
          <w:tcPr>
            <w:tcW w:w="600" w:type="dxa"/>
            <w:vAlign w:val="bottom"/>
            <w:tcBorders>
              <w:bottom w:val="single" w:sz="8" w:color="54585A"/>
              <w:right w:val="single" w:sz="8" w:color="54585A"/>
            </w:tcBorders>
          </w:tcPr>
          <w:p>
            <w:pPr>
              <w:spacing w:after="0"/>
              <w:rPr>
                <w:sz w:val="11"/>
                <w:szCs w:val="11"/>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William A. Hasler(7)</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4"/>
              </w:rPr>
              <w:t>1,823,467</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Rebecca S. Clary</w:t>
            </w:r>
            <w:r>
              <w:rPr>
                <w:rFonts w:ascii="Arial" w:cs="Arial" w:eastAsia="Arial" w:hAnsi="Arial"/>
                <w:sz w:val="12"/>
                <w:szCs w:val="12"/>
                <w:b w:val="1"/>
                <w:bCs w:val="1"/>
                <w:color w:val="EB6C10"/>
                <w:vertAlign w:val="superscript"/>
              </w:rPr>
              <w:t>(8)</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4"/>
              </w:rPr>
              <w:t>1,151,438</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Michael J. Lovett</w:t>
            </w:r>
            <w:r>
              <w:rPr>
                <w:rFonts w:ascii="Arial" w:cs="Arial" w:eastAsia="Arial" w:hAnsi="Arial"/>
                <w:sz w:val="12"/>
                <w:szCs w:val="12"/>
                <w:b w:val="1"/>
                <w:bCs w:val="1"/>
                <w:color w:val="EB6C10"/>
                <w:vertAlign w:val="superscript"/>
              </w:rPr>
              <w:t>(9)</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3"/>
              </w:rPr>
              <w:t>888,466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33"/>
        </w:trPr>
        <w:tc>
          <w:tcPr>
            <w:tcW w:w="7620" w:type="dxa"/>
            <w:vAlign w:val="bottom"/>
            <w:tcBorders>
              <w:bottom w:val="single" w:sz="8" w:color="54585A"/>
            </w:tcBorders>
          </w:tcPr>
          <w:p>
            <w:pPr>
              <w:ind w:left="60"/>
              <w:spacing w:after="0" w:line="133" w:lineRule="exact"/>
              <w:rPr>
                <w:sz w:val="20"/>
                <w:szCs w:val="20"/>
                <w:color w:val="auto"/>
              </w:rPr>
            </w:pPr>
            <w:r>
              <w:rPr>
                <w:rFonts w:ascii="Arial" w:cs="Arial" w:eastAsia="Arial" w:hAnsi="Arial"/>
                <w:sz w:val="10"/>
                <w:szCs w:val="10"/>
                <w:b w:val="1"/>
                <w:bCs w:val="1"/>
                <w:color w:val="EB6C10"/>
              </w:rPr>
              <w:t>Keith O. Cowan</w:t>
            </w:r>
            <w:r>
              <w:rPr>
                <w:rFonts w:ascii="Arial" w:cs="Arial" w:eastAsia="Arial" w:hAnsi="Arial"/>
                <w:sz w:val="12"/>
                <w:szCs w:val="12"/>
                <w:b w:val="1"/>
                <w:bCs w:val="1"/>
                <w:color w:val="EB6C10"/>
                <w:vertAlign w:val="superscript"/>
              </w:rPr>
              <w:t>(9)</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3"/>
              </w:rPr>
              <w:t>876,467</w:t>
            </w:r>
          </w:p>
        </w:tc>
        <w:tc>
          <w:tcPr>
            <w:tcW w:w="600" w:type="dxa"/>
            <w:vAlign w:val="bottom"/>
            <w:tcBorders>
              <w:bottom w:val="single" w:sz="8" w:color="54585A"/>
              <w:right w:val="single" w:sz="8" w:color="54585A"/>
            </w:tcBorders>
          </w:tcPr>
          <w:p>
            <w:pPr>
              <w:spacing w:after="0"/>
              <w:rPr>
                <w:sz w:val="11"/>
                <w:szCs w:val="11"/>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36"/>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Benjamin G. Wolff</w:t>
            </w:r>
            <w:r>
              <w:rPr>
                <w:rFonts w:ascii="Arial" w:cs="Arial" w:eastAsia="Arial" w:hAnsi="Arial"/>
                <w:sz w:val="6"/>
                <w:szCs w:val="6"/>
                <w:b w:val="1"/>
                <w:bCs w:val="1"/>
                <w:color w:val="EB6C10"/>
              </w:rPr>
              <w:t>(9)</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3"/>
              </w:rPr>
              <w:t>862,669</w:t>
            </w:r>
          </w:p>
        </w:tc>
        <w:tc>
          <w:tcPr>
            <w:tcW w:w="600" w:type="dxa"/>
            <w:vAlign w:val="bottom"/>
            <w:tcBorders>
              <w:bottom w:val="single" w:sz="8" w:color="54585A"/>
              <w:right w:val="single" w:sz="8" w:color="54585A"/>
            </w:tcBorders>
          </w:tcPr>
          <w:p>
            <w:pPr>
              <w:spacing w:after="0"/>
              <w:rPr>
                <w:sz w:val="11"/>
                <w:szCs w:val="11"/>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All directors and current executive officers as a group (10 persons)</w:t>
            </w:r>
            <w:r>
              <w:rPr>
                <w:rFonts w:ascii="Arial" w:cs="Arial" w:eastAsia="Arial" w:hAnsi="Arial"/>
                <w:sz w:val="12"/>
                <w:szCs w:val="12"/>
                <w:b w:val="1"/>
                <w:bCs w:val="1"/>
                <w:color w:val="EB6C10"/>
                <w:vertAlign w:val="superscript"/>
              </w:rPr>
              <w:t>(1)(2)(3)(4)(5)(6)(7)(8)(9)</w:t>
            </w:r>
          </w:p>
        </w:tc>
        <w:tc>
          <w:tcPr>
            <w:tcW w:w="1260" w:type="dxa"/>
            <w:vAlign w:val="bottom"/>
            <w:tcBorders>
              <w:bottom w:val="single" w:sz="8" w:color="54585A"/>
            </w:tcBorders>
          </w:tcPr>
          <w:p>
            <w:pPr>
              <w:jc w:val="center"/>
              <w:ind w:left="512"/>
              <w:spacing w:after="0"/>
              <w:rPr>
                <w:sz w:val="20"/>
                <w:szCs w:val="20"/>
                <w:color w:val="auto"/>
              </w:rPr>
            </w:pPr>
            <w:r>
              <w:rPr>
                <w:rFonts w:ascii="Arial" w:cs="Arial" w:eastAsia="Arial" w:hAnsi="Arial"/>
                <w:sz w:val="10"/>
                <w:szCs w:val="10"/>
                <w:color w:val="54585A"/>
                <w:w w:val="96"/>
              </w:rPr>
              <w:t>1,118,488,676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62%</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Less than 1% of outstanding shares.</w:t>
      </w:r>
    </w:p>
    <w:p>
      <w:pPr>
        <w:spacing w:after="0" w:line="65" w:lineRule="exact"/>
        <w:rPr>
          <w:sz w:val="20"/>
          <w:szCs w:val="20"/>
          <w:color w:val="auto"/>
        </w:rPr>
      </w:pPr>
    </w:p>
    <w:p>
      <w:pPr>
        <w:ind w:left="208" w:right="60" w:hanging="208"/>
        <w:spacing w:after="0" w:line="248" w:lineRule="auto"/>
        <w:tabs>
          <w:tab w:leader="none" w:pos="208" w:val="left"/>
        </w:tabs>
        <w:numPr>
          <w:ilvl w:val="0"/>
          <w:numId w:val="68"/>
        </w:numPr>
        <w:rPr>
          <w:rFonts w:ascii="Arial" w:cs="Arial" w:eastAsia="Arial" w:hAnsi="Arial"/>
          <w:sz w:val="10"/>
          <w:szCs w:val="10"/>
          <w:color w:val="54585A"/>
        </w:rPr>
      </w:pPr>
      <w:r>
        <w:rPr>
          <w:rFonts w:ascii="Arial" w:cs="Arial" w:eastAsia="Arial" w:hAnsi="Arial"/>
          <w:sz w:val="10"/>
          <w:szCs w:val="10"/>
          <w:color w:val="54585A"/>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64" w:lineRule="exact"/>
        <w:rPr>
          <w:rFonts w:ascii="Arial" w:cs="Arial" w:eastAsia="Arial" w:hAnsi="Arial"/>
          <w:sz w:val="10"/>
          <w:szCs w:val="10"/>
          <w:color w:val="54585A"/>
        </w:rPr>
      </w:pPr>
    </w:p>
    <w:p>
      <w:pPr>
        <w:ind w:left="208" w:right="180" w:hanging="208"/>
        <w:spacing w:after="0" w:line="238" w:lineRule="auto"/>
        <w:tabs>
          <w:tab w:leader="none" w:pos="208" w:val="left"/>
        </w:tabs>
        <w:numPr>
          <w:ilvl w:val="0"/>
          <w:numId w:val="68"/>
        </w:numPr>
        <w:rPr>
          <w:rFonts w:ascii="Arial" w:cs="Arial" w:eastAsia="Arial" w:hAnsi="Arial"/>
          <w:sz w:val="10"/>
          <w:szCs w:val="10"/>
          <w:color w:val="54585A"/>
        </w:rPr>
      </w:pPr>
      <w:r>
        <w:rPr>
          <w:rFonts w:ascii="Arial" w:cs="Arial" w:eastAsia="Arial" w:hAnsi="Arial"/>
          <w:sz w:val="10"/>
          <w:szCs w:val="10"/>
          <w:color w:val="54585A"/>
        </w:rPr>
        <w:t>The address of Mr. Monroe, FL Investment Holdings, LLC, Thermo Funding, LLC, Thermo Funding II LLC, Globalstar Satellite, L.P., Monroe Irr. Educational Trust, James Monroe III Grantor Trust and Thermo Investments LP is 1735 Nineteenth Street, Denver, CO 80202. This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1714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88"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2" w:name="page43"/>
    <w:bookmarkEnd w:id="42"/>
    <w:p>
      <w:pPr>
        <w:ind w:left="68" w:hanging="68"/>
        <w:spacing w:after="0"/>
        <w:tabs>
          <w:tab w:leader="none" w:pos="68" w:val="left"/>
        </w:tabs>
        <w:numPr>
          <w:ilvl w:val="0"/>
          <w:numId w:val="69"/>
        </w:numPr>
        <w:rPr>
          <w:rFonts w:ascii="Arial" w:cs="Arial" w:eastAsia="Arial" w:hAnsi="Arial"/>
          <w:sz w:val="12"/>
          <w:szCs w:val="12"/>
          <w:b w:val="1"/>
          <w:bCs w:val="1"/>
          <w:color w:val="EB6C10"/>
        </w:rPr>
      </w:pPr>
      <w:r>
        <w:rPr>
          <w:rFonts w:ascii="Arial" w:cs="Arial" w:eastAsia="Arial" w:hAnsi="Arial"/>
          <w:sz w:val="10"/>
          <w:szCs w:val="10"/>
          <w:color w:val="54585A"/>
        </w:rPr>
        <w:t>Security Ownership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8" w:right="60"/>
        <w:spacing w:after="0" w:line="241" w:lineRule="auto"/>
        <w:rPr>
          <w:sz w:val="20"/>
          <w:szCs w:val="20"/>
          <w:color w:val="auto"/>
        </w:rPr>
      </w:pPr>
      <w:r>
        <w:rPr>
          <w:rFonts w:ascii="Arial" w:cs="Arial" w:eastAsia="Arial" w:hAnsi="Arial"/>
          <w:sz w:val="10"/>
          <w:szCs w:val="10"/>
          <w:color w:val="54585A"/>
        </w:rPr>
        <w:t>includes 640,750 shares held by FL Investment Holdings, LLC, 197,139,972 held by Thermo Funding Company, LLC, 875,540,711 shares held by Thermo Funding II LLC, 100,000 shares held by Thermo Properties II, LLC, 618,558 shares held by Globalstar Satellite, L.P. 3,000,000 held by the Monroe Irr. Educational Trust, 29,334 held by James Monroe III Grantor Trust and 200,200 held by Thermo Investments LP. Mr. Monroe controls, either directly or indirectly, each of FL Investment Holdings, Thermo Funding Company, LLC, Thermo Funding II LLC, Globalstar Satellite, L.P. Monroe Irr. Educational Trust, James Monroe III Grantor Trust and Thermo Investments LP, and, therefore, is deemed the beneficial owner of the common stock held by these entities. Mr. Monroe also individually owns 588,468 shares and may acquire 299,999 shares of common stock upon the exercise of currently exercisable stock options.</w:t>
      </w:r>
    </w:p>
    <w:p>
      <w:pPr>
        <w:spacing w:after="0" w:line="69" w:lineRule="exact"/>
        <w:rPr>
          <w:sz w:val="20"/>
          <w:szCs w:val="20"/>
          <w:color w:val="auto"/>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385,549 shares of common stock that he may acquire upon the exercise of currently exercisable stock options and 12,253,649 shares held by Thermo Investments III LLC.</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799,999 shares of common stock that he may acquire upon the exercise of currently exercisable stock options and 12,371,136 shares held by Thermo Investments II LLC.</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250,000 shares of common stock that 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80,000 shares of common stock that he may acquire upon the exercise of currently exercisable stock options.</w:t>
      </w:r>
    </w:p>
    <w:p>
      <w:pPr>
        <w:spacing w:after="0" w:line="65"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1,099,999 shares of common stock that 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120,000 shares of common stock that she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299,999 shares of common stock that he may acquire upon the exercise of currently exercisable stock options.</w:t>
      </w:r>
    </w:p>
    <w:p>
      <w:pPr>
        <w:spacing w:after="0" w:line="276" w:lineRule="exact"/>
        <w:rPr>
          <w:sz w:val="20"/>
          <w:szCs w:val="20"/>
          <w:color w:val="auto"/>
        </w:rPr>
      </w:pPr>
    </w:p>
    <w:p>
      <w:pPr>
        <w:ind w:left="8"/>
        <w:spacing w:after="0"/>
        <w:rPr>
          <w:sz w:val="20"/>
          <w:szCs w:val="20"/>
          <w:color w:val="auto"/>
        </w:rPr>
      </w:pPr>
      <w:r>
        <w:rPr>
          <w:rFonts w:ascii="Arial" w:cs="Arial" w:eastAsia="Arial" w:hAnsi="Arial"/>
          <w:sz w:val="19"/>
          <w:szCs w:val="19"/>
          <w:color w:val="54585A"/>
        </w:rPr>
        <w:t>Delinquent Section 16(a) Reports</w:t>
      </w:r>
    </w:p>
    <w:p>
      <w:pPr>
        <w:spacing w:after="0" w:line="143" w:lineRule="exact"/>
        <w:rPr>
          <w:sz w:val="20"/>
          <w:szCs w:val="20"/>
          <w:color w:val="auto"/>
        </w:rPr>
      </w:pPr>
    </w:p>
    <w:p>
      <w:pPr>
        <w:ind w:left="8"/>
        <w:spacing w:after="0" w:line="325" w:lineRule="auto"/>
        <w:rPr>
          <w:sz w:val="20"/>
          <w:szCs w:val="20"/>
          <w:color w:val="auto"/>
        </w:rPr>
      </w:pPr>
      <w:r>
        <w:rPr>
          <w:rFonts w:ascii="Arial" w:cs="Arial" w:eastAsia="Arial" w:hAnsi="Arial"/>
          <w:sz w:val="11"/>
          <w:szCs w:val="11"/>
          <w:color w:val="54585A"/>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the following transaction was not reported timely due to an administrative delay: Ms. Clary had a stock award vesting that occurred on April 8, 2022; upon vesting, shares of Globalstar stock were withheld to cover taxes owed and were not reported until May 6, 2022. Other than this instance, we believe that we complied with all Section 16(a) filing requirements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329565</wp:posOffset>
            </wp:positionV>
            <wp:extent cx="1714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0"/>
          <w:szCs w:val="10"/>
          <w:color w:val="54585A"/>
        </w:rPr>
        <w:t xml:space="preserve">Related Person Transactions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Related Person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54585A"/>
        </w:rPr>
        <w:t>Review of Transactions</w:t>
      </w:r>
    </w:p>
    <w:p>
      <w:pPr>
        <w:spacing w:after="0" w:line="152" w:lineRule="exact"/>
        <w:rPr>
          <w:sz w:val="20"/>
          <w:szCs w:val="20"/>
          <w:color w:val="auto"/>
        </w:rPr>
      </w:pPr>
    </w:p>
    <w:p>
      <w:pPr>
        <w:ind w:right="40"/>
        <w:spacing w:after="0" w:line="321" w:lineRule="auto"/>
        <w:rPr>
          <w:sz w:val="20"/>
          <w:szCs w:val="20"/>
          <w:color w:val="auto"/>
        </w:rPr>
      </w:pPr>
      <w:r>
        <w:rPr>
          <w:rFonts w:ascii="Arial" w:cs="Arial" w:eastAsia="Arial" w:hAnsi="Arial"/>
          <w:sz w:val="11"/>
          <w:szCs w:val="11"/>
          <w:color w:val="54585A"/>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The policy considers and approves or disapproves related person transactions pursuant Item 404 of Regulation S-K.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92"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54585A"/>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98" w:lineRule="exact"/>
        <w:rPr>
          <w:sz w:val="20"/>
          <w:szCs w:val="20"/>
          <w:color w:val="auto"/>
        </w:rPr>
      </w:pPr>
    </w:p>
    <w:p>
      <w:pPr>
        <w:ind w:right="260"/>
        <w:spacing w:after="0" w:line="326" w:lineRule="auto"/>
        <w:rPr>
          <w:sz w:val="20"/>
          <w:szCs w:val="20"/>
          <w:color w:val="auto"/>
        </w:rPr>
      </w:pPr>
      <w:r>
        <w:rPr>
          <w:rFonts w:ascii="Arial" w:cs="Arial" w:eastAsia="Arial" w:hAnsi="Arial"/>
          <w:sz w:val="11"/>
          <w:szCs w:val="11"/>
          <w:color w:val="54585A"/>
        </w:rPr>
        <w:t>Our Certificate of Incorporation and Bylaws provide that as long as Thermo and its affiliates beneficially own at least 45% of the Company’s Common Stock, subject to certain exceptions, approval by a majority of shares held by stockholders other than Thermo and its affiliates is required for any related-party transaction between the Company and Thermo and its affiliates. Certain related party transactions involving Thermo and its affiliates are also subject to review by the Strategic Review Committee or to the approval of our shareholders. Please see “Strategic Review Committee” under the heading “Information about the Board and Its Committees" above.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4585A"/>
        </w:rPr>
        <w:t>Reportable Related Party Transactions and Compensation Committee Interlocks and Insider Participation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54585A"/>
        </w:rPr>
        <w:t>Services Provided by Thermo.</w:t>
      </w:r>
    </w:p>
    <w:p>
      <w:pPr>
        <w:spacing w:after="0" w:line="83" w:lineRule="exact"/>
        <w:rPr>
          <w:sz w:val="20"/>
          <w:szCs w:val="20"/>
          <w:color w:val="auto"/>
        </w:rPr>
      </w:pPr>
    </w:p>
    <w:p>
      <w:pPr>
        <w:ind w:right="80"/>
        <w:spacing w:after="0" w:line="320" w:lineRule="auto"/>
        <w:rPr>
          <w:sz w:val="20"/>
          <w:szCs w:val="20"/>
          <w:color w:val="auto"/>
        </w:rPr>
      </w:pPr>
      <w:r>
        <w:rPr>
          <w:rFonts w:ascii="Arial" w:cs="Arial" w:eastAsia="Arial" w:hAnsi="Arial"/>
          <w:sz w:val="11"/>
          <w:szCs w:val="11"/>
          <w:color w:val="54585A"/>
        </w:rPr>
        <w:t>We have an understanding with Thermo that we will reimburse Thermo for expenses incurred by Messrs. Monroe, Lynch and Taylor and any other Thermo employee in connection with their services to us, including third-party out-of-pocket temporary living expenses while at our offices or traveling on our business (with no mark-up). For the year ended December 31, 2022, we recorded approximately $34,000 for general and administrative expenses incurred by Thermo on our behalf. We also recorded approximately $188,000 for services provided to us by an officer of Thermo that was accounted for as a non-cash contribution to capital and paid approximately $514,000 for services provided by other consultants and Thermo employees.</w:t>
      </w:r>
    </w:p>
    <w:p>
      <w:pPr>
        <w:spacing w:after="0" w:line="99" w:lineRule="exact"/>
        <w:rPr>
          <w:sz w:val="20"/>
          <w:szCs w:val="20"/>
          <w:color w:val="auto"/>
        </w:rPr>
      </w:pPr>
    </w:p>
    <w:p>
      <w:pPr>
        <w:ind w:right="40"/>
        <w:spacing w:after="0" w:line="328" w:lineRule="auto"/>
        <w:rPr>
          <w:sz w:val="20"/>
          <w:szCs w:val="20"/>
          <w:color w:val="auto"/>
        </w:rPr>
      </w:pPr>
      <w:r>
        <w:rPr>
          <w:rFonts w:ascii="Arial" w:cs="Arial" w:eastAsia="Arial" w:hAnsi="Arial"/>
          <w:sz w:val="11"/>
          <w:szCs w:val="11"/>
          <w:color w:val="54585A"/>
        </w:rPr>
        <w:t>We have a lease agreement with Thermo Covington, LLC for our headquarters office. Annual lease payments for the location started at $1.4 million per year, increasing at a rate of 2.5% per year, for a lease term of ten years. For the year ended December 31, 2022, we recorded $1.6 million in lease cost due to Thermo under this lease agreement.</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54585A"/>
        </w:rPr>
        <w:t>No other fees, except those described above or under “Director Compensation,” are paid to Thermo or its employees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1714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4" w:name="page45"/>
    <w:bookmarkEnd w:id="44"/>
    <w:p>
      <w:pPr>
        <w:ind w:left="68" w:hanging="68"/>
        <w:spacing w:after="0"/>
        <w:tabs>
          <w:tab w:leader="none" w:pos="68" w:val="left"/>
        </w:tabs>
        <w:numPr>
          <w:ilvl w:val="0"/>
          <w:numId w:val="71"/>
        </w:numPr>
        <w:rPr>
          <w:rFonts w:ascii="Arial" w:cs="Arial" w:eastAsia="Arial" w:hAnsi="Arial"/>
          <w:sz w:val="12"/>
          <w:szCs w:val="12"/>
          <w:b w:val="1"/>
          <w:bCs w:val="1"/>
          <w:color w:val="EB6C10"/>
        </w:rPr>
      </w:pPr>
      <w:r>
        <w:rPr>
          <w:rFonts w:ascii="Arial" w:cs="Arial" w:eastAsia="Arial" w:hAnsi="Arial"/>
          <w:sz w:val="10"/>
          <w:szCs w:val="10"/>
          <w:color w:val="54585A"/>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Thermo Agreements.</w:t>
      </w:r>
    </w:p>
    <w:p>
      <w:pPr>
        <w:spacing w:after="0" w:line="83" w:lineRule="exact"/>
        <w:rPr>
          <w:sz w:val="20"/>
          <w:szCs w:val="20"/>
          <w:color w:val="auto"/>
        </w:rPr>
      </w:pPr>
    </w:p>
    <w:p>
      <w:pPr>
        <w:ind w:left="8"/>
        <w:spacing w:after="0" w:line="321" w:lineRule="auto"/>
        <w:rPr>
          <w:sz w:val="20"/>
          <w:szCs w:val="20"/>
          <w:color w:val="auto"/>
        </w:rPr>
      </w:pPr>
      <w:r>
        <w:rPr>
          <w:rFonts w:ascii="Arial" w:cs="Arial" w:eastAsia="Arial" w:hAnsi="Arial"/>
          <w:sz w:val="11"/>
          <w:szCs w:val="11"/>
          <w:color w:val="54585A"/>
        </w:rPr>
        <w:t>In November 2019, the Company entered into the 2019 Facility Agreement. Thermo's participation in the 2019 Facility Agreement was $95.1 million. This principal balance earned paid-in-kind interest at a rate of 13% per annum. To fulfill its obligations under the Service Agreements, in November 2022, the Company entered into an exchange agreement with affiliates of Thermo and certain other Exchanging Lenders providing for the exchange of all the outstanding principal amount of, and accrued and unpaid interest on, the Exchanging Lenders’ loans under the 2019 Facility Agreement for shares of the Company's Series A Preferred Stock. The terms of the exchange agreement were reviewed and approved by the Company's Board of Directors and Audit Committee. Prior to the exchange, interest accrued since inception with respect to Thermo's portion of the debt outstanding on the 2019 Facility Agreement was approximately $44.6 million, of which $14.9 million was accrued during the twelve months ended December 31, 2022.</w:t>
      </w:r>
    </w:p>
    <w:p>
      <w:pPr>
        <w:spacing w:after="0" w:line="99" w:lineRule="exact"/>
        <w:rPr>
          <w:sz w:val="20"/>
          <w:szCs w:val="20"/>
          <w:color w:val="auto"/>
        </w:rPr>
      </w:pPr>
    </w:p>
    <w:p>
      <w:pPr>
        <w:ind w:left="8" w:right="20"/>
        <w:spacing w:after="0" w:line="326" w:lineRule="auto"/>
        <w:rPr>
          <w:sz w:val="20"/>
          <w:szCs w:val="20"/>
          <w:color w:val="auto"/>
        </w:rPr>
      </w:pPr>
      <w:r>
        <w:rPr>
          <w:rFonts w:ascii="Arial" w:cs="Arial" w:eastAsia="Arial" w:hAnsi="Arial"/>
          <w:sz w:val="11"/>
          <w:szCs w:val="11"/>
          <w:color w:val="54585A"/>
        </w:rPr>
        <w:t>Also in connection with the Service Agreements,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Service Launch in November 2022.</w:t>
      </w:r>
    </w:p>
    <w:p>
      <w:pPr>
        <w:spacing w:after="0" w:line="88" w:lineRule="exact"/>
        <w:rPr>
          <w:sz w:val="20"/>
          <w:szCs w:val="20"/>
          <w:color w:val="auto"/>
        </w:rPr>
      </w:pPr>
    </w:p>
    <w:p>
      <w:pPr>
        <w:ind w:left="8" w:right="280"/>
        <w:spacing w:after="0" w:line="345" w:lineRule="auto"/>
        <w:rPr>
          <w:sz w:val="20"/>
          <w:szCs w:val="20"/>
          <w:color w:val="auto"/>
        </w:rPr>
      </w:pPr>
      <w:r>
        <w:rPr>
          <w:rFonts w:ascii="Arial" w:cs="Arial" w:eastAsia="Arial" w:hAnsi="Arial"/>
          <w:sz w:val="11"/>
          <w:szCs w:val="11"/>
          <w:color w:val="54585A"/>
        </w:rPr>
        <w:t>As further described under Proposal No. 5, amounts payable by the Company in connection with the 2023 Prepayment with Partner will be guaranteed by Thermo, subject to applicable shareholder approval. In addition, Thermo has agreed to provide support of certain of the Company’s obligations under the Service Agreements, the Satellite Procurement Agreement, and certain related contracts directly to the Partner.</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Further discussion on other agreements we have with Thermo are disclosed in our Form 10-K for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363855</wp:posOffset>
            </wp:positionV>
            <wp:extent cx="1714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0"/>
          <w:szCs w:val="10"/>
          <w:color w:val="54585A"/>
        </w:rPr>
        <w:t xml:space="preserve">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54585A"/>
        </w:rPr>
        <w:t>Stockholder Proposals at the 2024 Annual Meeting</w:t>
      </w:r>
    </w:p>
    <w:p>
      <w:pPr>
        <w:spacing w:after="0" w:line="152" w:lineRule="exact"/>
        <w:rPr>
          <w:sz w:val="20"/>
          <w:szCs w:val="20"/>
          <w:color w:val="auto"/>
        </w:rPr>
      </w:pPr>
    </w:p>
    <w:p>
      <w:pPr>
        <w:ind w:right="20"/>
        <w:spacing w:after="0" w:line="326" w:lineRule="auto"/>
        <w:rPr>
          <w:sz w:val="20"/>
          <w:szCs w:val="20"/>
          <w:color w:val="auto"/>
        </w:rPr>
      </w:pPr>
      <w:r>
        <w:rPr>
          <w:rFonts w:ascii="Arial" w:cs="Arial" w:eastAsia="Arial" w:hAnsi="Arial"/>
          <w:sz w:val="11"/>
          <w:szCs w:val="11"/>
          <w:color w:val="54585A"/>
        </w:rPr>
        <w:t>In order for any stockholder proposal to be eligible for inclusion in our proxy statement and on our proxy card for the 2024 Annual Meeting of Stockholders, it must be received at the address in the paragraph immediately following this one not later than December 8, 2023. The proxy card we distribute for the 2024 Annual Meeting of Stockholders may include discretionary authority to vote on any matter that is presented to stockholders at that meeting (other than by the Board) if we do not receive notice of the matter at this address by March 31, 2024.</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4585A"/>
        </w:rPr>
        <w:t>Householding</w:t>
      </w:r>
    </w:p>
    <w:p>
      <w:pPr>
        <w:spacing w:after="0" w:line="152" w:lineRule="exact"/>
        <w:rPr>
          <w:sz w:val="20"/>
          <w:szCs w:val="20"/>
          <w:color w:val="auto"/>
        </w:rPr>
      </w:pPr>
    </w:p>
    <w:p>
      <w:pPr>
        <w:ind w:right="60"/>
        <w:spacing w:after="0" w:line="321" w:lineRule="auto"/>
        <w:rPr>
          <w:sz w:val="20"/>
          <w:szCs w:val="20"/>
          <w:color w:val="auto"/>
        </w:rPr>
      </w:pPr>
      <w:r>
        <w:rPr>
          <w:rFonts w:ascii="Arial" w:cs="Arial" w:eastAsia="Arial" w:hAnsi="Arial"/>
          <w:sz w:val="11"/>
          <w:szCs w:val="11"/>
          <w:color w:val="54585A"/>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54585A"/>
        </w:rPr>
        <w:t>Requests for Certain Documents</w:t>
      </w:r>
    </w:p>
    <w:p>
      <w:pPr>
        <w:spacing w:after="0" w:line="143" w:lineRule="exact"/>
        <w:rPr>
          <w:sz w:val="20"/>
          <w:szCs w:val="20"/>
          <w:color w:val="auto"/>
        </w:rPr>
      </w:pPr>
    </w:p>
    <w:p>
      <w:pPr>
        <w:ind w:right="320"/>
        <w:spacing w:after="0" w:line="345" w:lineRule="auto"/>
        <w:rPr>
          <w:sz w:val="20"/>
          <w:szCs w:val="20"/>
          <w:color w:val="auto"/>
        </w:rPr>
      </w:pPr>
      <w:r>
        <w:rPr>
          <w:rFonts w:ascii="Arial" w:cs="Arial" w:eastAsia="Arial" w:hAnsi="Arial"/>
          <w:sz w:val="11"/>
          <w:szCs w:val="11"/>
          <w:color w:val="54585A"/>
        </w:rPr>
        <w:t>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www.sec.gov.</w:t>
      </w:r>
    </w:p>
    <w:p>
      <w:pPr>
        <w:spacing w:after="0" w:line="77"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color w:val="54585A"/>
        </w:rPr>
        <w:t>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www.globalstar.com.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54585A"/>
        </w:rPr>
        <w:t>By order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Richard S. Roberts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i w:val="1"/>
          <w:iCs w:val="1"/>
          <w:color w:val="54585A"/>
        </w:rPr>
        <w:t>Corporate Secretary</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54585A"/>
        </w:rPr>
        <w:t>Covington, Louisiana</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54585A"/>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206375</wp:posOffset>
            </wp:positionV>
            <wp:extent cx="1714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80"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43</w:t>
      </w:r>
    </w:p>
    <w:p>
      <w:pPr>
        <w:sectPr>
          <w:pgSz w:w="11900" w:h="16838" w:orient="portrait"/>
          <w:cols w:equalWidth="0" w:num="1">
            <w:col w:w="11300"/>
          </w:cols>
          <w:pgMar w:left="300" w:top="126" w:right="29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23760" cy="10401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22376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16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36460" cy="1051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16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36460" cy="1051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23760" cy="10401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22376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6460" cy="10527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36460" cy="10527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23760" cy="10401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22376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x"/>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x"/>
      <w:numFmt w:val="bullet"/>
      <w:start w:val="1"/>
    </w:lvl>
  </w:abstractNum>
  <w:abstractNum w:abstractNumId="4">
    <w:nsid w:val="5C482A97"/>
    <w:multiLevelType w:val="hybridMultilevel"/>
    <w:lvl w:ilvl="0">
      <w:lvlJc w:val="left"/>
      <w:lvlText w:val="☐"/>
      <w:numFmt w:val="bullet"/>
      <w:start w:val="1"/>
    </w:lvl>
    <w:lvl w:ilvl="1">
      <w:lvlJc w:val="left"/>
      <w:lvlText w:val="(%2)"/>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lvl w:ilvl="1">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lvl w:ilvl="1">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3"/>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decimal"/>
      <w:start w:val="5"/>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3"/>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2023-05-12T14:47:01Z</dcterms:created>
  <dcterms:modified xsi:type="dcterms:W3CDTF">2023-05-12T14:47:01Z</dcterms:modified>
</cp:coreProperties>
</file>