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3478.xml.htm"/>
      <w:bookmarkStart w:id="1" w:name="kswkform4_17900234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Monroe James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1735 NINETEENTH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Globalstar,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1"/>
        <w:gridCol w:w="921"/>
        <w:gridCol w:w="792"/>
        <w:gridCol w:w="611"/>
        <w:gridCol w:w="335"/>
        <w:gridCol w:w="999"/>
        <w:gridCol w:w="405"/>
        <w:gridCol w:w="741"/>
        <w:gridCol w:w="1335"/>
        <w:gridCol w:w="948"/>
        <w:gridCol w:w="128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361,600</w:t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82.52</w:t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408,253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James Monroe III Grantor Trust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13,142,665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Company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947,273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Properties II,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42,717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 Investment Holdings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790,097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XCOM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58,833,076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Thermo Funding II LLC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Monroe Irr. Educational Trust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13,347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Thermo Investments Limited Partnership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41,238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Globalstar Satellite L.P.</w:t>
            </w:r>
          </w:p>
        </w:tc>
      </w:tr>
      <w:tr>
        <w:trPr/>
        <w:tc>
          <w:tcPr>
            <w:tcW w:w="18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purchased from James Lynch in a private transaction for estate planning purposes.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44,697 shares previously reporting as being held by the Reporting Person directly are now reported as being held through the James Monroe III Grantor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Kelly C. Simoneaux, attorney-in-fact for James Monroe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9664" TargetMode="External"/><Relationship Id="rId5" Type="http://schemas.openxmlformats.org/officeDocument/2006/relationships/hyperlink" Target="http://www.sec.gov/cgi-bin/browse-edgar?action=getcompany&amp;CIK=0001366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3744</Characters>
  <CharactersWithSpaces>4328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