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41440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4144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4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4"/>
                </w:rPr>
                <w:t>JACOBS PAUL E</w:t>
              </w:r>
            </w:hyperlink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spacing w:after="0" w:line="83" w:lineRule="exact"/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9"/>
                  <w:szCs w:val="9"/>
                  <w:color w:val="0000EE"/>
                </w:rPr>
                <w:t xml:space="preserve">Globalstar, Inc. </w:t>
              </w:r>
            </w:hyperlink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GSAT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]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  <w:vMerge w:val="restart"/>
          </w:tcPr>
          <w:p>
            <w:pPr>
              <w:jc w:val="right"/>
              <w:ind w:righ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Chief Executive Officer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1351 HOLIDAY SQUARE BLVD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01/06/2025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COVINGTON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LA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70433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Voting 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01/06/2025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22,831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99,354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Voting 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01/06/2025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14,539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2.19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84,815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Virewirx,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Voting 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3,143,182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Inc. (f/k/a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XCOM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Labs, Inc.)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Voting 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16,745,989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40" w:type="dxa"/>
            <w:vAlign w:val="bottom"/>
            <w:gridSpan w:val="1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5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 Option (Right to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2.19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01/06/2025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100,000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01/06/2026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01/06/2035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Voting Common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100,000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Buy)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Represents an award of restricted stock under the Issuer's Equity Incentive Plan. The awarded shares vest on January 6, 2026.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sold to cover taxes due upon the vesting of restricted stock granted in January 2024.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Represents an award under the Issuer's Equity Incentive Plan. The awarded options vest and become exercisable as to one third on each of January 6, 2026, 2027, and 2028.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Kelly C. Simoneaux,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270635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63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for Paul E. Jacobs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-7620</wp:posOffset>
            </wp:positionV>
            <wp:extent cx="617855" cy="63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85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2600" w:hanging="6"/>
        <w:spacing w:after="0" w:line="324" w:lineRule="auto"/>
        <w:tabs>
          <w:tab w:leader="none" w:pos="149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01/07/2025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389890" cy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8620" w:space="200"/>
            <w:col w:w="220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91310" TargetMode="External"/><Relationship Id="rId14" Type="http://schemas.openxmlformats.org/officeDocument/2006/relationships/hyperlink" Target="http://www.sec.gov/cgi-bin/browse-edgar?action=getcompany&amp;CIK=00013668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2025-01-07T16:31:45Z</dcterms:created>
  <dcterms:modified xsi:type="dcterms:W3CDTF">2025-01-07T16:31:45Z</dcterms:modified>
</cp:coreProperties>
</file>