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29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Monroe James III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1735 NINETEENTH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Globalstar,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GSAT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291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DENVER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291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Thermo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22.3124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947,273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Properties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II, LLC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Thermo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13,142,665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Funding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FL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42,717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Investment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Holdings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Thermo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580,551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XCOM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Thermo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58,708,076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Funding II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Monroe Irr.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200,000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Educational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Thermo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13,347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Investments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Limited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Partnership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41,238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Globalstar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Satellite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L.P.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James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1,956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Monroe III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Grantor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45,100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291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 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120" w:type="dxa"/>
            <w:vAlign w:val="bottom"/>
            <w:gridSpan w:val="10"/>
          </w:tcPr>
          <w:p>
            <w:pPr>
              <w:jc w:val="center"/>
              <w:ind w:right="821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40" w:type="dxa"/>
            <w:vAlign w:val="bottom"/>
            <w:gridSpan w:val="6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3"/>
              </w:rPr>
              <w:t>5and.Number5)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SecuritiesAmount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Underlyingor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DerivativeNumber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Securityof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3"/>
              </w:rPr>
              <w:t>(A)Disposed(D)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Title3and 4)Shares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680"/>
        <w:spacing w:after="0" w:line="19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6"/>
          <w:szCs w:val="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2129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21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and 5)</w:t>
      </w:r>
    </w:p>
    <w:p>
      <w:pPr>
        <w:ind w:left="40" w:right="540"/>
        <w:spacing w:after="0" w:line="2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were purchased in multiple transactions at prices ranging from $21.8100 to $22.5600 per share. The price reported reflects the volume weighted average price for the transactions. The reporting person undertakes to provide upon request by the SEC staff, the issuer or a security holder of the issuer, full information regarding the number of shares purchased at each separate price.</w:t>
      </w: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4"/>
        </w:trPr>
        <w:tc>
          <w:tcPr>
            <w:tcW w:w="4500" w:type="dxa"/>
            <w:vAlign w:val="bottom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4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8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4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8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0" w:type="dxa"/>
            <w:vAlign w:val="bottom"/>
          </w:tcPr>
          <w:p>
            <w:pPr>
              <w:ind w:left="2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4500" w:type="dxa"/>
            <w:vAlign w:val="bottom"/>
            <w:vMerge w:val="restart"/>
          </w:tcPr>
          <w:p>
            <w:pPr>
              <w:ind w:left="3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   Exercisable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Kelly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000000"/>
                <w:w w:val="94"/>
              </w:rPr>
              <w:t>Title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C. Simoneaux,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000000"/>
                <w:w w:val="94"/>
              </w:rPr>
              <w:t>Shares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03/24/2025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50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  <w:vMerge w:val="restart"/>
          </w:tcPr>
          <w:p>
            <w:pPr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highlight w:val="white"/>
              </w:rPr>
              <w:t>in-fact for James Monroe III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79664" TargetMode="External"/><Relationship Id="rId14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2025-03-24T08:17:34Z</dcterms:created>
  <dcterms:modified xsi:type="dcterms:W3CDTF">2025-03-24T08:17:34Z</dcterms:modified>
</cp:coreProperties>
</file>