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Clary Rebecca</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1351 HOLIDAY SQUARE BLVD.</w:t>
            </w: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COVINGTON</w:t>
            </w:r>
          </w:p>
        </w:tc>
        <w:tc>
          <w:tcPr>
            <w:tcW w:w="920" w:type="dxa"/>
            <w:vAlign w:val="bottom"/>
          </w:tcPr>
          <w:p>
            <w:pPr>
              <w:ind w:left="100"/>
              <w:spacing w:after="0"/>
              <w:rPr>
                <w:sz w:val="20"/>
                <w:szCs w:val="20"/>
                <w:color w:val="auto"/>
              </w:rPr>
            </w:pPr>
            <w:r>
              <w:rPr>
                <w:rFonts w:ascii="Arial" w:cs="Arial" w:eastAsia="Arial" w:hAnsi="Arial"/>
                <w:sz w:val="17"/>
                <w:szCs w:val="17"/>
                <w:color w:val="0000FF"/>
              </w:rPr>
              <w:t>LA</w:t>
            </w:r>
          </w:p>
        </w:tc>
        <w:tc>
          <w:tcPr>
            <w:tcW w:w="1600" w:type="dxa"/>
            <w:vAlign w:val="bottom"/>
          </w:tcPr>
          <w:p>
            <w:pPr>
              <w:ind w:left="400"/>
              <w:spacing w:after="0"/>
              <w:rPr>
                <w:sz w:val="20"/>
                <w:szCs w:val="20"/>
                <w:color w:val="auto"/>
              </w:rPr>
            </w:pPr>
            <w:r>
              <w:rPr>
                <w:rFonts w:ascii="Arial" w:cs="Arial" w:eastAsia="Arial" w:hAnsi="Arial"/>
                <w:sz w:val="17"/>
                <w:szCs w:val="17"/>
                <w:color w:val="0000FF"/>
              </w:rPr>
              <w:t>70433</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Globalstar,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GSAT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24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380" w:type="dxa"/>
            <w:vAlign w:val="bottom"/>
            <w:gridSpan w:val="3"/>
          </w:tcPr>
          <w:p>
            <w:pPr>
              <w:ind w:left="80"/>
              <w:spacing w:after="0"/>
              <w:rPr>
                <w:sz w:val="20"/>
                <w:szCs w:val="20"/>
                <w:color w:val="auto"/>
              </w:rPr>
            </w:pPr>
            <w:r>
              <w:rPr>
                <w:rFonts w:ascii="Arial" w:cs="Arial" w:eastAsia="Arial" w:hAnsi="Arial"/>
                <w:sz w:val="17"/>
                <w:szCs w:val="17"/>
                <w:color w:val="0000FF"/>
              </w:rPr>
              <w:t>11/15/2023</w:t>
            </w:r>
          </w:p>
        </w:tc>
        <w:tc>
          <w:tcPr>
            <w:tcW w:w="2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20"/>
              <w:spacing w:after="0"/>
              <w:rPr>
                <w:sz w:val="20"/>
                <w:szCs w:val="20"/>
                <w:color w:val="auto"/>
              </w:rPr>
            </w:pPr>
            <w:r>
              <w:rPr>
                <w:rFonts w:ascii="Arial" w:cs="Arial" w:eastAsia="Arial" w:hAnsi="Arial"/>
                <w:sz w:val="17"/>
                <w:szCs w:val="17"/>
                <w:color w:val="0000FF"/>
              </w:rPr>
              <w:t>VP &amp; Chief Financial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2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11/15/2023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25,699</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1.39</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1,597,917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automatically withheld, based on the fair market value of the Common Stock on November 15, 2023, to pay required withholding taxes upon the vesting of the Restricted Stock Award previously reported.</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Arthur McMahon,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02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Rebecca</w:t>
      </w:r>
      <w:r>
        <w:rPr>
          <w:sz w:val="20"/>
          <w:szCs w:val="20"/>
          <w:color w:val="auto"/>
        </w:rPr>
        <w:tab/>
      </w:r>
      <w:r>
        <w:rPr>
          <w:rFonts w:ascii="Arial" w:cs="Arial" w:eastAsia="Arial" w:hAnsi="Arial"/>
          <w:sz w:val="15"/>
          <w:szCs w:val="15"/>
          <w:color w:val="0000FF"/>
        </w:rPr>
        <w:t>11/17/2023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Clary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444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71391" TargetMode="External"/><Relationship Id="rId13" Type="http://schemas.openxmlformats.org/officeDocument/2006/relationships/hyperlink" Target="http://www.sec.gov/cgi-bin/browse-edgar?action=getcompany&amp;CIK=00013668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2023-11-17T16:35:08Z</dcterms:created>
  <dcterms:modified xsi:type="dcterms:W3CDTF">2023-11-17T16:35:08Z</dcterms:modified>
</cp:coreProperties>
</file>