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9" w:lineRule="exact"/>
        <w:rPr>
          <w:sz w:val="24"/>
          <w:szCs w:val="24"/>
          <w:color w:val="auto"/>
        </w:rPr>
      </w:pPr>
    </w:p>
    <w:p>
      <w:pPr>
        <w:ind w:left="5120"/>
        <w:spacing w:after="0"/>
        <w:rPr>
          <w:sz w:val="20"/>
          <w:szCs w:val="20"/>
          <w:color w:val="auto"/>
        </w:rPr>
      </w:pPr>
      <w:r>
        <w:rPr>
          <w:rFonts w:ascii="Arial" w:cs="Arial" w:eastAsia="Arial" w:hAnsi="Arial"/>
          <w:sz w:val="18"/>
          <w:szCs w:val="18"/>
          <w:b w:val="1"/>
          <w:bCs w:val="1"/>
          <w:color w:val="auto"/>
        </w:rPr>
        <w:t>___________</w:t>
      </w:r>
    </w:p>
    <w:p>
      <w:pPr>
        <w:spacing w:after="0" w:line="23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00" w:lineRule="exact"/>
        <w:rPr>
          <w:sz w:val="24"/>
          <w:szCs w:val="24"/>
          <w:color w:val="auto"/>
        </w:rPr>
      </w:pPr>
    </w:p>
    <w:p>
      <w:pPr>
        <w:spacing w:after="0" w:line="29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 of the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Exchange Act of 1934</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 May 25, 2021</w:t>
      </w:r>
    </w:p>
    <w:p>
      <w:pPr>
        <w:spacing w:after="0" w:line="24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35" w:lineRule="exact"/>
        <w:rPr>
          <w:sz w:val="24"/>
          <w:szCs w:val="24"/>
          <w:color w:val="auto"/>
        </w:rPr>
      </w:pPr>
    </w:p>
    <w:tbl>
      <w:tblPr>
        <w:tblLayout w:type="fixed"/>
        <w:tblInd w:w="260" w:type="dxa"/>
        <w:tblCellMar>
          <w:top w:w="0" w:type="dxa"/>
          <w:left w:w="0" w:type="dxa"/>
          <w:bottom w:w="0" w:type="dxa"/>
          <w:right w:w="0" w:type="dxa"/>
        </w:tblCellMar>
      </w:tblPr>
      <w:tr>
        <w:trPr>
          <w:trHeight w:val="230"/>
        </w:trPr>
        <w:tc>
          <w:tcPr>
            <w:tcW w:w="4040" w:type="dxa"/>
            <w:vAlign w:val="bottom"/>
          </w:tcPr>
          <w:p>
            <w:pPr>
              <w:jc w:val="center"/>
              <w:ind w:right="730"/>
              <w:spacing w:after="0"/>
              <w:rPr>
                <w:sz w:val="20"/>
                <w:szCs w:val="20"/>
                <w:color w:val="auto"/>
              </w:rPr>
            </w:pPr>
            <w:r>
              <w:rPr>
                <w:rFonts w:ascii="Arial" w:cs="Arial" w:eastAsia="Arial" w:hAnsi="Arial"/>
                <w:sz w:val="18"/>
                <w:szCs w:val="18"/>
                <w:color w:val="auto"/>
                <w:w w:val="92"/>
              </w:rPr>
              <w:t>Delaware</w:t>
            </w:r>
          </w:p>
        </w:tc>
        <w:tc>
          <w:tcPr>
            <w:tcW w:w="3100" w:type="dxa"/>
            <w:vAlign w:val="bottom"/>
          </w:tcPr>
          <w:p>
            <w:pPr>
              <w:jc w:val="center"/>
              <w:ind w:right="390"/>
              <w:spacing w:after="0"/>
              <w:rPr>
                <w:sz w:val="20"/>
                <w:szCs w:val="20"/>
                <w:color w:val="auto"/>
              </w:rPr>
            </w:pPr>
            <w:r>
              <w:rPr>
                <w:rFonts w:ascii="Arial" w:cs="Arial" w:eastAsia="Arial" w:hAnsi="Arial"/>
                <w:sz w:val="18"/>
                <w:szCs w:val="18"/>
                <w:color w:val="auto"/>
                <w:w w:val="90"/>
              </w:rPr>
              <w:t>001-33117</w:t>
            </w:r>
          </w:p>
        </w:tc>
        <w:tc>
          <w:tcPr>
            <w:tcW w:w="2640" w:type="dxa"/>
            <w:vAlign w:val="bottom"/>
          </w:tcPr>
          <w:p>
            <w:pPr>
              <w:jc w:val="center"/>
              <w:ind w:left="1210"/>
              <w:spacing w:after="0"/>
              <w:rPr>
                <w:sz w:val="20"/>
                <w:szCs w:val="20"/>
                <w:color w:val="auto"/>
              </w:rPr>
            </w:pPr>
            <w:r>
              <w:rPr>
                <w:rFonts w:ascii="Arial" w:cs="Arial" w:eastAsia="Arial" w:hAnsi="Arial"/>
                <w:sz w:val="18"/>
                <w:szCs w:val="18"/>
                <w:color w:val="auto"/>
                <w:w w:val="89"/>
              </w:rPr>
              <w:t>41-2116508</w:t>
            </w:r>
          </w:p>
        </w:tc>
      </w:tr>
      <w:tr>
        <w:trPr>
          <w:trHeight w:val="176"/>
        </w:trPr>
        <w:tc>
          <w:tcPr>
            <w:tcW w:w="4040" w:type="dxa"/>
            <w:vAlign w:val="bottom"/>
          </w:tcPr>
          <w:p>
            <w:pPr>
              <w:jc w:val="center"/>
              <w:ind w:right="730"/>
              <w:spacing w:after="0" w:line="176" w:lineRule="exact"/>
              <w:rPr>
                <w:sz w:val="20"/>
                <w:szCs w:val="20"/>
                <w:color w:val="auto"/>
              </w:rPr>
            </w:pPr>
            <w:r>
              <w:rPr>
                <w:rFonts w:ascii="Arial" w:cs="Arial" w:eastAsia="Arial" w:hAnsi="Arial"/>
                <w:sz w:val="18"/>
                <w:szCs w:val="18"/>
                <w:color w:val="auto"/>
                <w:w w:val="91"/>
              </w:rPr>
              <w:t>(State or Other Jurisdiction of Incorporation)</w:t>
            </w:r>
          </w:p>
        </w:tc>
        <w:tc>
          <w:tcPr>
            <w:tcW w:w="3100" w:type="dxa"/>
            <w:vAlign w:val="bottom"/>
          </w:tcPr>
          <w:p>
            <w:pPr>
              <w:jc w:val="center"/>
              <w:ind w:right="390"/>
              <w:spacing w:after="0" w:line="176" w:lineRule="exact"/>
              <w:rPr>
                <w:sz w:val="20"/>
                <w:szCs w:val="20"/>
                <w:color w:val="auto"/>
              </w:rPr>
            </w:pPr>
            <w:r>
              <w:rPr>
                <w:rFonts w:ascii="Arial" w:cs="Arial" w:eastAsia="Arial" w:hAnsi="Arial"/>
                <w:sz w:val="18"/>
                <w:szCs w:val="18"/>
                <w:color w:val="auto"/>
                <w:w w:val="93"/>
              </w:rPr>
              <w:t>(Commission</w:t>
            </w:r>
          </w:p>
        </w:tc>
        <w:tc>
          <w:tcPr>
            <w:tcW w:w="2640" w:type="dxa"/>
            <w:vAlign w:val="bottom"/>
          </w:tcPr>
          <w:p>
            <w:pPr>
              <w:jc w:val="center"/>
              <w:ind w:left="1210"/>
              <w:spacing w:after="0" w:line="176" w:lineRule="exact"/>
              <w:rPr>
                <w:sz w:val="20"/>
                <w:szCs w:val="20"/>
                <w:color w:val="auto"/>
              </w:rPr>
            </w:pPr>
            <w:r>
              <w:rPr>
                <w:rFonts w:ascii="Arial" w:cs="Arial" w:eastAsia="Arial" w:hAnsi="Arial"/>
                <w:sz w:val="18"/>
                <w:szCs w:val="18"/>
                <w:color w:val="auto"/>
                <w:w w:val="93"/>
              </w:rPr>
              <w:t>(IRS Employer</w:t>
            </w:r>
          </w:p>
        </w:tc>
      </w:tr>
      <w:tr>
        <w:trPr>
          <w:trHeight w:val="230"/>
        </w:trPr>
        <w:tc>
          <w:tcPr>
            <w:tcW w:w="4040" w:type="dxa"/>
            <w:vAlign w:val="bottom"/>
          </w:tcPr>
          <w:p>
            <w:pPr>
              <w:spacing w:after="0"/>
              <w:rPr>
                <w:sz w:val="20"/>
                <w:szCs w:val="20"/>
                <w:color w:val="auto"/>
              </w:rPr>
            </w:pPr>
          </w:p>
        </w:tc>
        <w:tc>
          <w:tcPr>
            <w:tcW w:w="3100" w:type="dxa"/>
            <w:vAlign w:val="bottom"/>
          </w:tcPr>
          <w:p>
            <w:pPr>
              <w:jc w:val="center"/>
              <w:ind w:right="390"/>
              <w:spacing w:after="0"/>
              <w:rPr>
                <w:sz w:val="20"/>
                <w:szCs w:val="20"/>
                <w:color w:val="auto"/>
              </w:rPr>
            </w:pPr>
            <w:r>
              <w:rPr>
                <w:rFonts w:ascii="Arial" w:cs="Arial" w:eastAsia="Arial" w:hAnsi="Arial"/>
                <w:sz w:val="18"/>
                <w:szCs w:val="18"/>
                <w:color w:val="auto"/>
                <w:w w:val="94"/>
              </w:rPr>
              <w:t>File Number)</w:t>
            </w:r>
          </w:p>
        </w:tc>
        <w:tc>
          <w:tcPr>
            <w:tcW w:w="2640" w:type="dxa"/>
            <w:vAlign w:val="bottom"/>
          </w:tcPr>
          <w:p>
            <w:pPr>
              <w:jc w:val="center"/>
              <w:ind w:left="1210"/>
              <w:spacing w:after="0"/>
              <w:rPr>
                <w:sz w:val="20"/>
                <w:szCs w:val="20"/>
                <w:color w:val="auto"/>
              </w:rPr>
            </w:pPr>
            <w:r>
              <w:rPr>
                <w:rFonts w:ascii="Arial" w:cs="Arial" w:eastAsia="Arial" w:hAnsi="Arial"/>
                <w:sz w:val="18"/>
                <w:szCs w:val="18"/>
                <w:color w:val="auto"/>
                <w:w w:val="95"/>
              </w:rPr>
              <w:t>Identification No.)</w:t>
            </w:r>
          </w:p>
        </w:tc>
      </w:tr>
    </w:tbl>
    <w:p>
      <w:pPr>
        <w:spacing w:after="0" w:line="7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1351 Holiday Square Blvd.</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Covington, LA 70433</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 (985) 335-1500</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116" w:lineRule="exact"/>
        <w:rPr>
          <w:sz w:val="24"/>
          <w:szCs w:val="24"/>
          <w:color w:val="auto"/>
        </w:rPr>
      </w:pPr>
    </w:p>
    <w:p>
      <w:pPr>
        <w:jc w:val="center"/>
        <w:ind w:right="7540"/>
        <w:spacing w:after="0"/>
        <w:rPr>
          <w:sz w:val="20"/>
          <w:szCs w:val="20"/>
          <w:color w:val="auto"/>
        </w:rPr>
      </w:pPr>
      <w:r>
        <w:rPr>
          <w:rFonts w:ascii="Arial" w:cs="Arial" w:eastAsia="Arial" w:hAnsi="Arial"/>
          <w:sz w:val="16"/>
          <w:szCs w:val="16"/>
          <w:color w:val="auto"/>
        </w:rPr>
        <w:t>Securities registered pursuant to section 12(b) of</w:t>
      </w:r>
    </w:p>
    <w:p>
      <w:pPr>
        <w:spacing w:after="0" w:line="8" w:lineRule="exact"/>
        <w:rPr>
          <w:sz w:val="24"/>
          <w:szCs w:val="24"/>
          <w:color w:val="auto"/>
        </w:rPr>
      </w:pPr>
    </w:p>
    <w:p>
      <w:pPr>
        <w:jc w:val="center"/>
        <w:ind w:right="7540"/>
        <w:spacing w:after="0"/>
        <w:rPr>
          <w:sz w:val="20"/>
          <w:szCs w:val="20"/>
          <w:color w:val="auto"/>
        </w:rPr>
      </w:pPr>
      <w:r>
        <w:rPr>
          <w:rFonts w:ascii="Arial" w:cs="Arial" w:eastAsia="Arial" w:hAnsi="Arial"/>
          <w:sz w:val="18"/>
          <w:szCs w:val="18"/>
          <w:color w:val="auto"/>
        </w:rPr>
        <w:t>the Act:</w:t>
      </w:r>
    </w:p>
    <w:p>
      <w:pPr>
        <w:sectPr>
          <w:pgSz w:w="11900" w:h="16838" w:orient="portrait"/>
          <w:cols w:equalWidth="0" w:num="1">
            <w:col w:w="11240"/>
          </w:cols>
          <w:pgMar w:left="320" w:top="999" w:right="339" w:bottom="1440" w:gutter="0" w:footer="0" w:header="0"/>
        </w:sectPr>
      </w:pPr>
    </w:p>
    <w:p>
      <w:pPr>
        <w:spacing w:after="0" w:line="7" w:lineRule="exact"/>
        <w:rPr>
          <w:sz w:val="24"/>
          <w:szCs w:val="24"/>
          <w:color w:val="auto"/>
        </w:rPr>
      </w:pPr>
    </w:p>
    <w:p>
      <w:pPr>
        <w:jc w:val="center"/>
        <w:ind w:right="600"/>
        <w:spacing w:after="0"/>
        <w:rPr>
          <w:sz w:val="20"/>
          <w:szCs w:val="20"/>
          <w:color w:val="auto"/>
        </w:rPr>
      </w:pPr>
      <w:r>
        <w:rPr>
          <w:rFonts w:ascii="Arial" w:cs="Arial" w:eastAsia="Arial" w:hAnsi="Arial"/>
          <w:sz w:val="18"/>
          <w:szCs w:val="18"/>
          <w:color w:val="auto"/>
        </w:rPr>
        <w:t>Title of each class</w:t>
      </w:r>
    </w:p>
    <w:p>
      <w:pPr>
        <w:spacing w:after="0" w:line="23" w:lineRule="exact"/>
        <w:rPr>
          <w:sz w:val="24"/>
          <w:szCs w:val="24"/>
          <w:color w:val="auto"/>
        </w:rPr>
      </w:pPr>
    </w:p>
    <w:p>
      <w:pPr>
        <w:jc w:val="center"/>
        <w:ind w:right="600"/>
        <w:spacing w:after="0"/>
        <w:rPr>
          <w:sz w:val="20"/>
          <w:szCs w:val="20"/>
          <w:color w:val="auto"/>
        </w:rPr>
      </w:pPr>
      <w:r>
        <w:rPr>
          <w:rFonts w:ascii="Arial" w:cs="Arial" w:eastAsia="Arial" w:hAnsi="Arial"/>
          <w:sz w:val="16"/>
          <w:szCs w:val="16"/>
          <w:b w:val="1"/>
          <w:bCs w:val="1"/>
          <w:color w:val="auto"/>
        </w:rPr>
        <w:t>Common Stock, par value $0.0001 per share</w:t>
      </w:r>
    </w:p>
    <w:p>
      <w:pPr>
        <w:spacing w:after="0" w:line="20" w:lineRule="exact"/>
        <w:rPr>
          <w:sz w:val="24"/>
          <w:szCs w:val="24"/>
          <w:color w:val="auto"/>
        </w:rPr>
      </w:pPr>
      <w:r>
        <w:rPr>
          <w:sz w:val="24"/>
          <w:szCs w:val="24"/>
          <w:color w:val="auto"/>
        </w:rPr>
        <w:br w:type="column"/>
      </w:r>
    </w:p>
    <w:p>
      <w:pPr>
        <w:jc w:val="center"/>
        <w:ind w:right="1060"/>
        <w:spacing w:after="0"/>
        <w:rPr>
          <w:sz w:val="20"/>
          <w:szCs w:val="20"/>
          <w:color w:val="auto"/>
        </w:rPr>
      </w:pPr>
      <w:r>
        <w:rPr>
          <w:rFonts w:ascii="Arial" w:cs="Arial" w:eastAsia="Arial" w:hAnsi="Arial"/>
          <w:sz w:val="16"/>
          <w:szCs w:val="16"/>
          <w:color w:val="auto"/>
        </w:rPr>
        <w:t>Trading Symbol</w:t>
      </w:r>
    </w:p>
    <w:p>
      <w:pPr>
        <w:spacing w:after="0" w:line="46" w:lineRule="exact"/>
        <w:rPr>
          <w:sz w:val="24"/>
          <w:szCs w:val="24"/>
          <w:color w:val="auto"/>
        </w:rPr>
      </w:pPr>
    </w:p>
    <w:p>
      <w:pPr>
        <w:jc w:val="center"/>
        <w:ind w:right="1060"/>
        <w:spacing w:after="0"/>
        <w:rPr>
          <w:sz w:val="20"/>
          <w:szCs w:val="20"/>
          <w:color w:val="auto"/>
        </w:rPr>
      </w:pPr>
      <w:r>
        <w:rPr>
          <w:rFonts w:ascii="Arial" w:cs="Arial" w:eastAsia="Arial" w:hAnsi="Arial"/>
          <w:sz w:val="18"/>
          <w:szCs w:val="18"/>
          <w:b w:val="1"/>
          <w:bCs w:val="1"/>
          <w:color w:val="auto"/>
        </w:rPr>
        <w:t>GSAT</w:t>
      </w:r>
    </w:p>
    <w:p>
      <w:pPr>
        <w:spacing w:after="0" w:line="20" w:lineRule="exact"/>
        <w:rPr>
          <w:sz w:val="24"/>
          <w:szCs w:val="24"/>
          <w:color w:val="auto"/>
        </w:rPr>
      </w:pPr>
      <w:r>
        <w:rPr>
          <w:sz w:val="24"/>
          <w:szCs w:val="24"/>
          <w:color w:val="auto"/>
        </w:rPr>
        <w:br w:type="column"/>
      </w:r>
    </w:p>
    <w:p>
      <w:pPr>
        <w:jc w:val="center"/>
        <w:ind w:right="440"/>
        <w:spacing w:after="0"/>
        <w:rPr>
          <w:sz w:val="20"/>
          <w:szCs w:val="20"/>
          <w:color w:val="auto"/>
        </w:rPr>
      </w:pPr>
      <w:r>
        <w:rPr>
          <w:rFonts w:ascii="Arial" w:cs="Arial" w:eastAsia="Arial" w:hAnsi="Arial"/>
          <w:sz w:val="16"/>
          <w:szCs w:val="16"/>
          <w:color w:val="auto"/>
        </w:rPr>
        <w:t>Name of exchange on which registered</w:t>
      </w:r>
    </w:p>
    <w:p>
      <w:pPr>
        <w:spacing w:after="0" w:line="46" w:lineRule="exact"/>
        <w:rPr>
          <w:sz w:val="24"/>
          <w:szCs w:val="24"/>
          <w:color w:val="auto"/>
        </w:rPr>
      </w:pPr>
    </w:p>
    <w:p>
      <w:pPr>
        <w:jc w:val="center"/>
        <w:ind w:right="440"/>
        <w:spacing w:after="0"/>
        <w:rPr>
          <w:sz w:val="20"/>
          <w:szCs w:val="20"/>
          <w:color w:val="auto"/>
        </w:rPr>
      </w:pPr>
      <w:r>
        <w:rPr>
          <w:rFonts w:ascii="Arial" w:cs="Arial" w:eastAsia="Arial" w:hAnsi="Arial"/>
          <w:sz w:val="18"/>
          <w:szCs w:val="18"/>
          <w:b w:val="1"/>
          <w:bCs w:val="1"/>
          <w:color w:val="auto"/>
        </w:rPr>
        <w:t>NYSE American</w:t>
      </w:r>
    </w:p>
    <w:p>
      <w:pPr>
        <w:spacing w:after="0" w:line="200" w:lineRule="exact"/>
        <w:rPr>
          <w:sz w:val="24"/>
          <w:szCs w:val="24"/>
          <w:color w:val="auto"/>
        </w:rPr>
      </w:pPr>
    </w:p>
    <w:p>
      <w:pPr>
        <w:sectPr>
          <w:pgSz w:w="11900" w:h="16838" w:orient="portrait"/>
          <w:cols w:equalWidth="0" w:num="3">
            <w:col w:w="4300" w:space="720"/>
            <w:col w:w="2240" w:space="720"/>
            <w:col w:w="3260"/>
          </w:cols>
          <w:pgMar w:left="320" w:top="999" w:right="339" w:bottom="1440" w:gutter="0" w:footer="0" w:header="0"/>
          <w:type w:val="continuous"/>
        </w:sectPr>
      </w:pPr>
    </w:p>
    <w:p>
      <w:pPr>
        <w:spacing w:after="0" w:line="146"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89" w:lineRule="exact"/>
        <w:rPr>
          <w:sz w:val="24"/>
          <w:szCs w:val="24"/>
          <w:color w:val="auto"/>
        </w:rPr>
      </w:pPr>
    </w:p>
    <w:p>
      <w:pPr>
        <w:ind w:left="480" w:hanging="360"/>
        <w:spacing w:after="0"/>
        <w:tabs>
          <w:tab w:leader="none" w:pos="480" w:val="left"/>
        </w:tabs>
        <w:numPr>
          <w:ilvl w:val="0"/>
          <w:numId w:val="1"/>
        </w:numPr>
        <w:rPr>
          <w:rFonts w:ascii="MS PGothic" w:cs="MS PGothic" w:eastAsia="MS PGothic" w:hAnsi="MS PGothic"/>
          <w:sz w:val="17"/>
          <w:szCs w:val="17"/>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7"/>
          <w:szCs w:val="17"/>
          <w:color w:val="auto"/>
        </w:rPr>
      </w:pPr>
    </w:p>
    <w:p>
      <w:pPr>
        <w:ind w:left="480" w:hanging="360"/>
        <w:spacing w:after="0"/>
        <w:tabs>
          <w:tab w:leader="none" w:pos="480" w:val="left"/>
        </w:tabs>
        <w:numPr>
          <w:ilvl w:val="0"/>
          <w:numId w:val="1"/>
        </w:numPr>
        <w:rPr>
          <w:rFonts w:ascii="MS PGothic" w:cs="MS PGothic" w:eastAsia="MS PGothic" w:hAnsi="MS PGothic"/>
          <w:sz w:val="17"/>
          <w:szCs w:val="17"/>
          <w:color w:val="auto"/>
        </w:rPr>
      </w:pPr>
      <w:r>
        <w:rPr>
          <w:rFonts w:ascii="Arial" w:cs="Arial" w:eastAsia="Arial" w:hAnsi="Arial"/>
          <w:sz w:val="18"/>
          <w:szCs w:val="18"/>
          <w:color w:val="auto"/>
        </w:rPr>
        <w:t>Soliciting material pursuant to Rule 14a-12 under the Exchange Act (17 CFR 240.14a-12)</w:t>
      </w:r>
    </w:p>
    <w:p>
      <w:pPr>
        <w:spacing w:after="0" w:line="22" w:lineRule="exact"/>
        <w:rPr>
          <w:rFonts w:ascii="MS PGothic" w:cs="MS PGothic" w:eastAsia="MS PGothic" w:hAnsi="MS PGothic"/>
          <w:sz w:val="17"/>
          <w:szCs w:val="17"/>
          <w:color w:val="auto"/>
        </w:rPr>
      </w:pPr>
    </w:p>
    <w:p>
      <w:pPr>
        <w:ind w:left="480" w:hanging="360"/>
        <w:spacing w:after="0"/>
        <w:tabs>
          <w:tab w:leader="none" w:pos="480" w:val="left"/>
        </w:tabs>
        <w:numPr>
          <w:ilvl w:val="0"/>
          <w:numId w:val="1"/>
        </w:numPr>
        <w:rPr>
          <w:rFonts w:ascii="MS PGothic" w:cs="MS PGothic" w:eastAsia="MS PGothic" w:hAnsi="MS PGothic"/>
          <w:sz w:val="17"/>
          <w:szCs w:val="17"/>
          <w:color w:val="auto"/>
        </w:rPr>
      </w:pPr>
      <w:r>
        <w:rPr>
          <w:rFonts w:ascii="Arial" w:cs="Arial" w:eastAsia="Arial" w:hAnsi="Arial"/>
          <w:sz w:val="18"/>
          <w:szCs w:val="18"/>
          <w:color w:val="auto"/>
        </w:rPr>
        <w:t>Pre-commencement communications pursuant to Rule 14d-2(b) under the Exchange Act (17 CFR 240.14d-2(b))</w:t>
      </w:r>
    </w:p>
    <w:p>
      <w:pPr>
        <w:spacing w:after="0" w:line="22" w:lineRule="exact"/>
        <w:rPr>
          <w:rFonts w:ascii="MS PGothic" w:cs="MS PGothic" w:eastAsia="MS PGothic" w:hAnsi="MS PGothic"/>
          <w:sz w:val="17"/>
          <w:szCs w:val="17"/>
          <w:color w:val="auto"/>
        </w:rPr>
      </w:pPr>
    </w:p>
    <w:p>
      <w:pPr>
        <w:ind w:left="480" w:hanging="360"/>
        <w:spacing w:after="0"/>
        <w:tabs>
          <w:tab w:leader="none" w:pos="480" w:val="left"/>
        </w:tabs>
        <w:numPr>
          <w:ilvl w:val="0"/>
          <w:numId w:val="1"/>
        </w:numPr>
        <w:rPr>
          <w:rFonts w:ascii="MS PGothic" w:cs="MS PGothic" w:eastAsia="MS PGothic" w:hAnsi="MS PGothic"/>
          <w:sz w:val="17"/>
          <w:szCs w:val="17"/>
          <w:color w:val="auto"/>
        </w:rPr>
      </w:pPr>
      <w:r>
        <w:rPr>
          <w:rFonts w:ascii="Arial" w:cs="Arial" w:eastAsia="Arial" w:hAnsi="Arial"/>
          <w:sz w:val="18"/>
          <w:szCs w:val="18"/>
          <w:color w:val="auto"/>
        </w:rPr>
        <w:t>Pre-commencement communications pursuant to Rule 13e-4(c) under the Exchange Act (17 CFR 240.13e-4(c))</w:t>
      </w:r>
    </w:p>
    <w:p>
      <w:pPr>
        <w:spacing w:after="0" w:line="330" w:lineRule="exact"/>
        <w:rPr>
          <w:sz w:val="24"/>
          <w:szCs w:val="24"/>
          <w:color w:val="auto"/>
        </w:rPr>
      </w:pPr>
    </w:p>
    <w:p>
      <w:pPr>
        <w:ind w:right="14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w:t>
      </w:r>
    </w:p>
    <w:p>
      <w:pPr>
        <w:spacing w:after="0" w:line="1"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66"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532130</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99"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5.07 Submission of Matters to a Vote of Security Holders</w:t>
      </w:r>
    </w:p>
    <w:p>
      <w:pPr>
        <w:spacing w:after="0" w:line="337" w:lineRule="exact"/>
        <w:rPr>
          <w:sz w:val="20"/>
          <w:szCs w:val="20"/>
          <w:color w:val="auto"/>
        </w:rPr>
      </w:pPr>
    </w:p>
    <w:p>
      <w:pPr>
        <w:ind w:firstLine="206"/>
        <w:spacing w:after="0" w:line="342" w:lineRule="auto"/>
        <w:rPr>
          <w:sz w:val="20"/>
          <w:szCs w:val="20"/>
          <w:color w:val="auto"/>
        </w:rPr>
      </w:pPr>
      <w:r>
        <w:rPr>
          <w:rFonts w:ascii="Arial" w:cs="Arial" w:eastAsia="Arial" w:hAnsi="Arial"/>
          <w:sz w:val="16"/>
          <w:szCs w:val="16"/>
          <w:color w:val="auto"/>
        </w:rPr>
        <w:t>Globalstar, Inc. (the "Company") held its Annual Meeting of Stockholders on May 25, 2021, at which 1,441,389,563 shares were represented in person or by proxy. The Company submitted three matters to the vote of stockholders. A summary of the matters voted upon by stockholders is set forth below.</w:t>
      </w:r>
    </w:p>
    <w:p>
      <w:pPr>
        <w:spacing w:after="0" w:line="232" w:lineRule="exact"/>
        <w:rPr>
          <w:sz w:val="20"/>
          <w:szCs w:val="20"/>
          <w:color w:val="auto"/>
        </w:rPr>
      </w:pPr>
    </w:p>
    <w:p>
      <w:pPr>
        <w:ind w:right="20"/>
        <w:spacing w:after="0" w:line="274" w:lineRule="auto"/>
        <w:rPr>
          <w:sz w:val="20"/>
          <w:szCs w:val="20"/>
          <w:color w:val="auto"/>
        </w:rPr>
      </w:pPr>
      <w:r>
        <w:rPr>
          <w:rFonts w:ascii="Arial" w:cs="Arial" w:eastAsia="Arial" w:hAnsi="Arial"/>
          <w:sz w:val="18"/>
          <w:szCs w:val="18"/>
          <w:color w:val="auto"/>
        </w:rPr>
        <w:t>1. Stockholders elected all three nominees for Class C director to serve for a term to expire at the 2024 Annual Meeting of Stockholders by the following votes:</w:t>
      </w:r>
    </w:p>
    <w:tbl>
      <w:tblPr>
        <w:tblLayout w:type="fixed"/>
        <w:tblInd w:w="70" w:type="dxa"/>
        <w:tblCellMar>
          <w:top w:w="0" w:type="dxa"/>
          <w:left w:w="0" w:type="dxa"/>
          <w:bottom w:w="0" w:type="dxa"/>
          <w:right w:w="0" w:type="dxa"/>
        </w:tblCellMar>
      </w:tblPr>
      <w:tr>
        <w:trPr>
          <w:trHeight w:val="224"/>
        </w:trPr>
        <w:tc>
          <w:tcPr>
            <w:tcW w:w="2300" w:type="dxa"/>
            <w:vAlign w:val="bottom"/>
            <w:tcBorders>
              <w:top w:val="single" w:sz="8" w:color="auto"/>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b w:val="1"/>
                <w:bCs w:val="1"/>
                <w:color w:val="auto"/>
              </w:rPr>
              <w:t>Name</w:t>
            </w:r>
          </w:p>
        </w:tc>
        <w:tc>
          <w:tcPr>
            <w:tcW w:w="2220" w:type="dxa"/>
            <w:vAlign w:val="bottom"/>
            <w:tcBorders>
              <w:top w:val="single" w:sz="8" w:color="auto"/>
              <w:bottom w:val="single" w:sz="8" w:color="auto"/>
              <w:right w:val="single" w:sz="8" w:color="auto"/>
            </w:tcBorders>
          </w:tcPr>
          <w:p>
            <w:pPr>
              <w:jc w:val="right"/>
              <w:ind w:right="670"/>
              <w:spacing w:after="0"/>
              <w:rPr>
                <w:sz w:val="20"/>
                <w:szCs w:val="20"/>
                <w:color w:val="auto"/>
              </w:rPr>
            </w:pPr>
            <w:r>
              <w:rPr>
                <w:rFonts w:ascii="Arial" w:cs="Arial" w:eastAsia="Arial" w:hAnsi="Arial"/>
                <w:sz w:val="18"/>
                <w:szCs w:val="18"/>
                <w:b w:val="1"/>
                <w:bCs w:val="1"/>
                <w:color w:val="auto"/>
              </w:rPr>
              <w:t>Votes For</w:t>
            </w:r>
          </w:p>
        </w:tc>
        <w:tc>
          <w:tcPr>
            <w:tcW w:w="2220" w:type="dxa"/>
            <w:vAlign w:val="bottom"/>
            <w:tcBorders>
              <w:top w:val="single" w:sz="8" w:color="auto"/>
              <w:bottom w:val="single" w:sz="8" w:color="auto"/>
              <w:right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Votes Against</w:t>
            </w:r>
          </w:p>
        </w:tc>
        <w:tc>
          <w:tcPr>
            <w:tcW w:w="2200" w:type="dxa"/>
            <w:vAlign w:val="bottom"/>
            <w:tcBorders>
              <w:top w:val="single" w:sz="8" w:color="auto"/>
              <w:bottom w:val="single" w:sz="8" w:color="auto"/>
              <w:right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Abstentions</w:t>
            </w:r>
          </w:p>
        </w:tc>
        <w:tc>
          <w:tcPr>
            <w:tcW w:w="2220" w:type="dxa"/>
            <w:vAlign w:val="bottom"/>
            <w:tcBorders>
              <w:top w:val="single" w:sz="8" w:color="auto"/>
              <w:bottom w:val="single" w:sz="8" w:color="auto"/>
              <w:right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Broker Non-Votes</w:t>
            </w:r>
          </w:p>
        </w:tc>
      </w:tr>
      <w:tr>
        <w:trPr>
          <w:trHeight w:val="223"/>
        </w:trPr>
        <w:tc>
          <w:tcPr>
            <w:tcW w:w="2300" w:type="dxa"/>
            <w:vAlign w:val="bottom"/>
            <w:tcBorders>
              <w:left w:val="single" w:sz="8" w:color="auto"/>
              <w:bottom w:val="single" w:sz="8" w:color="auto"/>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William A. Hasler</w:t>
            </w:r>
          </w:p>
        </w:tc>
        <w:tc>
          <w:tcPr>
            <w:tcW w:w="222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1,228,202,602</w:t>
            </w:r>
          </w:p>
        </w:tc>
        <w:tc>
          <w:tcPr>
            <w:tcW w:w="222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37,995,857</w:t>
            </w:r>
          </w:p>
        </w:tc>
        <w:tc>
          <w:tcPr>
            <w:tcW w:w="220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1,335,358</w:t>
            </w:r>
          </w:p>
        </w:tc>
        <w:tc>
          <w:tcPr>
            <w:tcW w:w="222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173,855,746</w:t>
            </w:r>
          </w:p>
        </w:tc>
      </w:tr>
      <w:tr>
        <w:trPr>
          <w:trHeight w:val="223"/>
        </w:trPr>
        <w:tc>
          <w:tcPr>
            <w:tcW w:w="230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James Monroe III</w:t>
            </w:r>
          </w:p>
        </w:tc>
        <w:tc>
          <w:tcPr>
            <w:tcW w:w="2220" w:type="dxa"/>
            <w:vAlign w:val="bottom"/>
            <w:tcBorders>
              <w:bottom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1,192,861,574</w:t>
            </w:r>
          </w:p>
        </w:tc>
        <w:tc>
          <w:tcPr>
            <w:tcW w:w="2220" w:type="dxa"/>
            <w:vAlign w:val="bottom"/>
            <w:tcBorders>
              <w:bottom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73,727,732</w:t>
            </w:r>
          </w:p>
        </w:tc>
        <w:tc>
          <w:tcPr>
            <w:tcW w:w="2200" w:type="dxa"/>
            <w:vAlign w:val="bottom"/>
            <w:tcBorders>
              <w:bottom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944,511</w:t>
            </w:r>
          </w:p>
        </w:tc>
        <w:tc>
          <w:tcPr>
            <w:tcW w:w="2220" w:type="dxa"/>
            <w:vAlign w:val="bottom"/>
            <w:tcBorders>
              <w:bottom w:val="single" w:sz="8" w:color="auto"/>
              <w:right w:val="single" w:sz="8" w:color="auto"/>
            </w:tcBorders>
          </w:tcPr>
          <w:p>
            <w:pPr>
              <w:jc w:val="right"/>
              <w:ind w:right="10"/>
              <w:spacing w:after="0"/>
              <w:rPr>
                <w:sz w:val="20"/>
                <w:szCs w:val="20"/>
                <w:color w:val="auto"/>
              </w:rPr>
            </w:pPr>
            <w:r>
              <w:rPr>
                <w:rFonts w:ascii="Arial" w:cs="Arial" w:eastAsia="Arial" w:hAnsi="Arial"/>
                <w:sz w:val="18"/>
                <w:szCs w:val="18"/>
                <w:color w:val="auto"/>
              </w:rPr>
              <w:t>173,855,746</w:t>
            </w:r>
          </w:p>
        </w:tc>
      </w:tr>
      <w:tr>
        <w:trPr>
          <w:trHeight w:val="223"/>
        </w:trPr>
        <w:tc>
          <w:tcPr>
            <w:tcW w:w="2300" w:type="dxa"/>
            <w:vAlign w:val="bottom"/>
            <w:tcBorders>
              <w:left w:val="single" w:sz="8" w:color="auto"/>
              <w:bottom w:val="single" w:sz="8" w:color="auto"/>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Michael J. Lovett</w:t>
            </w:r>
          </w:p>
        </w:tc>
        <w:tc>
          <w:tcPr>
            <w:tcW w:w="222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1,250,140,837</w:t>
            </w:r>
          </w:p>
        </w:tc>
        <w:tc>
          <w:tcPr>
            <w:tcW w:w="222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15,895,538</w:t>
            </w:r>
          </w:p>
        </w:tc>
        <w:tc>
          <w:tcPr>
            <w:tcW w:w="220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1,497,442</w:t>
            </w:r>
          </w:p>
        </w:tc>
        <w:tc>
          <w:tcPr>
            <w:tcW w:w="222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173,855,746</w:t>
            </w:r>
          </w:p>
        </w:tc>
      </w:tr>
    </w:tbl>
    <w:p>
      <w:pPr>
        <w:spacing w:after="0" w:line="323" w:lineRule="exact"/>
        <w:rPr>
          <w:sz w:val="20"/>
          <w:szCs w:val="20"/>
          <w:color w:val="auto"/>
        </w:rPr>
      </w:pPr>
    </w:p>
    <w:p>
      <w:pPr>
        <w:spacing w:after="0"/>
        <w:rPr>
          <w:sz w:val="20"/>
          <w:szCs w:val="20"/>
          <w:color w:val="auto"/>
        </w:rPr>
      </w:pPr>
      <w:r>
        <w:rPr>
          <w:rFonts w:ascii="Arial" w:cs="Arial" w:eastAsia="Arial" w:hAnsi="Arial"/>
          <w:sz w:val="17"/>
          <w:szCs w:val="17"/>
          <w:color w:val="auto"/>
        </w:rPr>
        <w:t>2. Stockholders ratified the appointment of Ernst &amp; Young LLP as the Company’s independent registered accounting firm for the fiscal year ending</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2021 by the following votes:</w:t>
      </w:r>
    </w:p>
    <w:p>
      <w:pPr>
        <w:spacing w:after="0" w:line="16" w:lineRule="exact"/>
        <w:rPr>
          <w:sz w:val="20"/>
          <w:szCs w:val="20"/>
          <w:color w:val="auto"/>
        </w:rPr>
      </w:pPr>
    </w:p>
    <w:tbl>
      <w:tblPr>
        <w:tblLayout w:type="fixed"/>
        <w:tblInd w:w="1010" w:type="dxa"/>
        <w:tblCellMar>
          <w:top w:w="0" w:type="dxa"/>
          <w:left w:w="0" w:type="dxa"/>
          <w:bottom w:w="0" w:type="dxa"/>
          <w:right w:w="0" w:type="dxa"/>
        </w:tblCellMar>
      </w:tblPr>
      <w:tr>
        <w:trPr>
          <w:trHeight w:val="243"/>
        </w:trPr>
        <w:tc>
          <w:tcPr>
            <w:tcW w:w="2340" w:type="dxa"/>
            <w:vAlign w:val="bottom"/>
            <w:tcBorders>
              <w:top w:val="single" w:sz="8" w:color="auto"/>
              <w:left w:val="single" w:sz="8" w:color="auto"/>
              <w:bottom w:val="single" w:sz="8" w:color="auto"/>
              <w:right w:val="single" w:sz="8" w:color="auto"/>
            </w:tcBorders>
          </w:tcPr>
          <w:p>
            <w:pPr>
              <w:jc w:val="right"/>
              <w:ind w:right="710"/>
              <w:spacing w:after="0"/>
              <w:rPr>
                <w:sz w:val="20"/>
                <w:szCs w:val="20"/>
                <w:color w:val="auto"/>
              </w:rPr>
            </w:pPr>
            <w:r>
              <w:rPr>
                <w:rFonts w:ascii="Arial" w:cs="Arial" w:eastAsia="Arial" w:hAnsi="Arial"/>
                <w:sz w:val="18"/>
                <w:szCs w:val="18"/>
                <w:b w:val="1"/>
                <w:bCs w:val="1"/>
                <w:color w:val="auto"/>
              </w:rPr>
              <w:t>Votes For</w:t>
            </w:r>
          </w:p>
        </w:tc>
        <w:tc>
          <w:tcPr>
            <w:tcW w:w="2320" w:type="dxa"/>
            <w:vAlign w:val="bottom"/>
            <w:tcBorders>
              <w:top w:val="single" w:sz="8" w:color="auto"/>
              <w:bottom w:val="single" w:sz="8" w:color="auto"/>
              <w:right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Votes Against</w:t>
            </w:r>
          </w:p>
        </w:tc>
        <w:tc>
          <w:tcPr>
            <w:tcW w:w="2300" w:type="dxa"/>
            <w:vAlign w:val="bottom"/>
            <w:tcBorders>
              <w:top w:val="single" w:sz="8" w:color="auto"/>
              <w:bottom w:val="single" w:sz="8" w:color="auto"/>
              <w:right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Abstentions</w:t>
            </w:r>
          </w:p>
        </w:tc>
        <w:tc>
          <w:tcPr>
            <w:tcW w:w="2320" w:type="dxa"/>
            <w:vAlign w:val="bottom"/>
            <w:tcBorders>
              <w:top w:val="single" w:sz="8" w:color="auto"/>
              <w:bottom w:val="single" w:sz="8" w:color="auto"/>
              <w:right w:val="single" w:sz="8" w:color="auto"/>
            </w:tcBorders>
          </w:tcPr>
          <w:p>
            <w:pPr>
              <w:ind w:left="460"/>
              <w:spacing w:after="0"/>
              <w:rPr>
                <w:sz w:val="20"/>
                <w:szCs w:val="20"/>
                <w:color w:val="auto"/>
              </w:rPr>
            </w:pPr>
            <w:r>
              <w:rPr>
                <w:rFonts w:ascii="Arial" w:cs="Arial" w:eastAsia="Arial" w:hAnsi="Arial"/>
                <w:sz w:val="18"/>
                <w:szCs w:val="18"/>
                <w:b w:val="1"/>
                <w:bCs w:val="1"/>
                <w:color w:val="auto"/>
              </w:rPr>
              <w:t>Broker Non-Votes</w:t>
            </w:r>
          </w:p>
        </w:tc>
      </w:tr>
      <w:tr>
        <w:trPr>
          <w:trHeight w:val="223"/>
        </w:trPr>
        <w:tc>
          <w:tcPr>
            <w:tcW w:w="2340" w:type="dxa"/>
            <w:vAlign w:val="bottom"/>
            <w:tcBorders>
              <w:left w:val="single" w:sz="8" w:color="auto"/>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1,423,117,717</w:t>
            </w:r>
          </w:p>
        </w:tc>
        <w:tc>
          <w:tcPr>
            <w:tcW w:w="232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5,646,129</w:t>
            </w:r>
          </w:p>
        </w:tc>
        <w:tc>
          <w:tcPr>
            <w:tcW w:w="230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12,625,717</w:t>
            </w:r>
          </w:p>
        </w:tc>
        <w:tc>
          <w:tcPr>
            <w:tcW w:w="2320" w:type="dxa"/>
            <w:vAlign w:val="bottom"/>
            <w:tcBorders>
              <w:bottom w:val="single" w:sz="8" w:color="auto"/>
              <w:right w:val="single" w:sz="8" w:color="auto"/>
            </w:tcBorders>
            <w:shd w:val="clear" w:color="auto" w:fill="CCEEFF"/>
          </w:tcPr>
          <w:p>
            <w:pPr>
              <w:ind w:left="2040"/>
              <w:spacing w:after="0"/>
              <w:rPr>
                <w:sz w:val="20"/>
                <w:szCs w:val="20"/>
                <w:color w:val="auto"/>
              </w:rPr>
            </w:pPr>
            <w:r>
              <w:rPr>
                <w:rFonts w:ascii="Arial" w:cs="Arial" w:eastAsia="Arial" w:hAnsi="Arial"/>
                <w:sz w:val="18"/>
                <w:szCs w:val="18"/>
                <w:color w:val="auto"/>
              </w:rPr>
              <w:t>—</w:t>
            </w:r>
          </w:p>
        </w:tc>
      </w:tr>
    </w:tbl>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3. Stockholders approved the Company's Corrected Second Amended and Restated Certificate of Incorporation by the following votes:</w:t>
      </w:r>
    </w:p>
    <w:p>
      <w:pPr>
        <w:spacing w:after="0" w:line="30" w:lineRule="exact"/>
        <w:rPr>
          <w:sz w:val="20"/>
          <w:szCs w:val="20"/>
          <w:color w:val="auto"/>
        </w:rPr>
      </w:pPr>
    </w:p>
    <w:tbl>
      <w:tblPr>
        <w:tblLayout w:type="fixed"/>
        <w:tblInd w:w="0" w:type="dxa"/>
        <w:tblCellMar>
          <w:top w:w="0" w:type="dxa"/>
          <w:left w:w="0" w:type="dxa"/>
          <w:bottom w:w="0" w:type="dxa"/>
          <w:right w:w="0" w:type="dxa"/>
        </w:tblCellMar>
      </w:tblPr>
      <w:tr>
        <w:trPr>
          <w:trHeight w:val="243"/>
        </w:trPr>
        <w:tc>
          <w:tcPr>
            <w:tcW w:w="1020" w:type="dxa"/>
            <w:vAlign w:val="bottom"/>
            <w:tcBorders>
              <w:right w:val="single" w:sz="8" w:color="auto"/>
            </w:tcBorders>
          </w:tcPr>
          <w:p>
            <w:pPr>
              <w:spacing w:after="0"/>
              <w:rPr>
                <w:sz w:val="21"/>
                <w:szCs w:val="21"/>
                <w:color w:val="auto"/>
              </w:rPr>
            </w:pPr>
          </w:p>
        </w:tc>
        <w:tc>
          <w:tcPr>
            <w:tcW w:w="2320" w:type="dxa"/>
            <w:vAlign w:val="bottom"/>
            <w:tcBorders>
              <w:top w:val="single" w:sz="8" w:color="auto"/>
              <w:bottom w:val="single" w:sz="8" w:color="auto"/>
              <w:right w:val="single" w:sz="8" w:color="auto"/>
            </w:tcBorders>
          </w:tcPr>
          <w:p>
            <w:pPr>
              <w:jc w:val="right"/>
              <w:ind w:right="710"/>
              <w:spacing w:after="0"/>
              <w:rPr>
                <w:sz w:val="20"/>
                <w:szCs w:val="20"/>
                <w:color w:val="auto"/>
              </w:rPr>
            </w:pPr>
            <w:r>
              <w:rPr>
                <w:rFonts w:ascii="Arial" w:cs="Arial" w:eastAsia="Arial" w:hAnsi="Arial"/>
                <w:sz w:val="18"/>
                <w:szCs w:val="18"/>
                <w:b w:val="1"/>
                <w:bCs w:val="1"/>
                <w:color w:val="auto"/>
              </w:rPr>
              <w:t>Votes For</w:t>
            </w:r>
          </w:p>
        </w:tc>
        <w:tc>
          <w:tcPr>
            <w:tcW w:w="2320" w:type="dxa"/>
            <w:vAlign w:val="bottom"/>
            <w:tcBorders>
              <w:top w:val="single" w:sz="8" w:color="auto"/>
              <w:bottom w:val="single" w:sz="8" w:color="auto"/>
              <w:right w:val="single" w:sz="8" w:color="auto"/>
            </w:tcBorders>
          </w:tcPr>
          <w:p>
            <w:pPr>
              <w:jc w:val="right"/>
              <w:ind w:right="550"/>
              <w:spacing w:after="0"/>
              <w:rPr>
                <w:sz w:val="20"/>
                <w:szCs w:val="20"/>
                <w:color w:val="auto"/>
              </w:rPr>
            </w:pPr>
            <w:r>
              <w:rPr>
                <w:rFonts w:ascii="Arial" w:cs="Arial" w:eastAsia="Arial" w:hAnsi="Arial"/>
                <w:sz w:val="18"/>
                <w:szCs w:val="18"/>
                <w:b w:val="1"/>
                <w:bCs w:val="1"/>
                <w:color w:val="auto"/>
              </w:rPr>
              <w:t>Votes Against</w:t>
            </w:r>
          </w:p>
        </w:tc>
        <w:tc>
          <w:tcPr>
            <w:tcW w:w="2300" w:type="dxa"/>
            <w:vAlign w:val="bottom"/>
            <w:tcBorders>
              <w:top w:val="single" w:sz="8" w:color="auto"/>
              <w:bottom w:val="single" w:sz="8" w:color="auto"/>
              <w:right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Abstentions</w:t>
            </w:r>
          </w:p>
        </w:tc>
        <w:tc>
          <w:tcPr>
            <w:tcW w:w="2320" w:type="dxa"/>
            <w:vAlign w:val="bottom"/>
            <w:tcBorders>
              <w:top w:val="single" w:sz="8" w:color="auto"/>
              <w:bottom w:val="single" w:sz="8" w:color="auto"/>
              <w:right w:val="single" w:sz="8" w:color="auto"/>
            </w:tcBorders>
          </w:tcPr>
          <w:p>
            <w:pPr>
              <w:ind w:left="460"/>
              <w:spacing w:after="0"/>
              <w:rPr>
                <w:sz w:val="20"/>
                <w:szCs w:val="20"/>
                <w:color w:val="auto"/>
              </w:rPr>
            </w:pPr>
            <w:r>
              <w:rPr>
                <w:rFonts w:ascii="Arial" w:cs="Arial" w:eastAsia="Arial" w:hAnsi="Arial"/>
                <w:sz w:val="18"/>
                <w:szCs w:val="18"/>
                <w:b w:val="1"/>
                <w:bCs w:val="1"/>
                <w:color w:val="auto"/>
              </w:rPr>
              <w:t>Broker Non-Votes</w:t>
            </w:r>
          </w:p>
        </w:tc>
        <w:tc>
          <w:tcPr>
            <w:tcW w:w="960" w:type="dxa"/>
            <w:vAlign w:val="bottom"/>
          </w:tcPr>
          <w:p>
            <w:pPr>
              <w:spacing w:after="0"/>
              <w:rPr>
                <w:sz w:val="21"/>
                <w:szCs w:val="21"/>
                <w:color w:val="auto"/>
              </w:rPr>
            </w:pPr>
          </w:p>
        </w:tc>
      </w:tr>
      <w:tr>
        <w:trPr>
          <w:trHeight w:val="223"/>
        </w:trPr>
        <w:tc>
          <w:tcPr>
            <w:tcW w:w="1020" w:type="dxa"/>
            <w:vAlign w:val="bottom"/>
            <w:tcBorders>
              <w:right w:val="single" w:sz="8" w:color="auto"/>
            </w:tcBorders>
          </w:tcPr>
          <w:p>
            <w:pPr>
              <w:spacing w:after="0"/>
              <w:rPr>
                <w:sz w:val="19"/>
                <w:szCs w:val="19"/>
                <w:color w:val="auto"/>
              </w:rPr>
            </w:pPr>
          </w:p>
        </w:tc>
        <w:tc>
          <w:tcPr>
            <w:tcW w:w="232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1,357,400,871</w:t>
            </w:r>
          </w:p>
        </w:tc>
        <w:tc>
          <w:tcPr>
            <w:tcW w:w="2320" w:type="dxa"/>
            <w:vAlign w:val="bottom"/>
            <w:tcBorders>
              <w:bottom w:val="single" w:sz="8" w:color="auto"/>
              <w:right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70,105,515</w:t>
            </w:r>
          </w:p>
        </w:tc>
        <w:tc>
          <w:tcPr>
            <w:tcW w:w="230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13,883,177</w:t>
            </w:r>
          </w:p>
        </w:tc>
        <w:tc>
          <w:tcPr>
            <w:tcW w:w="2320" w:type="dxa"/>
            <w:vAlign w:val="bottom"/>
            <w:tcBorders>
              <w:bottom w:val="single" w:sz="8" w:color="auto"/>
              <w:right w:val="single" w:sz="8" w:color="auto"/>
            </w:tcBorders>
            <w:shd w:val="clear" w:color="auto" w:fill="CCEEFF"/>
          </w:tcPr>
          <w:p>
            <w:pPr>
              <w:ind w:left="2040"/>
              <w:spacing w:after="0"/>
              <w:rPr>
                <w:sz w:val="20"/>
                <w:szCs w:val="20"/>
                <w:color w:val="auto"/>
              </w:rPr>
            </w:pPr>
            <w:r>
              <w:rPr>
                <w:rFonts w:ascii="Arial" w:cs="Arial" w:eastAsia="Arial" w:hAnsi="Arial"/>
                <w:sz w:val="18"/>
                <w:szCs w:val="18"/>
                <w:color w:val="auto"/>
              </w:rPr>
              <w:t>—</w:t>
            </w:r>
          </w:p>
        </w:tc>
        <w:tc>
          <w:tcPr>
            <w:tcW w:w="960" w:type="dxa"/>
            <w:vAlign w:val="bottom"/>
          </w:tcPr>
          <w:p>
            <w:pPr>
              <w:spacing w:after="0"/>
              <w:rPr>
                <w:sz w:val="19"/>
                <w:szCs w:val="19"/>
                <w:color w:val="auto"/>
              </w:rPr>
            </w:pPr>
          </w:p>
        </w:tc>
      </w:tr>
      <w:tr>
        <w:trPr>
          <w:trHeight w:val="1458"/>
        </w:trPr>
        <w:tc>
          <w:tcPr>
            <w:tcW w:w="1020" w:type="dxa"/>
            <w:vAlign w:val="bottom"/>
            <w:tcBorders>
              <w:bottom w:val="single" w:sz="8" w:color="9A9A9A"/>
            </w:tcBorders>
          </w:tcPr>
          <w:p>
            <w:pPr>
              <w:spacing w:after="0"/>
              <w:rPr>
                <w:sz w:val="24"/>
                <w:szCs w:val="24"/>
                <w:color w:val="auto"/>
              </w:rPr>
            </w:pPr>
          </w:p>
        </w:tc>
        <w:tc>
          <w:tcPr>
            <w:tcW w:w="2320" w:type="dxa"/>
            <w:vAlign w:val="bottom"/>
            <w:tcBorders>
              <w:bottom w:val="single" w:sz="8" w:color="9A9A9A"/>
            </w:tcBorders>
          </w:tcPr>
          <w:p>
            <w:pPr>
              <w:spacing w:after="0"/>
              <w:rPr>
                <w:sz w:val="24"/>
                <w:szCs w:val="24"/>
                <w:color w:val="auto"/>
              </w:rPr>
            </w:pPr>
          </w:p>
        </w:tc>
        <w:tc>
          <w:tcPr>
            <w:tcW w:w="2320" w:type="dxa"/>
            <w:vAlign w:val="bottom"/>
            <w:tcBorders>
              <w:bottom w:val="single" w:sz="8" w:color="9A9A9A"/>
            </w:tcBorders>
          </w:tcPr>
          <w:p>
            <w:pPr>
              <w:spacing w:after="0"/>
              <w:rPr>
                <w:sz w:val="24"/>
                <w:szCs w:val="24"/>
                <w:color w:val="auto"/>
              </w:rPr>
            </w:pPr>
          </w:p>
        </w:tc>
        <w:tc>
          <w:tcPr>
            <w:tcW w:w="2300" w:type="dxa"/>
            <w:vAlign w:val="bottom"/>
            <w:tcBorders>
              <w:bottom w:val="single" w:sz="8" w:color="9A9A9A"/>
            </w:tcBorders>
          </w:tcPr>
          <w:p>
            <w:pPr>
              <w:spacing w:after="0"/>
              <w:rPr>
                <w:sz w:val="24"/>
                <w:szCs w:val="24"/>
                <w:color w:val="auto"/>
              </w:rPr>
            </w:pPr>
          </w:p>
        </w:tc>
        <w:tc>
          <w:tcPr>
            <w:tcW w:w="2320" w:type="dxa"/>
            <w:vAlign w:val="bottom"/>
            <w:tcBorders>
              <w:bottom w:val="single" w:sz="8" w:color="9A9A9A"/>
            </w:tcBorders>
          </w:tcPr>
          <w:p>
            <w:pPr>
              <w:spacing w:after="0"/>
              <w:rPr>
                <w:sz w:val="24"/>
                <w:szCs w:val="24"/>
                <w:color w:val="auto"/>
              </w:rPr>
            </w:pPr>
          </w:p>
        </w:tc>
        <w:tc>
          <w:tcPr>
            <w:tcW w:w="9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jc w:val="center"/>
        <w:ind w:right="-259"/>
        <w:spacing w:after="0"/>
        <w:rPr>
          <w:sz w:val="20"/>
          <w:szCs w:val="20"/>
          <w:color w:val="auto"/>
        </w:rPr>
      </w:pPr>
      <w:r>
        <w:rPr>
          <w:rFonts w:ascii="Arial" w:cs="Arial" w:eastAsia="Arial" w:hAnsi="Arial"/>
          <w:sz w:val="18"/>
          <w:szCs w:val="18"/>
          <w:b w:val="1"/>
          <w:bCs w:val="1"/>
          <w:color w:val="auto"/>
        </w:rPr>
        <w:t>SIGNATURES</w:t>
      </w:r>
    </w:p>
    <w:p>
      <w:pPr>
        <w:spacing w:after="0" w:line="200" w:lineRule="exact"/>
        <w:rPr>
          <w:sz w:val="20"/>
          <w:szCs w:val="20"/>
          <w:color w:val="auto"/>
        </w:rPr>
      </w:pPr>
    </w:p>
    <w:p>
      <w:pPr>
        <w:spacing w:after="0" w:line="38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40" w:lineRule="exact"/>
        <w:rPr>
          <w:sz w:val="20"/>
          <w:szCs w:val="20"/>
          <w:color w:val="auto"/>
        </w:rPr>
      </w:pPr>
    </w:p>
    <w:p>
      <w:pPr>
        <w:ind w:left="4080"/>
        <w:spacing w:after="0"/>
        <w:rPr>
          <w:sz w:val="20"/>
          <w:szCs w:val="20"/>
          <w:color w:val="auto"/>
        </w:rPr>
      </w:pPr>
      <w:r>
        <w:rPr>
          <w:rFonts w:ascii="Arial" w:cs="Arial" w:eastAsia="Arial" w:hAnsi="Arial"/>
          <w:sz w:val="18"/>
          <w:szCs w:val="18"/>
          <w:color w:val="auto"/>
        </w:rPr>
        <w:t>GLOBALSTAR, INC.</w:t>
      </w:r>
    </w:p>
    <w:p>
      <w:pPr>
        <w:spacing w:after="0" w:line="200" w:lineRule="exact"/>
        <w:rPr>
          <w:sz w:val="20"/>
          <w:szCs w:val="20"/>
          <w:color w:val="auto"/>
        </w:rPr>
      </w:pPr>
    </w:p>
    <w:p>
      <w:pPr>
        <w:spacing w:after="0" w:line="295" w:lineRule="exact"/>
        <w:rPr>
          <w:sz w:val="20"/>
          <w:szCs w:val="20"/>
          <w:color w:val="auto"/>
        </w:rPr>
      </w:pPr>
    </w:p>
    <w:p>
      <w:pPr>
        <w:ind w:left="1260"/>
        <w:spacing w:after="0"/>
        <w:rPr>
          <w:sz w:val="20"/>
          <w:szCs w:val="20"/>
          <w:color w:val="auto"/>
        </w:rPr>
      </w:pPr>
      <w:r>
        <w:rPr>
          <w:rFonts w:ascii="Arial" w:cs="Arial" w:eastAsia="Arial" w:hAnsi="Arial"/>
          <w:sz w:val="18"/>
          <w:szCs w:val="18"/>
          <w:u w:val="single" w:color="auto"/>
          <w:color w:val="auto"/>
        </w:rPr>
        <w:t>/s/ David B. Kagan</w:t>
      </w:r>
    </w:p>
    <w:p>
      <w:pPr>
        <w:spacing w:after="0" w:line="23" w:lineRule="exact"/>
        <w:rPr>
          <w:sz w:val="20"/>
          <w:szCs w:val="20"/>
          <w:color w:val="auto"/>
        </w:rPr>
      </w:pPr>
    </w:p>
    <w:p>
      <w:pPr>
        <w:ind w:left="1260"/>
        <w:spacing w:after="0"/>
        <w:rPr>
          <w:sz w:val="20"/>
          <w:szCs w:val="20"/>
          <w:color w:val="auto"/>
        </w:rPr>
      </w:pPr>
      <w:r>
        <w:rPr>
          <w:rFonts w:ascii="Arial" w:cs="Arial" w:eastAsia="Arial" w:hAnsi="Arial"/>
          <w:sz w:val="18"/>
          <w:szCs w:val="18"/>
          <w:color w:val="auto"/>
        </w:rPr>
        <w:t>David B. Kagan</w:t>
      </w:r>
    </w:p>
    <w:p>
      <w:pPr>
        <w:spacing w:after="0" w:line="9" w:lineRule="exact"/>
        <w:rPr>
          <w:sz w:val="20"/>
          <w:szCs w:val="20"/>
          <w:color w:val="auto"/>
        </w:rPr>
      </w:pPr>
    </w:p>
    <w:p>
      <w:pPr>
        <w:ind w:left="1260"/>
        <w:spacing w:after="0"/>
        <w:rPr>
          <w:sz w:val="20"/>
          <w:szCs w:val="20"/>
          <w:color w:val="auto"/>
        </w:rPr>
      </w:pPr>
      <w:r>
        <w:rPr>
          <w:rFonts w:ascii="Arial" w:cs="Arial" w:eastAsia="Arial" w:hAnsi="Arial"/>
          <w:sz w:val="18"/>
          <w:szCs w:val="18"/>
          <w:color w:val="auto"/>
        </w:rPr>
        <w:t>Chief Executive Officer</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Date: May 25, 2021</w:t>
      </w:r>
    </w:p>
    <w:sectPr>
      <w:pgSz w:w="11900" w:h="16838" w:orient="portrait"/>
      <w:cols w:equalWidth="0" w:num="1">
        <w:col w:w="10340"/>
      </w:cols>
      <w:pgMar w:left="320" w:top="891" w:right="1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2021-05-25T15:28:05Z</dcterms:created>
  <dcterms:modified xsi:type="dcterms:W3CDTF">2021-05-25T15:28:05Z</dcterms:modified>
</cp:coreProperties>
</file>