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5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20"/>
        <w:spacing w:after="0"/>
        <w:tabs>
          <w:tab w:leader="none" w:pos="200" w:val="left"/>
        </w:tabs>
        <w:rPr>
          <w:sz w:val="20"/>
          <w:szCs w:val="20"/>
          <w:color w:val="auto"/>
        </w:rPr>
      </w:pPr>
      <w:r>
        <w:rPr>
          <w:rFonts w:ascii="Times New Roman" w:cs="Times New Roman" w:eastAsia="Times New Roman" w:hAnsi="Times New Roman"/>
          <w:sz w:val="18"/>
          <w:szCs w:val="18"/>
          <w:color w:val="auto"/>
        </w:rPr>
        <w:t>the Securities Exchange Act of 1934 (Amendment No.</w:t>
        <w:tab/>
        <w: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1120" w:hanging="507"/>
        <w:spacing w:after="0"/>
        <w:tabs>
          <w:tab w:leader="none" w:pos="11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sz w:val="24"/>
          <w:szCs w:val="24"/>
          <w:color w:val="auto"/>
        </w:rPr>
      </w:pPr>
    </w:p>
    <w:p>
      <w:pPr>
        <w:ind w:left="1120" w:hanging="507"/>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37" w:lineRule="exact"/>
        <w:rPr>
          <w:rFonts w:ascii="MS PGothic" w:cs="MS PGothic" w:eastAsia="MS PGothic" w:hAnsi="MS PGothic"/>
          <w:sz w:val="18"/>
          <w:szCs w:val="18"/>
          <w:color w:val="auto"/>
        </w:rPr>
      </w:pPr>
    </w:p>
    <w:p>
      <w:pPr>
        <w:ind w:left="1120" w:hanging="507"/>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 w:lineRule="exact"/>
        <w:rPr>
          <w:rFonts w:ascii="MS PGothic" w:cs="MS PGothic" w:eastAsia="MS PGothic" w:hAnsi="MS PGothic"/>
          <w:sz w:val="18"/>
          <w:szCs w:val="18"/>
          <w:color w:val="auto"/>
        </w:rPr>
      </w:pPr>
    </w:p>
    <w:p>
      <w:pPr>
        <w:ind w:left="1120" w:hanging="507"/>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1120" w:hanging="507"/>
        <w:spacing w:after="0"/>
        <w:tabs>
          <w:tab w:leader="none" w:pos="11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GLOBALSTAR,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17145</wp:posOffset>
            </wp:positionV>
            <wp:extent cx="6386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6195" cy="8890"/>
                    </a:xfrm>
                    <a:prstGeom prst="rect">
                      <a:avLst/>
                    </a:prstGeom>
                    <a:noFill/>
                  </pic:spPr>
                </pic:pic>
              </a:graphicData>
            </a:graphic>
          </wp:anchor>
        </w:drawing>
      </w:r>
    </w:p>
    <w:p>
      <w:pPr>
        <w:spacing w:after="0" w:line="1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382270</wp:posOffset>
            </wp:positionH>
            <wp:positionV relativeFrom="paragraph">
              <wp:posOffset>180340</wp:posOffset>
            </wp:positionV>
            <wp:extent cx="63861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6195" cy="8255"/>
                    </a:xfrm>
                    <a:prstGeom prst="rect">
                      <a:avLst/>
                    </a:prstGeom>
                    <a:noFill/>
                  </pic:spPr>
                </pic:pic>
              </a:graphicData>
            </a:graphic>
          </wp:anchor>
        </w:drawing>
      </w:r>
    </w:p>
    <w:p>
      <w:pPr>
        <w:spacing w:after="0" w:line="273"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12" w:lineRule="exact"/>
        <w:rPr>
          <w:sz w:val="24"/>
          <w:szCs w:val="24"/>
          <w:color w:val="auto"/>
        </w:rPr>
      </w:pPr>
    </w:p>
    <w:p>
      <w:pPr>
        <w:ind w:left="1060" w:hanging="447"/>
        <w:spacing w:after="0"/>
        <w:tabs>
          <w:tab w:leader="none" w:pos="10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7" w:lineRule="exact"/>
        <w:rPr>
          <w:sz w:val="24"/>
          <w:szCs w:val="24"/>
          <w:color w:val="auto"/>
        </w:rPr>
      </w:pPr>
    </w:p>
    <w:p>
      <w:pPr>
        <w:ind w:left="1060" w:hanging="447"/>
        <w:spacing w:after="0"/>
        <w:tabs>
          <w:tab w:leader="none" w:pos="10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7" w:lineRule="exact"/>
        <w:rPr>
          <w:rFonts w:ascii="MS PGothic" w:cs="MS PGothic" w:eastAsia="MS PGothic" w:hAnsi="MS PGothic"/>
          <w:sz w:val="18"/>
          <w:szCs w:val="18"/>
          <w:color w:val="auto"/>
        </w:rPr>
      </w:pPr>
    </w:p>
    <w:p>
      <w:pPr>
        <w:ind w:left="1060" w:hanging="447"/>
        <w:spacing w:after="0"/>
        <w:tabs>
          <w:tab w:leader="none" w:pos="106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929005</wp:posOffset>
            </wp:positionV>
            <wp:extent cx="1791335" cy="6789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6789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54585A"/>
        </w:rPr>
        <w:t>Date</w:t>
      </w:r>
    </w:p>
    <w:p>
      <w:pPr>
        <w:spacing w:after="0" w:line="29"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May 20, 2025</w:t>
      </w:r>
    </w:p>
    <w:p>
      <w:pPr>
        <w:spacing w:after="0" w:line="200" w:lineRule="exact"/>
        <w:rPr>
          <w:sz w:val="20"/>
          <w:szCs w:val="20"/>
          <w:color w:val="auto"/>
        </w:rPr>
      </w:pPr>
    </w:p>
    <w:p>
      <w:pPr>
        <w:spacing w:after="0" w:line="233"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54585A"/>
        </w:rPr>
        <w:t>Time</w:t>
      </w:r>
    </w:p>
    <w:p>
      <w:pPr>
        <w:spacing w:after="0" w:line="29"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1:00 p.m. Central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Time</w:t>
      </w:r>
    </w:p>
    <w:p>
      <w:pPr>
        <w:spacing w:after="0" w:line="392"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54585A"/>
        </w:rPr>
        <w:t>Place</w:t>
      </w:r>
    </w:p>
    <w:p>
      <w:pPr>
        <w:spacing w:after="0" w:line="29"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1351 Holiday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Square Blvd.,</w:t>
      </w:r>
    </w:p>
    <w:p>
      <w:pPr>
        <w:spacing w:after="0" w:line="1"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Covington, LA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4"/>
          <w:szCs w:val="14"/>
          <w:color w:val="54585A"/>
        </w:rPr>
        <w:t>70433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EB6C10"/>
        </w:rPr>
        <w:t>Your vote is</w:t>
      </w:r>
    </w:p>
    <w:p>
      <w:pPr>
        <w:spacing w:after="0" w:line="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EB6C10"/>
        </w:rPr>
        <w:t>important.</w:t>
      </w:r>
    </w:p>
    <w:p>
      <w:pPr>
        <w:spacing w:after="0" w:line="18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54585A"/>
        </w:rPr>
        <w:t>To ensure that your shares are voted at the Annual Meeting, we encourage you to act promptly.</w:t>
      </w:r>
    </w:p>
    <w:p>
      <w:pPr>
        <w:spacing w:after="0" w:line="126" w:lineRule="exact"/>
        <w:rPr>
          <w:sz w:val="20"/>
          <w:szCs w:val="20"/>
          <w:color w:val="auto"/>
        </w:rPr>
      </w:pPr>
    </w:p>
    <w:p>
      <w:pPr>
        <w:spacing w:after="0" w:line="332" w:lineRule="auto"/>
        <w:rPr>
          <w:sz w:val="20"/>
          <w:szCs w:val="20"/>
          <w:color w:val="auto"/>
        </w:rPr>
      </w:pPr>
      <w:r>
        <w:rPr>
          <w:rFonts w:ascii="Arial" w:cs="Arial" w:eastAsia="Arial" w:hAnsi="Arial"/>
          <w:sz w:val="16"/>
          <w:szCs w:val="16"/>
          <w:color w:val="54585A"/>
        </w:rPr>
        <w:t xml:space="preserve">Important Notice Regarding the Availability of Proxy Materials for the Stockholder Meeting to Be Held on May 20, 2025. The proxy statement and our 2024 annual report are available at </w:t>
      </w:r>
      <w:r>
        <w:rPr>
          <w:rFonts w:ascii="Arial" w:cs="Arial" w:eastAsia="Arial" w:hAnsi="Arial"/>
          <w:sz w:val="16"/>
          <w:szCs w:val="16"/>
          <w:i w:val="1"/>
          <w:iCs w:val="1"/>
          <w:color w:val="54585A"/>
        </w:rPr>
        <w:t xml:space="preserve">www.globalstar.com </w:t>
      </w:r>
      <w:r>
        <w:rPr>
          <w:rFonts w:ascii="Arial" w:cs="Arial" w:eastAsia="Arial" w:hAnsi="Arial"/>
          <w:sz w:val="16"/>
          <w:szCs w:val="16"/>
          <w:color w:val="54585A"/>
        </w:rPr>
        <w:t>and</w:t>
      </w:r>
      <w:r>
        <w:rPr>
          <w:rFonts w:ascii="Arial" w:cs="Arial" w:eastAsia="Arial" w:hAnsi="Arial"/>
          <w:sz w:val="16"/>
          <w:szCs w:val="16"/>
          <w:i w:val="1"/>
          <w:iCs w:val="1"/>
          <w:color w:val="54585A"/>
        </w:rPr>
        <w:t xml:space="preserve"> </w:t>
      </w:r>
      <w:r>
        <w:rPr>
          <w:rFonts w:ascii="Arial" w:cs="Arial" w:eastAsia="Arial" w:hAnsi="Arial"/>
          <w:sz w:val="16"/>
          <w:szCs w:val="16"/>
          <w:color w:val="54585A"/>
        </w:rPr>
        <w:t>www.ProxyVote.com.</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2240"/>
        <w:spacing w:after="0" w:line="235" w:lineRule="auto"/>
        <w:rPr>
          <w:sz w:val="20"/>
          <w:szCs w:val="20"/>
          <w:color w:val="auto"/>
        </w:rPr>
      </w:pPr>
      <w:r>
        <w:rPr>
          <w:rFonts w:ascii="Georgia" w:cs="Georgia" w:eastAsia="Georgia" w:hAnsi="Georgia"/>
          <w:sz w:val="54"/>
          <w:szCs w:val="54"/>
          <w:color w:val="EB6C10"/>
        </w:rPr>
        <w:t>Notice of Annual Meeting of Stockholders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Dear Fellow Stockholder:</w:t>
      </w:r>
    </w:p>
    <w:p>
      <w:pPr>
        <w:spacing w:after="0" w:line="95" w:lineRule="exact"/>
        <w:rPr>
          <w:sz w:val="20"/>
          <w:szCs w:val="20"/>
          <w:color w:val="auto"/>
        </w:rPr>
      </w:pPr>
    </w:p>
    <w:p>
      <w:pPr>
        <w:spacing w:after="0" w:line="342" w:lineRule="auto"/>
        <w:rPr>
          <w:sz w:val="20"/>
          <w:szCs w:val="20"/>
          <w:color w:val="auto"/>
        </w:rPr>
      </w:pPr>
      <w:r>
        <w:rPr>
          <w:rFonts w:ascii="Arial" w:cs="Arial" w:eastAsia="Arial" w:hAnsi="Arial"/>
          <w:sz w:val="16"/>
          <w:szCs w:val="16"/>
          <w:color w:val="54585A"/>
        </w:rPr>
        <w:t>It is my pleasure to invite you to attend the 2025 Annual Meeting of Stockholders (the “Annual Meeting”) of Globalstar, Inc. (“we,” “us,” “Globalstar,” or the “Company”). The Annual Meeting will be held at our headquarters at 1351 Holiday Square Blvd., Covington, LA 70433 at 1:00 p.m. Central Time on May 20, 2025. At the Annual Meeting, our stockholders of record as of March 25, 2025 will be asked to vote on the following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217170</wp:posOffset>
            </wp:positionV>
            <wp:extent cx="514350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30861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54585A"/>
        </w:rPr>
        <w:t>Elect Keith O. Cowan, Benjamin G. Wolff and Dr. Paul E. Jacobs as our three Class A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160655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220980</wp:posOffset>
            </wp:positionV>
            <wp:extent cx="274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54585A"/>
        </w:rPr>
        <w:t>Ratify the selection of Ernst &amp; Young LLP as our 2025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514350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2743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54585A"/>
        </w:rPr>
        <w:t>Approve the entry into the Amended Thermo Guaranty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5143500" cy="274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274320"/>
                    </a:xfrm>
                    <a:prstGeom prst="rect">
                      <a:avLst/>
                    </a:prstGeom>
                    <a:noFill/>
                  </pic:spPr>
                </pic:pic>
              </a:graphicData>
            </a:graphic>
          </wp:anchor>
        </w:drawing>
      </w:r>
    </w:p>
    <w:p>
      <w:pPr>
        <w:spacing w:after="0" w:line="346" w:lineRule="exact"/>
        <w:rPr>
          <w:sz w:val="20"/>
          <w:szCs w:val="20"/>
          <w:color w:val="auto"/>
        </w:rPr>
      </w:pPr>
    </w:p>
    <w:p>
      <w:pPr>
        <w:ind w:left="940"/>
        <w:spacing w:after="0"/>
        <w:rPr>
          <w:sz w:val="20"/>
          <w:szCs w:val="20"/>
          <w:color w:val="auto"/>
        </w:rPr>
      </w:pPr>
      <w:r>
        <w:rPr>
          <w:rFonts w:ascii="Arial" w:cs="Arial" w:eastAsia="Arial" w:hAnsi="Arial"/>
          <w:sz w:val="14"/>
          <w:szCs w:val="14"/>
          <w:b w:val="1"/>
          <w:bCs w:val="1"/>
          <w:color w:val="54585A"/>
        </w:rPr>
        <w:t>Approve the amendment to our Certificate of Incorporation to provide for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126365</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381" w:lineRule="exact"/>
        <w:rPr>
          <w:sz w:val="20"/>
          <w:szCs w:val="20"/>
          <w:color w:val="auto"/>
        </w:rPr>
      </w:pPr>
    </w:p>
    <w:p>
      <w:pPr>
        <w:ind w:right="520"/>
        <w:spacing w:after="0" w:line="374" w:lineRule="auto"/>
        <w:rPr>
          <w:sz w:val="20"/>
          <w:szCs w:val="20"/>
          <w:color w:val="auto"/>
        </w:rPr>
      </w:pPr>
      <w:r>
        <w:rPr>
          <w:rFonts w:ascii="Arial" w:cs="Arial" w:eastAsia="Arial" w:hAnsi="Arial"/>
          <w:sz w:val="16"/>
          <w:szCs w:val="16"/>
          <w:color w:val="54585A"/>
        </w:rPr>
        <w:t>We may also consider any other matters that may properly be brought before the Annual Meeting (or any adjournment or postponement thereof).</w:t>
      </w:r>
    </w:p>
    <w:p>
      <w:pPr>
        <w:spacing w:after="0" w:line="88" w:lineRule="exact"/>
        <w:rPr>
          <w:sz w:val="20"/>
          <w:szCs w:val="20"/>
          <w:color w:val="auto"/>
        </w:rPr>
      </w:pPr>
    </w:p>
    <w:p>
      <w:pPr>
        <w:spacing w:after="0" w:line="335" w:lineRule="auto"/>
        <w:rPr>
          <w:sz w:val="20"/>
          <w:szCs w:val="20"/>
          <w:color w:val="auto"/>
        </w:rPr>
      </w:pPr>
      <w:r>
        <w:rPr>
          <w:rFonts w:ascii="Arial" w:cs="Arial" w:eastAsia="Arial" w:hAnsi="Arial"/>
          <w:sz w:val="16"/>
          <w:szCs w:val="16"/>
          <w:color w:val="54585A"/>
        </w:rPr>
        <w:t>We are pleased to take advantage of the U.S. Securities and Exchange Commission rules that allow us to furnish our proxy materials via the internet. As a result, we are sending our stockholders a Notice of Internet Availability of Proxy Materials (the "N&amp;A Notice") instead of paper copies of this proxy statement and our 2024 Annual Report. The N&amp;A Notice contains instructions on how to access and review those documents using the internet. The N&amp;A Notice also instructs you on how to submit your proxy using the internet or by phone. If you would like to receive a printed copy of our proxy materials, you should follow the instructions for requesting them included in the N&amp;A Notice.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54585A"/>
        </w:rPr>
        <w:t>We look forward to seeing you at the Annual Meeting.</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54585A"/>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68580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James Monroe III</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54585A"/>
        </w:rPr>
        <w:t>Executive Chairman of the Board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54585A"/>
        </w:rPr>
        <w:t>Covington, Louisiana</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54585A"/>
        </w:rPr>
        <w:t>April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756285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80" w:space="700"/>
            <w:col w:w="8040"/>
          </w:cols>
          <w:pgMar w:left="680" w:top="1440" w:right="39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880"/>
        <w:spacing w:after="0"/>
        <w:rPr>
          <w:sz w:val="20"/>
          <w:szCs w:val="20"/>
          <w:color w:val="auto"/>
        </w:rPr>
      </w:pPr>
      <w:r>
        <w:rPr>
          <w:rFonts w:ascii="Georgia" w:cs="Georgia" w:eastAsia="Georgia" w:hAnsi="Georgia"/>
          <w:sz w:val="45"/>
          <w:szCs w:val="45"/>
          <w:color w:val="54585A"/>
        </w:rPr>
        <w:t>Table of Contents</w:t>
      </w:r>
    </w:p>
    <w:p>
      <w:pPr>
        <w:spacing w:after="0" w:line="90" w:lineRule="exact"/>
        <w:rPr>
          <w:sz w:val="20"/>
          <w:szCs w:val="20"/>
          <w:color w:val="auto"/>
        </w:rPr>
      </w:pPr>
    </w:p>
    <w:tbl>
      <w:tblPr>
        <w:tblLayout w:type="fixed"/>
        <w:tblInd w:w="3880" w:type="dxa"/>
        <w:tblCellMar>
          <w:top w:w="0" w:type="dxa"/>
          <w:left w:w="0" w:type="dxa"/>
          <w:bottom w:w="0" w:type="dxa"/>
          <w:right w:w="0" w:type="dxa"/>
        </w:tblCellMar>
      </w:tblPr>
      <w:tr>
        <w:trPr>
          <w:trHeight w:val="223"/>
        </w:trPr>
        <w:tc>
          <w:tcPr>
            <w:tcW w:w="5120" w:type="dxa"/>
            <w:vAlign w:val="bottom"/>
          </w:tcPr>
          <w:p>
            <w:pPr>
              <w:spacing w:after="0"/>
              <w:rPr>
                <w:sz w:val="20"/>
                <w:szCs w:val="20"/>
                <w:color w:val="auto"/>
              </w:rPr>
            </w:pPr>
            <w:r>
              <w:rPr>
                <w:rFonts w:ascii="Arial" w:cs="Arial" w:eastAsia="Arial" w:hAnsi="Arial"/>
                <w:sz w:val="16"/>
                <w:szCs w:val="16"/>
                <w:b w:val="1"/>
                <w:bCs w:val="1"/>
                <w:color w:val="54585A"/>
              </w:rPr>
              <w:t>Annual Meeting and Other Information</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54585A"/>
              </w:rPr>
              <w:t>1</w:t>
            </w:r>
          </w:p>
        </w:tc>
      </w:tr>
      <w:tr>
        <w:trPr>
          <w:trHeight w:val="464"/>
        </w:trPr>
        <w:tc>
          <w:tcPr>
            <w:tcW w:w="5120" w:type="dxa"/>
            <w:vAlign w:val="bottom"/>
          </w:tcPr>
          <w:p>
            <w:pPr>
              <w:ind w:left="340"/>
              <w:spacing w:after="0"/>
              <w:rPr>
                <w:sz w:val="20"/>
                <w:szCs w:val="20"/>
                <w:color w:val="auto"/>
              </w:rPr>
            </w:pPr>
            <w:r>
              <w:rPr>
                <w:rFonts w:ascii="Arial" w:cs="Arial" w:eastAsia="Arial" w:hAnsi="Arial"/>
                <w:sz w:val="16"/>
                <w:szCs w:val="16"/>
                <w:color w:val="54585A"/>
              </w:rPr>
              <w:t>Information about the Meeting, Voting and Attendance</w:t>
            </w:r>
          </w:p>
        </w:tc>
        <w:tc>
          <w:tcPr>
            <w:tcW w:w="1100" w:type="dxa"/>
            <w:vAlign w:val="bottom"/>
          </w:tcPr>
          <w:p>
            <w:pPr>
              <w:jc w:val="right"/>
              <w:spacing w:after="0"/>
              <w:rPr>
                <w:sz w:val="20"/>
                <w:szCs w:val="20"/>
                <w:color w:val="auto"/>
              </w:rPr>
            </w:pPr>
            <w:r>
              <w:rPr>
                <w:rFonts w:ascii="Arial" w:cs="Arial" w:eastAsia="Arial" w:hAnsi="Arial"/>
                <w:sz w:val="16"/>
                <w:szCs w:val="16"/>
                <w:color w:val="54585A"/>
              </w:rPr>
              <w:t>1</w:t>
            </w:r>
          </w:p>
        </w:tc>
      </w:tr>
      <w:tr>
        <w:trPr>
          <w:trHeight w:val="481"/>
        </w:trPr>
        <w:tc>
          <w:tcPr>
            <w:tcW w:w="5120" w:type="dxa"/>
            <w:vAlign w:val="bottom"/>
          </w:tcPr>
          <w:p>
            <w:pPr>
              <w:spacing w:after="0"/>
              <w:rPr>
                <w:sz w:val="20"/>
                <w:szCs w:val="20"/>
                <w:color w:val="auto"/>
              </w:rPr>
            </w:pPr>
            <w:r>
              <w:rPr>
                <w:rFonts w:ascii="Arial" w:cs="Arial" w:eastAsia="Arial" w:hAnsi="Arial"/>
                <w:sz w:val="16"/>
                <w:szCs w:val="16"/>
                <w:b w:val="1"/>
                <w:bCs w:val="1"/>
                <w:color w:val="54585A"/>
              </w:rPr>
              <w:t>Board of Directors and Corporate Governance</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54585A"/>
              </w:rPr>
              <w:t>5</w:t>
            </w:r>
          </w:p>
        </w:tc>
      </w:tr>
      <w:tr>
        <w:trPr>
          <w:trHeight w:val="464"/>
        </w:trPr>
        <w:tc>
          <w:tcPr>
            <w:tcW w:w="5120" w:type="dxa"/>
            <w:vAlign w:val="bottom"/>
          </w:tcPr>
          <w:p>
            <w:pPr>
              <w:ind w:left="340"/>
              <w:spacing w:after="0"/>
              <w:rPr>
                <w:sz w:val="20"/>
                <w:szCs w:val="20"/>
                <w:color w:val="auto"/>
              </w:rPr>
            </w:pPr>
            <w:r>
              <w:rPr>
                <w:rFonts w:ascii="Arial" w:cs="Arial" w:eastAsia="Arial" w:hAnsi="Arial"/>
                <w:sz w:val="16"/>
                <w:szCs w:val="16"/>
                <w:color w:val="54585A"/>
              </w:rPr>
              <w:t>Information about the Board and its Committees</w:t>
            </w:r>
          </w:p>
        </w:tc>
        <w:tc>
          <w:tcPr>
            <w:tcW w:w="1100" w:type="dxa"/>
            <w:vAlign w:val="bottom"/>
          </w:tcPr>
          <w:p>
            <w:pPr>
              <w:jc w:val="right"/>
              <w:spacing w:after="0"/>
              <w:rPr>
                <w:sz w:val="20"/>
                <w:szCs w:val="20"/>
                <w:color w:val="auto"/>
              </w:rPr>
            </w:pPr>
            <w:r>
              <w:rPr>
                <w:rFonts w:ascii="Arial" w:cs="Arial" w:eastAsia="Arial" w:hAnsi="Arial"/>
                <w:sz w:val="16"/>
                <w:szCs w:val="16"/>
                <w:color w:val="54585A"/>
              </w:rPr>
              <w:t>6</w:t>
            </w:r>
          </w:p>
        </w:tc>
      </w:tr>
      <w:tr>
        <w:trPr>
          <w:trHeight w:val="481"/>
        </w:trPr>
        <w:tc>
          <w:tcPr>
            <w:tcW w:w="5120" w:type="dxa"/>
            <w:vAlign w:val="bottom"/>
          </w:tcPr>
          <w:p>
            <w:pPr>
              <w:ind w:left="340"/>
              <w:spacing w:after="0"/>
              <w:rPr>
                <w:sz w:val="20"/>
                <w:szCs w:val="20"/>
                <w:color w:val="auto"/>
              </w:rPr>
            </w:pPr>
            <w:r>
              <w:rPr>
                <w:rFonts w:ascii="Arial" w:cs="Arial" w:eastAsia="Arial" w:hAnsi="Arial"/>
                <w:sz w:val="16"/>
                <w:szCs w:val="16"/>
                <w:b w:val="1"/>
                <w:bCs w:val="1"/>
                <w:color w:val="EB6C10"/>
              </w:rPr>
              <w:t xml:space="preserve">Proposal 1 </w:t>
            </w:r>
            <w:r>
              <w:rPr>
                <w:rFonts w:ascii="Arial" w:cs="Arial" w:eastAsia="Arial" w:hAnsi="Arial"/>
                <w:sz w:val="16"/>
                <w:szCs w:val="16"/>
                <w:b w:val="1"/>
                <w:bCs w:val="1"/>
                <w:color w:val="54585A"/>
              </w:rPr>
              <w:t>/</w:t>
            </w:r>
            <w:r>
              <w:rPr>
                <w:rFonts w:ascii="Arial" w:cs="Arial" w:eastAsia="Arial" w:hAnsi="Arial"/>
                <w:sz w:val="16"/>
                <w:szCs w:val="16"/>
                <w:b w:val="1"/>
                <w:bCs w:val="1"/>
                <w:color w:val="EB6C10"/>
              </w:rPr>
              <w:t xml:space="preserve"> </w:t>
            </w:r>
            <w:r>
              <w:rPr>
                <w:rFonts w:ascii="Arial" w:cs="Arial" w:eastAsia="Arial" w:hAnsi="Arial"/>
                <w:sz w:val="16"/>
                <w:szCs w:val="16"/>
                <w:color w:val="54585A"/>
              </w:rPr>
              <w:t>Election of Class A Directors</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EB6C10"/>
              </w:rPr>
              <w:t>18</w:t>
            </w:r>
          </w:p>
        </w:tc>
      </w:tr>
      <w:tr>
        <w:trPr>
          <w:trHeight w:val="464"/>
        </w:trPr>
        <w:tc>
          <w:tcPr>
            <w:tcW w:w="5120" w:type="dxa"/>
            <w:vAlign w:val="bottom"/>
          </w:tcPr>
          <w:p>
            <w:pPr>
              <w:ind w:left="340"/>
              <w:spacing w:after="0"/>
              <w:rPr>
                <w:sz w:val="20"/>
                <w:szCs w:val="20"/>
                <w:color w:val="auto"/>
              </w:rPr>
            </w:pPr>
            <w:r>
              <w:rPr>
                <w:rFonts w:ascii="Arial" w:cs="Arial" w:eastAsia="Arial" w:hAnsi="Arial"/>
                <w:sz w:val="16"/>
                <w:szCs w:val="16"/>
                <w:color w:val="54585A"/>
              </w:rPr>
              <w:t>Director Compensation</w:t>
            </w:r>
          </w:p>
        </w:tc>
        <w:tc>
          <w:tcPr>
            <w:tcW w:w="1100" w:type="dxa"/>
            <w:vAlign w:val="bottom"/>
          </w:tcPr>
          <w:p>
            <w:pPr>
              <w:jc w:val="right"/>
              <w:spacing w:after="0"/>
              <w:rPr>
                <w:sz w:val="20"/>
                <w:szCs w:val="20"/>
                <w:color w:val="auto"/>
              </w:rPr>
            </w:pPr>
            <w:r>
              <w:rPr>
                <w:rFonts w:ascii="Arial" w:cs="Arial" w:eastAsia="Arial" w:hAnsi="Arial"/>
                <w:sz w:val="16"/>
                <w:szCs w:val="16"/>
                <w:color w:val="54585A"/>
              </w:rPr>
              <w:t>19</w:t>
            </w:r>
          </w:p>
        </w:tc>
      </w:tr>
    </w:tbl>
    <w:p>
      <w:pPr>
        <w:spacing w:after="0" w:line="200" w:lineRule="exact"/>
        <w:rPr>
          <w:sz w:val="20"/>
          <w:szCs w:val="20"/>
          <w:color w:val="auto"/>
        </w:rPr>
      </w:pPr>
    </w:p>
    <w:p>
      <w:pPr>
        <w:sectPr>
          <w:pgSz w:w="11900" w:h="16838" w:orient="portrait"/>
          <w:cols w:equalWidth="0" w:num="1">
            <w:col w:w="10100"/>
          </w:cols>
          <w:pgMar w:left="1440" w:top="1440" w:right="359" w:bottom="630" w:gutter="0" w:footer="0" w:header="0"/>
        </w:sectPr>
      </w:pPr>
    </w:p>
    <w:p>
      <w:pPr>
        <w:spacing w:after="0" w:line="58"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54585A"/>
        </w:rPr>
        <w:t>Audit Matters</w:t>
      </w:r>
    </w:p>
    <w:p>
      <w:pPr>
        <w:spacing w:after="0" w:line="262"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1D8DB8"/>
        </w:rPr>
        <w:t xml:space="preserve">Proposal 2 </w:t>
      </w:r>
      <w:r>
        <w:rPr>
          <w:rFonts w:ascii="Arial" w:cs="Arial" w:eastAsia="Arial" w:hAnsi="Arial"/>
          <w:sz w:val="16"/>
          <w:szCs w:val="16"/>
          <w:b w:val="1"/>
          <w:bCs w:val="1"/>
          <w:color w:val="54585A"/>
        </w:rPr>
        <w:t>/</w:t>
      </w:r>
      <w:r>
        <w:rPr>
          <w:rFonts w:ascii="Arial" w:cs="Arial" w:eastAsia="Arial" w:hAnsi="Arial"/>
          <w:sz w:val="16"/>
          <w:szCs w:val="16"/>
          <w:b w:val="1"/>
          <w:bCs w:val="1"/>
          <w:color w:val="1D8DB8"/>
        </w:rPr>
        <w:t xml:space="preserve"> </w:t>
      </w:r>
      <w:r>
        <w:rPr>
          <w:rFonts w:ascii="Arial" w:cs="Arial" w:eastAsia="Arial" w:hAnsi="Arial"/>
          <w:sz w:val="16"/>
          <w:szCs w:val="16"/>
          <w:color w:val="54585A"/>
        </w:rPr>
        <w:t>Ratification of 2025 Independent Registered Public</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6"/>
          <w:szCs w:val="16"/>
          <w:color w:val="54585A"/>
        </w:rPr>
        <w:t>Accounting Firm</w:t>
      </w:r>
    </w:p>
    <w:p>
      <w:pPr>
        <w:spacing w:after="0" w:line="246"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54585A"/>
        </w:rPr>
        <w:t>Other Voting Matters</w:t>
      </w:r>
    </w:p>
    <w:p>
      <w:pPr>
        <w:spacing w:after="0" w:line="262"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63C237"/>
        </w:rPr>
        <w:t xml:space="preserve">Proposal 3 </w:t>
      </w:r>
      <w:r>
        <w:rPr>
          <w:rFonts w:ascii="Arial" w:cs="Arial" w:eastAsia="Arial" w:hAnsi="Arial"/>
          <w:sz w:val="16"/>
          <w:szCs w:val="16"/>
          <w:color w:val="54585A"/>
        </w:rPr>
        <w:t>/ Approval of entry into the Amended Thermo Guaranty</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6"/>
          <w:szCs w:val="16"/>
          <w:color w:val="54585A"/>
        </w:rPr>
        <w:t>Agreement</w:t>
      </w:r>
    </w:p>
    <w:p>
      <w:pPr>
        <w:spacing w:after="0" w:line="219"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FFD900"/>
        </w:rPr>
        <w:t xml:space="preserve">Proposal 4 </w:t>
      </w:r>
      <w:r>
        <w:rPr>
          <w:rFonts w:ascii="Arial" w:cs="Arial" w:eastAsia="Arial" w:hAnsi="Arial"/>
          <w:sz w:val="16"/>
          <w:szCs w:val="16"/>
          <w:color w:val="54585A"/>
        </w:rPr>
        <w:t>/ Approval of the amendment to our Certificate of</w:t>
      </w:r>
    </w:p>
    <w:p>
      <w:pPr>
        <w:spacing w:after="0" w:line="21" w:lineRule="exact"/>
        <w:rPr>
          <w:sz w:val="20"/>
          <w:szCs w:val="20"/>
          <w:color w:val="auto"/>
        </w:rPr>
      </w:pPr>
    </w:p>
    <w:p>
      <w:pPr>
        <w:ind w:left="4220"/>
        <w:spacing w:after="0"/>
        <w:rPr>
          <w:sz w:val="20"/>
          <w:szCs w:val="20"/>
          <w:color w:val="auto"/>
        </w:rPr>
      </w:pPr>
      <w:r>
        <w:rPr>
          <w:rFonts w:ascii="Arial" w:cs="Arial" w:eastAsia="Arial" w:hAnsi="Arial"/>
          <w:sz w:val="16"/>
          <w:szCs w:val="16"/>
          <w:color w:val="54585A"/>
        </w:rPr>
        <w:t>Incorporation to provide for officer exculpation</w:t>
      </w:r>
    </w:p>
    <w:p>
      <w:pPr>
        <w:spacing w:after="0" w:line="246" w:lineRule="exact"/>
        <w:rPr>
          <w:sz w:val="20"/>
          <w:szCs w:val="20"/>
          <w:color w:val="auto"/>
        </w:rPr>
      </w:pPr>
    </w:p>
    <w:p>
      <w:pPr>
        <w:ind w:left="3880"/>
        <w:spacing w:after="0"/>
        <w:rPr>
          <w:sz w:val="20"/>
          <w:szCs w:val="20"/>
          <w:color w:val="auto"/>
        </w:rPr>
      </w:pPr>
      <w:r>
        <w:rPr>
          <w:rFonts w:ascii="Arial" w:cs="Arial" w:eastAsia="Arial" w:hAnsi="Arial"/>
          <w:sz w:val="16"/>
          <w:szCs w:val="16"/>
          <w:b w:val="1"/>
          <w:bCs w:val="1"/>
          <w:color w:val="54585A"/>
        </w:rPr>
        <w:t>Executive Officers and Compensation</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21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1D8DB8"/>
        </w:rPr>
        <w:t>21</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23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63C237"/>
        </w:rPr>
        <w:t>23</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FFD900"/>
        </w:rPr>
        <w:t>25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28</w:t>
      </w:r>
    </w:p>
    <w:p>
      <w:pPr>
        <w:spacing w:after="0" w:line="200" w:lineRule="exact"/>
        <w:rPr>
          <w:sz w:val="20"/>
          <w:szCs w:val="20"/>
          <w:color w:val="auto"/>
        </w:rPr>
      </w:pPr>
    </w:p>
    <w:p>
      <w:pPr>
        <w:sectPr>
          <w:pgSz w:w="11900" w:h="16838" w:orient="portrait"/>
          <w:cols w:equalWidth="0" w:num="2">
            <w:col w:w="9200" w:space="720"/>
            <w:col w:w="180"/>
          </w:cols>
          <w:pgMar w:left="1440" w:top="1440" w:right="359" w:bottom="630" w:gutter="0" w:footer="0" w:header="0"/>
          <w:type w:val="continuous"/>
        </w:sectPr>
      </w:pPr>
    </w:p>
    <w:p>
      <w:pPr>
        <w:spacing w:after="0" w:line="89" w:lineRule="exact"/>
        <w:rPr>
          <w:sz w:val="20"/>
          <w:szCs w:val="20"/>
          <w:color w:val="auto"/>
        </w:rPr>
      </w:pPr>
    </w:p>
    <w:tbl>
      <w:tblPr>
        <w:tblLayout w:type="fixed"/>
        <w:tblInd w:w="3880" w:type="dxa"/>
        <w:tblCellMar>
          <w:top w:w="0" w:type="dxa"/>
          <w:left w:w="0" w:type="dxa"/>
          <w:bottom w:w="0" w:type="dxa"/>
          <w:right w:w="0" w:type="dxa"/>
        </w:tblCellMar>
      </w:tblPr>
      <w:tr>
        <w:trPr>
          <w:trHeight w:val="215"/>
        </w:trPr>
        <w:tc>
          <w:tcPr>
            <w:tcW w:w="4560" w:type="dxa"/>
            <w:vAlign w:val="bottom"/>
          </w:tcPr>
          <w:p>
            <w:pPr>
              <w:ind w:left="340"/>
              <w:spacing w:after="0"/>
              <w:rPr>
                <w:sz w:val="20"/>
                <w:szCs w:val="20"/>
                <w:color w:val="auto"/>
              </w:rPr>
            </w:pPr>
            <w:r>
              <w:rPr>
                <w:rFonts w:ascii="Arial" w:cs="Arial" w:eastAsia="Arial" w:hAnsi="Arial"/>
                <w:sz w:val="16"/>
                <w:szCs w:val="16"/>
                <w:color w:val="54585A"/>
              </w:rPr>
              <w:t>Executive Officers</w:t>
            </w:r>
          </w:p>
        </w:tc>
        <w:tc>
          <w:tcPr>
            <w:tcW w:w="1660" w:type="dxa"/>
            <w:vAlign w:val="bottom"/>
          </w:tcPr>
          <w:p>
            <w:pPr>
              <w:jc w:val="right"/>
              <w:spacing w:after="0"/>
              <w:rPr>
                <w:sz w:val="20"/>
                <w:szCs w:val="20"/>
                <w:color w:val="auto"/>
              </w:rPr>
            </w:pPr>
            <w:r>
              <w:rPr>
                <w:rFonts w:ascii="Arial" w:cs="Arial" w:eastAsia="Arial" w:hAnsi="Arial"/>
                <w:sz w:val="16"/>
                <w:szCs w:val="16"/>
                <w:color w:val="54585A"/>
              </w:rPr>
              <w:t>28</w:t>
            </w:r>
          </w:p>
        </w:tc>
      </w:tr>
      <w:tr>
        <w:trPr>
          <w:trHeight w:val="472"/>
        </w:trPr>
        <w:tc>
          <w:tcPr>
            <w:tcW w:w="4560" w:type="dxa"/>
            <w:vAlign w:val="bottom"/>
          </w:tcPr>
          <w:p>
            <w:pPr>
              <w:ind w:left="340"/>
              <w:spacing w:after="0"/>
              <w:rPr>
                <w:sz w:val="20"/>
                <w:szCs w:val="20"/>
                <w:color w:val="auto"/>
              </w:rPr>
            </w:pPr>
            <w:r>
              <w:rPr>
                <w:rFonts w:ascii="Arial" w:cs="Arial" w:eastAsia="Arial" w:hAnsi="Arial"/>
                <w:sz w:val="16"/>
                <w:szCs w:val="16"/>
                <w:color w:val="54585A"/>
              </w:rPr>
              <w:t>Compensation Discussion and Analysis</w:t>
            </w:r>
          </w:p>
        </w:tc>
        <w:tc>
          <w:tcPr>
            <w:tcW w:w="1660" w:type="dxa"/>
            <w:vAlign w:val="bottom"/>
          </w:tcPr>
          <w:p>
            <w:pPr>
              <w:jc w:val="right"/>
              <w:spacing w:after="0"/>
              <w:rPr>
                <w:sz w:val="20"/>
                <w:szCs w:val="20"/>
                <w:color w:val="auto"/>
              </w:rPr>
            </w:pPr>
            <w:r>
              <w:rPr>
                <w:rFonts w:ascii="Arial" w:cs="Arial" w:eastAsia="Arial" w:hAnsi="Arial"/>
                <w:sz w:val="16"/>
                <w:szCs w:val="16"/>
                <w:color w:val="54585A"/>
              </w:rPr>
              <w:t>29</w:t>
            </w:r>
          </w:p>
        </w:tc>
      </w:tr>
      <w:tr>
        <w:trPr>
          <w:trHeight w:val="473"/>
        </w:trPr>
        <w:tc>
          <w:tcPr>
            <w:tcW w:w="4560" w:type="dxa"/>
            <w:vAlign w:val="bottom"/>
          </w:tcPr>
          <w:p>
            <w:pPr>
              <w:ind w:left="340"/>
              <w:spacing w:after="0"/>
              <w:rPr>
                <w:sz w:val="20"/>
                <w:szCs w:val="20"/>
                <w:color w:val="auto"/>
              </w:rPr>
            </w:pPr>
            <w:r>
              <w:rPr>
                <w:rFonts w:ascii="Arial" w:cs="Arial" w:eastAsia="Arial" w:hAnsi="Arial"/>
                <w:sz w:val="16"/>
                <w:szCs w:val="16"/>
                <w:color w:val="54585A"/>
              </w:rPr>
              <w:t>Summary Compensation Table</w:t>
            </w:r>
          </w:p>
        </w:tc>
        <w:tc>
          <w:tcPr>
            <w:tcW w:w="1660" w:type="dxa"/>
            <w:vAlign w:val="bottom"/>
          </w:tcPr>
          <w:p>
            <w:pPr>
              <w:jc w:val="right"/>
              <w:spacing w:after="0"/>
              <w:rPr>
                <w:sz w:val="20"/>
                <w:szCs w:val="20"/>
                <w:color w:val="auto"/>
              </w:rPr>
            </w:pPr>
            <w:r>
              <w:rPr>
                <w:rFonts w:ascii="Arial" w:cs="Arial" w:eastAsia="Arial" w:hAnsi="Arial"/>
                <w:sz w:val="16"/>
                <w:szCs w:val="16"/>
                <w:color w:val="54585A"/>
              </w:rPr>
              <w:t>33</w:t>
            </w:r>
          </w:p>
        </w:tc>
      </w:tr>
      <w:tr>
        <w:trPr>
          <w:trHeight w:val="473"/>
        </w:trPr>
        <w:tc>
          <w:tcPr>
            <w:tcW w:w="4560" w:type="dxa"/>
            <w:vAlign w:val="bottom"/>
          </w:tcPr>
          <w:p>
            <w:pPr>
              <w:ind w:left="340"/>
              <w:spacing w:after="0"/>
              <w:rPr>
                <w:sz w:val="20"/>
                <w:szCs w:val="20"/>
                <w:color w:val="auto"/>
              </w:rPr>
            </w:pPr>
            <w:r>
              <w:rPr>
                <w:rFonts w:ascii="Arial" w:cs="Arial" w:eastAsia="Arial" w:hAnsi="Arial"/>
                <w:sz w:val="16"/>
                <w:szCs w:val="16"/>
                <w:color w:val="54585A"/>
              </w:rPr>
              <w:t>Equity Compensation</w:t>
            </w:r>
          </w:p>
        </w:tc>
        <w:tc>
          <w:tcPr>
            <w:tcW w:w="1660" w:type="dxa"/>
            <w:vAlign w:val="bottom"/>
          </w:tcPr>
          <w:p>
            <w:pPr>
              <w:jc w:val="right"/>
              <w:spacing w:after="0"/>
              <w:rPr>
                <w:sz w:val="20"/>
                <w:szCs w:val="20"/>
                <w:color w:val="auto"/>
              </w:rPr>
            </w:pPr>
            <w:r>
              <w:rPr>
                <w:rFonts w:ascii="Arial" w:cs="Arial" w:eastAsia="Arial" w:hAnsi="Arial"/>
                <w:sz w:val="16"/>
                <w:szCs w:val="16"/>
                <w:color w:val="54585A"/>
              </w:rPr>
              <w:t>34</w:t>
            </w:r>
          </w:p>
        </w:tc>
      </w:tr>
      <w:tr>
        <w:trPr>
          <w:trHeight w:val="472"/>
        </w:trPr>
        <w:tc>
          <w:tcPr>
            <w:tcW w:w="4560" w:type="dxa"/>
            <w:vAlign w:val="bottom"/>
          </w:tcPr>
          <w:p>
            <w:pPr>
              <w:ind w:left="340"/>
              <w:spacing w:after="0"/>
              <w:rPr>
                <w:sz w:val="20"/>
                <w:szCs w:val="20"/>
                <w:color w:val="auto"/>
              </w:rPr>
            </w:pPr>
            <w:r>
              <w:rPr>
                <w:rFonts w:ascii="Arial" w:cs="Arial" w:eastAsia="Arial" w:hAnsi="Arial"/>
                <w:sz w:val="16"/>
                <w:szCs w:val="16"/>
                <w:color w:val="54585A"/>
              </w:rPr>
              <w:t>Equity Compensation Plan Information</w:t>
            </w:r>
          </w:p>
        </w:tc>
        <w:tc>
          <w:tcPr>
            <w:tcW w:w="1660" w:type="dxa"/>
            <w:vAlign w:val="bottom"/>
          </w:tcPr>
          <w:p>
            <w:pPr>
              <w:jc w:val="right"/>
              <w:spacing w:after="0"/>
              <w:rPr>
                <w:sz w:val="20"/>
                <w:szCs w:val="20"/>
                <w:color w:val="auto"/>
              </w:rPr>
            </w:pPr>
            <w:r>
              <w:rPr>
                <w:rFonts w:ascii="Arial" w:cs="Arial" w:eastAsia="Arial" w:hAnsi="Arial"/>
                <w:sz w:val="16"/>
                <w:szCs w:val="16"/>
                <w:color w:val="54585A"/>
              </w:rPr>
              <w:t>38</w:t>
            </w:r>
          </w:p>
        </w:tc>
      </w:tr>
      <w:tr>
        <w:trPr>
          <w:trHeight w:val="473"/>
        </w:trPr>
        <w:tc>
          <w:tcPr>
            <w:tcW w:w="4560" w:type="dxa"/>
            <w:vAlign w:val="bottom"/>
          </w:tcPr>
          <w:p>
            <w:pPr>
              <w:ind w:left="340"/>
              <w:spacing w:after="0"/>
              <w:rPr>
                <w:sz w:val="20"/>
                <w:szCs w:val="20"/>
                <w:color w:val="auto"/>
              </w:rPr>
            </w:pPr>
            <w:r>
              <w:rPr>
                <w:rFonts w:ascii="Arial" w:cs="Arial" w:eastAsia="Arial" w:hAnsi="Arial"/>
                <w:sz w:val="16"/>
                <w:szCs w:val="16"/>
                <w:color w:val="54585A"/>
              </w:rPr>
              <w:t>Pay Versus Performance</w:t>
            </w:r>
          </w:p>
        </w:tc>
        <w:tc>
          <w:tcPr>
            <w:tcW w:w="1660" w:type="dxa"/>
            <w:vAlign w:val="bottom"/>
          </w:tcPr>
          <w:p>
            <w:pPr>
              <w:jc w:val="right"/>
              <w:spacing w:after="0"/>
              <w:rPr>
                <w:sz w:val="20"/>
                <w:szCs w:val="20"/>
                <w:color w:val="auto"/>
              </w:rPr>
            </w:pPr>
            <w:r>
              <w:rPr>
                <w:rFonts w:ascii="Arial" w:cs="Arial" w:eastAsia="Arial" w:hAnsi="Arial"/>
                <w:sz w:val="16"/>
                <w:szCs w:val="16"/>
                <w:color w:val="54585A"/>
              </w:rPr>
              <w:t>39</w:t>
            </w:r>
          </w:p>
        </w:tc>
      </w:tr>
      <w:tr>
        <w:trPr>
          <w:trHeight w:val="473"/>
        </w:trPr>
        <w:tc>
          <w:tcPr>
            <w:tcW w:w="4560" w:type="dxa"/>
            <w:vAlign w:val="bottom"/>
          </w:tcPr>
          <w:p>
            <w:pPr>
              <w:ind w:left="340"/>
              <w:spacing w:after="0"/>
              <w:rPr>
                <w:sz w:val="20"/>
                <w:szCs w:val="20"/>
                <w:color w:val="auto"/>
              </w:rPr>
            </w:pPr>
            <w:r>
              <w:rPr>
                <w:rFonts w:ascii="Arial" w:cs="Arial" w:eastAsia="Arial" w:hAnsi="Arial"/>
                <w:sz w:val="16"/>
                <w:szCs w:val="16"/>
                <w:color w:val="54585A"/>
              </w:rPr>
              <w:t>Pay Ratio</w:t>
            </w:r>
          </w:p>
        </w:tc>
        <w:tc>
          <w:tcPr>
            <w:tcW w:w="1660" w:type="dxa"/>
            <w:vAlign w:val="bottom"/>
          </w:tcPr>
          <w:p>
            <w:pPr>
              <w:jc w:val="right"/>
              <w:spacing w:after="0"/>
              <w:rPr>
                <w:sz w:val="20"/>
                <w:szCs w:val="20"/>
                <w:color w:val="auto"/>
              </w:rPr>
            </w:pPr>
            <w:r>
              <w:rPr>
                <w:rFonts w:ascii="Arial" w:cs="Arial" w:eastAsia="Arial" w:hAnsi="Arial"/>
                <w:sz w:val="16"/>
                <w:szCs w:val="16"/>
                <w:color w:val="54585A"/>
              </w:rPr>
              <w:t>46</w:t>
            </w:r>
          </w:p>
        </w:tc>
      </w:tr>
      <w:tr>
        <w:trPr>
          <w:trHeight w:val="480"/>
        </w:trPr>
        <w:tc>
          <w:tcPr>
            <w:tcW w:w="4560" w:type="dxa"/>
            <w:vAlign w:val="bottom"/>
          </w:tcPr>
          <w:p>
            <w:pPr>
              <w:spacing w:after="0"/>
              <w:rPr>
                <w:sz w:val="20"/>
                <w:szCs w:val="20"/>
                <w:color w:val="auto"/>
              </w:rPr>
            </w:pPr>
            <w:r>
              <w:rPr>
                <w:rFonts w:ascii="Arial" w:cs="Arial" w:eastAsia="Arial" w:hAnsi="Arial"/>
                <w:sz w:val="16"/>
                <w:szCs w:val="16"/>
                <w:b w:val="1"/>
                <w:bCs w:val="1"/>
                <w:color w:val="54585A"/>
              </w:rPr>
              <w:t>Security Ownership</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54585A"/>
              </w:rPr>
              <w:t>47</w:t>
            </w:r>
          </w:p>
        </w:tc>
      </w:tr>
      <w:tr>
        <w:trPr>
          <w:trHeight w:val="473"/>
        </w:trPr>
        <w:tc>
          <w:tcPr>
            <w:tcW w:w="4560" w:type="dxa"/>
            <w:vAlign w:val="bottom"/>
          </w:tcPr>
          <w:p>
            <w:pPr>
              <w:spacing w:after="0"/>
              <w:rPr>
                <w:sz w:val="20"/>
                <w:szCs w:val="20"/>
                <w:color w:val="auto"/>
              </w:rPr>
            </w:pPr>
            <w:r>
              <w:rPr>
                <w:rFonts w:ascii="Arial" w:cs="Arial" w:eastAsia="Arial" w:hAnsi="Arial"/>
                <w:sz w:val="16"/>
                <w:szCs w:val="16"/>
                <w:b w:val="1"/>
                <w:bCs w:val="1"/>
                <w:color w:val="54585A"/>
              </w:rPr>
              <w:t>Related Person Transactions</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54585A"/>
              </w:rPr>
              <w:t>49</w:t>
            </w:r>
          </w:p>
        </w:tc>
      </w:tr>
      <w:tr>
        <w:trPr>
          <w:trHeight w:val="472"/>
        </w:trPr>
        <w:tc>
          <w:tcPr>
            <w:tcW w:w="4560" w:type="dxa"/>
            <w:vAlign w:val="bottom"/>
          </w:tcPr>
          <w:p>
            <w:pPr>
              <w:spacing w:after="0"/>
              <w:rPr>
                <w:sz w:val="20"/>
                <w:szCs w:val="20"/>
                <w:color w:val="auto"/>
              </w:rPr>
            </w:pPr>
            <w:r>
              <w:rPr>
                <w:rFonts w:ascii="Arial" w:cs="Arial" w:eastAsia="Arial" w:hAnsi="Arial"/>
                <w:sz w:val="16"/>
                <w:szCs w:val="16"/>
                <w:b w:val="1"/>
                <w:bCs w:val="1"/>
                <w:color w:val="54585A"/>
              </w:rPr>
              <w:t>Other Information</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54585A"/>
              </w:rPr>
              <w:t>52</w:t>
            </w:r>
          </w:p>
        </w:tc>
      </w:tr>
      <w:tr>
        <w:trPr>
          <w:trHeight w:val="464"/>
        </w:trPr>
        <w:tc>
          <w:tcPr>
            <w:tcW w:w="4560" w:type="dxa"/>
            <w:vAlign w:val="bottom"/>
          </w:tcPr>
          <w:p>
            <w:pPr>
              <w:ind w:left="340"/>
              <w:spacing w:after="0"/>
              <w:rPr>
                <w:sz w:val="20"/>
                <w:szCs w:val="20"/>
                <w:color w:val="auto"/>
              </w:rPr>
            </w:pPr>
            <w:r>
              <w:rPr>
                <w:rFonts w:ascii="Arial" w:cs="Arial" w:eastAsia="Arial" w:hAnsi="Arial"/>
                <w:sz w:val="16"/>
                <w:szCs w:val="16"/>
                <w:color w:val="54585A"/>
              </w:rPr>
              <w:t>Requests for Documents</w:t>
            </w:r>
          </w:p>
        </w:tc>
        <w:tc>
          <w:tcPr>
            <w:tcW w:w="1660" w:type="dxa"/>
            <w:vAlign w:val="bottom"/>
          </w:tcPr>
          <w:p>
            <w:pPr>
              <w:jc w:val="right"/>
              <w:spacing w:after="0"/>
              <w:rPr>
                <w:sz w:val="20"/>
                <w:szCs w:val="20"/>
                <w:color w:val="auto"/>
              </w:rPr>
            </w:pPr>
            <w:r>
              <w:rPr>
                <w:rFonts w:ascii="Arial" w:cs="Arial" w:eastAsia="Arial" w:hAnsi="Arial"/>
                <w:sz w:val="16"/>
                <w:szCs w:val="16"/>
                <w:color w:val="54585A"/>
              </w:rPr>
              <w:t>52</w:t>
            </w:r>
          </w:p>
        </w:tc>
      </w:tr>
      <w:tr>
        <w:trPr>
          <w:trHeight w:val="480"/>
        </w:trPr>
        <w:tc>
          <w:tcPr>
            <w:tcW w:w="4560" w:type="dxa"/>
            <w:vAlign w:val="bottom"/>
          </w:tcPr>
          <w:p>
            <w:pPr>
              <w:spacing w:after="0"/>
              <w:rPr>
                <w:sz w:val="20"/>
                <w:szCs w:val="20"/>
                <w:color w:val="auto"/>
              </w:rPr>
            </w:pPr>
            <w:r>
              <w:rPr>
                <w:rFonts w:ascii="Arial" w:cs="Arial" w:eastAsia="Arial" w:hAnsi="Arial"/>
                <w:sz w:val="16"/>
                <w:szCs w:val="16"/>
                <w:b w:val="1"/>
                <w:bCs w:val="1"/>
                <w:color w:val="54585A"/>
              </w:rPr>
              <w:t>Appendix A</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54585A"/>
              </w:rPr>
              <w:t>A-1</w:t>
            </w:r>
          </w:p>
        </w:tc>
      </w:tr>
    </w:tbl>
    <w:p>
      <w:pPr>
        <w:sectPr>
          <w:pgSz w:w="11900" w:h="16838" w:orient="portrait"/>
          <w:cols w:equalWidth="0" w:num="1">
            <w:col w:w="10100"/>
          </w:cols>
          <w:pgMar w:left="1440" w:top="1440" w:right="359" w:bottom="630" w:gutter="0" w:footer="0" w:header="0"/>
          <w:type w:val="continuous"/>
        </w:sectPr>
      </w:pPr>
    </w:p>
    <w:bookmarkStart w:id="3" w:name="page4"/>
    <w:bookmarkEnd w:id="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445135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Arial" w:cs="Arial" w:eastAsia="Arial" w:hAnsi="Arial"/>
          <w:sz w:val="14"/>
          <w:szCs w:val="14"/>
          <w:color w:val="54585A"/>
        </w:rPr>
        <w:t xml:space="preserve">Annual Meeting and Other Information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54"/>
          <w:szCs w:val="54"/>
          <w:color w:val="EB6C10"/>
        </w:rPr>
        <w:t>Annual Meeting and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54585A"/>
        </w:rPr>
        <w:t>Information About the Annual Meeting, Voting and Attendance</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4585A"/>
        </w:rPr>
        <w:t>We are providing you with this proxy statement and the related proxy card because our Board of Directors (the “Board”) is soliciting your proxy to vote your shares of our common stock at the Annual Meeting. At the Annual Meeting, stockholders will be asked to elect three Class A Directors; ratify the selection of Ernst &amp; Young LLP ("EY") as our 2025 independent registered public accounting firm; approve our entry into the Amended Thermo Guaranty Agreement; approve an amendment to our Certificate of Incorporation to provide for officer exculpation; and consider any other matters that may properly be brought before the Annual Meeting. You are invited to attend the Annual Meeting, where you may vote your shares of our common stock in person. However, whether or not you attend the Annual Meeting, you may vote by proxy as described on the next page.</w:t>
      </w:r>
    </w:p>
    <w:p>
      <w:pPr>
        <w:spacing w:after="0" w:line="114" w:lineRule="exact"/>
        <w:rPr>
          <w:sz w:val="20"/>
          <w:szCs w:val="20"/>
          <w:color w:val="auto"/>
        </w:rPr>
      </w:pPr>
    </w:p>
    <w:p>
      <w:pPr>
        <w:ind w:right="80"/>
        <w:spacing w:after="0" w:line="374" w:lineRule="auto"/>
        <w:rPr>
          <w:sz w:val="20"/>
          <w:szCs w:val="20"/>
          <w:color w:val="auto"/>
        </w:rPr>
      </w:pPr>
      <w:r>
        <w:rPr>
          <w:rFonts w:ascii="Arial" w:cs="Arial" w:eastAsia="Arial" w:hAnsi="Arial"/>
          <w:sz w:val="16"/>
          <w:szCs w:val="16"/>
          <w:color w:val="54585A"/>
        </w:rPr>
        <w:t>We are furnishing our proxy materials via the internet. We expect to begin mailing the N&amp;A Notice on or about April 9, 2025 to registered stockholders at the close of business on March 25, 2025 (the “Record Date”).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Why Did You Receive a Notice of Internet Availability of Proxy Materials (Instead of a Full Set)</w:t>
      </w:r>
    </w:p>
    <w:p>
      <w:pPr>
        <w:spacing w:after="0" w:line="9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54585A"/>
        </w:rPr>
        <w:t>In accordance with the rules of the U.S. Securities and Exchange Commission (the “SEC”), instead of mailing a printed copy of our proxy materials to each stockholder of record, we intend to furnish our proxy materials, including this proxy statement and our 2024 annual report to stockholders, by providing access to these documents on the internet and notice of such access. Generally, stockholders will not receive printed copies of the proxy materials unless they request them.</w:t>
      </w:r>
    </w:p>
    <w:p>
      <w:pPr>
        <w:spacing w:after="0" w:line="12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54585A"/>
        </w:rPr>
        <w:t>We have mailed a Notice of Annual Meeting of Stockholders and Internet Availability of Proxy Materials (the “N&amp;A Notice”) to our registered stockholders as of the Record Date. The N&amp;A Notice provides instructions to registered stockholders for accessing our proxy materials and for submitting your proxy and voting instructions for shares of our common stock on the internet. If you are a registered stockholder and prefer to receive a paper or email copy of our proxy materials, you should follow the instructions provided in the N&amp;A Notice for requesting those materials.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Who Can Vote</w:t>
      </w:r>
    </w:p>
    <w:p>
      <w:pPr>
        <w:spacing w:after="0" w:line="81" w:lineRule="exact"/>
        <w:rPr>
          <w:sz w:val="20"/>
          <w:szCs w:val="20"/>
          <w:color w:val="auto"/>
        </w:rPr>
      </w:pPr>
    </w:p>
    <w:p>
      <w:pPr>
        <w:jc w:val="both"/>
        <w:ind w:right="520"/>
        <w:spacing w:after="0" w:line="354" w:lineRule="auto"/>
        <w:rPr>
          <w:sz w:val="20"/>
          <w:szCs w:val="20"/>
          <w:color w:val="auto"/>
        </w:rPr>
      </w:pPr>
      <w:r>
        <w:rPr>
          <w:rFonts w:ascii="Arial" w:cs="Arial" w:eastAsia="Arial" w:hAnsi="Arial"/>
          <w:sz w:val="16"/>
          <w:szCs w:val="16"/>
          <w:color w:val="54585A"/>
        </w:rPr>
        <w:t>Only holders of our common stock at the close of business on the Record Date are entitled to vote at the Annual Meeting. Holders of stock options or unvested restricted stock units issued under our Equity Incentive Plan cannot vote the shares issuable upon exercise or vesting until those shares are issued.</w:t>
      </w:r>
    </w:p>
    <w:p>
      <w:pPr>
        <w:spacing w:after="0" w:line="104"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54585A"/>
        </w:rPr>
        <w:t>On the Record Date, there were 126,582,094 shares of our common stock outstanding and entitled to vote. Each share of our common stock that you owned as of the Record Date entitles you to one vote on each matter to be voted on at the Annual Meeting.</w:t>
      </w:r>
    </w:p>
    <w:p>
      <w:pPr>
        <w:spacing w:after="0" w:line="88" w:lineRule="exact"/>
        <w:rPr>
          <w:sz w:val="20"/>
          <w:szCs w:val="20"/>
          <w:color w:val="auto"/>
        </w:rPr>
      </w:pPr>
    </w:p>
    <w:p>
      <w:pPr>
        <w:ind w:right="140"/>
        <w:spacing w:after="0" w:line="354" w:lineRule="auto"/>
        <w:rPr>
          <w:sz w:val="20"/>
          <w:szCs w:val="20"/>
          <w:color w:val="auto"/>
        </w:rPr>
      </w:pPr>
      <w:r>
        <w:rPr>
          <w:rFonts w:ascii="Arial" w:cs="Arial" w:eastAsia="Arial" w:hAnsi="Arial"/>
          <w:sz w:val="16"/>
          <w:szCs w:val="16"/>
          <w:color w:val="54585A"/>
        </w:rPr>
        <w:t>Registered stockholders as of the Record Date can submit their proxy and voting instructions before or at the Annual Meeting in any one of the four ways described below. When you submit your proxy and voting instructions on the internet or by telephone or proxy card, you are authorizing the persons named on the proxy card (the "management proxies") to vote your shares in the manner you direct.</w:t>
      </w:r>
    </w:p>
    <w:p>
      <w:pPr>
        <w:spacing w:after="0" w:line="104" w:lineRule="exact"/>
        <w:rPr>
          <w:sz w:val="20"/>
          <w:szCs w:val="20"/>
          <w:color w:val="auto"/>
        </w:rPr>
      </w:pPr>
    </w:p>
    <w:p>
      <w:pPr>
        <w:ind w:left="480" w:hanging="148"/>
        <w:spacing w:after="0"/>
        <w:tabs>
          <w:tab w:leader="none" w:pos="480" w:val="left"/>
        </w:tabs>
        <w:numPr>
          <w:ilvl w:val="0"/>
          <w:numId w:val="5"/>
        </w:numPr>
        <w:rPr>
          <w:rFonts w:ascii="Arial" w:cs="Arial" w:eastAsia="Arial" w:hAnsi="Arial"/>
          <w:sz w:val="16"/>
          <w:szCs w:val="16"/>
          <w:b w:val="1"/>
          <w:bCs w:val="1"/>
          <w:color w:val="54585A"/>
        </w:rPr>
      </w:pPr>
      <w:r>
        <w:rPr>
          <w:rFonts w:ascii="Arial" w:cs="Arial" w:eastAsia="Arial" w:hAnsi="Arial"/>
          <w:sz w:val="16"/>
          <w:szCs w:val="16"/>
          <w:b w:val="1"/>
          <w:bCs w:val="1"/>
          <w:color w:val="54585A"/>
        </w:rPr>
        <w:t xml:space="preserve">By Internet - </w:t>
      </w:r>
      <w:r>
        <w:rPr>
          <w:rFonts w:ascii="Arial" w:cs="Arial" w:eastAsia="Arial" w:hAnsi="Arial"/>
          <w:sz w:val="16"/>
          <w:szCs w:val="16"/>
          <w:color w:val="54585A"/>
        </w:rPr>
        <w:t>You may vote on the internet at www.proxyvote.com. The N&amp;A Notice sent to you describes how to do this.</w:t>
      </w:r>
    </w:p>
    <w:p>
      <w:pPr>
        <w:spacing w:after="0" w:line="234" w:lineRule="exact"/>
        <w:rPr>
          <w:rFonts w:ascii="Arial" w:cs="Arial" w:eastAsia="Arial" w:hAnsi="Arial"/>
          <w:sz w:val="16"/>
          <w:szCs w:val="16"/>
          <w:b w:val="1"/>
          <w:bCs w:val="1"/>
          <w:color w:val="54585A"/>
        </w:rPr>
      </w:pPr>
    </w:p>
    <w:p>
      <w:pPr>
        <w:ind w:left="500" w:right="140" w:hanging="168"/>
        <w:spacing w:after="0" w:line="345" w:lineRule="auto"/>
        <w:tabs>
          <w:tab w:leader="none" w:pos="489" w:val="left"/>
        </w:tabs>
        <w:numPr>
          <w:ilvl w:val="0"/>
          <w:numId w:val="5"/>
        </w:numPr>
        <w:rPr>
          <w:rFonts w:ascii="Arial" w:cs="Arial" w:eastAsia="Arial" w:hAnsi="Arial"/>
          <w:sz w:val="16"/>
          <w:szCs w:val="16"/>
          <w:b w:val="1"/>
          <w:bCs w:val="1"/>
          <w:color w:val="54585A"/>
        </w:rPr>
      </w:pPr>
      <w:r>
        <w:rPr>
          <w:rFonts w:ascii="Arial" w:cs="Arial" w:eastAsia="Arial" w:hAnsi="Arial"/>
          <w:sz w:val="16"/>
          <w:szCs w:val="16"/>
          <w:b w:val="1"/>
          <w:bCs w:val="1"/>
          <w:color w:val="54585A"/>
        </w:rPr>
        <w:t xml:space="preserve">By Telephone - </w:t>
      </w:r>
      <w:r>
        <w:rPr>
          <w:rFonts w:ascii="Arial" w:cs="Arial" w:eastAsia="Arial" w:hAnsi="Arial"/>
          <w:sz w:val="16"/>
          <w:szCs w:val="16"/>
          <w:color w:val="54585A"/>
        </w:rPr>
        <w:t>You can vote by telephone only if you request and receive a paper copy of the proxy materials and proxy card. The N&amp;A Notice</w:t>
      </w:r>
      <w:r>
        <w:rPr>
          <w:rFonts w:ascii="Arial" w:cs="Arial" w:eastAsia="Arial" w:hAnsi="Arial"/>
          <w:sz w:val="16"/>
          <w:szCs w:val="16"/>
          <w:b w:val="1"/>
          <w:bCs w:val="1"/>
          <w:color w:val="54585A"/>
        </w:rPr>
        <w:t xml:space="preserve"> </w:t>
      </w:r>
      <w:r>
        <w:rPr>
          <w:rFonts w:ascii="Arial" w:cs="Arial" w:eastAsia="Arial" w:hAnsi="Arial"/>
          <w:sz w:val="16"/>
          <w:szCs w:val="16"/>
          <w:color w:val="54585A"/>
        </w:rPr>
        <w:t>describes how to request materials. You must request materials by May 6, 2025. Instructions for how to vote by telephone are available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311150</wp:posOffset>
            </wp:positionV>
            <wp:extent cx="257175"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888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ind w:left="100" w:hanging="92"/>
        <w:spacing w:after="0"/>
        <w:tabs>
          <w:tab w:leader="none" w:pos="100" w:val="left"/>
        </w:tabs>
        <w:numPr>
          <w:ilvl w:val="0"/>
          <w:numId w:val="6"/>
        </w:numPr>
        <w:rPr>
          <w:rFonts w:ascii="Arial" w:cs="Arial" w:eastAsia="Arial" w:hAnsi="Arial"/>
          <w:sz w:val="18"/>
          <w:szCs w:val="18"/>
          <w:b w:val="1"/>
          <w:bCs w:val="1"/>
          <w:color w:val="EB6C10"/>
        </w:rPr>
      </w:pPr>
      <w:r>
        <w:rPr>
          <w:rFonts w:ascii="Arial" w:cs="Arial" w:eastAsia="Arial" w:hAnsi="Arial"/>
          <w:sz w:val="14"/>
          <w:szCs w:val="14"/>
          <w:color w:val="54585A"/>
        </w:rPr>
        <w:t>Annual Meeting and Other Information</w:t>
      </w: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35" w:lineRule="exact"/>
        <w:rPr>
          <w:rFonts w:ascii="Arial" w:cs="Arial" w:eastAsia="Arial" w:hAnsi="Arial"/>
          <w:sz w:val="18"/>
          <w:szCs w:val="18"/>
          <w:b w:val="1"/>
          <w:bCs w:val="1"/>
          <w:color w:val="EB6C10"/>
        </w:rPr>
      </w:pPr>
    </w:p>
    <w:p>
      <w:pPr>
        <w:ind w:left="500" w:right="400" w:hanging="168"/>
        <w:spacing w:after="0" w:line="345" w:lineRule="auto"/>
        <w:tabs>
          <w:tab w:leader="none" w:pos="489" w:val="left"/>
        </w:tabs>
        <w:numPr>
          <w:ilvl w:val="1"/>
          <w:numId w:val="6"/>
        </w:numPr>
        <w:rPr>
          <w:rFonts w:ascii="Arial" w:cs="Arial" w:eastAsia="Arial" w:hAnsi="Arial"/>
          <w:sz w:val="16"/>
          <w:szCs w:val="16"/>
          <w:b w:val="1"/>
          <w:bCs w:val="1"/>
          <w:color w:val="54585A"/>
        </w:rPr>
      </w:pPr>
      <w:r>
        <w:rPr>
          <w:rFonts w:ascii="Arial" w:cs="Arial" w:eastAsia="Arial" w:hAnsi="Arial"/>
          <w:sz w:val="16"/>
          <w:szCs w:val="16"/>
          <w:b w:val="1"/>
          <w:bCs w:val="1"/>
          <w:color w:val="54585A"/>
        </w:rPr>
        <w:t xml:space="preserve">By Mail - </w:t>
      </w:r>
      <w:r>
        <w:rPr>
          <w:rFonts w:ascii="Arial" w:cs="Arial" w:eastAsia="Arial" w:hAnsi="Arial"/>
          <w:sz w:val="16"/>
          <w:szCs w:val="16"/>
          <w:color w:val="54585A"/>
        </w:rPr>
        <w:t>You can vote by mail only if you request and receive a paper copy of the proxy materials and proxy card. The N&amp;A Notice provides</w:t>
      </w:r>
      <w:r>
        <w:rPr>
          <w:rFonts w:ascii="Arial" w:cs="Arial" w:eastAsia="Arial" w:hAnsi="Arial"/>
          <w:sz w:val="16"/>
          <w:szCs w:val="16"/>
          <w:b w:val="1"/>
          <w:bCs w:val="1"/>
          <w:color w:val="54585A"/>
        </w:rPr>
        <w:t xml:space="preserve"> </w:t>
      </w:r>
      <w:r>
        <w:rPr>
          <w:rFonts w:ascii="Arial" w:cs="Arial" w:eastAsia="Arial" w:hAnsi="Arial"/>
          <w:sz w:val="16"/>
          <w:szCs w:val="16"/>
          <w:color w:val="54585A"/>
        </w:rPr>
        <w:t>instructions on how to request materials. You must request materials by May 6, 2025. You vote by mail by completing, signing, dating, and timely returning a proxy card.</w:t>
      </w:r>
    </w:p>
    <w:p>
      <w:pPr>
        <w:spacing w:after="0" w:line="124" w:lineRule="exact"/>
        <w:rPr>
          <w:rFonts w:ascii="Arial" w:cs="Arial" w:eastAsia="Arial" w:hAnsi="Arial"/>
          <w:sz w:val="16"/>
          <w:szCs w:val="16"/>
          <w:b w:val="1"/>
          <w:bCs w:val="1"/>
          <w:color w:val="54585A"/>
        </w:rPr>
      </w:pPr>
    </w:p>
    <w:p>
      <w:pPr>
        <w:ind w:left="500" w:right="20" w:hanging="168"/>
        <w:spacing w:after="0" w:line="356" w:lineRule="auto"/>
        <w:tabs>
          <w:tab w:leader="none" w:pos="489" w:val="left"/>
        </w:tabs>
        <w:numPr>
          <w:ilvl w:val="1"/>
          <w:numId w:val="6"/>
        </w:numPr>
        <w:rPr>
          <w:rFonts w:ascii="Arial" w:cs="Arial" w:eastAsia="Arial" w:hAnsi="Arial"/>
          <w:sz w:val="16"/>
          <w:szCs w:val="16"/>
          <w:b w:val="1"/>
          <w:bCs w:val="1"/>
          <w:color w:val="54585A"/>
        </w:rPr>
      </w:pPr>
      <w:r>
        <w:rPr>
          <w:rFonts w:ascii="Arial" w:cs="Arial" w:eastAsia="Arial" w:hAnsi="Arial"/>
          <w:sz w:val="16"/>
          <w:szCs w:val="16"/>
          <w:b w:val="1"/>
          <w:bCs w:val="1"/>
          <w:color w:val="54585A"/>
        </w:rPr>
        <w:t xml:space="preserve">In Person - </w:t>
      </w:r>
      <w:r>
        <w:rPr>
          <w:rFonts w:ascii="Arial" w:cs="Arial" w:eastAsia="Arial" w:hAnsi="Arial"/>
          <w:sz w:val="16"/>
          <w:szCs w:val="16"/>
          <w:color w:val="54585A"/>
        </w:rPr>
        <w:t>You may come to the Annual Meeting at our headquarters located at 1351 Holiday Square Blvd., Covington, LA 70433 and cast your vote</w:t>
      </w:r>
      <w:r>
        <w:rPr>
          <w:rFonts w:ascii="Arial" w:cs="Arial" w:eastAsia="Arial" w:hAnsi="Arial"/>
          <w:sz w:val="16"/>
          <w:szCs w:val="16"/>
          <w:b w:val="1"/>
          <w:bCs w:val="1"/>
          <w:color w:val="54585A"/>
        </w:rPr>
        <w:t xml:space="preserve"> </w:t>
      </w:r>
      <w:r>
        <w:rPr>
          <w:rFonts w:ascii="Arial" w:cs="Arial" w:eastAsia="Arial" w:hAnsi="Arial"/>
          <w:sz w:val="16"/>
          <w:szCs w:val="16"/>
          <w:color w:val="54585A"/>
        </w:rPr>
        <w:t>there.</w:t>
      </w:r>
    </w:p>
    <w:p>
      <w:pPr>
        <w:spacing w:after="0" w:line="116"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54585A"/>
        </w:rPr>
        <w:t>For beneficial owners (with shares held in "street name"), the N&amp;A Notice should have been forwarded to you by your broker, bank or other holder of record (nominee). Your nominee should have also provided instructions on how you may request a paper or email copy of our proxy materials and how you may provide voting instructions to your nominee. Beneficial owners are also invited to attend the Annual Meeting. However, since you are not the registered stockholder, you may not vote your shares of our common stock in person at the Annual Meeting unless you follow your broker's procedures for obtaining a legal proxy.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Voting Authority of Management Proxies</w:t>
      </w:r>
    </w:p>
    <w:p>
      <w:pPr>
        <w:spacing w:after="0" w:line="95" w:lineRule="exact"/>
        <w:rPr>
          <w:sz w:val="20"/>
          <w:szCs w:val="20"/>
          <w:color w:val="auto"/>
        </w:rPr>
      </w:pPr>
    </w:p>
    <w:p>
      <w:pPr>
        <w:jc w:val="both"/>
        <w:ind w:right="260"/>
        <w:spacing w:after="0" w:line="345" w:lineRule="auto"/>
        <w:rPr>
          <w:sz w:val="20"/>
          <w:szCs w:val="20"/>
          <w:color w:val="auto"/>
        </w:rPr>
      </w:pPr>
      <w:r>
        <w:rPr>
          <w:rFonts w:ascii="Arial" w:cs="Arial" w:eastAsia="Arial" w:hAnsi="Arial"/>
          <w:sz w:val="16"/>
          <w:szCs w:val="16"/>
          <w:color w:val="54585A"/>
        </w:rPr>
        <w:t>Whether you hold your shares of our common stock as a registered stockholder or in street name, your proxy vote authorizes the management proxies to vote as directed by you. If you are a registered stockholder as of the Record Date and you send in a properly executed proxy card without specific voting instructions, your shares of common stock represented by the proxy will be voted as recommended by the Board, namely:</w:t>
      </w:r>
    </w:p>
    <w:p>
      <w:pPr>
        <w:spacing w:after="0" w:line="136" w:lineRule="exact"/>
        <w:rPr>
          <w:sz w:val="20"/>
          <w:szCs w:val="20"/>
          <w:color w:val="auto"/>
        </w:rPr>
      </w:pPr>
    </w:p>
    <w:p>
      <w:pPr>
        <w:ind w:left="580" w:hanging="248"/>
        <w:spacing w:after="0"/>
        <w:tabs>
          <w:tab w:leader="none" w:pos="580" w:val="left"/>
        </w:tabs>
        <w:numPr>
          <w:ilvl w:val="0"/>
          <w:numId w:val="7"/>
        </w:numPr>
        <w:rPr>
          <w:rFonts w:ascii="Georgia" w:cs="Georgia" w:eastAsia="Georgia" w:hAnsi="Georgia"/>
          <w:sz w:val="18"/>
          <w:szCs w:val="18"/>
          <w:b w:val="1"/>
          <w:bCs w:val="1"/>
          <w:color w:val="EB6C10"/>
        </w:rPr>
      </w:pPr>
      <w:r>
        <w:rPr>
          <w:rFonts w:ascii="Georgia" w:cs="Georgia" w:eastAsia="Georgia" w:hAnsi="Georgia"/>
          <w:sz w:val="18"/>
          <w:szCs w:val="18"/>
          <w:b w:val="1"/>
          <w:bCs w:val="1"/>
          <w:color w:val="EB6C10"/>
        </w:rPr>
        <w:t xml:space="preserve">FOR </w:t>
      </w:r>
      <w:r>
        <w:rPr>
          <w:rFonts w:ascii="Arial" w:cs="Arial" w:eastAsia="Arial" w:hAnsi="Arial"/>
          <w:sz w:val="16"/>
          <w:szCs w:val="16"/>
          <w:color w:val="54585A"/>
        </w:rPr>
        <w:t>the election of the three Class A director nominees named in this proxy statement;</w:t>
      </w:r>
    </w:p>
    <w:p>
      <w:pPr>
        <w:spacing w:after="0" w:line="227" w:lineRule="exact"/>
        <w:rPr>
          <w:rFonts w:ascii="Georgia" w:cs="Georgia" w:eastAsia="Georgia" w:hAnsi="Georgia"/>
          <w:sz w:val="18"/>
          <w:szCs w:val="18"/>
          <w:b w:val="1"/>
          <w:bCs w:val="1"/>
          <w:color w:val="EB6C10"/>
        </w:rPr>
      </w:pPr>
    </w:p>
    <w:p>
      <w:pPr>
        <w:ind w:left="580" w:hanging="248"/>
        <w:spacing w:after="0"/>
        <w:tabs>
          <w:tab w:leader="none" w:pos="580" w:val="left"/>
        </w:tabs>
        <w:numPr>
          <w:ilvl w:val="0"/>
          <w:numId w:val="7"/>
        </w:numPr>
        <w:rPr>
          <w:rFonts w:ascii="Georgia" w:cs="Georgia" w:eastAsia="Georgia" w:hAnsi="Georgia"/>
          <w:sz w:val="18"/>
          <w:szCs w:val="18"/>
          <w:b w:val="1"/>
          <w:bCs w:val="1"/>
          <w:color w:val="1D8DB8"/>
        </w:rPr>
      </w:pPr>
      <w:r>
        <w:rPr>
          <w:rFonts w:ascii="Georgia" w:cs="Georgia" w:eastAsia="Georgia" w:hAnsi="Georgia"/>
          <w:sz w:val="18"/>
          <w:szCs w:val="18"/>
          <w:b w:val="1"/>
          <w:bCs w:val="1"/>
          <w:color w:val="1D8DB8"/>
        </w:rPr>
        <w:t xml:space="preserve">FOR </w:t>
      </w:r>
      <w:r>
        <w:rPr>
          <w:rFonts w:ascii="Arial" w:cs="Arial" w:eastAsia="Arial" w:hAnsi="Arial"/>
          <w:sz w:val="16"/>
          <w:szCs w:val="16"/>
          <w:color w:val="54585A"/>
        </w:rPr>
        <w:t>the ratification of the appointment of EY as our 2025 independent registered public accounting firm;</w:t>
      </w:r>
    </w:p>
    <w:p>
      <w:pPr>
        <w:spacing w:after="0" w:line="227" w:lineRule="exact"/>
        <w:rPr>
          <w:rFonts w:ascii="Georgia" w:cs="Georgia" w:eastAsia="Georgia" w:hAnsi="Georgia"/>
          <w:sz w:val="18"/>
          <w:szCs w:val="18"/>
          <w:b w:val="1"/>
          <w:bCs w:val="1"/>
          <w:color w:val="1D8DB8"/>
        </w:rPr>
      </w:pPr>
    </w:p>
    <w:p>
      <w:pPr>
        <w:ind w:left="580" w:hanging="248"/>
        <w:spacing w:after="0"/>
        <w:tabs>
          <w:tab w:leader="none" w:pos="580" w:val="left"/>
        </w:tabs>
        <w:numPr>
          <w:ilvl w:val="0"/>
          <w:numId w:val="7"/>
        </w:numPr>
        <w:rPr>
          <w:rFonts w:ascii="Georgia" w:cs="Georgia" w:eastAsia="Georgia" w:hAnsi="Georgia"/>
          <w:sz w:val="18"/>
          <w:szCs w:val="18"/>
          <w:b w:val="1"/>
          <w:bCs w:val="1"/>
          <w:color w:val="63C237"/>
        </w:rPr>
      </w:pPr>
      <w:r>
        <w:rPr>
          <w:rFonts w:ascii="Georgia" w:cs="Georgia" w:eastAsia="Georgia" w:hAnsi="Georgia"/>
          <w:sz w:val="18"/>
          <w:szCs w:val="18"/>
          <w:b w:val="1"/>
          <w:bCs w:val="1"/>
          <w:color w:val="63C237"/>
        </w:rPr>
        <w:t xml:space="preserve">FOR </w:t>
      </w:r>
      <w:r>
        <w:rPr>
          <w:rFonts w:ascii="Arial" w:cs="Arial" w:eastAsia="Arial" w:hAnsi="Arial"/>
          <w:sz w:val="16"/>
          <w:szCs w:val="16"/>
          <w:color w:val="54585A"/>
        </w:rPr>
        <w:t>the approval of the entry into the Amended Thermo Guaranty Agreement; and</w:t>
      </w:r>
    </w:p>
    <w:p>
      <w:pPr>
        <w:spacing w:after="0" w:line="227" w:lineRule="exact"/>
        <w:rPr>
          <w:rFonts w:ascii="Georgia" w:cs="Georgia" w:eastAsia="Georgia" w:hAnsi="Georgia"/>
          <w:sz w:val="18"/>
          <w:szCs w:val="18"/>
          <w:b w:val="1"/>
          <w:bCs w:val="1"/>
          <w:color w:val="63C237"/>
        </w:rPr>
      </w:pPr>
    </w:p>
    <w:p>
      <w:pPr>
        <w:ind w:left="560" w:hanging="228"/>
        <w:spacing w:after="0"/>
        <w:tabs>
          <w:tab w:leader="none" w:pos="560" w:val="left"/>
        </w:tabs>
        <w:numPr>
          <w:ilvl w:val="0"/>
          <w:numId w:val="7"/>
        </w:numPr>
        <w:rPr>
          <w:rFonts w:ascii="Georgia" w:cs="Georgia" w:eastAsia="Georgia" w:hAnsi="Georgia"/>
          <w:sz w:val="18"/>
          <w:szCs w:val="18"/>
          <w:b w:val="1"/>
          <w:bCs w:val="1"/>
          <w:color w:val="FFD900"/>
        </w:rPr>
      </w:pPr>
      <w:r>
        <w:rPr>
          <w:rFonts w:ascii="Georgia" w:cs="Georgia" w:eastAsia="Georgia" w:hAnsi="Georgia"/>
          <w:sz w:val="18"/>
          <w:szCs w:val="18"/>
          <w:b w:val="1"/>
          <w:bCs w:val="1"/>
          <w:color w:val="FFD900"/>
        </w:rPr>
        <w:t xml:space="preserve">FOR </w:t>
      </w:r>
      <w:r>
        <w:rPr>
          <w:rFonts w:ascii="Arial" w:cs="Arial" w:eastAsia="Arial" w:hAnsi="Arial"/>
          <w:sz w:val="16"/>
          <w:szCs w:val="16"/>
          <w:color w:val="54585A"/>
        </w:rPr>
        <w:t>the approval of the amendment to our Certificate of Incorporation to provide for officer exculpation.</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Other Business - </w:t>
      </w:r>
      <w:r>
        <w:rPr>
          <w:rFonts w:ascii="Arial" w:cs="Arial" w:eastAsia="Arial" w:hAnsi="Arial"/>
          <w:sz w:val="16"/>
          <w:szCs w:val="16"/>
          <w:color w:val="54585A"/>
        </w:rPr>
        <w:t>We are not aware of any other matter that is expected to be acted on at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Controlling Stockholder</w:t>
      </w:r>
    </w:p>
    <w:p>
      <w:pPr>
        <w:spacing w:after="0" w:line="95" w:lineRule="exact"/>
        <w:rPr>
          <w:sz w:val="20"/>
          <w:szCs w:val="20"/>
          <w:color w:val="auto"/>
        </w:rPr>
      </w:pPr>
    </w:p>
    <w:p>
      <w:pPr>
        <w:spacing w:after="0" w:line="335" w:lineRule="auto"/>
        <w:rPr>
          <w:sz w:val="20"/>
          <w:szCs w:val="20"/>
          <w:color w:val="auto"/>
        </w:rPr>
      </w:pPr>
      <w:r>
        <w:rPr>
          <w:rFonts w:ascii="Arial" w:cs="Arial" w:eastAsia="Arial" w:hAnsi="Arial"/>
          <w:sz w:val="16"/>
          <w:szCs w:val="16"/>
          <w:color w:val="54585A"/>
        </w:rPr>
        <w:t>Shares owned by Thermo, which are entities owned and controlled by our Executive Chairman and controlling stockholder, Mr. James Monroe III (as discussed in Mr. Monroe's bio and the "Security Ownership of Principal Stockholders and Management" table), are not entitled to vote for the election of Minority Directors, Keith O. Cowan and Benjamin G. Wolff (as discussed in Proposal 1), or the approval of entry into the Amended Thermo Guaranty Agreement (as discussed in Proposal 3). Additionally, while Thermo will be eligible to vote on the amendment to our Certificate of Incorporation to provide for officer exculpation with respect to "DGCL Stockholder Approval" (as defined below), Thermo will not be eligible to vote on the amendment for purposes of the "Majority of the Minority Stockholder Approval" (as defined and discussed below in Proposal 4).</w:t>
      </w:r>
    </w:p>
    <w:p>
      <w:pPr>
        <w:spacing w:after="0" w:line="133" w:lineRule="exact"/>
        <w:rPr>
          <w:sz w:val="20"/>
          <w:szCs w:val="20"/>
          <w:color w:val="auto"/>
        </w:rPr>
      </w:pPr>
    </w:p>
    <w:p>
      <w:pPr>
        <w:spacing w:after="0" w:line="335" w:lineRule="auto"/>
        <w:rPr>
          <w:sz w:val="20"/>
          <w:szCs w:val="20"/>
          <w:color w:val="auto"/>
        </w:rPr>
      </w:pPr>
      <w:r>
        <w:rPr>
          <w:rFonts w:ascii="Arial" w:cs="Arial" w:eastAsia="Arial" w:hAnsi="Arial"/>
          <w:sz w:val="16"/>
          <w:szCs w:val="16"/>
          <w:color w:val="54585A"/>
        </w:rPr>
        <w:t>Mr. Monroe has informed us that he intends to vote, on behalf of himself and Thermo, for the election of Dr. Paul E. Jacobs (the director nominee in Proposal 1 who is not a Minority Director), the ratification of the appointment of our 2025 independent registered public accounting firm (Proposal 2) and the amendment to our Certificate of Incorporation to provide for officer exculpation (Proposal 4) with respect to the DGCL Stockholder Approval (as defined below). This vote assures approval of these voting matters in accordance with the Board’s recommendations; provided that with respect to Proposal 4, only for the DGCL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316865</wp:posOffset>
            </wp:positionV>
            <wp:extent cx="257175"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8" w:right="359" w:bottom="1440" w:gutter="0" w:footer="0" w:header="0"/>
        </w:sectPr>
      </w:pPr>
    </w:p>
    <w:bookmarkStart w:id="6" w:name="page7"/>
    <w:bookmarkEnd w:id="6"/>
    <w:p>
      <w:pPr>
        <w:jc w:val="right"/>
        <w:spacing w:after="0"/>
        <w:rPr>
          <w:sz w:val="20"/>
          <w:szCs w:val="20"/>
          <w:color w:val="auto"/>
        </w:rPr>
      </w:pPr>
      <w:r>
        <w:rPr>
          <w:rFonts w:ascii="Arial" w:cs="Arial" w:eastAsia="Arial" w:hAnsi="Arial"/>
          <w:sz w:val="14"/>
          <w:szCs w:val="14"/>
          <w:color w:val="54585A"/>
        </w:rPr>
        <w:t xml:space="preserve">Annual Meeting and Other Information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Effect of Not Casting Your Vote</w:t>
      </w:r>
    </w:p>
    <w:p>
      <w:pPr>
        <w:spacing w:after="0" w:line="95" w:lineRule="exact"/>
        <w:rPr>
          <w:sz w:val="20"/>
          <w:szCs w:val="20"/>
          <w:color w:val="auto"/>
        </w:rPr>
      </w:pPr>
    </w:p>
    <w:p>
      <w:pPr>
        <w:ind w:right="140"/>
        <w:spacing w:after="0" w:line="374" w:lineRule="auto"/>
        <w:rPr>
          <w:sz w:val="20"/>
          <w:szCs w:val="20"/>
          <w:color w:val="auto"/>
        </w:rPr>
      </w:pPr>
      <w:r>
        <w:rPr>
          <w:rFonts w:ascii="Arial" w:cs="Arial" w:eastAsia="Arial" w:hAnsi="Arial"/>
          <w:sz w:val="16"/>
          <w:szCs w:val="16"/>
          <w:color w:val="54585A"/>
        </w:rPr>
        <w:t>If you are a registered stockholder as of the Record Date, no votes will be cast on your behalf on any of the items of business at the Annual Meeting unless you submit a proxy before or vote at the Annual Meeting.</w:t>
      </w:r>
    </w:p>
    <w:p>
      <w:pPr>
        <w:spacing w:after="0" w:line="88"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54585A"/>
        </w:rPr>
        <w:t>If you hold shares in street name, you must give instructions to your nominee on how you would like your shares of our common stock to be voted. If you do not provide any instructions, your nominee can vote your shares only on “routine” items, which includes only the ratification of the appointment of our 2025 independent registered public accounting firm (Proposal 2). The election of directors (Proposal 1), entry into the Amended Thermo Guaranty Agreement (Proposal 3) and the amendment to our Certificate of Incorporation to provide for officer exculpation (Proposal 4) are not considered “routine” items. Thus, if a nominee holds your shares and you do not instruct the nominee how to vote on these items, your shares will not be voted on your behalf for such items and a "broker non-vote" will occur.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How to Change or Revoke Your Proxy Vote</w:t>
      </w:r>
    </w:p>
    <w:p>
      <w:pPr>
        <w:spacing w:after="0" w:line="95" w:lineRule="exact"/>
        <w:rPr>
          <w:sz w:val="20"/>
          <w:szCs w:val="20"/>
          <w:color w:val="auto"/>
        </w:rPr>
      </w:pPr>
    </w:p>
    <w:p>
      <w:pPr>
        <w:ind w:right="160"/>
        <w:spacing w:after="0" w:line="345" w:lineRule="auto"/>
        <w:rPr>
          <w:sz w:val="20"/>
          <w:szCs w:val="20"/>
          <w:color w:val="auto"/>
        </w:rPr>
      </w:pPr>
      <w:r>
        <w:rPr>
          <w:rFonts w:ascii="Arial" w:cs="Arial" w:eastAsia="Arial" w:hAnsi="Arial"/>
          <w:sz w:val="16"/>
          <w:szCs w:val="16"/>
          <w:b w:val="1"/>
          <w:bCs w:val="1"/>
          <w:color w:val="54585A"/>
        </w:rPr>
        <w:t xml:space="preserve">Registered Stockholders - </w:t>
      </w:r>
      <w:r>
        <w:rPr>
          <w:rFonts w:ascii="Arial" w:cs="Arial" w:eastAsia="Arial" w:hAnsi="Arial"/>
          <w:sz w:val="16"/>
          <w:szCs w:val="16"/>
          <w:color w:val="54585A"/>
        </w:rPr>
        <w:t>If you give internet or telephonic voting instructions or send in a proxy card and later want to change or revoke your proxy, you</w:t>
      </w:r>
      <w:r>
        <w:rPr>
          <w:rFonts w:ascii="Arial" w:cs="Arial" w:eastAsia="Arial" w:hAnsi="Arial"/>
          <w:sz w:val="16"/>
          <w:szCs w:val="16"/>
          <w:b w:val="1"/>
          <w:bCs w:val="1"/>
          <w:color w:val="54585A"/>
        </w:rPr>
        <w:t xml:space="preserve"> </w:t>
      </w:r>
      <w:r>
        <w:rPr>
          <w:rFonts w:ascii="Arial" w:cs="Arial" w:eastAsia="Arial" w:hAnsi="Arial"/>
          <w:sz w:val="16"/>
          <w:szCs w:val="16"/>
          <w:color w:val="54585A"/>
        </w:rPr>
        <w:t>may do so at any time provided that your voting instructions are received before voting closes for the method you select or if you vote in person at the Annual Meeting. You may change or revoke your proxy in any of the following ways:</w:t>
      </w:r>
    </w:p>
    <w:p>
      <w:pPr>
        <w:spacing w:after="0" w:line="71" w:lineRule="exact"/>
        <w:rPr>
          <w:sz w:val="20"/>
          <w:szCs w:val="20"/>
          <w:color w:val="auto"/>
        </w:rPr>
      </w:pPr>
    </w:p>
    <w:p>
      <w:pPr>
        <w:ind w:left="500" w:right="120" w:hanging="168"/>
        <w:spacing w:after="0" w:line="356" w:lineRule="auto"/>
        <w:tabs>
          <w:tab w:leader="none" w:pos="489" w:val="left"/>
        </w:tabs>
        <w:numPr>
          <w:ilvl w:val="0"/>
          <w:numId w:val="8"/>
        </w:numPr>
        <w:rPr>
          <w:rFonts w:ascii="Arial" w:cs="Arial" w:eastAsia="Arial" w:hAnsi="Arial"/>
          <w:sz w:val="16"/>
          <w:szCs w:val="16"/>
          <w:color w:val="54585A"/>
        </w:rPr>
      </w:pPr>
      <w:r>
        <w:rPr>
          <w:rFonts w:ascii="Arial" w:cs="Arial" w:eastAsia="Arial" w:hAnsi="Arial"/>
          <w:sz w:val="16"/>
          <w:szCs w:val="16"/>
          <w:color w:val="54585A"/>
        </w:rPr>
        <w:t>by giving new voting instructions on the internet or by telephone before voting closes for that method, or by mailing new voting instructions to us on a proxy card with a later date;</w:t>
      </w:r>
    </w:p>
    <w:p>
      <w:pPr>
        <w:spacing w:after="0" w:line="7" w:lineRule="exact"/>
        <w:rPr>
          <w:rFonts w:ascii="Arial" w:cs="Arial" w:eastAsia="Arial" w:hAnsi="Arial"/>
          <w:sz w:val="16"/>
          <w:szCs w:val="16"/>
          <w:color w:val="54585A"/>
        </w:rPr>
      </w:pPr>
    </w:p>
    <w:p>
      <w:pPr>
        <w:ind w:left="480" w:hanging="148"/>
        <w:spacing w:after="0"/>
        <w:tabs>
          <w:tab w:leader="none" w:pos="480" w:val="left"/>
        </w:tabs>
        <w:numPr>
          <w:ilvl w:val="0"/>
          <w:numId w:val="8"/>
        </w:numPr>
        <w:rPr>
          <w:rFonts w:ascii="Arial" w:cs="Arial" w:eastAsia="Arial" w:hAnsi="Arial"/>
          <w:sz w:val="16"/>
          <w:szCs w:val="16"/>
          <w:color w:val="54585A"/>
        </w:rPr>
      </w:pPr>
      <w:r>
        <w:rPr>
          <w:rFonts w:ascii="Arial" w:cs="Arial" w:eastAsia="Arial" w:hAnsi="Arial"/>
          <w:sz w:val="16"/>
          <w:szCs w:val="16"/>
          <w:color w:val="54585A"/>
        </w:rPr>
        <w:t xml:space="preserve">by notifying our Corporate Secretary in writing (at the mailing address listed on page </w:t>
      </w:r>
      <w:r>
        <w:rPr>
          <w:rFonts w:ascii="Arial" w:cs="Arial" w:eastAsia="Arial" w:hAnsi="Arial"/>
          <w:sz w:val="16"/>
          <w:szCs w:val="16"/>
          <w:u w:val="single" w:color="auto"/>
          <w:color w:val="0000FF"/>
        </w:rPr>
        <w:t>16</w:t>
      </w:r>
      <w:r>
        <w:rPr>
          <w:rFonts w:ascii="Arial" w:cs="Arial" w:eastAsia="Arial" w:hAnsi="Arial"/>
          <w:sz w:val="16"/>
          <w:szCs w:val="16"/>
          <w:color w:val="54585A"/>
        </w:rPr>
        <w:t>) that you have revoked your proxy; or</w:t>
      </w:r>
    </w:p>
    <w:p>
      <w:pPr>
        <w:spacing w:after="0" w:line="113" w:lineRule="exact"/>
        <w:rPr>
          <w:rFonts w:ascii="Arial" w:cs="Arial" w:eastAsia="Arial" w:hAnsi="Arial"/>
          <w:sz w:val="16"/>
          <w:szCs w:val="16"/>
          <w:color w:val="54585A"/>
        </w:rPr>
      </w:pPr>
    </w:p>
    <w:p>
      <w:pPr>
        <w:ind w:left="480" w:hanging="148"/>
        <w:spacing w:after="0"/>
        <w:tabs>
          <w:tab w:leader="none" w:pos="480" w:val="left"/>
        </w:tabs>
        <w:numPr>
          <w:ilvl w:val="0"/>
          <w:numId w:val="8"/>
        </w:numPr>
        <w:rPr>
          <w:rFonts w:ascii="Arial" w:cs="Arial" w:eastAsia="Arial" w:hAnsi="Arial"/>
          <w:sz w:val="16"/>
          <w:szCs w:val="16"/>
          <w:color w:val="54585A"/>
        </w:rPr>
      </w:pPr>
      <w:r>
        <w:rPr>
          <w:rFonts w:ascii="Arial" w:cs="Arial" w:eastAsia="Arial" w:hAnsi="Arial"/>
          <w:sz w:val="16"/>
          <w:szCs w:val="16"/>
          <w:color w:val="54585A"/>
        </w:rPr>
        <w:t>by voting in person at the Annual Meeting.</w:t>
      </w:r>
    </w:p>
    <w:p>
      <w:pPr>
        <w:spacing w:after="0" w:line="181" w:lineRule="exact"/>
        <w:rPr>
          <w:sz w:val="20"/>
          <w:szCs w:val="20"/>
          <w:color w:val="auto"/>
        </w:rPr>
      </w:pPr>
    </w:p>
    <w:p>
      <w:pPr>
        <w:ind w:right="340"/>
        <w:spacing w:after="0" w:line="374" w:lineRule="auto"/>
        <w:rPr>
          <w:sz w:val="20"/>
          <w:szCs w:val="20"/>
          <w:color w:val="auto"/>
        </w:rPr>
      </w:pPr>
      <w:r>
        <w:rPr>
          <w:rFonts w:ascii="Arial" w:cs="Arial" w:eastAsia="Arial" w:hAnsi="Arial"/>
          <w:sz w:val="16"/>
          <w:szCs w:val="16"/>
          <w:color w:val="54585A"/>
        </w:rPr>
        <w:t>You may use any of these methods to change your vote, regardless of the method previously used to submit your proxy. The inspector of election for the Annual Meeting will count only the voting instructions included in the most recent proxy received before the deadlines set for such method of voting.</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Beneficial Owners - </w:t>
      </w:r>
      <w:r>
        <w:rPr>
          <w:rFonts w:ascii="Arial" w:cs="Arial" w:eastAsia="Arial" w:hAnsi="Arial"/>
          <w:sz w:val="16"/>
          <w:szCs w:val="16"/>
          <w:color w:val="54585A"/>
        </w:rPr>
        <w:t>You should follow the instructions given to you by your broker or nominee on how to change or revoke your vote.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How to Vote Your Shares in our Employee Benefit Plans</w:t>
      </w:r>
    </w:p>
    <w:p>
      <w:pPr>
        <w:spacing w:after="0" w:line="95" w:lineRule="exact"/>
        <w:rPr>
          <w:sz w:val="20"/>
          <w:szCs w:val="20"/>
          <w:color w:val="auto"/>
        </w:rPr>
      </w:pPr>
    </w:p>
    <w:p>
      <w:pPr>
        <w:jc w:val="both"/>
        <w:ind w:right="80"/>
        <w:spacing w:after="0" w:line="336" w:lineRule="auto"/>
        <w:rPr>
          <w:sz w:val="20"/>
          <w:szCs w:val="20"/>
          <w:color w:val="auto"/>
        </w:rPr>
      </w:pPr>
      <w:r>
        <w:rPr>
          <w:rFonts w:ascii="Arial" w:cs="Arial" w:eastAsia="Arial" w:hAnsi="Arial"/>
          <w:sz w:val="16"/>
          <w:szCs w:val="16"/>
          <w:color w:val="54585A"/>
        </w:rPr>
        <w:t>If you hold shares of our common stock in our Employee Stock Purchase Plan (“ESPP”), you cannot vote your shares directly. The trustee for the ESPP will vote the shares of our common stock held in the plan. You will receive a voting instruction card from the trustee, which will provide voting instructions. If you provide voting instructions, the trustee will vote your shares in the ESPP as you direct. If you do not provide voting instructions, your shares in the ESPP will not be voted.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Quorum Requirement</w:t>
      </w:r>
    </w:p>
    <w:p>
      <w:pPr>
        <w:spacing w:after="0" w:line="95"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54585A"/>
        </w:rPr>
        <w:t>A quorum of stockholders is necessary to hold a valid meeting. A quorum will exist if holders of a majority of our outstanding common stock entitled to vote at the meeting are present in person or by proxy. Abstentions count as shares of our common stock present at the meeting for purposes of establishing a quorum.</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Method and Cost of Soliciting Proxies</w:t>
      </w:r>
    </w:p>
    <w:p>
      <w:pPr>
        <w:spacing w:after="0" w:line="95" w:lineRule="exact"/>
        <w:rPr>
          <w:sz w:val="20"/>
          <w:szCs w:val="20"/>
          <w:color w:val="auto"/>
        </w:rPr>
      </w:pPr>
    </w:p>
    <w:p>
      <w:pPr>
        <w:ind w:right="300"/>
        <w:spacing w:after="0" w:line="345" w:lineRule="auto"/>
        <w:rPr>
          <w:sz w:val="20"/>
          <w:szCs w:val="20"/>
          <w:color w:val="auto"/>
        </w:rPr>
      </w:pPr>
      <w:r>
        <w:rPr>
          <w:rFonts w:ascii="Arial" w:cs="Arial" w:eastAsia="Arial" w:hAnsi="Arial"/>
          <w:sz w:val="16"/>
          <w:szCs w:val="16"/>
          <w:color w:val="54585A"/>
        </w:rPr>
        <w:t>We have asked banks, brokers and other financial institutions, nominees and fiduciaries to forward our proxy materials to beneficial owners and to obtain voting instructions, and we will reimburse them for their expenses in doing so. Proxies also may be solicited by our management, without additional compensation, through the mail, in person, or by telephone or electronic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311150</wp:posOffset>
            </wp:positionV>
            <wp:extent cx="257175" cy="257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888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100" w:hanging="92"/>
        <w:spacing w:after="0"/>
        <w:tabs>
          <w:tab w:leader="none" w:pos="100" w:val="left"/>
        </w:tabs>
        <w:numPr>
          <w:ilvl w:val="0"/>
          <w:numId w:val="9"/>
        </w:numPr>
        <w:rPr>
          <w:rFonts w:ascii="Arial" w:cs="Arial" w:eastAsia="Arial" w:hAnsi="Arial"/>
          <w:sz w:val="18"/>
          <w:szCs w:val="18"/>
          <w:b w:val="1"/>
          <w:bCs w:val="1"/>
          <w:color w:val="EB6C10"/>
        </w:rPr>
      </w:pPr>
      <w:r>
        <w:rPr>
          <w:rFonts w:ascii="Arial" w:cs="Arial" w:eastAsia="Arial" w:hAnsi="Arial"/>
          <w:sz w:val="14"/>
          <w:szCs w:val="14"/>
          <w:color w:val="54585A"/>
        </w:rPr>
        <w:t>Annual Meeting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Admission to the Annual Meeting</w:t>
      </w:r>
    </w:p>
    <w:p>
      <w:pPr>
        <w:spacing w:after="0" w:line="95"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54585A"/>
        </w:rPr>
        <w:t>We reserve the right to limit admission to the Annual Meeting to our registered stockholders as of the Record Date, persons holding valid proxies from our registered stockholders as of the Record Date and beneficial owners of our common stock as of the Record Date. If your shares of our common stock are registered in your name, we may verify your ownership at the meeting in our list of stockholders as of the Record Date. If your shares of our common stock are held through a nominee, you should bring to the meeting proof of your beneficial ownership of shares of our common stock as of the Record Date. This documentation could consist of, for example, a bank or brokerage firm account statement that shows your ownership as of the Record Date or a letter from your nominee confirming your ownership of shares of our common stock as of the Record 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Vote Required to Approve Each Proposal</w:t>
      </w:r>
    </w:p>
    <w:p>
      <w:pPr>
        <w:spacing w:after="0" w:line="95" w:lineRule="exact"/>
        <w:rPr>
          <w:sz w:val="20"/>
          <w:szCs w:val="20"/>
          <w:color w:val="auto"/>
        </w:rPr>
      </w:pPr>
    </w:p>
    <w:p>
      <w:pPr>
        <w:ind w:right="180"/>
        <w:spacing w:after="0" w:line="356" w:lineRule="auto"/>
        <w:rPr>
          <w:sz w:val="20"/>
          <w:szCs w:val="20"/>
          <w:color w:val="auto"/>
        </w:rPr>
      </w:pPr>
      <w:r>
        <w:rPr>
          <w:rFonts w:ascii="Arial" w:cs="Arial" w:eastAsia="Arial" w:hAnsi="Arial"/>
          <w:sz w:val="16"/>
          <w:szCs w:val="16"/>
          <w:color w:val="54585A"/>
        </w:rPr>
        <w:t>The voting options and votes required for the approval of each proposal to be voted on at the Annual Meeting, and the treatment of abstentions and broker non-votes for each proposal are listed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0" w:type="dxa"/>
            <w:vAlign w:val="bottom"/>
            <w:shd w:val="clear" w:color="auto" w:fill="EEEDED"/>
          </w:tcPr>
          <w:p>
            <w:pPr>
              <w:spacing w:after="0"/>
              <w:rPr>
                <w:sz w:val="16"/>
                <w:szCs w:val="16"/>
                <w:color w:val="auto"/>
              </w:rPr>
            </w:pPr>
          </w:p>
        </w:tc>
        <w:tc>
          <w:tcPr>
            <w:tcW w:w="4080" w:type="dxa"/>
            <w:vAlign w:val="bottom"/>
            <w:shd w:val="clear" w:color="auto" w:fill="EEEDED"/>
          </w:tcPr>
          <w:p>
            <w:pPr>
              <w:spacing w:after="0"/>
              <w:rPr>
                <w:sz w:val="16"/>
                <w:szCs w:val="16"/>
                <w:color w:val="auto"/>
              </w:rPr>
            </w:pPr>
          </w:p>
        </w:tc>
        <w:tc>
          <w:tcPr>
            <w:tcW w:w="1640" w:type="dxa"/>
            <w:vAlign w:val="bottom"/>
            <w:shd w:val="clear" w:color="auto" w:fill="EEEDED"/>
          </w:tcPr>
          <w:p>
            <w:pPr>
              <w:spacing w:after="0"/>
              <w:rPr>
                <w:sz w:val="16"/>
                <w:szCs w:val="16"/>
                <w:color w:val="auto"/>
              </w:rPr>
            </w:pPr>
          </w:p>
        </w:tc>
        <w:tc>
          <w:tcPr>
            <w:tcW w:w="2460" w:type="dxa"/>
            <w:vAlign w:val="bottom"/>
            <w:vMerge w:val="restart"/>
            <w:shd w:val="clear" w:color="auto" w:fill="EEEDED"/>
          </w:tcPr>
          <w:p>
            <w:pPr>
              <w:ind w:left="20"/>
              <w:spacing w:after="0"/>
              <w:rPr>
                <w:sz w:val="20"/>
                <w:szCs w:val="20"/>
                <w:color w:val="auto"/>
              </w:rPr>
            </w:pPr>
            <w:r>
              <w:rPr>
                <w:rFonts w:ascii="Arial" w:cs="Arial" w:eastAsia="Arial" w:hAnsi="Arial"/>
                <w:sz w:val="14"/>
                <w:szCs w:val="14"/>
                <w:b w:val="1"/>
                <w:bCs w:val="1"/>
                <w:color w:val="54585A"/>
              </w:rPr>
              <w:t>Vote Required to Approve</w:t>
            </w:r>
          </w:p>
        </w:tc>
        <w:tc>
          <w:tcPr>
            <w:tcW w:w="1300" w:type="dxa"/>
            <w:vAlign w:val="bottom"/>
            <w:shd w:val="clear" w:color="auto" w:fill="EEEDED"/>
          </w:tcPr>
          <w:p>
            <w:pPr>
              <w:ind w:left="140"/>
              <w:spacing w:after="0"/>
              <w:rPr>
                <w:sz w:val="20"/>
                <w:szCs w:val="20"/>
                <w:color w:val="auto"/>
              </w:rPr>
            </w:pPr>
            <w:r>
              <w:rPr>
                <w:rFonts w:ascii="Arial" w:cs="Arial" w:eastAsia="Arial" w:hAnsi="Arial"/>
                <w:sz w:val="14"/>
                <w:szCs w:val="14"/>
                <w:b w:val="1"/>
                <w:bCs w:val="1"/>
                <w:color w:val="54585A"/>
              </w:rPr>
              <w:t>Effect of</w:t>
            </w:r>
          </w:p>
        </w:tc>
        <w:tc>
          <w:tcPr>
            <w:tcW w:w="1640" w:type="dxa"/>
            <w:vAlign w:val="bottom"/>
            <w:vMerge w:val="restart"/>
            <w:shd w:val="clear" w:color="auto" w:fill="EEEDED"/>
          </w:tcPr>
          <w:p>
            <w:pPr>
              <w:ind w:left="120"/>
              <w:spacing w:after="0"/>
              <w:rPr>
                <w:sz w:val="20"/>
                <w:szCs w:val="20"/>
                <w:color w:val="auto"/>
              </w:rPr>
            </w:pPr>
            <w:r>
              <w:rPr>
                <w:rFonts w:ascii="Arial" w:cs="Arial" w:eastAsia="Arial" w:hAnsi="Arial"/>
                <w:sz w:val="14"/>
                <w:szCs w:val="14"/>
                <w:b w:val="1"/>
                <w:bCs w:val="1"/>
                <w:color w:val="54585A"/>
              </w:rPr>
              <w:t>Effect of Broker</w:t>
            </w:r>
          </w:p>
        </w:tc>
        <w:tc>
          <w:tcPr>
            <w:tcW w:w="0" w:type="dxa"/>
            <w:vAlign w:val="bottom"/>
          </w:tcPr>
          <w:p>
            <w:pPr>
              <w:spacing w:after="0"/>
              <w:rPr>
                <w:sz w:val="1"/>
                <w:szCs w:val="1"/>
                <w:color w:val="auto"/>
              </w:rPr>
            </w:pPr>
          </w:p>
        </w:tc>
      </w:tr>
      <w:tr>
        <w:trPr>
          <w:trHeight w:val="162"/>
        </w:trPr>
        <w:tc>
          <w:tcPr>
            <w:tcW w:w="120" w:type="dxa"/>
            <w:vAlign w:val="bottom"/>
            <w:shd w:val="clear" w:color="auto" w:fill="EEEDED"/>
          </w:tcPr>
          <w:p>
            <w:pPr>
              <w:spacing w:after="0"/>
              <w:rPr>
                <w:sz w:val="14"/>
                <w:szCs w:val="14"/>
                <w:color w:val="auto"/>
              </w:rPr>
            </w:pPr>
          </w:p>
        </w:tc>
        <w:tc>
          <w:tcPr>
            <w:tcW w:w="4080" w:type="dxa"/>
            <w:vAlign w:val="bottom"/>
            <w:shd w:val="clear" w:color="auto" w:fill="EEEDED"/>
          </w:tcPr>
          <w:p>
            <w:pPr>
              <w:spacing w:after="0"/>
              <w:rPr>
                <w:sz w:val="14"/>
                <w:szCs w:val="14"/>
                <w:color w:val="auto"/>
              </w:rPr>
            </w:pPr>
          </w:p>
        </w:tc>
        <w:tc>
          <w:tcPr>
            <w:tcW w:w="1640" w:type="dxa"/>
            <w:vAlign w:val="bottom"/>
            <w:shd w:val="clear" w:color="auto" w:fill="EEEDED"/>
          </w:tcPr>
          <w:p>
            <w:pPr>
              <w:spacing w:after="0"/>
              <w:rPr>
                <w:sz w:val="14"/>
                <w:szCs w:val="14"/>
                <w:color w:val="auto"/>
              </w:rPr>
            </w:pPr>
          </w:p>
        </w:tc>
        <w:tc>
          <w:tcPr>
            <w:tcW w:w="2460" w:type="dxa"/>
            <w:vAlign w:val="bottom"/>
            <w:vMerge w:val="continue"/>
            <w:shd w:val="clear" w:color="auto" w:fill="EEEDED"/>
          </w:tcPr>
          <w:p>
            <w:pPr>
              <w:spacing w:after="0"/>
              <w:rPr>
                <w:sz w:val="14"/>
                <w:szCs w:val="14"/>
                <w:color w:val="auto"/>
              </w:rPr>
            </w:pPr>
          </w:p>
        </w:tc>
        <w:tc>
          <w:tcPr>
            <w:tcW w:w="1300" w:type="dxa"/>
            <w:vAlign w:val="bottom"/>
            <w:shd w:val="clear" w:color="auto" w:fill="EEEDED"/>
          </w:tcPr>
          <w:p>
            <w:pPr>
              <w:ind w:left="140"/>
              <w:spacing w:after="0"/>
              <w:rPr>
                <w:sz w:val="20"/>
                <w:szCs w:val="20"/>
                <w:color w:val="auto"/>
              </w:rPr>
            </w:pPr>
            <w:r>
              <w:rPr>
                <w:rFonts w:ascii="Arial" w:cs="Arial" w:eastAsia="Arial" w:hAnsi="Arial"/>
                <w:sz w:val="14"/>
                <w:szCs w:val="14"/>
                <w:b w:val="1"/>
                <w:bCs w:val="1"/>
                <w:color w:val="54585A"/>
              </w:rPr>
              <w:t>Abstentions /</w:t>
            </w:r>
          </w:p>
        </w:tc>
        <w:tc>
          <w:tcPr>
            <w:tcW w:w="1640" w:type="dxa"/>
            <w:vAlign w:val="bottom"/>
            <w:vMerge w:val="continue"/>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0" w:type="dxa"/>
            <w:vAlign w:val="bottom"/>
            <w:shd w:val="clear" w:color="auto" w:fill="EEEDED"/>
          </w:tcPr>
          <w:p>
            <w:pPr>
              <w:spacing w:after="0"/>
              <w:rPr>
                <w:sz w:val="17"/>
                <w:szCs w:val="17"/>
                <w:color w:val="auto"/>
              </w:rPr>
            </w:pPr>
          </w:p>
        </w:tc>
        <w:tc>
          <w:tcPr>
            <w:tcW w:w="4080" w:type="dxa"/>
            <w:vAlign w:val="bottom"/>
            <w:shd w:val="clear" w:color="auto" w:fill="EEEDED"/>
          </w:tcPr>
          <w:p>
            <w:pPr>
              <w:ind w:left="20"/>
              <w:spacing w:after="0"/>
              <w:rPr>
                <w:sz w:val="20"/>
                <w:szCs w:val="20"/>
                <w:color w:val="auto"/>
              </w:rPr>
            </w:pPr>
            <w:r>
              <w:rPr>
                <w:rFonts w:ascii="Arial" w:cs="Arial" w:eastAsia="Arial" w:hAnsi="Arial"/>
                <w:sz w:val="14"/>
                <w:szCs w:val="14"/>
                <w:b w:val="1"/>
                <w:bCs w:val="1"/>
                <w:color w:val="54585A"/>
              </w:rPr>
              <w:t>Proposal</w:t>
            </w:r>
          </w:p>
        </w:tc>
        <w:tc>
          <w:tcPr>
            <w:tcW w:w="1640" w:type="dxa"/>
            <w:vAlign w:val="bottom"/>
            <w:shd w:val="clear" w:color="auto" w:fill="EEEDED"/>
          </w:tcPr>
          <w:p>
            <w:pPr>
              <w:ind w:left="220"/>
              <w:spacing w:after="0"/>
              <w:rPr>
                <w:sz w:val="20"/>
                <w:szCs w:val="20"/>
                <w:color w:val="auto"/>
              </w:rPr>
            </w:pPr>
            <w:r>
              <w:rPr>
                <w:rFonts w:ascii="Arial" w:cs="Arial" w:eastAsia="Arial" w:hAnsi="Arial"/>
                <w:sz w:val="14"/>
                <w:szCs w:val="14"/>
                <w:b w:val="1"/>
                <w:bCs w:val="1"/>
                <w:color w:val="54585A"/>
              </w:rPr>
              <w:t>Voting Options</w:t>
            </w:r>
          </w:p>
        </w:tc>
        <w:tc>
          <w:tcPr>
            <w:tcW w:w="2460" w:type="dxa"/>
            <w:vAlign w:val="bottom"/>
            <w:shd w:val="clear" w:color="auto" w:fill="EEEDED"/>
          </w:tcPr>
          <w:p>
            <w:pPr>
              <w:ind w:left="20"/>
              <w:spacing w:after="0"/>
              <w:rPr>
                <w:sz w:val="20"/>
                <w:szCs w:val="20"/>
                <w:color w:val="auto"/>
              </w:rPr>
            </w:pPr>
            <w:r>
              <w:rPr>
                <w:rFonts w:ascii="Arial" w:cs="Arial" w:eastAsia="Arial" w:hAnsi="Arial"/>
                <w:sz w:val="14"/>
                <w:szCs w:val="14"/>
                <w:b w:val="1"/>
                <w:bCs w:val="1"/>
                <w:color w:val="54585A"/>
              </w:rPr>
              <w:t>the Proposal</w:t>
            </w:r>
          </w:p>
        </w:tc>
        <w:tc>
          <w:tcPr>
            <w:tcW w:w="1300" w:type="dxa"/>
            <w:vAlign w:val="bottom"/>
            <w:shd w:val="clear" w:color="auto" w:fill="EEEDED"/>
          </w:tcPr>
          <w:p>
            <w:pPr>
              <w:ind w:left="140"/>
              <w:spacing w:after="0"/>
              <w:rPr>
                <w:sz w:val="20"/>
                <w:szCs w:val="20"/>
                <w:color w:val="auto"/>
              </w:rPr>
            </w:pPr>
            <w:r>
              <w:rPr>
                <w:rFonts w:ascii="Arial" w:cs="Arial" w:eastAsia="Arial" w:hAnsi="Arial"/>
                <w:sz w:val="14"/>
                <w:szCs w:val="14"/>
                <w:b w:val="1"/>
                <w:bCs w:val="1"/>
                <w:color w:val="54585A"/>
              </w:rPr>
              <w:t>Withheld Votes</w:t>
            </w:r>
          </w:p>
        </w:tc>
        <w:tc>
          <w:tcPr>
            <w:tcW w:w="1640" w:type="dxa"/>
            <w:vAlign w:val="bottom"/>
            <w:shd w:val="clear" w:color="auto" w:fill="EEEDED"/>
          </w:tcPr>
          <w:p>
            <w:pPr>
              <w:ind w:left="120"/>
              <w:spacing w:after="0"/>
              <w:rPr>
                <w:sz w:val="20"/>
                <w:szCs w:val="20"/>
                <w:color w:val="auto"/>
              </w:rPr>
            </w:pPr>
            <w:r>
              <w:rPr>
                <w:rFonts w:ascii="Arial" w:cs="Arial" w:eastAsia="Arial" w:hAnsi="Arial"/>
                <w:sz w:val="14"/>
                <w:szCs w:val="14"/>
                <w:b w:val="1"/>
                <w:bCs w:val="1"/>
                <w:color w:val="54585A"/>
              </w:rPr>
              <w:t>Non-Votes</w:t>
            </w:r>
          </w:p>
        </w:tc>
        <w:tc>
          <w:tcPr>
            <w:tcW w:w="0" w:type="dxa"/>
            <w:vAlign w:val="bottom"/>
          </w:tcPr>
          <w:p>
            <w:pPr>
              <w:spacing w:after="0"/>
              <w:rPr>
                <w:sz w:val="1"/>
                <w:szCs w:val="1"/>
                <w:color w:val="auto"/>
              </w:rPr>
            </w:pPr>
          </w:p>
        </w:tc>
      </w:tr>
      <w:tr>
        <w:trPr>
          <w:trHeight w:val="110"/>
        </w:trPr>
        <w:tc>
          <w:tcPr>
            <w:tcW w:w="120" w:type="dxa"/>
            <w:vAlign w:val="bottom"/>
            <w:shd w:val="clear" w:color="auto" w:fill="EEEDED"/>
          </w:tcPr>
          <w:p>
            <w:pPr>
              <w:spacing w:after="0"/>
              <w:rPr>
                <w:sz w:val="9"/>
                <w:szCs w:val="9"/>
                <w:color w:val="auto"/>
              </w:rPr>
            </w:pPr>
          </w:p>
        </w:tc>
        <w:tc>
          <w:tcPr>
            <w:tcW w:w="4080" w:type="dxa"/>
            <w:vAlign w:val="bottom"/>
            <w:shd w:val="clear" w:color="auto" w:fill="EEEDED"/>
          </w:tcPr>
          <w:p>
            <w:pPr>
              <w:spacing w:after="0"/>
              <w:rPr>
                <w:sz w:val="9"/>
                <w:szCs w:val="9"/>
                <w:color w:val="auto"/>
              </w:rPr>
            </w:pPr>
          </w:p>
        </w:tc>
        <w:tc>
          <w:tcPr>
            <w:tcW w:w="1640" w:type="dxa"/>
            <w:vAlign w:val="bottom"/>
            <w:shd w:val="clear" w:color="auto" w:fill="EEEDED"/>
          </w:tcPr>
          <w:p>
            <w:pPr>
              <w:spacing w:after="0"/>
              <w:rPr>
                <w:sz w:val="9"/>
                <w:szCs w:val="9"/>
                <w:color w:val="auto"/>
              </w:rPr>
            </w:pPr>
          </w:p>
        </w:tc>
        <w:tc>
          <w:tcPr>
            <w:tcW w:w="2460" w:type="dxa"/>
            <w:vAlign w:val="bottom"/>
            <w:shd w:val="clear" w:color="auto" w:fill="EEEDED"/>
          </w:tcPr>
          <w:p>
            <w:pPr>
              <w:spacing w:after="0"/>
              <w:rPr>
                <w:sz w:val="9"/>
                <w:szCs w:val="9"/>
                <w:color w:val="auto"/>
              </w:rPr>
            </w:pPr>
          </w:p>
        </w:tc>
        <w:tc>
          <w:tcPr>
            <w:tcW w:w="1300" w:type="dxa"/>
            <w:vAlign w:val="bottom"/>
            <w:shd w:val="clear" w:color="auto" w:fill="EEEDED"/>
          </w:tcPr>
          <w:p>
            <w:pPr>
              <w:spacing w:after="0"/>
              <w:rPr>
                <w:sz w:val="9"/>
                <w:szCs w:val="9"/>
                <w:color w:val="auto"/>
              </w:rPr>
            </w:pPr>
          </w:p>
        </w:tc>
        <w:tc>
          <w:tcPr>
            <w:tcW w:w="164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120" w:type="dxa"/>
            <w:vAlign w:val="bottom"/>
          </w:tcPr>
          <w:p>
            <w:pPr>
              <w:spacing w:after="0"/>
              <w:rPr>
                <w:sz w:val="16"/>
                <w:szCs w:val="16"/>
                <w:color w:val="auto"/>
              </w:rPr>
            </w:pPr>
          </w:p>
        </w:tc>
        <w:tc>
          <w:tcPr>
            <w:tcW w:w="4080" w:type="dxa"/>
            <w:vAlign w:val="bottom"/>
            <w:vMerge w:val="restart"/>
          </w:tcPr>
          <w:p>
            <w:pPr>
              <w:ind w:left="800"/>
              <w:spacing w:after="0"/>
              <w:rPr>
                <w:sz w:val="20"/>
                <w:szCs w:val="20"/>
                <w:color w:val="auto"/>
              </w:rPr>
            </w:pPr>
            <w:r>
              <w:rPr>
                <w:rFonts w:ascii="Arial" w:cs="Arial" w:eastAsia="Arial" w:hAnsi="Arial"/>
                <w:sz w:val="14"/>
                <w:szCs w:val="14"/>
                <w:color w:val="54585A"/>
              </w:rPr>
              <w:t>Election of the three Class A director nominees</w:t>
            </w:r>
          </w:p>
        </w:tc>
        <w:tc>
          <w:tcPr>
            <w:tcW w:w="1640" w:type="dxa"/>
            <w:vAlign w:val="bottom"/>
          </w:tcPr>
          <w:p>
            <w:pPr>
              <w:ind w:left="220"/>
              <w:spacing w:after="0"/>
              <w:rPr>
                <w:sz w:val="20"/>
                <w:szCs w:val="20"/>
                <w:color w:val="auto"/>
              </w:rPr>
            </w:pPr>
            <w:r>
              <w:rPr>
                <w:rFonts w:ascii="Arial" w:cs="Arial" w:eastAsia="Arial" w:hAnsi="Arial"/>
                <w:sz w:val="14"/>
                <w:szCs w:val="14"/>
                <w:color w:val="54585A"/>
              </w:rPr>
              <w:t>For or withhold for</w:t>
            </w:r>
          </w:p>
        </w:tc>
        <w:tc>
          <w:tcPr>
            <w:tcW w:w="2460" w:type="dxa"/>
            <w:vAlign w:val="bottom"/>
            <w:vMerge w:val="restart"/>
          </w:tcPr>
          <w:p>
            <w:pPr>
              <w:ind w:left="20"/>
              <w:spacing w:after="0"/>
              <w:rPr>
                <w:sz w:val="20"/>
                <w:szCs w:val="20"/>
                <w:color w:val="auto"/>
              </w:rPr>
            </w:pPr>
            <w:r>
              <w:rPr>
                <w:rFonts w:ascii="Arial" w:cs="Arial" w:eastAsia="Arial" w:hAnsi="Arial"/>
                <w:sz w:val="14"/>
                <w:szCs w:val="14"/>
                <w:color w:val="54585A"/>
              </w:rPr>
              <w:t xml:space="preserve">Plurality </w:t>
            </w:r>
            <w:r>
              <w:rPr>
                <w:rFonts w:ascii="Arial" w:cs="Arial" w:eastAsia="Arial" w:hAnsi="Arial"/>
                <w:sz w:val="18"/>
                <w:szCs w:val="18"/>
                <w:color w:val="54585A"/>
                <w:vertAlign w:val="superscript"/>
              </w:rPr>
              <w:t>(1)</w:t>
            </w:r>
          </w:p>
        </w:tc>
        <w:tc>
          <w:tcPr>
            <w:tcW w:w="1300" w:type="dxa"/>
            <w:vAlign w:val="bottom"/>
            <w:vMerge w:val="restart"/>
          </w:tcPr>
          <w:p>
            <w:pPr>
              <w:ind w:left="140"/>
              <w:spacing w:after="0"/>
              <w:rPr>
                <w:sz w:val="20"/>
                <w:szCs w:val="20"/>
                <w:color w:val="auto"/>
              </w:rPr>
            </w:pPr>
            <w:r>
              <w:rPr>
                <w:rFonts w:ascii="Arial" w:cs="Arial" w:eastAsia="Arial" w:hAnsi="Arial"/>
                <w:sz w:val="14"/>
                <w:szCs w:val="14"/>
                <w:color w:val="54585A"/>
              </w:rPr>
              <w:t>No Effect</w:t>
            </w:r>
          </w:p>
        </w:tc>
        <w:tc>
          <w:tcPr>
            <w:tcW w:w="1640" w:type="dxa"/>
            <w:vAlign w:val="bottom"/>
            <w:vMerge w:val="restart"/>
          </w:tcPr>
          <w:p>
            <w:pPr>
              <w:ind w:left="120"/>
              <w:spacing w:after="0"/>
              <w:rPr>
                <w:sz w:val="20"/>
                <w:szCs w:val="20"/>
                <w:color w:val="auto"/>
              </w:rPr>
            </w:pPr>
            <w:r>
              <w:rPr>
                <w:rFonts w:ascii="Arial" w:cs="Arial" w:eastAsia="Arial" w:hAnsi="Arial"/>
                <w:sz w:val="14"/>
                <w:szCs w:val="14"/>
                <w:color w:val="54585A"/>
              </w:rPr>
              <w:t>No Effect</w:t>
            </w:r>
          </w:p>
        </w:tc>
        <w:tc>
          <w:tcPr>
            <w:tcW w:w="0" w:type="dxa"/>
            <w:vAlign w:val="bottom"/>
          </w:tcPr>
          <w:p>
            <w:pPr>
              <w:spacing w:after="0"/>
              <w:rPr>
                <w:sz w:val="1"/>
                <w:szCs w:val="1"/>
                <w:color w:val="auto"/>
              </w:rPr>
            </w:pPr>
          </w:p>
        </w:tc>
      </w:tr>
      <w:tr>
        <w:trPr>
          <w:trHeight w:val="144"/>
        </w:trPr>
        <w:tc>
          <w:tcPr>
            <w:tcW w:w="120" w:type="dxa"/>
            <w:vAlign w:val="bottom"/>
          </w:tcPr>
          <w:p>
            <w:pPr>
              <w:spacing w:after="0"/>
              <w:rPr>
                <w:sz w:val="12"/>
                <w:szCs w:val="12"/>
                <w:color w:val="auto"/>
              </w:rPr>
            </w:pPr>
          </w:p>
        </w:tc>
        <w:tc>
          <w:tcPr>
            <w:tcW w:w="4080" w:type="dxa"/>
            <w:vAlign w:val="bottom"/>
            <w:vMerge w:val="continue"/>
          </w:tcPr>
          <w:p>
            <w:pPr>
              <w:spacing w:after="0"/>
              <w:rPr>
                <w:sz w:val="12"/>
                <w:szCs w:val="12"/>
                <w:color w:val="auto"/>
              </w:rPr>
            </w:pPr>
          </w:p>
        </w:tc>
        <w:tc>
          <w:tcPr>
            <w:tcW w:w="1640" w:type="dxa"/>
            <w:vAlign w:val="bottom"/>
          </w:tcPr>
          <w:p>
            <w:pPr>
              <w:ind w:left="220"/>
              <w:spacing w:after="0" w:line="145" w:lineRule="exact"/>
              <w:rPr>
                <w:sz w:val="20"/>
                <w:szCs w:val="20"/>
                <w:color w:val="auto"/>
              </w:rPr>
            </w:pPr>
            <w:r>
              <w:rPr>
                <w:rFonts w:ascii="Arial" w:cs="Arial" w:eastAsia="Arial" w:hAnsi="Arial"/>
                <w:sz w:val="14"/>
                <w:szCs w:val="14"/>
                <w:color w:val="54585A"/>
              </w:rPr>
              <w:t>each director</w:t>
            </w:r>
          </w:p>
        </w:tc>
        <w:tc>
          <w:tcPr>
            <w:tcW w:w="246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4080" w:type="dxa"/>
            <w:vAlign w:val="bottom"/>
          </w:tcPr>
          <w:p>
            <w:pPr>
              <w:ind w:left="800"/>
              <w:spacing w:after="0"/>
              <w:rPr>
                <w:sz w:val="20"/>
                <w:szCs w:val="20"/>
                <w:color w:val="auto"/>
              </w:rPr>
            </w:pPr>
            <w:r>
              <w:rPr>
                <w:rFonts w:ascii="Arial" w:cs="Arial" w:eastAsia="Arial" w:hAnsi="Arial"/>
                <w:sz w:val="14"/>
                <w:szCs w:val="14"/>
                <w:color w:val="54585A"/>
              </w:rPr>
              <w:t>named in this proxy statement</w:t>
            </w:r>
          </w:p>
        </w:tc>
        <w:tc>
          <w:tcPr>
            <w:tcW w:w="1640" w:type="dxa"/>
            <w:vAlign w:val="bottom"/>
            <w:vMerge w:val="restart"/>
          </w:tcPr>
          <w:p>
            <w:pPr>
              <w:ind w:left="220"/>
              <w:spacing w:after="0"/>
              <w:rPr>
                <w:sz w:val="20"/>
                <w:szCs w:val="20"/>
                <w:color w:val="auto"/>
              </w:rPr>
            </w:pPr>
            <w:r>
              <w:rPr>
                <w:rFonts w:ascii="Arial" w:cs="Arial" w:eastAsia="Arial" w:hAnsi="Arial"/>
                <w:sz w:val="14"/>
                <w:szCs w:val="14"/>
                <w:color w:val="54585A"/>
              </w:rPr>
              <w:t>nominee</w:t>
            </w:r>
          </w:p>
        </w:tc>
        <w:tc>
          <w:tcPr>
            <w:tcW w:w="2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1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2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120" w:type="dxa"/>
            <w:vAlign w:val="bottom"/>
            <w:tcBorders>
              <w:bottom w:val="single" w:sz="8" w:color="54585A"/>
            </w:tcBorders>
          </w:tcPr>
          <w:p>
            <w:pPr>
              <w:spacing w:after="0" w:line="20" w:lineRule="exact"/>
              <w:rPr>
                <w:sz w:val="1"/>
                <w:szCs w:val="1"/>
                <w:color w:val="auto"/>
              </w:rPr>
            </w:pPr>
          </w:p>
        </w:tc>
        <w:tc>
          <w:tcPr>
            <w:tcW w:w="4080" w:type="dxa"/>
            <w:vAlign w:val="bottom"/>
            <w:tcBorders>
              <w:bottom w:val="single" w:sz="8" w:color="54585A"/>
            </w:tcBorders>
          </w:tcPr>
          <w:p>
            <w:pPr>
              <w:spacing w:after="0" w:line="20" w:lineRule="exact"/>
              <w:rPr>
                <w:sz w:val="1"/>
                <w:szCs w:val="1"/>
                <w:color w:val="auto"/>
              </w:rPr>
            </w:pPr>
          </w:p>
        </w:tc>
        <w:tc>
          <w:tcPr>
            <w:tcW w:w="1640" w:type="dxa"/>
            <w:vAlign w:val="bottom"/>
            <w:tcBorders>
              <w:bottom w:val="single" w:sz="8" w:color="54585A"/>
            </w:tcBorders>
          </w:tcPr>
          <w:p>
            <w:pPr>
              <w:spacing w:after="0" w:line="20" w:lineRule="exact"/>
              <w:rPr>
                <w:sz w:val="1"/>
                <w:szCs w:val="1"/>
                <w:color w:val="auto"/>
              </w:rPr>
            </w:pPr>
          </w:p>
        </w:tc>
        <w:tc>
          <w:tcPr>
            <w:tcW w:w="2460" w:type="dxa"/>
            <w:vAlign w:val="bottom"/>
            <w:tcBorders>
              <w:bottom w:val="single" w:sz="8" w:color="54585A"/>
            </w:tcBorders>
          </w:tcPr>
          <w:p>
            <w:pPr>
              <w:spacing w:after="0" w:line="20" w:lineRule="exact"/>
              <w:rPr>
                <w:sz w:val="1"/>
                <w:szCs w:val="1"/>
                <w:color w:val="auto"/>
              </w:rPr>
            </w:pPr>
          </w:p>
        </w:tc>
        <w:tc>
          <w:tcPr>
            <w:tcW w:w="1300" w:type="dxa"/>
            <w:vAlign w:val="bottom"/>
            <w:tcBorders>
              <w:bottom w:val="single" w:sz="8" w:color="54585A"/>
            </w:tcBorders>
          </w:tcPr>
          <w:p>
            <w:pPr>
              <w:spacing w:after="0" w:line="20" w:lineRule="exact"/>
              <w:rPr>
                <w:sz w:val="1"/>
                <w:szCs w:val="1"/>
                <w:color w:val="auto"/>
              </w:rPr>
            </w:pPr>
          </w:p>
        </w:tc>
        <w:tc>
          <w:tcPr>
            <w:tcW w:w="164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080" w:type="dxa"/>
            <w:vAlign w:val="bottom"/>
          </w:tcPr>
          <w:p>
            <w:pPr>
              <w:ind w:left="800"/>
              <w:spacing w:after="0"/>
              <w:rPr>
                <w:sz w:val="20"/>
                <w:szCs w:val="20"/>
                <w:color w:val="auto"/>
              </w:rPr>
            </w:pPr>
            <w:r>
              <w:rPr>
                <w:rFonts w:ascii="Arial" w:cs="Arial" w:eastAsia="Arial" w:hAnsi="Arial"/>
                <w:sz w:val="14"/>
                <w:szCs w:val="14"/>
                <w:color w:val="54585A"/>
              </w:rPr>
              <w:t>Ratification of the selection of EY as our 2025</w:t>
            </w:r>
          </w:p>
        </w:tc>
        <w:tc>
          <w:tcPr>
            <w:tcW w:w="1640" w:type="dxa"/>
            <w:vAlign w:val="bottom"/>
          </w:tcPr>
          <w:p>
            <w:pPr>
              <w:ind w:left="220"/>
              <w:spacing w:after="0"/>
              <w:rPr>
                <w:sz w:val="20"/>
                <w:szCs w:val="20"/>
                <w:color w:val="auto"/>
              </w:rPr>
            </w:pPr>
            <w:r>
              <w:rPr>
                <w:rFonts w:ascii="Arial" w:cs="Arial" w:eastAsia="Arial" w:hAnsi="Arial"/>
                <w:sz w:val="14"/>
                <w:szCs w:val="14"/>
                <w:color w:val="54585A"/>
              </w:rPr>
              <w:t>For, against or</w:t>
            </w:r>
          </w:p>
        </w:tc>
        <w:tc>
          <w:tcPr>
            <w:tcW w:w="2460" w:type="dxa"/>
            <w:vAlign w:val="bottom"/>
            <w:vMerge w:val="restart"/>
          </w:tcPr>
          <w:p>
            <w:pPr>
              <w:ind w:left="20"/>
              <w:spacing w:after="0"/>
              <w:rPr>
                <w:sz w:val="20"/>
                <w:szCs w:val="20"/>
                <w:color w:val="auto"/>
              </w:rPr>
            </w:pPr>
            <w:r>
              <w:rPr>
                <w:rFonts w:ascii="Arial" w:cs="Arial" w:eastAsia="Arial" w:hAnsi="Arial"/>
                <w:sz w:val="14"/>
                <w:szCs w:val="14"/>
                <w:color w:val="54585A"/>
              </w:rPr>
              <w:t>Majority of the votes cast</w:t>
            </w:r>
          </w:p>
        </w:tc>
        <w:tc>
          <w:tcPr>
            <w:tcW w:w="1300" w:type="dxa"/>
            <w:vAlign w:val="bottom"/>
            <w:vMerge w:val="restart"/>
          </w:tcPr>
          <w:p>
            <w:pPr>
              <w:ind w:left="140"/>
              <w:spacing w:after="0"/>
              <w:rPr>
                <w:sz w:val="20"/>
                <w:szCs w:val="20"/>
                <w:color w:val="auto"/>
              </w:rPr>
            </w:pPr>
            <w:r>
              <w:rPr>
                <w:rFonts w:ascii="Arial" w:cs="Arial" w:eastAsia="Arial" w:hAnsi="Arial"/>
                <w:sz w:val="14"/>
                <w:szCs w:val="14"/>
                <w:color w:val="54585A"/>
              </w:rPr>
              <w:t>No Effect</w:t>
            </w:r>
          </w:p>
        </w:tc>
        <w:tc>
          <w:tcPr>
            <w:tcW w:w="1640" w:type="dxa"/>
            <w:vAlign w:val="bottom"/>
            <w:vMerge w:val="restart"/>
          </w:tcPr>
          <w:p>
            <w:pPr>
              <w:ind w:left="120"/>
              <w:spacing w:after="0"/>
              <w:rPr>
                <w:sz w:val="20"/>
                <w:szCs w:val="20"/>
                <w:color w:val="auto"/>
              </w:rPr>
            </w:pPr>
            <w:r>
              <w:rPr>
                <w:rFonts w:ascii="Arial" w:cs="Arial" w:eastAsia="Arial" w:hAnsi="Arial"/>
                <w:sz w:val="28"/>
                <w:szCs w:val="28"/>
                <w:color w:val="54585A"/>
                <w:vertAlign w:val="subscript"/>
              </w:rPr>
              <w:t>N/A</w:t>
            </w:r>
            <w:r>
              <w:rPr>
                <w:rFonts w:ascii="Arial" w:cs="Arial" w:eastAsia="Arial" w:hAnsi="Arial"/>
                <w:sz w:val="9"/>
                <w:szCs w:val="9"/>
                <w:color w:val="54585A"/>
              </w:rPr>
              <w:t xml:space="preserve"> (2)</w:t>
            </w:r>
          </w:p>
        </w:tc>
        <w:tc>
          <w:tcPr>
            <w:tcW w:w="0" w:type="dxa"/>
            <w:vAlign w:val="bottom"/>
          </w:tcPr>
          <w:p>
            <w:pPr>
              <w:spacing w:after="0"/>
              <w:rPr>
                <w:sz w:val="1"/>
                <w:szCs w:val="1"/>
                <w:color w:val="auto"/>
              </w:rPr>
            </w:pPr>
          </w:p>
        </w:tc>
      </w:tr>
      <w:tr>
        <w:trPr>
          <w:trHeight w:val="138"/>
        </w:trPr>
        <w:tc>
          <w:tcPr>
            <w:tcW w:w="120" w:type="dxa"/>
            <w:vAlign w:val="bottom"/>
          </w:tcPr>
          <w:p>
            <w:pPr>
              <w:spacing w:after="0"/>
              <w:rPr>
                <w:sz w:val="12"/>
                <w:szCs w:val="12"/>
                <w:color w:val="auto"/>
              </w:rPr>
            </w:pPr>
          </w:p>
        </w:tc>
        <w:tc>
          <w:tcPr>
            <w:tcW w:w="4080" w:type="dxa"/>
            <w:vAlign w:val="bottom"/>
            <w:vMerge w:val="restart"/>
          </w:tcPr>
          <w:p>
            <w:pPr>
              <w:ind w:left="800"/>
              <w:spacing w:after="0"/>
              <w:rPr>
                <w:sz w:val="20"/>
                <w:szCs w:val="20"/>
                <w:color w:val="auto"/>
              </w:rPr>
            </w:pPr>
            <w:r>
              <w:rPr>
                <w:rFonts w:ascii="Arial" w:cs="Arial" w:eastAsia="Arial" w:hAnsi="Arial"/>
                <w:sz w:val="14"/>
                <w:szCs w:val="14"/>
                <w:color w:val="54585A"/>
              </w:rPr>
              <w:t>independent registered accounting firm</w:t>
            </w:r>
          </w:p>
        </w:tc>
        <w:tc>
          <w:tcPr>
            <w:tcW w:w="1640" w:type="dxa"/>
            <w:vAlign w:val="bottom"/>
            <w:vMerge w:val="restart"/>
          </w:tcPr>
          <w:p>
            <w:pPr>
              <w:ind w:left="220"/>
              <w:spacing w:after="0"/>
              <w:rPr>
                <w:sz w:val="20"/>
                <w:szCs w:val="20"/>
                <w:color w:val="auto"/>
              </w:rPr>
            </w:pPr>
            <w:r>
              <w:rPr>
                <w:rFonts w:ascii="Arial" w:cs="Arial" w:eastAsia="Arial" w:hAnsi="Arial"/>
                <w:sz w:val="14"/>
                <w:szCs w:val="14"/>
                <w:color w:val="54585A"/>
              </w:rPr>
              <w:t>abstain</w:t>
            </w:r>
          </w:p>
        </w:tc>
        <w:tc>
          <w:tcPr>
            <w:tcW w:w="246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2"/>
        </w:trPr>
        <w:tc>
          <w:tcPr>
            <w:tcW w:w="12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120" w:type="dxa"/>
            <w:vAlign w:val="bottom"/>
            <w:tcBorders>
              <w:bottom w:val="single" w:sz="8" w:color="54585A"/>
            </w:tcBorders>
          </w:tcPr>
          <w:p>
            <w:pPr>
              <w:spacing w:after="0"/>
              <w:rPr>
                <w:sz w:val="7"/>
                <w:szCs w:val="7"/>
                <w:color w:val="auto"/>
              </w:rPr>
            </w:pPr>
          </w:p>
        </w:tc>
        <w:tc>
          <w:tcPr>
            <w:tcW w:w="4080" w:type="dxa"/>
            <w:vAlign w:val="bottom"/>
            <w:tcBorders>
              <w:bottom w:val="single" w:sz="8" w:color="54585A"/>
            </w:tcBorders>
          </w:tcPr>
          <w:p>
            <w:pPr>
              <w:spacing w:after="0"/>
              <w:rPr>
                <w:sz w:val="7"/>
                <w:szCs w:val="7"/>
                <w:color w:val="auto"/>
              </w:rPr>
            </w:pPr>
          </w:p>
        </w:tc>
        <w:tc>
          <w:tcPr>
            <w:tcW w:w="1640" w:type="dxa"/>
            <w:vAlign w:val="bottom"/>
            <w:tcBorders>
              <w:bottom w:val="single" w:sz="8" w:color="54585A"/>
            </w:tcBorders>
          </w:tcPr>
          <w:p>
            <w:pPr>
              <w:spacing w:after="0"/>
              <w:rPr>
                <w:sz w:val="7"/>
                <w:szCs w:val="7"/>
                <w:color w:val="auto"/>
              </w:rPr>
            </w:pPr>
          </w:p>
        </w:tc>
        <w:tc>
          <w:tcPr>
            <w:tcW w:w="2460" w:type="dxa"/>
            <w:vAlign w:val="bottom"/>
            <w:tcBorders>
              <w:bottom w:val="single" w:sz="8" w:color="54585A"/>
            </w:tcBorders>
          </w:tcPr>
          <w:p>
            <w:pPr>
              <w:spacing w:after="0"/>
              <w:rPr>
                <w:sz w:val="7"/>
                <w:szCs w:val="7"/>
                <w:color w:val="auto"/>
              </w:rPr>
            </w:pPr>
          </w:p>
        </w:tc>
        <w:tc>
          <w:tcPr>
            <w:tcW w:w="1300" w:type="dxa"/>
            <w:vAlign w:val="bottom"/>
            <w:tcBorders>
              <w:bottom w:val="single" w:sz="8" w:color="54585A"/>
            </w:tcBorders>
          </w:tcPr>
          <w:p>
            <w:pPr>
              <w:spacing w:after="0"/>
              <w:rPr>
                <w:sz w:val="7"/>
                <w:szCs w:val="7"/>
                <w:color w:val="auto"/>
              </w:rPr>
            </w:pPr>
          </w:p>
        </w:tc>
        <w:tc>
          <w:tcPr>
            <w:tcW w:w="1640" w:type="dxa"/>
            <w:vAlign w:val="bottom"/>
            <w:tcBorders>
              <w:bottom w:val="single" w:sz="8" w:color="54585A"/>
            </w:tcBorders>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120" w:type="dxa"/>
            <w:vAlign w:val="bottom"/>
          </w:tcPr>
          <w:p>
            <w:pPr>
              <w:spacing w:after="0"/>
              <w:rPr>
                <w:sz w:val="20"/>
                <w:szCs w:val="20"/>
                <w:color w:val="auto"/>
              </w:rPr>
            </w:pPr>
          </w:p>
        </w:tc>
        <w:tc>
          <w:tcPr>
            <w:tcW w:w="4080" w:type="dxa"/>
            <w:vAlign w:val="bottom"/>
          </w:tcPr>
          <w:p>
            <w:pPr>
              <w:ind w:left="800"/>
              <w:spacing w:after="0"/>
              <w:rPr>
                <w:sz w:val="20"/>
                <w:szCs w:val="20"/>
                <w:color w:val="auto"/>
              </w:rPr>
            </w:pPr>
            <w:r>
              <w:rPr>
                <w:rFonts w:ascii="Arial" w:cs="Arial" w:eastAsia="Arial" w:hAnsi="Arial"/>
                <w:sz w:val="14"/>
                <w:szCs w:val="14"/>
                <w:color w:val="54585A"/>
              </w:rPr>
              <w:t>Approval of the entry into the amendment to the</w:t>
            </w:r>
          </w:p>
        </w:tc>
        <w:tc>
          <w:tcPr>
            <w:tcW w:w="1640" w:type="dxa"/>
            <w:vAlign w:val="bottom"/>
          </w:tcPr>
          <w:p>
            <w:pPr>
              <w:ind w:left="220"/>
              <w:spacing w:after="0"/>
              <w:rPr>
                <w:sz w:val="20"/>
                <w:szCs w:val="20"/>
                <w:color w:val="auto"/>
              </w:rPr>
            </w:pPr>
            <w:r>
              <w:rPr>
                <w:rFonts w:ascii="Arial" w:cs="Arial" w:eastAsia="Arial" w:hAnsi="Arial"/>
                <w:sz w:val="14"/>
                <w:szCs w:val="14"/>
                <w:color w:val="54585A"/>
              </w:rPr>
              <w:t>For, against or</w:t>
            </w:r>
          </w:p>
        </w:tc>
        <w:tc>
          <w:tcPr>
            <w:tcW w:w="2460" w:type="dxa"/>
            <w:vAlign w:val="bottom"/>
          </w:tcPr>
          <w:p>
            <w:pPr>
              <w:ind w:left="20"/>
              <w:spacing w:after="0"/>
              <w:rPr>
                <w:sz w:val="20"/>
                <w:szCs w:val="20"/>
                <w:color w:val="auto"/>
              </w:rPr>
            </w:pPr>
            <w:r>
              <w:rPr>
                <w:rFonts w:ascii="Arial" w:cs="Arial" w:eastAsia="Arial" w:hAnsi="Arial"/>
                <w:sz w:val="14"/>
                <w:szCs w:val="14"/>
                <w:color w:val="54585A"/>
              </w:rPr>
              <w:t>Majority of the votes cast, other than</w:t>
            </w:r>
          </w:p>
        </w:tc>
        <w:tc>
          <w:tcPr>
            <w:tcW w:w="1300" w:type="dxa"/>
            <w:vAlign w:val="bottom"/>
            <w:vMerge w:val="restart"/>
          </w:tcPr>
          <w:p>
            <w:pPr>
              <w:ind w:left="140"/>
              <w:spacing w:after="0"/>
              <w:rPr>
                <w:sz w:val="20"/>
                <w:szCs w:val="20"/>
                <w:color w:val="auto"/>
              </w:rPr>
            </w:pPr>
            <w:r>
              <w:rPr>
                <w:rFonts w:ascii="Arial" w:cs="Arial" w:eastAsia="Arial" w:hAnsi="Arial"/>
                <w:sz w:val="14"/>
                <w:szCs w:val="14"/>
                <w:color w:val="54585A"/>
              </w:rPr>
              <w:t>No Effect</w:t>
            </w:r>
          </w:p>
        </w:tc>
        <w:tc>
          <w:tcPr>
            <w:tcW w:w="1640" w:type="dxa"/>
            <w:vAlign w:val="bottom"/>
            <w:vMerge w:val="restart"/>
          </w:tcPr>
          <w:p>
            <w:pPr>
              <w:ind w:left="120"/>
              <w:spacing w:after="0"/>
              <w:rPr>
                <w:sz w:val="20"/>
                <w:szCs w:val="20"/>
                <w:color w:val="auto"/>
              </w:rPr>
            </w:pPr>
            <w:r>
              <w:rPr>
                <w:rFonts w:ascii="Arial" w:cs="Arial" w:eastAsia="Arial" w:hAnsi="Arial"/>
                <w:sz w:val="14"/>
                <w:szCs w:val="14"/>
                <w:color w:val="54585A"/>
              </w:rPr>
              <w:t>No Effect</w:t>
            </w:r>
          </w:p>
        </w:tc>
        <w:tc>
          <w:tcPr>
            <w:tcW w:w="0" w:type="dxa"/>
            <w:vAlign w:val="bottom"/>
          </w:tcPr>
          <w:p>
            <w:pPr>
              <w:spacing w:after="0"/>
              <w:rPr>
                <w:sz w:val="1"/>
                <w:szCs w:val="1"/>
                <w:color w:val="auto"/>
              </w:rPr>
            </w:pPr>
          </w:p>
        </w:tc>
      </w:tr>
      <w:tr>
        <w:trPr>
          <w:trHeight w:val="96"/>
        </w:trPr>
        <w:tc>
          <w:tcPr>
            <w:tcW w:w="120" w:type="dxa"/>
            <w:vAlign w:val="bottom"/>
          </w:tcPr>
          <w:p>
            <w:pPr>
              <w:spacing w:after="0"/>
              <w:rPr>
                <w:sz w:val="8"/>
                <w:szCs w:val="8"/>
                <w:color w:val="auto"/>
              </w:rPr>
            </w:pPr>
          </w:p>
        </w:tc>
        <w:tc>
          <w:tcPr>
            <w:tcW w:w="4080" w:type="dxa"/>
            <w:vAlign w:val="bottom"/>
            <w:vMerge w:val="restart"/>
          </w:tcPr>
          <w:p>
            <w:pPr>
              <w:ind w:left="800"/>
              <w:spacing w:after="0"/>
              <w:rPr>
                <w:sz w:val="20"/>
                <w:szCs w:val="20"/>
                <w:color w:val="auto"/>
              </w:rPr>
            </w:pPr>
            <w:r>
              <w:rPr>
                <w:rFonts w:ascii="Arial" w:cs="Arial" w:eastAsia="Arial" w:hAnsi="Arial"/>
                <w:sz w:val="14"/>
                <w:szCs w:val="14"/>
                <w:color w:val="54585A"/>
              </w:rPr>
              <w:t>Thermo Guaranty Agreement</w:t>
            </w:r>
          </w:p>
        </w:tc>
        <w:tc>
          <w:tcPr>
            <w:tcW w:w="1640" w:type="dxa"/>
            <w:vAlign w:val="bottom"/>
            <w:vMerge w:val="restart"/>
          </w:tcPr>
          <w:p>
            <w:pPr>
              <w:ind w:left="220"/>
              <w:spacing w:after="0"/>
              <w:rPr>
                <w:sz w:val="20"/>
                <w:szCs w:val="20"/>
                <w:color w:val="auto"/>
              </w:rPr>
            </w:pPr>
            <w:r>
              <w:rPr>
                <w:rFonts w:ascii="Arial" w:cs="Arial" w:eastAsia="Arial" w:hAnsi="Arial"/>
                <w:sz w:val="14"/>
                <w:szCs w:val="14"/>
                <w:color w:val="54585A"/>
              </w:rPr>
              <w:t>abstain</w:t>
            </w:r>
          </w:p>
        </w:tc>
        <w:tc>
          <w:tcPr>
            <w:tcW w:w="2460" w:type="dxa"/>
            <w:vAlign w:val="bottom"/>
            <w:vMerge w:val="restart"/>
          </w:tcPr>
          <w:p>
            <w:pPr>
              <w:ind w:left="20"/>
              <w:spacing w:after="0"/>
              <w:rPr>
                <w:sz w:val="20"/>
                <w:szCs w:val="20"/>
                <w:color w:val="auto"/>
              </w:rPr>
            </w:pPr>
            <w:r>
              <w:rPr>
                <w:rFonts w:ascii="Arial" w:cs="Arial" w:eastAsia="Arial" w:hAnsi="Arial"/>
                <w:sz w:val="14"/>
                <w:szCs w:val="14"/>
                <w:color w:val="54585A"/>
              </w:rPr>
              <w:t>Thermo and its affiliates</w:t>
            </w:r>
          </w:p>
        </w:tc>
        <w:tc>
          <w:tcPr>
            <w:tcW w:w="13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20" w:type="dxa"/>
            <w:vAlign w:val="bottom"/>
          </w:tcPr>
          <w:p>
            <w:pPr>
              <w:spacing w:after="0"/>
              <w:rPr>
                <w:sz w:val="8"/>
                <w:szCs w:val="8"/>
                <w:color w:val="auto"/>
              </w:rPr>
            </w:pPr>
          </w:p>
        </w:tc>
        <w:tc>
          <w:tcPr>
            <w:tcW w:w="408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120" w:type="dxa"/>
            <w:vAlign w:val="bottom"/>
            <w:tcBorders>
              <w:bottom w:val="single" w:sz="8" w:color="54585A"/>
            </w:tcBorders>
          </w:tcPr>
          <w:p>
            <w:pPr>
              <w:spacing w:after="0"/>
              <w:rPr>
                <w:sz w:val="6"/>
                <w:szCs w:val="6"/>
                <w:color w:val="auto"/>
              </w:rPr>
            </w:pPr>
          </w:p>
        </w:tc>
        <w:tc>
          <w:tcPr>
            <w:tcW w:w="4080" w:type="dxa"/>
            <w:vAlign w:val="bottom"/>
            <w:tcBorders>
              <w:bottom w:val="single" w:sz="8" w:color="54585A"/>
            </w:tcBorders>
          </w:tcPr>
          <w:p>
            <w:pPr>
              <w:spacing w:after="0"/>
              <w:rPr>
                <w:sz w:val="6"/>
                <w:szCs w:val="6"/>
                <w:color w:val="auto"/>
              </w:rPr>
            </w:pPr>
          </w:p>
        </w:tc>
        <w:tc>
          <w:tcPr>
            <w:tcW w:w="1640" w:type="dxa"/>
            <w:vAlign w:val="bottom"/>
            <w:tcBorders>
              <w:bottom w:val="single" w:sz="8" w:color="54585A"/>
            </w:tcBorders>
          </w:tcPr>
          <w:p>
            <w:pPr>
              <w:spacing w:after="0"/>
              <w:rPr>
                <w:sz w:val="6"/>
                <w:szCs w:val="6"/>
                <w:color w:val="auto"/>
              </w:rPr>
            </w:pPr>
          </w:p>
        </w:tc>
        <w:tc>
          <w:tcPr>
            <w:tcW w:w="2460" w:type="dxa"/>
            <w:vAlign w:val="bottom"/>
            <w:tcBorders>
              <w:bottom w:val="single" w:sz="8" w:color="54585A"/>
            </w:tcBorders>
          </w:tcPr>
          <w:p>
            <w:pPr>
              <w:spacing w:after="0"/>
              <w:rPr>
                <w:sz w:val="6"/>
                <w:szCs w:val="6"/>
                <w:color w:val="auto"/>
              </w:rPr>
            </w:pPr>
          </w:p>
        </w:tc>
        <w:tc>
          <w:tcPr>
            <w:tcW w:w="1300" w:type="dxa"/>
            <w:vAlign w:val="bottom"/>
            <w:tcBorders>
              <w:bottom w:val="single" w:sz="8" w:color="54585A"/>
            </w:tcBorders>
          </w:tcPr>
          <w:p>
            <w:pPr>
              <w:spacing w:after="0"/>
              <w:rPr>
                <w:sz w:val="6"/>
                <w:szCs w:val="6"/>
                <w:color w:val="auto"/>
              </w:rPr>
            </w:pPr>
          </w:p>
        </w:tc>
        <w:tc>
          <w:tcPr>
            <w:tcW w:w="1640" w:type="dxa"/>
            <w:vAlign w:val="bottom"/>
            <w:tcBorders>
              <w:bottom w:val="single" w:sz="8" w:color="54585A"/>
            </w:tcBorders>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1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54585A"/>
              </w:rPr>
              <w:t>Majority of the outstanding shares of</w:t>
            </w:r>
          </w:p>
        </w:tc>
        <w:tc>
          <w:tcPr>
            <w:tcW w:w="1300" w:type="dxa"/>
            <w:vAlign w:val="bottom"/>
          </w:tcPr>
          <w:p>
            <w:pPr>
              <w:ind w:left="140"/>
              <w:spacing w:after="0"/>
              <w:rPr>
                <w:sz w:val="20"/>
                <w:szCs w:val="20"/>
                <w:color w:val="auto"/>
              </w:rPr>
            </w:pPr>
            <w:r>
              <w:rPr>
                <w:rFonts w:ascii="Arial" w:cs="Arial" w:eastAsia="Arial" w:hAnsi="Arial"/>
                <w:sz w:val="14"/>
                <w:szCs w:val="14"/>
                <w:color w:val="54585A"/>
              </w:rPr>
              <w:t>Same as vote</w:t>
            </w:r>
          </w:p>
        </w:tc>
        <w:tc>
          <w:tcPr>
            <w:tcW w:w="1640" w:type="dxa"/>
            <w:vAlign w:val="bottom"/>
          </w:tcPr>
          <w:p>
            <w:pPr>
              <w:ind w:left="120"/>
              <w:spacing w:after="0"/>
              <w:rPr>
                <w:sz w:val="20"/>
                <w:szCs w:val="20"/>
                <w:color w:val="auto"/>
              </w:rPr>
            </w:pPr>
            <w:r>
              <w:rPr>
                <w:rFonts w:ascii="Arial" w:cs="Arial" w:eastAsia="Arial" w:hAnsi="Arial"/>
                <w:sz w:val="14"/>
                <w:szCs w:val="14"/>
                <w:color w:val="54585A"/>
              </w:rPr>
              <w:t>Same as vote</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4080" w:type="dxa"/>
            <w:vAlign w:val="bottom"/>
            <w:vMerge w:val="restart"/>
          </w:tcPr>
          <w:p>
            <w:pPr>
              <w:ind w:left="800"/>
              <w:spacing w:after="0"/>
              <w:rPr>
                <w:sz w:val="20"/>
                <w:szCs w:val="20"/>
                <w:color w:val="auto"/>
              </w:rPr>
            </w:pPr>
            <w:r>
              <w:rPr>
                <w:rFonts w:ascii="Arial" w:cs="Arial" w:eastAsia="Arial" w:hAnsi="Arial"/>
                <w:sz w:val="14"/>
                <w:szCs w:val="14"/>
                <w:color w:val="54585A"/>
              </w:rPr>
              <w:t>Approval of the amendment to our certificate of</w:t>
            </w:r>
          </w:p>
        </w:tc>
        <w:tc>
          <w:tcPr>
            <w:tcW w:w="1640" w:type="dxa"/>
            <w:vAlign w:val="bottom"/>
            <w:vMerge w:val="restart"/>
          </w:tcPr>
          <w:p>
            <w:pPr>
              <w:ind w:left="220"/>
              <w:spacing w:after="0"/>
              <w:rPr>
                <w:sz w:val="20"/>
                <w:szCs w:val="20"/>
                <w:color w:val="auto"/>
              </w:rPr>
            </w:pPr>
            <w:r>
              <w:rPr>
                <w:rFonts w:ascii="Arial" w:cs="Arial" w:eastAsia="Arial" w:hAnsi="Arial"/>
                <w:sz w:val="14"/>
                <w:szCs w:val="14"/>
                <w:color w:val="54585A"/>
              </w:rPr>
              <w:t>For, against or</w:t>
            </w:r>
          </w:p>
        </w:tc>
        <w:tc>
          <w:tcPr>
            <w:tcW w:w="2460" w:type="dxa"/>
            <w:vAlign w:val="bottom"/>
          </w:tcPr>
          <w:p>
            <w:pPr>
              <w:ind w:left="20"/>
              <w:spacing w:after="0"/>
              <w:rPr>
                <w:sz w:val="20"/>
                <w:szCs w:val="20"/>
                <w:color w:val="auto"/>
              </w:rPr>
            </w:pPr>
            <w:r>
              <w:rPr>
                <w:rFonts w:ascii="Arial" w:cs="Arial" w:eastAsia="Arial" w:hAnsi="Arial"/>
                <w:sz w:val="14"/>
                <w:szCs w:val="14"/>
                <w:color w:val="54585A"/>
              </w:rPr>
              <w:t>our common stock</w:t>
            </w:r>
          </w:p>
        </w:tc>
        <w:tc>
          <w:tcPr>
            <w:tcW w:w="1300" w:type="dxa"/>
            <w:vAlign w:val="bottom"/>
          </w:tcPr>
          <w:p>
            <w:pPr>
              <w:ind w:left="140"/>
              <w:spacing w:after="0"/>
              <w:rPr>
                <w:sz w:val="20"/>
                <w:szCs w:val="20"/>
                <w:color w:val="auto"/>
              </w:rPr>
            </w:pPr>
            <w:r>
              <w:rPr>
                <w:rFonts w:ascii="Arial" w:cs="Arial" w:eastAsia="Arial" w:hAnsi="Arial"/>
                <w:sz w:val="14"/>
                <w:szCs w:val="14"/>
                <w:color w:val="54585A"/>
              </w:rPr>
              <w:t>against</w:t>
            </w:r>
          </w:p>
        </w:tc>
        <w:tc>
          <w:tcPr>
            <w:tcW w:w="1640" w:type="dxa"/>
            <w:vAlign w:val="bottom"/>
          </w:tcPr>
          <w:p>
            <w:pPr>
              <w:ind w:left="120"/>
              <w:spacing w:after="0"/>
              <w:rPr>
                <w:sz w:val="20"/>
                <w:szCs w:val="20"/>
                <w:color w:val="auto"/>
              </w:rPr>
            </w:pPr>
            <w:r>
              <w:rPr>
                <w:rFonts w:ascii="Arial" w:cs="Arial" w:eastAsia="Arial" w:hAnsi="Arial"/>
                <w:sz w:val="14"/>
                <w:szCs w:val="14"/>
                <w:color w:val="54585A"/>
              </w:rPr>
              <w:t>against</w:t>
            </w:r>
          </w:p>
        </w:tc>
        <w:tc>
          <w:tcPr>
            <w:tcW w:w="0" w:type="dxa"/>
            <w:vAlign w:val="bottom"/>
          </w:tcPr>
          <w:p>
            <w:pPr>
              <w:spacing w:after="0"/>
              <w:rPr>
                <w:sz w:val="1"/>
                <w:szCs w:val="1"/>
                <w:color w:val="auto"/>
              </w:rPr>
            </w:pPr>
          </w:p>
        </w:tc>
      </w:tr>
      <w:tr>
        <w:trPr>
          <w:trHeight w:val="49"/>
        </w:trPr>
        <w:tc>
          <w:tcPr>
            <w:tcW w:w="120" w:type="dxa"/>
            <w:vAlign w:val="bottom"/>
          </w:tcPr>
          <w:p>
            <w:pPr>
              <w:spacing w:after="0"/>
              <w:rPr>
                <w:sz w:val="4"/>
                <w:szCs w:val="4"/>
                <w:color w:val="auto"/>
              </w:rPr>
            </w:pPr>
          </w:p>
        </w:tc>
        <w:tc>
          <w:tcPr>
            <w:tcW w:w="408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460" w:type="dxa"/>
            <w:vAlign w:val="bottom"/>
            <w:tcBorders>
              <w:bottom w:val="single" w:sz="8" w:color="54585A"/>
            </w:tcBorders>
          </w:tcPr>
          <w:p>
            <w:pPr>
              <w:spacing w:after="0"/>
              <w:rPr>
                <w:sz w:val="4"/>
                <w:szCs w:val="4"/>
                <w:color w:val="auto"/>
              </w:rPr>
            </w:pPr>
          </w:p>
        </w:tc>
        <w:tc>
          <w:tcPr>
            <w:tcW w:w="1300" w:type="dxa"/>
            <w:vAlign w:val="bottom"/>
            <w:tcBorders>
              <w:bottom w:val="single" w:sz="8" w:color="54585A"/>
            </w:tcBorders>
          </w:tcPr>
          <w:p>
            <w:pPr>
              <w:spacing w:after="0"/>
              <w:rPr>
                <w:sz w:val="4"/>
                <w:szCs w:val="4"/>
                <w:color w:val="auto"/>
              </w:rPr>
            </w:pPr>
          </w:p>
        </w:tc>
        <w:tc>
          <w:tcPr>
            <w:tcW w:w="1640" w:type="dxa"/>
            <w:vAlign w:val="bottom"/>
            <w:tcBorders>
              <w:bottom w:val="single" w:sz="8" w:color="54585A"/>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120" w:type="dxa"/>
            <w:vAlign w:val="bottom"/>
          </w:tcPr>
          <w:p>
            <w:pPr>
              <w:spacing w:after="0"/>
              <w:rPr>
                <w:sz w:val="14"/>
                <w:szCs w:val="14"/>
                <w:color w:val="auto"/>
              </w:rPr>
            </w:pPr>
          </w:p>
        </w:tc>
        <w:tc>
          <w:tcPr>
            <w:tcW w:w="4080" w:type="dxa"/>
            <w:vAlign w:val="bottom"/>
          </w:tcPr>
          <w:p>
            <w:pPr>
              <w:ind w:left="800"/>
              <w:spacing w:after="0"/>
              <w:rPr>
                <w:sz w:val="20"/>
                <w:szCs w:val="20"/>
                <w:color w:val="auto"/>
              </w:rPr>
            </w:pPr>
            <w:r>
              <w:rPr>
                <w:rFonts w:ascii="Arial" w:cs="Arial" w:eastAsia="Arial" w:hAnsi="Arial"/>
                <w:sz w:val="14"/>
                <w:szCs w:val="14"/>
                <w:color w:val="54585A"/>
              </w:rPr>
              <w:t>incorporation to provide for officer exculpation</w:t>
            </w:r>
          </w:p>
        </w:tc>
        <w:tc>
          <w:tcPr>
            <w:tcW w:w="1640" w:type="dxa"/>
            <w:vAlign w:val="bottom"/>
          </w:tcPr>
          <w:p>
            <w:pPr>
              <w:ind w:left="220"/>
              <w:spacing w:after="0"/>
              <w:rPr>
                <w:sz w:val="20"/>
                <w:szCs w:val="20"/>
                <w:color w:val="auto"/>
              </w:rPr>
            </w:pPr>
            <w:r>
              <w:rPr>
                <w:rFonts w:ascii="Arial" w:cs="Arial" w:eastAsia="Arial" w:hAnsi="Arial"/>
                <w:sz w:val="14"/>
                <w:szCs w:val="14"/>
                <w:color w:val="54585A"/>
              </w:rPr>
              <w:t>abstain</w:t>
            </w:r>
          </w:p>
        </w:tc>
        <w:tc>
          <w:tcPr>
            <w:tcW w:w="2460" w:type="dxa"/>
            <w:vAlign w:val="bottom"/>
            <w:vMerge w:val="restart"/>
          </w:tcPr>
          <w:p>
            <w:pPr>
              <w:ind w:left="20"/>
              <w:spacing w:after="0"/>
              <w:rPr>
                <w:sz w:val="20"/>
                <w:szCs w:val="20"/>
                <w:color w:val="auto"/>
              </w:rPr>
            </w:pPr>
            <w:r>
              <w:rPr>
                <w:rFonts w:ascii="Arial" w:cs="Arial" w:eastAsia="Arial" w:hAnsi="Arial"/>
                <w:sz w:val="14"/>
                <w:szCs w:val="14"/>
                <w:color w:val="54585A"/>
              </w:rPr>
              <w:t>Majority of the votes cast, other than</w:t>
            </w:r>
          </w:p>
        </w:tc>
        <w:tc>
          <w:tcPr>
            <w:tcW w:w="1300" w:type="dxa"/>
            <w:vAlign w:val="bottom"/>
            <w:vMerge w:val="restart"/>
          </w:tcPr>
          <w:p>
            <w:pPr>
              <w:ind w:left="140"/>
              <w:spacing w:after="0"/>
              <w:rPr>
                <w:sz w:val="20"/>
                <w:szCs w:val="20"/>
                <w:color w:val="auto"/>
              </w:rPr>
            </w:pPr>
            <w:r>
              <w:rPr>
                <w:rFonts w:ascii="Arial" w:cs="Arial" w:eastAsia="Arial" w:hAnsi="Arial"/>
                <w:sz w:val="14"/>
                <w:szCs w:val="14"/>
                <w:color w:val="54585A"/>
              </w:rPr>
              <w:t>No Effect</w:t>
            </w:r>
          </w:p>
        </w:tc>
        <w:tc>
          <w:tcPr>
            <w:tcW w:w="1640" w:type="dxa"/>
            <w:vAlign w:val="bottom"/>
            <w:vMerge w:val="restart"/>
          </w:tcPr>
          <w:p>
            <w:pPr>
              <w:ind w:left="120"/>
              <w:spacing w:after="0"/>
              <w:rPr>
                <w:sz w:val="20"/>
                <w:szCs w:val="20"/>
                <w:color w:val="auto"/>
              </w:rPr>
            </w:pPr>
            <w:r>
              <w:rPr>
                <w:rFonts w:ascii="Arial" w:cs="Arial" w:eastAsia="Arial" w:hAnsi="Arial"/>
                <w:sz w:val="14"/>
                <w:szCs w:val="14"/>
                <w:color w:val="54585A"/>
              </w:rPr>
              <w:t>No Effect</w:t>
            </w:r>
          </w:p>
        </w:tc>
        <w:tc>
          <w:tcPr>
            <w:tcW w:w="0" w:type="dxa"/>
            <w:vAlign w:val="bottom"/>
          </w:tcPr>
          <w:p>
            <w:pPr>
              <w:spacing w:after="0"/>
              <w:rPr>
                <w:sz w:val="1"/>
                <w:szCs w:val="1"/>
                <w:color w:val="auto"/>
              </w:rPr>
            </w:pPr>
          </w:p>
        </w:tc>
      </w:tr>
      <w:tr>
        <w:trPr>
          <w:trHeight w:val="41"/>
        </w:trPr>
        <w:tc>
          <w:tcPr>
            <w:tcW w:w="120" w:type="dxa"/>
            <w:vAlign w:val="bottom"/>
          </w:tcPr>
          <w:p>
            <w:pPr>
              <w:spacing w:after="0"/>
              <w:rPr>
                <w:sz w:val="3"/>
                <w:szCs w:val="3"/>
                <w:color w:val="auto"/>
              </w:rPr>
            </w:pPr>
          </w:p>
        </w:tc>
        <w:tc>
          <w:tcPr>
            <w:tcW w:w="40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460" w:type="dxa"/>
            <w:vAlign w:val="bottom"/>
            <w:vMerge w:val="continue"/>
          </w:tcPr>
          <w:p>
            <w:pPr>
              <w:spacing w:after="0"/>
              <w:rPr>
                <w:sz w:val="3"/>
                <w:szCs w:val="3"/>
                <w:color w:val="auto"/>
              </w:rPr>
            </w:pPr>
          </w:p>
        </w:tc>
        <w:tc>
          <w:tcPr>
            <w:tcW w:w="1300" w:type="dxa"/>
            <w:vAlign w:val="bottom"/>
            <w:vMerge w:val="continue"/>
          </w:tcPr>
          <w:p>
            <w:pPr>
              <w:spacing w:after="0"/>
              <w:rPr>
                <w:sz w:val="3"/>
                <w:szCs w:val="3"/>
                <w:color w:val="auto"/>
              </w:rPr>
            </w:pPr>
          </w:p>
        </w:tc>
        <w:tc>
          <w:tcPr>
            <w:tcW w:w="1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1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460" w:type="dxa"/>
            <w:vAlign w:val="bottom"/>
            <w:vMerge w:val="restart"/>
          </w:tcPr>
          <w:p>
            <w:pPr>
              <w:ind w:left="20"/>
              <w:spacing w:after="0"/>
              <w:rPr>
                <w:sz w:val="20"/>
                <w:szCs w:val="20"/>
                <w:color w:val="auto"/>
              </w:rPr>
            </w:pPr>
            <w:r>
              <w:rPr>
                <w:rFonts w:ascii="Arial" w:cs="Arial" w:eastAsia="Arial" w:hAnsi="Arial"/>
                <w:sz w:val="14"/>
                <w:szCs w:val="14"/>
                <w:color w:val="54585A"/>
              </w:rPr>
              <w:t xml:space="preserve">Thermo and its affiliates </w:t>
            </w:r>
            <w:r>
              <w:rPr>
                <w:rFonts w:ascii="Arial" w:cs="Arial" w:eastAsia="Arial" w:hAnsi="Arial"/>
                <w:sz w:val="18"/>
                <w:szCs w:val="18"/>
                <w:color w:val="54585A"/>
                <w:vertAlign w:val="superscript"/>
              </w:rPr>
              <w:t>(3)</w:t>
            </w:r>
          </w:p>
        </w:tc>
        <w:tc>
          <w:tcPr>
            <w:tcW w:w="13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120" w:type="dxa"/>
            <w:vAlign w:val="bottom"/>
            <w:tcBorders>
              <w:bottom w:val="single" w:sz="8" w:color="54585A"/>
            </w:tcBorders>
          </w:tcPr>
          <w:p>
            <w:pPr>
              <w:spacing w:after="0"/>
              <w:rPr>
                <w:sz w:val="12"/>
                <w:szCs w:val="12"/>
                <w:color w:val="auto"/>
              </w:rPr>
            </w:pPr>
          </w:p>
        </w:tc>
        <w:tc>
          <w:tcPr>
            <w:tcW w:w="4080" w:type="dxa"/>
            <w:vAlign w:val="bottom"/>
            <w:tcBorders>
              <w:bottom w:val="single" w:sz="8" w:color="54585A"/>
            </w:tcBorders>
          </w:tcPr>
          <w:p>
            <w:pPr>
              <w:spacing w:after="0"/>
              <w:rPr>
                <w:sz w:val="12"/>
                <w:szCs w:val="12"/>
                <w:color w:val="auto"/>
              </w:rPr>
            </w:pPr>
          </w:p>
        </w:tc>
        <w:tc>
          <w:tcPr>
            <w:tcW w:w="1640" w:type="dxa"/>
            <w:vAlign w:val="bottom"/>
            <w:tcBorders>
              <w:bottom w:val="single" w:sz="8" w:color="54585A"/>
            </w:tcBorders>
          </w:tcPr>
          <w:p>
            <w:pPr>
              <w:spacing w:after="0"/>
              <w:rPr>
                <w:sz w:val="12"/>
                <w:szCs w:val="12"/>
                <w:color w:val="auto"/>
              </w:rPr>
            </w:pPr>
          </w:p>
        </w:tc>
        <w:tc>
          <w:tcPr>
            <w:tcW w:w="2460" w:type="dxa"/>
            <w:vAlign w:val="bottom"/>
            <w:tcBorders>
              <w:bottom w:val="single" w:sz="8" w:color="54585A"/>
            </w:tcBorders>
            <w:vMerge w:val="continue"/>
          </w:tcPr>
          <w:p>
            <w:pPr>
              <w:spacing w:after="0"/>
              <w:rPr>
                <w:sz w:val="12"/>
                <w:szCs w:val="12"/>
                <w:color w:val="auto"/>
              </w:rPr>
            </w:pPr>
          </w:p>
        </w:tc>
        <w:tc>
          <w:tcPr>
            <w:tcW w:w="1300" w:type="dxa"/>
            <w:vAlign w:val="bottom"/>
            <w:tcBorders>
              <w:bottom w:val="single" w:sz="8" w:color="54585A"/>
            </w:tcBorders>
          </w:tcPr>
          <w:p>
            <w:pPr>
              <w:spacing w:after="0"/>
              <w:rPr>
                <w:sz w:val="12"/>
                <w:szCs w:val="12"/>
                <w:color w:val="auto"/>
              </w:rPr>
            </w:pPr>
          </w:p>
        </w:tc>
        <w:tc>
          <w:tcPr>
            <w:tcW w:w="1640" w:type="dxa"/>
            <w:vAlign w:val="bottom"/>
            <w:tcBorders>
              <w:bottom w:val="single" w:sz="8" w:color="54585A"/>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-1637030</wp:posOffset>
            </wp:positionV>
            <wp:extent cx="2743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-1276985</wp:posOffset>
            </wp:positionV>
            <wp:extent cx="274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-934085</wp:posOffset>
            </wp:positionV>
            <wp:extent cx="265430" cy="266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-471170</wp:posOffset>
            </wp:positionV>
            <wp:extent cx="26543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430" cy="266065"/>
                    </a:xfrm>
                    <a:prstGeom prst="rect">
                      <a:avLst/>
                    </a:prstGeom>
                    <a:noFill/>
                  </pic:spPr>
                </pic:pic>
              </a:graphicData>
            </a:graphic>
          </wp:anchor>
        </w:drawing>
      </w:r>
    </w:p>
    <w:p>
      <w:pPr>
        <w:spacing w:after="0" w:line="106" w:lineRule="exact"/>
        <w:rPr>
          <w:sz w:val="20"/>
          <w:szCs w:val="20"/>
          <w:color w:val="auto"/>
        </w:rPr>
      </w:pPr>
    </w:p>
    <w:p>
      <w:pPr>
        <w:ind w:left="340" w:right="140" w:hanging="332"/>
        <w:spacing w:after="0" w:line="283" w:lineRule="auto"/>
        <w:tabs>
          <w:tab w:leader="none" w:pos="338" w:val="left"/>
        </w:tabs>
        <w:numPr>
          <w:ilvl w:val="0"/>
          <w:numId w:val="10"/>
        </w:numPr>
        <w:rPr>
          <w:rFonts w:ascii="Arial" w:cs="Arial" w:eastAsia="Arial" w:hAnsi="Arial"/>
          <w:sz w:val="14"/>
          <w:szCs w:val="14"/>
          <w:color w:val="54585A"/>
        </w:rPr>
      </w:pPr>
      <w:r>
        <w:rPr>
          <w:rFonts w:ascii="Arial" w:cs="Arial" w:eastAsia="Arial" w:hAnsi="Arial"/>
          <w:sz w:val="14"/>
          <w:szCs w:val="14"/>
          <w:color w:val="54585A"/>
        </w:rPr>
        <w:t>Thermo and its affiliates may not vote their shares of our common stock with respect to the election of the Minority Directors, Keith O. Cowan and Benjamin G. Wolff. Accordingly, to be elected, the Minority Director nominees must receive a plurality of the votes cast other than Thermo and its affiliates. However, Thermo and its affiliates may vote their shares of our common stock with respect to the election of Dr. Paul E. Jacobs.</w:t>
      </w:r>
    </w:p>
    <w:p>
      <w:pPr>
        <w:spacing w:after="0" w:line="64" w:lineRule="exact"/>
        <w:rPr>
          <w:rFonts w:ascii="Arial" w:cs="Arial" w:eastAsia="Arial" w:hAnsi="Arial"/>
          <w:sz w:val="14"/>
          <w:szCs w:val="14"/>
          <w:color w:val="54585A"/>
        </w:rPr>
      </w:pPr>
    </w:p>
    <w:p>
      <w:pPr>
        <w:ind w:left="340" w:right="60" w:hanging="332"/>
        <w:spacing w:after="0" w:line="305" w:lineRule="auto"/>
        <w:tabs>
          <w:tab w:leader="none" w:pos="338" w:val="left"/>
        </w:tabs>
        <w:numPr>
          <w:ilvl w:val="0"/>
          <w:numId w:val="10"/>
        </w:numPr>
        <w:rPr>
          <w:rFonts w:ascii="Arial" w:cs="Arial" w:eastAsia="Arial" w:hAnsi="Arial"/>
          <w:sz w:val="14"/>
          <w:szCs w:val="14"/>
          <w:color w:val="54585A"/>
        </w:rPr>
      </w:pPr>
      <w:r>
        <w:rPr>
          <w:rFonts w:ascii="Arial" w:cs="Arial" w:eastAsia="Arial" w:hAnsi="Arial"/>
          <w:sz w:val="14"/>
          <w:szCs w:val="14"/>
          <w:color w:val="54585A"/>
        </w:rPr>
        <w:t>Because banks, brokers, trustees and other nominees will have discretionary authority with respect to Proposal 2, there should be no broker non-votes for this item. Broker non-votes, if any, on Proposal 2 would have no effect.</w:t>
      </w:r>
    </w:p>
    <w:p>
      <w:pPr>
        <w:spacing w:after="0" w:line="36" w:lineRule="exact"/>
        <w:rPr>
          <w:rFonts w:ascii="Arial" w:cs="Arial" w:eastAsia="Arial" w:hAnsi="Arial"/>
          <w:sz w:val="14"/>
          <w:szCs w:val="14"/>
          <w:color w:val="54585A"/>
        </w:rPr>
      </w:pPr>
    </w:p>
    <w:p>
      <w:pPr>
        <w:ind w:left="340" w:right="140" w:hanging="332"/>
        <w:spacing w:after="0" w:line="305" w:lineRule="auto"/>
        <w:tabs>
          <w:tab w:leader="none" w:pos="338" w:val="left"/>
        </w:tabs>
        <w:numPr>
          <w:ilvl w:val="0"/>
          <w:numId w:val="10"/>
        </w:numPr>
        <w:rPr>
          <w:rFonts w:ascii="Arial" w:cs="Arial" w:eastAsia="Arial" w:hAnsi="Arial"/>
          <w:sz w:val="14"/>
          <w:szCs w:val="14"/>
          <w:color w:val="54585A"/>
        </w:rPr>
      </w:pPr>
      <w:r>
        <w:rPr>
          <w:rFonts w:ascii="Arial" w:cs="Arial" w:eastAsia="Arial" w:hAnsi="Arial"/>
          <w:sz w:val="14"/>
          <w:szCs w:val="14"/>
          <w:color w:val="54585A"/>
        </w:rPr>
        <w:t>In addition to the DGCL Stockholder Approval (as defined below), in accordance with our Certificate of Incorporation, Proposal 4 must be approved by the affirmative vote of a majority of shares of our common stock owned by stockholders, other than Thermo and its affiliates and voting affirmatively or negatively on the matter.</w:t>
      </w:r>
    </w:p>
    <w:p>
      <w:pPr>
        <w:spacing w:after="0" w:line="243" w:lineRule="exact"/>
        <w:rPr>
          <w:sz w:val="20"/>
          <w:szCs w:val="20"/>
          <w:color w:val="auto"/>
        </w:rPr>
      </w:pPr>
    </w:p>
    <w:p>
      <w:pPr>
        <w:spacing w:after="0"/>
        <w:rPr>
          <w:sz w:val="20"/>
          <w:szCs w:val="20"/>
          <w:color w:val="auto"/>
        </w:rPr>
      </w:pPr>
      <w:r>
        <w:rPr>
          <w:rFonts w:ascii="Arial" w:cs="Arial" w:eastAsia="Arial" w:hAnsi="Arial"/>
          <w:sz w:val="29"/>
          <w:szCs w:val="29"/>
          <w:color w:val="54585A"/>
        </w:rPr>
        <w:t>Other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Reverse Stock Split and Listing on The Nasdaq Stock Market LLC</w:t>
      </w:r>
    </w:p>
    <w:p>
      <w:pPr>
        <w:spacing w:after="0" w:line="95"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54585A"/>
        </w:rPr>
        <w:t>Effective following the close of trading on February 10, 2025, we voluntarily withdrew the listing of our common stock from the NYSE American, effected a reverse stock split at a ratio of 1 to 15 shares of common stock and amended our Certificate of Incorporation to reduce the number of authorized shares of common stock that we may issue from 2,150,000,000 shares to 143,333,334 shares of common stock. Effective at the start of trading on February 11, 2025, our common stock began trading on a post-split basis under the symbol “GSAT” on The Nasdaq Stock Market LLC. All historical share amounts (including options, warrants, RSUs), stock-based compensation awards, per share amounts and share prices included herein have been adjusted to reflect this reverse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307975</wp:posOffset>
            </wp:positionV>
            <wp:extent cx="25717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4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1791335" cy="6883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1335"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00"/>
        <w:spacing w:after="0" w:line="251" w:lineRule="auto"/>
        <w:rPr>
          <w:sz w:val="20"/>
          <w:szCs w:val="20"/>
          <w:color w:val="auto"/>
        </w:rPr>
      </w:pPr>
      <w:r>
        <w:rPr>
          <w:rFonts w:ascii="Georgia" w:cs="Georgia" w:eastAsia="Georgia" w:hAnsi="Georgia"/>
          <w:sz w:val="25"/>
          <w:szCs w:val="25"/>
          <w:b w:val="1"/>
          <w:bCs w:val="1"/>
          <w:color w:val="EB6C10"/>
        </w:rPr>
        <w:t>Standing Committees</w:t>
      </w:r>
    </w:p>
    <w:p>
      <w:pPr>
        <w:spacing w:after="0" w:line="225" w:lineRule="exact"/>
        <w:rPr>
          <w:sz w:val="20"/>
          <w:szCs w:val="20"/>
          <w:color w:val="auto"/>
        </w:rPr>
      </w:pPr>
    </w:p>
    <w:p>
      <w:pPr>
        <w:ind w:left="100" w:hanging="97"/>
        <w:spacing w:after="0"/>
        <w:tabs>
          <w:tab w:leader="none" w:pos="100" w:val="left"/>
        </w:tabs>
        <w:numPr>
          <w:ilvl w:val="0"/>
          <w:numId w:val="11"/>
        </w:numPr>
        <w:rPr>
          <w:rFonts w:ascii="Arial" w:cs="Arial" w:eastAsia="Arial" w:hAnsi="Arial"/>
          <w:sz w:val="18"/>
          <w:szCs w:val="18"/>
          <w:b w:val="1"/>
          <w:bCs w:val="1"/>
          <w:color w:val="EB6C10"/>
        </w:rPr>
      </w:pPr>
      <w:r>
        <w:rPr>
          <w:rFonts w:ascii="Arial" w:cs="Arial" w:eastAsia="Arial" w:hAnsi="Arial"/>
          <w:sz w:val="18"/>
          <w:szCs w:val="18"/>
          <w:color w:val="54585A"/>
        </w:rPr>
        <w:t>Audit</w:t>
      </w:r>
    </w:p>
    <w:p>
      <w:pPr>
        <w:spacing w:after="0" w:line="238" w:lineRule="exact"/>
        <w:rPr>
          <w:rFonts w:ascii="Arial" w:cs="Arial" w:eastAsia="Arial" w:hAnsi="Arial"/>
          <w:sz w:val="18"/>
          <w:szCs w:val="18"/>
          <w:b w:val="1"/>
          <w:bCs w:val="1"/>
          <w:color w:val="EB6C10"/>
        </w:rPr>
      </w:pPr>
    </w:p>
    <w:p>
      <w:pPr>
        <w:ind w:left="100" w:hanging="97"/>
        <w:spacing w:after="0"/>
        <w:tabs>
          <w:tab w:leader="none" w:pos="100" w:val="left"/>
        </w:tabs>
        <w:numPr>
          <w:ilvl w:val="0"/>
          <w:numId w:val="11"/>
        </w:numPr>
        <w:rPr>
          <w:rFonts w:ascii="Arial" w:cs="Arial" w:eastAsia="Arial" w:hAnsi="Arial"/>
          <w:sz w:val="18"/>
          <w:szCs w:val="18"/>
          <w:b w:val="1"/>
          <w:bCs w:val="1"/>
          <w:color w:val="EB6C10"/>
        </w:rPr>
      </w:pPr>
      <w:r>
        <w:rPr>
          <w:rFonts w:ascii="Arial" w:cs="Arial" w:eastAsia="Arial" w:hAnsi="Arial"/>
          <w:sz w:val="18"/>
          <w:szCs w:val="18"/>
          <w:color w:val="54585A"/>
        </w:rPr>
        <w:t>Compensation</w:t>
      </w:r>
    </w:p>
    <w:p>
      <w:pPr>
        <w:spacing w:after="0" w:line="238" w:lineRule="exact"/>
        <w:rPr>
          <w:rFonts w:ascii="Arial" w:cs="Arial" w:eastAsia="Arial" w:hAnsi="Arial"/>
          <w:sz w:val="18"/>
          <w:szCs w:val="18"/>
          <w:b w:val="1"/>
          <w:bCs w:val="1"/>
          <w:color w:val="EB6C10"/>
        </w:rPr>
      </w:pPr>
    </w:p>
    <w:p>
      <w:pPr>
        <w:ind w:left="160" w:right="700" w:hanging="157"/>
        <w:spacing w:after="0" w:line="350" w:lineRule="auto"/>
        <w:tabs>
          <w:tab w:leader="none" w:pos="98" w:val="left"/>
        </w:tabs>
        <w:numPr>
          <w:ilvl w:val="0"/>
          <w:numId w:val="11"/>
        </w:numPr>
        <w:rPr>
          <w:rFonts w:ascii="Arial" w:cs="Arial" w:eastAsia="Arial" w:hAnsi="Arial"/>
          <w:sz w:val="18"/>
          <w:szCs w:val="18"/>
          <w:b w:val="1"/>
          <w:bCs w:val="1"/>
          <w:color w:val="EB6C10"/>
        </w:rPr>
      </w:pPr>
      <w:r>
        <w:rPr>
          <w:rFonts w:ascii="Arial" w:cs="Arial" w:eastAsia="Arial" w:hAnsi="Arial"/>
          <w:sz w:val="18"/>
          <w:szCs w:val="18"/>
          <w:color w:val="54585A"/>
        </w:rPr>
        <w:t>Nominating and Governance</w:t>
      </w:r>
    </w:p>
    <w:p>
      <w:pPr>
        <w:spacing w:after="0" w:line="111" w:lineRule="exact"/>
        <w:rPr>
          <w:rFonts w:ascii="Arial" w:cs="Arial" w:eastAsia="Arial" w:hAnsi="Arial"/>
          <w:sz w:val="18"/>
          <w:szCs w:val="18"/>
          <w:b w:val="1"/>
          <w:bCs w:val="1"/>
          <w:color w:val="EB6C10"/>
        </w:rPr>
      </w:pPr>
    </w:p>
    <w:p>
      <w:pPr>
        <w:ind w:left="100" w:hanging="97"/>
        <w:spacing w:after="0"/>
        <w:tabs>
          <w:tab w:leader="none" w:pos="100" w:val="left"/>
        </w:tabs>
        <w:numPr>
          <w:ilvl w:val="0"/>
          <w:numId w:val="11"/>
        </w:numPr>
        <w:rPr>
          <w:rFonts w:ascii="Arial" w:cs="Arial" w:eastAsia="Arial" w:hAnsi="Arial"/>
          <w:sz w:val="18"/>
          <w:szCs w:val="18"/>
          <w:b w:val="1"/>
          <w:bCs w:val="1"/>
          <w:color w:val="EB6C10"/>
        </w:rPr>
      </w:pPr>
      <w:r>
        <w:rPr>
          <w:rFonts w:ascii="Arial" w:cs="Arial" w:eastAsia="Arial" w:hAnsi="Arial"/>
          <w:sz w:val="18"/>
          <w:szCs w:val="18"/>
          <w:color w:val="54585A"/>
        </w:rPr>
        <w:t>Strategic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3858260</wp:posOffset>
            </wp:positionV>
            <wp:extent cx="25717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Georgia" w:cs="Georgia" w:eastAsia="Georgia" w:hAnsi="Georgia"/>
          <w:sz w:val="54"/>
          <w:szCs w:val="54"/>
          <w:color w:val="EB6C10"/>
        </w:rPr>
        <w:t>Board of Directors</w:t>
      </w:r>
    </w:p>
    <w:p>
      <w:pPr>
        <w:spacing w:after="0" w:line="239" w:lineRule="auto"/>
        <w:rPr>
          <w:sz w:val="20"/>
          <w:szCs w:val="20"/>
          <w:color w:val="auto"/>
        </w:rPr>
      </w:pPr>
      <w:r>
        <w:rPr>
          <w:rFonts w:ascii="Georgia" w:cs="Georgia" w:eastAsia="Georgia" w:hAnsi="Georgia"/>
          <w:sz w:val="54"/>
          <w:szCs w:val="54"/>
          <w:color w:val="EB6C10"/>
        </w:rPr>
        <w:t>and Corporate Governance</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54585A"/>
        </w:rPr>
        <w:t>Information About the Board and its Committees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Board Governance</w:t>
      </w:r>
    </w:p>
    <w:p>
      <w:pPr>
        <w:spacing w:after="0" w:line="95" w:lineRule="exact"/>
        <w:rPr>
          <w:sz w:val="20"/>
          <w:szCs w:val="20"/>
          <w:color w:val="auto"/>
        </w:rPr>
      </w:pPr>
    </w:p>
    <w:p>
      <w:pPr>
        <w:ind w:right="460"/>
        <w:spacing w:after="0" w:line="356" w:lineRule="auto"/>
        <w:rPr>
          <w:sz w:val="20"/>
          <w:szCs w:val="20"/>
          <w:color w:val="auto"/>
        </w:rPr>
      </w:pPr>
      <w:r>
        <w:rPr>
          <w:rFonts w:ascii="Arial" w:cs="Arial" w:eastAsia="Arial" w:hAnsi="Arial"/>
          <w:sz w:val="16"/>
          <w:szCs w:val="16"/>
          <w:color w:val="54585A"/>
        </w:rPr>
        <w:t>Our Board has four standing committees: Audit, Compensation, Nominating and Governance and Strategic Review. The Board has adopted a charter for each standing committee.</w:t>
      </w:r>
    </w:p>
    <w:p>
      <w:pPr>
        <w:spacing w:after="0" w:line="102" w:lineRule="exact"/>
        <w:rPr>
          <w:sz w:val="20"/>
          <w:szCs w:val="20"/>
          <w:color w:val="auto"/>
        </w:rPr>
      </w:pPr>
    </w:p>
    <w:p>
      <w:pPr>
        <w:ind w:right="120"/>
        <w:spacing w:after="0" w:line="356" w:lineRule="auto"/>
        <w:rPr>
          <w:sz w:val="20"/>
          <w:szCs w:val="20"/>
          <w:color w:val="auto"/>
        </w:rPr>
      </w:pPr>
      <w:r>
        <w:rPr>
          <w:rFonts w:ascii="Arial" w:cs="Arial" w:eastAsia="Arial" w:hAnsi="Arial"/>
          <w:sz w:val="16"/>
          <w:szCs w:val="16"/>
          <w:color w:val="54585A"/>
        </w:rPr>
        <w:t>We have a Code of Conduct that is applicable to all employees, including executive officers, as well as directors to the extent relevant to their service as directors.</w:t>
      </w:r>
    </w:p>
    <w:p>
      <w:pPr>
        <w:spacing w:after="0" w:line="102" w:lineRule="exact"/>
        <w:rPr>
          <w:sz w:val="20"/>
          <w:szCs w:val="20"/>
          <w:color w:val="auto"/>
        </w:rPr>
      </w:pPr>
    </w:p>
    <w:p>
      <w:pPr>
        <w:ind w:right="80"/>
        <w:spacing w:after="0" w:line="326" w:lineRule="auto"/>
        <w:rPr>
          <w:sz w:val="20"/>
          <w:szCs w:val="20"/>
          <w:color w:val="auto"/>
        </w:rPr>
      </w:pPr>
      <w:r>
        <w:rPr>
          <w:rFonts w:ascii="Arial" w:cs="Arial" w:eastAsia="Arial" w:hAnsi="Arial"/>
          <w:sz w:val="16"/>
          <w:szCs w:val="16"/>
          <w:color w:val="54585A"/>
        </w:rPr>
        <w:t>The committee charters and Code of Conduct are available on our website at investors.globalstar.com under “Governance.” You may request a copy of any of these documents to be mailed to you as described on page 52 of this proxy statement. We will post any amendments to, or waivers from, the Code of Conduct that apply to our principal executive and financial officers on our website. As of the date of this proxy statement, no such waivers have been requested or granted.</w:t>
      </w:r>
    </w:p>
    <w:p>
      <w:pPr>
        <w:spacing w:after="0" w:line="127"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color w:val="54585A"/>
        </w:rPr>
        <w:t>Thermo holds stock representing a majority of our voting power. As a result, we are a “controlled company” for purposes of The Nasdaq Stock Market LLC ("Nasdaq") rules and are not required to have a majority of independent directors on the Board, comply with the director independence requirements for compensation committees, or comply with the requirement for independent director oversight of director nominations. However, we are subject to all other Nasdaq corporate governance requirements, including the rule requiring that the audit committee be composed entirely of independent directors meeting the heightened independence requirements.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Risk Oversight</w:t>
      </w:r>
    </w:p>
    <w:p>
      <w:pPr>
        <w:spacing w:after="0" w:line="95"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54585A"/>
        </w:rPr>
        <w:t>The Board has determined that the role of risk oversight will remain with the full Board rather than delegating that responsibility to a specific committee, although the Audit Committee continues to focus on accounting and financial risks. Our executive officers evaluate and manage day-to-day risks and report regularly to the Board on these matters.</w:t>
      </w:r>
    </w:p>
    <w:p>
      <w:pPr>
        <w:spacing w:after="0" w:line="122" w:lineRule="exact"/>
        <w:rPr>
          <w:sz w:val="20"/>
          <w:szCs w:val="20"/>
          <w:color w:val="auto"/>
        </w:rPr>
      </w:pPr>
    </w:p>
    <w:p>
      <w:pPr>
        <w:ind w:right="160"/>
        <w:spacing w:after="0" w:line="321" w:lineRule="auto"/>
        <w:rPr>
          <w:sz w:val="20"/>
          <w:szCs w:val="20"/>
          <w:color w:val="auto"/>
        </w:rPr>
      </w:pPr>
      <w:r>
        <w:rPr>
          <w:rFonts w:ascii="Arial" w:cs="Arial" w:eastAsia="Arial" w:hAnsi="Arial"/>
          <w:sz w:val="16"/>
          <w:szCs w:val="16"/>
          <w:color w:val="54585A"/>
        </w:rPr>
        <w:t>The Board has oversight responsibility for information security and cybersecurity. The Company prioritizes the protection of data and is committed to the ongoing enhancement of its cybersecurity and privacy capabilities. Management has established an information security program as well as policies and procedures to mitigate risks resulting from cyber-attacks, including dedicated information security personnel (both internal employees and specialized contractors with security expertise), network monitoring and annual penetration testing on the Company's network. Management maintains effective internal controls and the Company's cybersecurity program is on par with industry standards and best practices, such as the National Institute of Standards and Technology (NIST) Cybersecurity Framework as well as other applicable laws and regulations. Ongoing information security training is also provided to employees. Management provides regular updates to the Board regarding these matters, including any significant cyber threats or incidents.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74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234950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060" w:space="720"/>
            <w:col w:w="8100"/>
          </w:cols>
          <w:pgMar w:left="680" w:top="121" w:right="339" w:bottom="1440" w:gutter="0" w:footer="0" w:header="0"/>
        </w:sectPr>
      </w:pPr>
    </w:p>
    <w:bookmarkStart w:id="9" w:name="page10"/>
    <w:bookmarkEnd w:id="9"/>
    <w:p>
      <w:pPr>
        <w:ind w:left="100" w:hanging="92"/>
        <w:spacing w:after="0"/>
        <w:tabs>
          <w:tab w:leader="none" w:pos="100" w:val="left"/>
        </w:tabs>
        <w:numPr>
          <w:ilvl w:val="0"/>
          <w:numId w:val="12"/>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Corporate Sustainability</w:t>
      </w:r>
    </w:p>
    <w:p>
      <w:pPr>
        <w:spacing w:after="0" w:line="81" w:lineRule="exact"/>
        <w:rPr>
          <w:sz w:val="20"/>
          <w:szCs w:val="20"/>
          <w:color w:val="auto"/>
        </w:rPr>
      </w:pPr>
    </w:p>
    <w:p>
      <w:pPr>
        <w:ind w:right="380"/>
        <w:spacing w:after="0" w:line="354" w:lineRule="auto"/>
        <w:rPr>
          <w:sz w:val="20"/>
          <w:szCs w:val="20"/>
          <w:color w:val="auto"/>
        </w:rPr>
      </w:pPr>
      <w:r>
        <w:rPr>
          <w:rFonts w:ascii="Arial" w:cs="Arial" w:eastAsia="Arial" w:hAnsi="Arial"/>
          <w:sz w:val="16"/>
          <w:szCs w:val="16"/>
          <w:color w:val="54585A"/>
        </w:rPr>
        <w:t>The Board has oversight of the Company's Environmental, Social and Governance ("ESG") matters. The Board has not delegated responsibility of ESG oversight to a subcommittee, but may choose to do so in the future. Executive officers of the Company have responsibility for the implementation and continued monitoring of ESG matters.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Director Skills, Expertise and Demographics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54585A"/>
        </w:rPr>
        <w:t>The matrix below displays a summary of relevant skills, expertise and demographics of our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EB6C10"/>
        </w:rPr>
        <w:t>Skills and Experience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shd w:val="clear" w:color="auto" w:fill="EEEDED"/>
          </w:tcPr>
          <w:p>
            <w:pPr>
              <w:spacing w:after="0"/>
              <w:rPr>
                <w:sz w:val="16"/>
                <w:szCs w:val="16"/>
                <w:color w:val="auto"/>
              </w:rPr>
            </w:pPr>
          </w:p>
        </w:tc>
        <w:tc>
          <w:tcPr>
            <w:tcW w:w="2700" w:type="dxa"/>
            <w:vAlign w:val="bottom"/>
            <w:shd w:val="clear" w:color="auto" w:fill="EEEDED"/>
          </w:tcPr>
          <w:p>
            <w:pPr>
              <w:spacing w:after="0"/>
              <w:rPr>
                <w:sz w:val="16"/>
                <w:szCs w:val="16"/>
                <w:color w:val="auto"/>
              </w:rPr>
            </w:pPr>
          </w:p>
        </w:tc>
        <w:tc>
          <w:tcPr>
            <w:tcW w:w="1320" w:type="dxa"/>
            <w:vAlign w:val="bottom"/>
            <w:shd w:val="clear" w:color="auto" w:fill="EEEDED"/>
          </w:tcPr>
          <w:p>
            <w:pPr>
              <w:jc w:val="center"/>
              <w:ind w:left="280"/>
              <w:spacing w:after="0"/>
              <w:rPr>
                <w:sz w:val="20"/>
                <w:szCs w:val="20"/>
                <w:color w:val="auto"/>
              </w:rPr>
            </w:pPr>
            <w:r>
              <w:rPr>
                <w:rFonts w:ascii="Arial" w:cs="Arial" w:eastAsia="Arial" w:hAnsi="Arial"/>
                <w:sz w:val="14"/>
                <w:szCs w:val="14"/>
                <w:b w:val="1"/>
                <w:bCs w:val="1"/>
                <w:color w:val="54585A"/>
              </w:rPr>
              <w:t>Keith O.</w:t>
            </w:r>
          </w:p>
        </w:tc>
        <w:tc>
          <w:tcPr>
            <w:tcW w:w="120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Benjamin G.</w:t>
            </w:r>
          </w:p>
        </w:tc>
        <w:tc>
          <w:tcPr>
            <w:tcW w:w="106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Dr. Paul E.</w:t>
            </w:r>
          </w:p>
        </w:tc>
        <w:tc>
          <w:tcPr>
            <w:tcW w:w="102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James F.</w:t>
            </w:r>
          </w:p>
        </w:tc>
        <w:tc>
          <w:tcPr>
            <w:tcW w:w="114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Timothy E.</w:t>
            </w:r>
          </w:p>
        </w:tc>
        <w:tc>
          <w:tcPr>
            <w:tcW w:w="98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William A.</w:t>
            </w:r>
          </w:p>
        </w:tc>
        <w:tc>
          <w:tcPr>
            <w:tcW w:w="116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James Monroe</w:t>
            </w:r>
          </w:p>
        </w:tc>
        <w:tc>
          <w:tcPr>
            <w:tcW w:w="0" w:type="dxa"/>
            <w:vAlign w:val="bottom"/>
          </w:tcPr>
          <w:p>
            <w:pPr>
              <w:spacing w:after="0"/>
              <w:rPr>
                <w:sz w:val="1"/>
                <w:szCs w:val="1"/>
                <w:color w:val="auto"/>
              </w:rPr>
            </w:pPr>
          </w:p>
        </w:tc>
      </w:tr>
      <w:tr>
        <w:trPr>
          <w:trHeight w:val="196"/>
        </w:trPr>
        <w:tc>
          <w:tcPr>
            <w:tcW w:w="660" w:type="dxa"/>
            <w:vAlign w:val="bottom"/>
            <w:shd w:val="clear" w:color="auto" w:fill="EEEDED"/>
          </w:tcPr>
          <w:p>
            <w:pPr>
              <w:spacing w:after="0"/>
              <w:rPr>
                <w:sz w:val="17"/>
                <w:szCs w:val="17"/>
                <w:color w:val="auto"/>
              </w:rPr>
            </w:pPr>
          </w:p>
        </w:tc>
        <w:tc>
          <w:tcPr>
            <w:tcW w:w="2700" w:type="dxa"/>
            <w:vAlign w:val="bottom"/>
            <w:shd w:val="clear" w:color="auto" w:fill="EEEDED"/>
          </w:tcPr>
          <w:p>
            <w:pPr>
              <w:spacing w:after="0"/>
              <w:rPr>
                <w:sz w:val="17"/>
                <w:szCs w:val="17"/>
                <w:color w:val="auto"/>
              </w:rPr>
            </w:pPr>
          </w:p>
        </w:tc>
        <w:tc>
          <w:tcPr>
            <w:tcW w:w="1320" w:type="dxa"/>
            <w:vAlign w:val="bottom"/>
            <w:shd w:val="clear" w:color="auto" w:fill="EEEDED"/>
          </w:tcPr>
          <w:p>
            <w:pPr>
              <w:jc w:val="center"/>
              <w:ind w:left="280"/>
              <w:spacing w:after="0"/>
              <w:rPr>
                <w:sz w:val="20"/>
                <w:szCs w:val="20"/>
                <w:color w:val="auto"/>
              </w:rPr>
            </w:pPr>
            <w:r>
              <w:rPr>
                <w:rFonts w:ascii="Arial" w:cs="Arial" w:eastAsia="Arial" w:hAnsi="Arial"/>
                <w:sz w:val="14"/>
                <w:szCs w:val="14"/>
                <w:b w:val="1"/>
                <w:bCs w:val="1"/>
                <w:color w:val="54585A"/>
              </w:rPr>
              <w:t>Cowan</w:t>
            </w:r>
          </w:p>
        </w:tc>
        <w:tc>
          <w:tcPr>
            <w:tcW w:w="120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Wolff</w:t>
            </w:r>
          </w:p>
        </w:tc>
        <w:tc>
          <w:tcPr>
            <w:tcW w:w="106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w w:val="99"/>
              </w:rPr>
              <w:t>Jacobs</w:t>
            </w:r>
          </w:p>
        </w:tc>
        <w:tc>
          <w:tcPr>
            <w:tcW w:w="102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w w:val="96"/>
              </w:rPr>
              <w:t>Lynch</w:t>
            </w:r>
          </w:p>
        </w:tc>
        <w:tc>
          <w:tcPr>
            <w:tcW w:w="114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Taylor</w:t>
            </w:r>
          </w:p>
        </w:tc>
        <w:tc>
          <w:tcPr>
            <w:tcW w:w="98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Hasler</w:t>
            </w:r>
          </w:p>
        </w:tc>
        <w:tc>
          <w:tcPr>
            <w:tcW w:w="116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III</w:t>
            </w:r>
          </w:p>
        </w:tc>
        <w:tc>
          <w:tcPr>
            <w:tcW w:w="0" w:type="dxa"/>
            <w:vAlign w:val="bottom"/>
          </w:tcPr>
          <w:p>
            <w:pPr>
              <w:spacing w:after="0"/>
              <w:rPr>
                <w:sz w:val="1"/>
                <w:szCs w:val="1"/>
                <w:color w:val="auto"/>
              </w:rPr>
            </w:pPr>
          </w:p>
        </w:tc>
      </w:tr>
      <w:tr>
        <w:trPr>
          <w:trHeight w:val="110"/>
        </w:trPr>
        <w:tc>
          <w:tcPr>
            <w:tcW w:w="660" w:type="dxa"/>
            <w:vAlign w:val="bottom"/>
            <w:shd w:val="clear" w:color="auto" w:fill="EEEDED"/>
          </w:tcPr>
          <w:p>
            <w:pPr>
              <w:spacing w:after="0"/>
              <w:rPr>
                <w:sz w:val="9"/>
                <w:szCs w:val="9"/>
                <w:color w:val="auto"/>
              </w:rPr>
            </w:pPr>
          </w:p>
        </w:tc>
        <w:tc>
          <w:tcPr>
            <w:tcW w:w="2700" w:type="dxa"/>
            <w:vAlign w:val="bottom"/>
            <w:shd w:val="clear" w:color="auto" w:fill="EEEDED"/>
          </w:tcPr>
          <w:p>
            <w:pPr>
              <w:spacing w:after="0"/>
              <w:rPr>
                <w:sz w:val="9"/>
                <w:szCs w:val="9"/>
                <w:color w:val="auto"/>
              </w:rPr>
            </w:pPr>
          </w:p>
        </w:tc>
        <w:tc>
          <w:tcPr>
            <w:tcW w:w="1320" w:type="dxa"/>
            <w:vAlign w:val="bottom"/>
            <w:shd w:val="clear" w:color="auto" w:fill="EEEDED"/>
          </w:tcPr>
          <w:p>
            <w:pPr>
              <w:spacing w:after="0"/>
              <w:rPr>
                <w:sz w:val="9"/>
                <w:szCs w:val="9"/>
                <w:color w:val="auto"/>
              </w:rPr>
            </w:pPr>
          </w:p>
        </w:tc>
        <w:tc>
          <w:tcPr>
            <w:tcW w:w="1200" w:type="dxa"/>
            <w:vAlign w:val="bottom"/>
            <w:shd w:val="clear" w:color="auto" w:fill="EEEDED"/>
          </w:tcPr>
          <w:p>
            <w:pPr>
              <w:spacing w:after="0"/>
              <w:rPr>
                <w:sz w:val="9"/>
                <w:szCs w:val="9"/>
                <w:color w:val="auto"/>
              </w:rPr>
            </w:pPr>
          </w:p>
        </w:tc>
        <w:tc>
          <w:tcPr>
            <w:tcW w:w="1060" w:type="dxa"/>
            <w:vAlign w:val="bottom"/>
            <w:shd w:val="clear" w:color="auto" w:fill="EEEDED"/>
          </w:tcPr>
          <w:p>
            <w:pPr>
              <w:spacing w:after="0"/>
              <w:rPr>
                <w:sz w:val="9"/>
                <w:szCs w:val="9"/>
                <w:color w:val="auto"/>
              </w:rPr>
            </w:pPr>
          </w:p>
        </w:tc>
        <w:tc>
          <w:tcPr>
            <w:tcW w:w="1020" w:type="dxa"/>
            <w:vAlign w:val="bottom"/>
            <w:shd w:val="clear" w:color="auto" w:fill="EEEDED"/>
          </w:tcPr>
          <w:p>
            <w:pPr>
              <w:spacing w:after="0"/>
              <w:rPr>
                <w:sz w:val="9"/>
                <w:szCs w:val="9"/>
                <w:color w:val="auto"/>
              </w:rPr>
            </w:pPr>
          </w:p>
        </w:tc>
        <w:tc>
          <w:tcPr>
            <w:tcW w:w="1140" w:type="dxa"/>
            <w:vAlign w:val="bottom"/>
            <w:shd w:val="clear" w:color="auto" w:fill="EEEDED"/>
          </w:tcPr>
          <w:p>
            <w:pPr>
              <w:spacing w:after="0"/>
              <w:rPr>
                <w:sz w:val="9"/>
                <w:szCs w:val="9"/>
                <w:color w:val="auto"/>
              </w:rPr>
            </w:pPr>
          </w:p>
        </w:tc>
        <w:tc>
          <w:tcPr>
            <w:tcW w:w="980" w:type="dxa"/>
            <w:vAlign w:val="bottom"/>
            <w:shd w:val="clear" w:color="auto" w:fill="EEEDED"/>
          </w:tcPr>
          <w:p>
            <w:pPr>
              <w:spacing w:after="0"/>
              <w:rPr>
                <w:sz w:val="9"/>
                <w:szCs w:val="9"/>
                <w:color w:val="auto"/>
              </w:rPr>
            </w:pPr>
          </w:p>
        </w:tc>
        <w:tc>
          <w:tcPr>
            <w:tcW w:w="116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660" w:type="dxa"/>
            <w:vAlign w:val="bottom"/>
          </w:tcPr>
          <w:p>
            <w:pPr>
              <w:spacing w:after="0"/>
              <w:rPr>
                <w:sz w:val="21"/>
                <w:szCs w:val="21"/>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54585A"/>
              </w:rPr>
              <w:t>CEO / Executive</w:t>
            </w:r>
          </w:p>
        </w:tc>
        <w:tc>
          <w:tcPr>
            <w:tcW w:w="1320" w:type="dxa"/>
            <w:vAlign w:val="bottom"/>
            <w:vMerge w:val="restart"/>
          </w:tcPr>
          <w:p>
            <w:pPr>
              <w:jc w:val="center"/>
              <w:ind w:left="280"/>
              <w:spacing w:after="0"/>
              <w:rPr>
                <w:sz w:val="20"/>
                <w:szCs w:val="20"/>
                <w:color w:val="auto"/>
              </w:rPr>
            </w:pPr>
            <w:r>
              <w:rPr>
                <w:rFonts w:ascii="Arial" w:cs="Arial" w:eastAsia="Arial" w:hAnsi="Arial"/>
                <w:sz w:val="32"/>
                <w:szCs w:val="32"/>
                <w:b w:val="1"/>
                <w:bCs w:val="1"/>
                <w:color w:val="EB6C10"/>
              </w:rPr>
              <w:t>•</w:t>
            </w:r>
          </w:p>
        </w:tc>
        <w:tc>
          <w:tcPr>
            <w:tcW w:w="1200" w:type="dxa"/>
            <w:vAlign w:val="bottom"/>
            <w:vMerge w:val="restart"/>
          </w:tcPr>
          <w:p>
            <w:pPr>
              <w:jc w:val="center"/>
              <w:spacing w:after="0"/>
              <w:rPr>
                <w:sz w:val="20"/>
                <w:szCs w:val="20"/>
                <w:color w:val="auto"/>
              </w:rPr>
            </w:pPr>
            <w:r>
              <w:rPr>
                <w:rFonts w:ascii="Arial" w:cs="Arial" w:eastAsia="Arial" w:hAnsi="Arial"/>
                <w:sz w:val="32"/>
                <w:szCs w:val="32"/>
                <w:b w:val="1"/>
                <w:bCs w:val="1"/>
                <w:color w:val="EB6C10"/>
              </w:rPr>
              <w:t>•</w:t>
            </w:r>
          </w:p>
        </w:tc>
        <w:tc>
          <w:tcPr>
            <w:tcW w:w="1060" w:type="dxa"/>
            <w:vAlign w:val="bottom"/>
            <w:vMerge w:val="restart"/>
          </w:tcPr>
          <w:p>
            <w:pPr>
              <w:jc w:val="center"/>
              <w:spacing w:after="0"/>
              <w:rPr>
                <w:sz w:val="20"/>
                <w:szCs w:val="20"/>
                <w:color w:val="auto"/>
              </w:rPr>
            </w:pPr>
            <w:r>
              <w:rPr>
                <w:rFonts w:ascii="Arial" w:cs="Arial" w:eastAsia="Arial" w:hAnsi="Arial"/>
                <w:sz w:val="32"/>
                <w:szCs w:val="32"/>
                <w:b w:val="1"/>
                <w:bCs w:val="1"/>
                <w:color w:val="EB6C10"/>
              </w:rPr>
              <w:t>•</w:t>
            </w:r>
          </w:p>
        </w:tc>
        <w:tc>
          <w:tcPr>
            <w:tcW w:w="1020" w:type="dxa"/>
            <w:vAlign w:val="bottom"/>
            <w:vMerge w:val="restart"/>
          </w:tcPr>
          <w:p>
            <w:pPr>
              <w:jc w:val="center"/>
              <w:spacing w:after="0"/>
              <w:rPr>
                <w:sz w:val="20"/>
                <w:szCs w:val="20"/>
                <w:color w:val="auto"/>
              </w:rPr>
            </w:pPr>
            <w:r>
              <w:rPr>
                <w:rFonts w:ascii="Arial" w:cs="Arial" w:eastAsia="Arial" w:hAnsi="Arial"/>
                <w:sz w:val="32"/>
                <w:szCs w:val="32"/>
                <w:b w:val="1"/>
                <w:bCs w:val="1"/>
                <w:color w:val="EB6C10"/>
              </w:rPr>
              <w:t>•</w:t>
            </w:r>
          </w:p>
        </w:tc>
        <w:tc>
          <w:tcPr>
            <w:tcW w:w="1140" w:type="dxa"/>
            <w:vAlign w:val="bottom"/>
          </w:tcPr>
          <w:p>
            <w:pPr>
              <w:spacing w:after="0"/>
              <w:rPr>
                <w:sz w:val="21"/>
                <w:szCs w:val="21"/>
                <w:color w:val="auto"/>
              </w:rPr>
            </w:pPr>
          </w:p>
        </w:tc>
        <w:tc>
          <w:tcPr>
            <w:tcW w:w="980" w:type="dxa"/>
            <w:vAlign w:val="bottom"/>
            <w:vMerge w:val="restart"/>
          </w:tcPr>
          <w:p>
            <w:pPr>
              <w:jc w:val="center"/>
              <w:spacing w:after="0"/>
              <w:rPr>
                <w:sz w:val="20"/>
                <w:szCs w:val="20"/>
                <w:color w:val="auto"/>
              </w:rPr>
            </w:pPr>
            <w:r>
              <w:rPr>
                <w:rFonts w:ascii="Arial" w:cs="Arial" w:eastAsia="Arial" w:hAnsi="Arial"/>
                <w:sz w:val="32"/>
                <w:szCs w:val="32"/>
                <w:b w:val="1"/>
                <w:bCs w:val="1"/>
                <w:color w:val="EB6C10"/>
              </w:rPr>
              <w:t>•</w:t>
            </w:r>
          </w:p>
        </w:tc>
        <w:tc>
          <w:tcPr>
            <w:tcW w:w="1160" w:type="dxa"/>
            <w:vAlign w:val="bottom"/>
            <w:vMerge w:val="restart"/>
          </w:tcPr>
          <w:p>
            <w:pPr>
              <w:jc w:val="center"/>
              <w:spacing w:after="0"/>
              <w:rPr>
                <w:sz w:val="20"/>
                <w:szCs w:val="20"/>
                <w:color w:val="auto"/>
              </w:rPr>
            </w:pPr>
            <w:r>
              <w:rPr>
                <w:rFonts w:ascii="Arial" w:cs="Arial" w:eastAsia="Arial" w:hAnsi="Arial"/>
                <w:sz w:val="32"/>
                <w:szCs w:val="32"/>
                <w:b w:val="1"/>
                <w:bCs w:val="1"/>
                <w:color w:val="EB6C10"/>
              </w:rPr>
              <w:t>•</w:t>
            </w: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54585A"/>
              </w:rPr>
              <w:t>Officer Experience</w:t>
            </w:r>
          </w:p>
        </w:tc>
        <w:tc>
          <w:tcPr>
            <w:tcW w:w="132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0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
        </w:trPr>
        <w:tc>
          <w:tcPr>
            <w:tcW w:w="660" w:type="dxa"/>
            <w:vAlign w:val="bottom"/>
            <w:tcBorders>
              <w:bottom w:val="single" w:sz="8" w:color="54585A"/>
            </w:tcBorders>
          </w:tcPr>
          <w:p>
            <w:pPr>
              <w:spacing w:after="0"/>
              <w:rPr>
                <w:sz w:val="3"/>
                <w:szCs w:val="3"/>
                <w:color w:val="auto"/>
              </w:rPr>
            </w:pPr>
          </w:p>
        </w:tc>
        <w:tc>
          <w:tcPr>
            <w:tcW w:w="2700" w:type="dxa"/>
            <w:vAlign w:val="bottom"/>
            <w:tcBorders>
              <w:bottom w:val="single" w:sz="8" w:color="54585A"/>
            </w:tcBorders>
          </w:tcPr>
          <w:p>
            <w:pPr>
              <w:spacing w:after="0"/>
              <w:rPr>
                <w:sz w:val="3"/>
                <w:szCs w:val="3"/>
                <w:color w:val="auto"/>
              </w:rPr>
            </w:pPr>
          </w:p>
        </w:tc>
        <w:tc>
          <w:tcPr>
            <w:tcW w:w="1320" w:type="dxa"/>
            <w:vAlign w:val="bottom"/>
            <w:tcBorders>
              <w:bottom w:val="single" w:sz="8" w:color="54585A"/>
            </w:tcBorders>
          </w:tcPr>
          <w:p>
            <w:pPr>
              <w:spacing w:after="0"/>
              <w:rPr>
                <w:sz w:val="3"/>
                <w:szCs w:val="3"/>
                <w:color w:val="auto"/>
              </w:rPr>
            </w:pPr>
          </w:p>
        </w:tc>
        <w:tc>
          <w:tcPr>
            <w:tcW w:w="1200" w:type="dxa"/>
            <w:vAlign w:val="bottom"/>
            <w:tcBorders>
              <w:bottom w:val="single" w:sz="8" w:color="54585A"/>
            </w:tcBorders>
          </w:tcPr>
          <w:p>
            <w:pPr>
              <w:spacing w:after="0"/>
              <w:rPr>
                <w:sz w:val="3"/>
                <w:szCs w:val="3"/>
                <w:color w:val="auto"/>
              </w:rPr>
            </w:pPr>
          </w:p>
        </w:tc>
        <w:tc>
          <w:tcPr>
            <w:tcW w:w="1060" w:type="dxa"/>
            <w:vAlign w:val="bottom"/>
            <w:tcBorders>
              <w:bottom w:val="single" w:sz="8" w:color="54585A"/>
            </w:tcBorders>
          </w:tcPr>
          <w:p>
            <w:pPr>
              <w:spacing w:after="0"/>
              <w:rPr>
                <w:sz w:val="3"/>
                <w:szCs w:val="3"/>
                <w:color w:val="auto"/>
              </w:rPr>
            </w:pPr>
          </w:p>
        </w:tc>
        <w:tc>
          <w:tcPr>
            <w:tcW w:w="1020" w:type="dxa"/>
            <w:vAlign w:val="bottom"/>
            <w:tcBorders>
              <w:bottom w:val="single" w:sz="8" w:color="54585A"/>
            </w:tcBorders>
          </w:tcPr>
          <w:p>
            <w:pPr>
              <w:spacing w:after="0"/>
              <w:rPr>
                <w:sz w:val="3"/>
                <w:szCs w:val="3"/>
                <w:color w:val="auto"/>
              </w:rPr>
            </w:pPr>
          </w:p>
        </w:tc>
        <w:tc>
          <w:tcPr>
            <w:tcW w:w="1140" w:type="dxa"/>
            <w:vAlign w:val="bottom"/>
            <w:tcBorders>
              <w:bottom w:val="single" w:sz="8" w:color="54585A"/>
            </w:tcBorders>
          </w:tcPr>
          <w:p>
            <w:pPr>
              <w:spacing w:after="0"/>
              <w:rPr>
                <w:sz w:val="3"/>
                <w:szCs w:val="3"/>
                <w:color w:val="auto"/>
              </w:rPr>
            </w:pPr>
          </w:p>
        </w:tc>
        <w:tc>
          <w:tcPr>
            <w:tcW w:w="980" w:type="dxa"/>
            <w:vAlign w:val="bottom"/>
            <w:tcBorders>
              <w:bottom w:val="single" w:sz="8" w:color="54585A"/>
            </w:tcBorders>
          </w:tcPr>
          <w:p>
            <w:pPr>
              <w:spacing w:after="0"/>
              <w:rPr>
                <w:sz w:val="3"/>
                <w:szCs w:val="3"/>
                <w:color w:val="auto"/>
              </w:rPr>
            </w:pPr>
          </w:p>
        </w:tc>
        <w:tc>
          <w:tcPr>
            <w:tcW w:w="1160" w:type="dxa"/>
            <w:vAlign w:val="bottom"/>
            <w:tcBorders>
              <w:bottom w:val="single" w:sz="8" w:color="54585A"/>
            </w:tcBorders>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54585A"/>
              </w:rPr>
              <w:t>Telecommunications</w:t>
            </w:r>
          </w:p>
        </w:tc>
        <w:tc>
          <w:tcPr>
            <w:tcW w:w="1320" w:type="dxa"/>
            <w:vAlign w:val="bottom"/>
          </w:tcPr>
          <w:p>
            <w:pPr>
              <w:jc w:val="center"/>
              <w:ind w:left="280"/>
              <w:spacing w:after="0" w:line="304" w:lineRule="exact"/>
              <w:rPr>
                <w:sz w:val="20"/>
                <w:szCs w:val="20"/>
                <w:color w:val="auto"/>
              </w:rPr>
            </w:pPr>
            <w:r>
              <w:rPr>
                <w:rFonts w:ascii="Arial" w:cs="Arial" w:eastAsia="Arial" w:hAnsi="Arial"/>
                <w:sz w:val="32"/>
                <w:szCs w:val="32"/>
                <w:b w:val="1"/>
                <w:bCs w:val="1"/>
                <w:color w:val="54585A"/>
              </w:rPr>
              <w:t>•</w:t>
            </w:r>
          </w:p>
        </w:tc>
        <w:tc>
          <w:tcPr>
            <w:tcW w:w="1200" w:type="dxa"/>
            <w:vAlign w:val="bottom"/>
          </w:tcPr>
          <w:p>
            <w:pPr>
              <w:jc w:val="center"/>
              <w:spacing w:after="0" w:line="304" w:lineRule="exact"/>
              <w:rPr>
                <w:sz w:val="20"/>
                <w:szCs w:val="20"/>
                <w:color w:val="auto"/>
              </w:rPr>
            </w:pPr>
            <w:r>
              <w:rPr>
                <w:rFonts w:ascii="Arial" w:cs="Arial" w:eastAsia="Arial" w:hAnsi="Arial"/>
                <w:sz w:val="32"/>
                <w:szCs w:val="32"/>
                <w:b w:val="1"/>
                <w:bCs w:val="1"/>
                <w:color w:val="54585A"/>
              </w:rPr>
              <w:t>•</w:t>
            </w:r>
          </w:p>
        </w:tc>
        <w:tc>
          <w:tcPr>
            <w:tcW w:w="1060" w:type="dxa"/>
            <w:vAlign w:val="bottom"/>
          </w:tcPr>
          <w:p>
            <w:pPr>
              <w:jc w:val="center"/>
              <w:spacing w:after="0" w:line="304" w:lineRule="exact"/>
              <w:rPr>
                <w:sz w:val="20"/>
                <w:szCs w:val="20"/>
                <w:color w:val="auto"/>
              </w:rPr>
            </w:pPr>
            <w:r>
              <w:rPr>
                <w:rFonts w:ascii="Arial" w:cs="Arial" w:eastAsia="Arial" w:hAnsi="Arial"/>
                <w:sz w:val="32"/>
                <w:szCs w:val="32"/>
                <w:b w:val="1"/>
                <w:bCs w:val="1"/>
                <w:color w:val="54585A"/>
              </w:rPr>
              <w:t>•</w:t>
            </w:r>
          </w:p>
        </w:tc>
        <w:tc>
          <w:tcPr>
            <w:tcW w:w="1020" w:type="dxa"/>
            <w:vAlign w:val="bottom"/>
          </w:tcPr>
          <w:p>
            <w:pPr>
              <w:jc w:val="center"/>
              <w:spacing w:after="0" w:line="304" w:lineRule="exact"/>
              <w:rPr>
                <w:sz w:val="20"/>
                <w:szCs w:val="20"/>
                <w:color w:val="auto"/>
              </w:rPr>
            </w:pPr>
            <w:r>
              <w:rPr>
                <w:rFonts w:ascii="Arial" w:cs="Arial" w:eastAsia="Arial" w:hAnsi="Arial"/>
                <w:sz w:val="32"/>
                <w:szCs w:val="32"/>
                <w:b w:val="1"/>
                <w:bCs w:val="1"/>
                <w:color w:val="54585A"/>
              </w:rPr>
              <w:t>•</w:t>
            </w:r>
          </w:p>
        </w:tc>
        <w:tc>
          <w:tcPr>
            <w:tcW w:w="1140" w:type="dxa"/>
            <w:vAlign w:val="bottom"/>
          </w:tcPr>
          <w:p>
            <w:pPr>
              <w:jc w:val="center"/>
              <w:spacing w:after="0" w:line="304" w:lineRule="exact"/>
              <w:rPr>
                <w:sz w:val="20"/>
                <w:szCs w:val="20"/>
                <w:color w:val="auto"/>
              </w:rPr>
            </w:pPr>
            <w:r>
              <w:rPr>
                <w:rFonts w:ascii="Arial" w:cs="Arial" w:eastAsia="Arial" w:hAnsi="Arial"/>
                <w:sz w:val="32"/>
                <w:szCs w:val="32"/>
                <w:b w:val="1"/>
                <w:bCs w:val="1"/>
                <w:color w:val="54585A"/>
              </w:rPr>
              <w:t>•</w:t>
            </w:r>
          </w:p>
        </w:tc>
        <w:tc>
          <w:tcPr>
            <w:tcW w:w="980" w:type="dxa"/>
            <w:vAlign w:val="bottom"/>
          </w:tcPr>
          <w:p>
            <w:pPr>
              <w:jc w:val="center"/>
              <w:spacing w:after="0" w:line="304" w:lineRule="exact"/>
              <w:rPr>
                <w:sz w:val="20"/>
                <w:szCs w:val="20"/>
                <w:color w:val="auto"/>
              </w:rPr>
            </w:pPr>
            <w:r>
              <w:rPr>
                <w:rFonts w:ascii="Arial" w:cs="Arial" w:eastAsia="Arial" w:hAnsi="Arial"/>
                <w:sz w:val="32"/>
                <w:szCs w:val="32"/>
                <w:b w:val="1"/>
                <w:bCs w:val="1"/>
                <w:color w:val="54585A"/>
              </w:rPr>
              <w:t>•</w:t>
            </w:r>
          </w:p>
        </w:tc>
        <w:tc>
          <w:tcPr>
            <w:tcW w:w="1160" w:type="dxa"/>
            <w:vAlign w:val="bottom"/>
          </w:tcPr>
          <w:p>
            <w:pPr>
              <w:jc w:val="center"/>
              <w:spacing w:after="0" w:line="304" w:lineRule="exact"/>
              <w:rPr>
                <w:sz w:val="20"/>
                <w:szCs w:val="20"/>
                <w:color w:val="auto"/>
              </w:rPr>
            </w:pPr>
            <w:r>
              <w:rPr>
                <w:rFonts w:ascii="Arial" w:cs="Arial" w:eastAsia="Arial" w:hAnsi="Arial"/>
                <w:sz w:val="32"/>
                <w:szCs w:val="32"/>
                <w:b w:val="1"/>
                <w:bCs w:val="1"/>
                <w:color w:val="54585A"/>
              </w:rPr>
              <w:t>•</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60" w:type="dxa"/>
            <w:vAlign w:val="bottom"/>
            <w:tcBorders>
              <w:bottom w:val="single" w:sz="8" w:color="54585A"/>
            </w:tcBorders>
          </w:tcPr>
          <w:p>
            <w:pPr>
              <w:spacing w:after="0"/>
              <w:rPr>
                <w:sz w:val="14"/>
                <w:szCs w:val="14"/>
                <w:color w:val="auto"/>
              </w:rPr>
            </w:pPr>
          </w:p>
        </w:tc>
        <w:tc>
          <w:tcPr>
            <w:tcW w:w="2700" w:type="dxa"/>
            <w:vAlign w:val="bottom"/>
            <w:tcBorders>
              <w:bottom w:val="single" w:sz="8" w:color="54585A"/>
            </w:tcBorders>
          </w:tcPr>
          <w:p>
            <w:pPr>
              <w:spacing w:after="0"/>
              <w:rPr>
                <w:sz w:val="14"/>
                <w:szCs w:val="14"/>
                <w:color w:val="auto"/>
              </w:rPr>
            </w:pPr>
          </w:p>
        </w:tc>
        <w:tc>
          <w:tcPr>
            <w:tcW w:w="1320" w:type="dxa"/>
            <w:vAlign w:val="bottom"/>
            <w:tcBorders>
              <w:bottom w:val="single" w:sz="8" w:color="54585A"/>
            </w:tcBorders>
          </w:tcPr>
          <w:p>
            <w:pPr>
              <w:spacing w:after="0"/>
              <w:rPr>
                <w:sz w:val="14"/>
                <w:szCs w:val="14"/>
                <w:color w:val="auto"/>
              </w:rPr>
            </w:pPr>
          </w:p>
        </w:tc>
        <w:tc>
          <w:tcPr>
            <w:tcW w:w="1200" w:type="dxa"/>
            <w:vAlign w:val="bottom"/>
            <w:tcBorders>
              <w:bottom w:val="single" w:sz="8" w:color="54585A"/>
            </w:tcBorders>
          </w:tcPr>
          <w:p>
            <w:pPr>
              <w:spacing w:after="0"/>
              <w:rPr>
                <w:sz w:val="14"/>
                <w:szCs w:val="14"/>
                <w:color w:val="auto"/>
              </w:rPr>
            </w:pPr>
          </w:p>
        </w:tc>
        <w:tc>
          <w:tcPr>
            <w:tcW w:w="1060" w:type="dxa"/>
            <w:vAlign w:val="bottom"/>
            <w:tcBorders>
              <w:bottom w:val="single" w:sz="8" w:color="54585A"/>
            </w:tcBorders>
          </w:tcPr>
          <w:p>
            <w:pPr>
              <w:spacing w:after="0"/>
              <w:rPr>
                <w:sz w:val="14"/>
                <w:szCs w:val="14"/>
                <w:color w:val="auto"/>
              </w:rPr>
            </w:pPr>
          </w:p>
        </w:tc>
        <w:tc>
          <w:tcPr>
            <w:tcW w:w="1020" w:type="dxa"/>
            <w:vAlign w:val="bottom"/>
            <w:tcBorders>
              <w:bottom w:val="single" w:sz="8" w:color="54585A"/>
            </w:tcBorders>
          </w:tcPr>
          <w:p>
            <w:pPr>
              <w:spacing w:after="0"/>
              <w:rPr>
                <w:sz w:val="14"/>
                <w:szCs w:val="14"/>
                <w:color w:val="auto"/>
              </w:rPr>
            </w:pPr>
          </w:p>
        </w:tc>
        <w:tc>
          <w:tcPr>
            <w:tcW w:w="1140" w:type="dxa"/>
            <w:vAlign w:val="bottom"/>
            <w:tcBorders>
              <w:bottom w:val="single" w:sz="8" w:color="54585A"/>
            </w:tcBorders>
          </w:tcPr>
          <w:p>
            <w:pPr>
              <w:spacing w:after="0"/>
              <w:rPr>
                <w:sz w:val="14"/>
                <w:szCs w:val="14"/>
                <w:color w:val="auto"/>
              </w:rPr>
            </w:pPr>
          </w:p>
        </w:tc>
        <w:tc>
          <w:tcPr>
            <w:tcW w:w="980" w:type="dxa"/>
            <w:vAlign w:val="bottom"/>
            <w:tcBorders>
              <w:bottom w:val="single" w:sz="8" w:color="54585A"/>
            </w:tcBorders>
          </w:tcPr>
          <w:p>
            <w:pPr>
              <w:spacing w:after="0"/>
              <w:rPr>
                <w:sz w:val="14"/>
                <w:szCs w:val="14"/>
                <w:color w:val="auto"/>
              </w:rPr>
            </w:pPr>
          </w:p>
        </w:tc>
        <w:tc>
          <w:tcPr>
            <w:tcW w:w="1160" w:type="dxa"/>
            <w:vAlign w:val="bottom"/>
            <w:tcBorders>
              <w:bottom w:val="single" w:sz="8" w:color="54585A"/>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54585A"/>
              </w:rPr>
              <w:t>Accounting or Finance</w:t>
            </w:r>
          </w:p>
        </w:tc>
        <w:tc>
          <w:tcPr>
            <w:tcW w:w="1320" w:type="dxa"/>
            <w:vAlign w:val="bottom"/>
          </w:tcPr>
          <w:p>
            <w:pPr>
              <w:jc w:val="center"/>
              <w:ind w:left="280"/>
              <w:spacing w:after="0" w:line="304" w:lineRule="exact"/>
              <w:rPr>
                <w:sz w:val="20"/>
                <w:szCs w:val="20"/>
                <w:color w:val="auto"/>
              </w:rPr>
            </w:pPr>
            <w:r>
              <w:rPr>
                <w:rFonts w:ascii="Arial" w:cs="Arial" w:eastAsia="Arial" w:hAnsi="Arial"/>
                <w:sz w:val="32"/>
                <w:szCs w:val="32"/>
                <w:b w:val="1"/>
                <w:bCs w:val="1"/>
                <w:color w:val="1D8DB8"/>
              </w:rPr>
              <w:t>•</w:t>
            </w:r>
          </w:p>
        </w:tc>
        <w:tc>
          <w:tcPr>
            <w:tcW w:w="1200" w:type="dxa"/>
            <w:vAlign w:val="bottom"/>
          </w:tcPr>
          <w:p>
            <w:pPr>
              <w:jc w:val="center"/>
              <w:spacing w:after="0" w:line="304" w:lineRule="exact"/>
              <w:rPr>
                <w:sz w:val="20"/>
                <w:szCs w:val="20"/>
                <w:color w:val="auto"/>
              </w:rPr>
            </w:pPr>
            <w:r>
              <w:rPr>
                <w:rFonts w:ascii="Arial" w:cs="Arial" w:eastAsia="Arial" w:hAnsi="Arial"/>
                <w:sz w:val="32"/>
                <w:szCs w:val="32"/>
                <w:b w:val="1"/>
                <w:bCs w:val="1"/>
                <w:color w:val="1D8DB8"/>
              </w:rPr>
              <w:t>•</w:t>
            </w:r>
          </w:p>
        </w:tc>
        <w:tc>
          <w:tcPr>
            <w:tcW w:w="1060" w:type="dxa"/>
            <w:vAlign w:val="bottom"/>
          </w:tcPr>
          <w:p>
            <w:pPr>
              <w:jc w:val="center"/>
              <w:spacing w:after="0" w:line="304" w:lineRule="exact"/>
              <w:rPr>
                <w:sz w:val="20"/>
                <w:szCs w:val="20"/>
                <w:color w:val="auto"/>
              </w:rPr>
            </w:pPr>
            <w:r>
              <w:rPr>
                <w:rFonts w:ascii="Arial" w:cs="Arial" w:eastAsia="Arial" w:hAnsi="Arial"/>
                <w:sz w:val="32"/>
                <w:szCs w:val="32"/>
                <w:b w:val="1"/>
                <w:bCs w:val="1"/>
                <w:color w:val="1D8DB8"/>
              </w:rPr>
              <w:t>•</w:t>
            </w:r>
          </w:p>
        </w:tc>
        <w:tc>
          <w:tcPr>
            <w:tcW w:w="1020" w:type="dxa"/>
            <w:vAlign w:val="bottom"/>
          </w:tcPr>
          <w:p>
            <w:pPr>
              <w:jc w:val="center"/>
              <w:spacing w:after="0" w:line="304" w:lineRule="exact"/>
              <w:rPr>
                <w:sz w:val="20"/>
                <w:szCs w:val="20"/>
                <w:color w:val="auto"/>
              </w:rPr>
            </w:pPr>
            <w:r>
              <w:rPr>
                <w:rFonts w:ascii="Arial" w:cs="Arial" w:eastAsia="Arial" w:hAnsi="Arial"/>
                <w:sz w:val="32"/>
                <w:szCs w:val="32"/>
                <w:b w:val="1"/>
                <w:bCs w:val="1"/>
                <w:color w:val="1D8DB8"/>
              </w:rPr>
              <w:t>•</w:t>
            </w:r>
          </w:p>
        </w:tc>
        <w:tc>
          <w:tcPr>
            <w:tcW w:w="1140" w:type="dxa"/>
            <w:vAlign w:val="bottom"/>
          </w:tcPr>
          <w:p>
            <w:pPr>
              <w:jc w:val="center"/>
              <w:spacing w:after="0" w:line="304" w:lineRule="exact"/>
              <w:rPr>
                <w:sz w:val="20"/>
                <w:szCs w:val="20"/>
                <w:color w:val="auto"/>
              </w:rPr>
            </w:pPr>
            <w:r>
              <w:rPr>
                <w:rFonts w:ascii="Arial" w:cs="Arial" w:eastAsia="Arial" w:hAnsi="Arial"/>
                <w:sz w:val="32"/>
                <w:szCs w:val="32"/>
                <w:b w:val="1"/>
                <w:bCs w:val="1"/>
                <w:color w:val="1D8DB8"/>
              </w:rPr>
              <w:t>•</w:t>
            </w:r>
          </w:p>
        </w:tc>
        <w:tc>
          <w:tcPr>
            <w:tcW w:w="980" w:type="dxa"/>
            <w:vAlign w:val="bottom"/>
          </w:tcPr>
          <w:p>
            <w:pPr>
              <w:jc w:val="center"/>
              <w:spacing w:after="0" w:line="304" w:lineRule="exact"/>
              <w:rPr>
                <w:sz w:val="20"/>
                <w:szCs w:val="20"/>
                <w:color w:val="auto"/>
              </w:rPr>
            </w:pPr>
            <w:r>
              <w:rPr>
                <w:rFonts w:ascii="Arial" w:cs="Arial" w:eastAsia="Arial" w:hAnsi="Arial"/>
                <w:sz w:val="32"/>
                <w:szCs w:val="32"/>
                <w:b w:val="1"/>
                <w:bCs w:val="1"/>
                <w:color w:val="1D8DB8"/>
              </w:rPr>
              <w:t>•</w:t>
            </w:r>
          </w:p>
        </w:tc>
        <w:tc>
          <w:tcPr>
            <w:tcW w:w="1160" w:type="dxa"/>
            <w:vAlign w:val="bottom"/>
          </w:tcPr>
          <w:p>
            <w:pPr>
              <w:jc w:val="center"/>
              <w:spacing w:after="0" w:line="304" w:lineRule="exact"/>
              <w:rPr>
                <w:sz w:val="20"/>
                <w:szCs w:val="20"/>
                <w:color w:val="auto"/>
              </w:rPr>
            </w:pPr>
            <w:r>
              <w:rPr>
                <w:rFonts w:ascii="Arial" w:cs="Arial" w:eastAsia="Arial" w:hAnsi="Arial"/>
                <w:sz w:val="32"/>
                <w:szCs w:val="32"/>
                <w:b w:val="1"/>
                <w:bCs w:val="1"/>
                <w:color w:val="1D8DB8"/>
              </w:rPr>
              <w:t>•</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60" w:type="dxa"/>
            <w:vAlign w:val="bottom"/>
            <w:tcBorders>
              <w:bottom w:val="single" w:sz="8" w:color="54585A"/>
            </w:tcBorders>
          </w:tcPr>
          <w:p>
            <w:pPr>
              <w:spacing w:after="0"/>
              <w:rPr>
                <w:sz w:val="14"/>
                <w:szCs w:val="14"/>
                <w:color w:val="auto"/>
              </w:rPr>
            </w:pPr>
          </w:p>
        </w:tc>
        <w:tc>
          <w:tcPr>
            <w:tcW w:w="2700" w:type="dxa"/>
            <w:vAlign w:val="bottom"/>
            <w:tcBorders>
              <w:bottom w:val="single" w:sz="8" w:color="54585A"/>
            </w:tcBorders>
          </w:tcPr>
          <w:p>
            <w:pPr>
              <w:spacing w:after="0"/>
              <w:rPr>
                <w:sz w:val="14"/>
                <w:szCs w:val="14"/>
                <w:color w:val="auto"/>
              </w:rPr>
            </w:pPr>
          </w:p>
        </w:tc>
        <w:tc>
          <w:tcPr>
            <w:tcW w:w="1320" w:type="dxa"/>
            <w:vAlign w:val="bottom"/>
            <w:tcBorders>
              <w:bottom w:val="single" w:sz="8" w:color="54585A"/>
            </w:tcBorders>
          </w:tcPr>
          <w:p>
            <w:pPr>
              <w:spacing w:after="0"/>
              <w:rPr>
                <w:sz w:val="14"/>
                <w:szCs w:val="14"/>
                <w:color w:val="auto"/>
              </w:rPr>
            </w:pPr>
          </w:p>
        </w:tc>
        <w:tc>
          <w:tcPr>
            <w:tcW w:w="1200" w:type="dxa"/>
            <w:vAlign w:val="bottom"/>
            <w:tcBorders>
              <w:bottom w:val="single" w:sz="8" w:color="54585A"/>
            </w:tcBorders>
          </w:tcPr>
          <w:p>
            <w:pPr>
              <w:spacing w:after="0"/>
              <w:rPr>
                <w:sz w:val="14"/>
                <w:szCs w:val="14"/>
                <w:color w:val="auto"/>
              </w:rPr>
            </w:pPr>
          </w:p>
        </w:tc>
        <w:tc>
          <w:tcPr>
            <w:tcW w:w="1060" w:type="dxa"/>
            <w:vAlign w:val="bottom"/>
            <w:tcBorders>
              <w:bottom w:val="single" w:sz="8" w:color="54585A"/>
            </w:tcBorders>
          </w:tcPr>
          <w:p>
            <w:pPr>
              <w:spacing w:after="0"/>
              <w:rPr>
                <w:sz w:val="14"/>
                <w:szCs w:val="14"/>
                <w:color w:val="auto"/>
              </w:rPr>
            </w:pPr>
          </w:p>
        </w:tc>
        <w:tc>
          <w:tcPr>
            <w:tcW w:w="1020" w:type="dxa"/>
            <w:vAlign w:val="bottom"/>
            <w:tcBorders>
              <w:bottom w:val="single" w:sz="8" w:color="54585A"/>
            </w:tcBorders>
          </w:tcPr>
          <w:p>
            <w:pPr>
              <w:spacing w:after="0"/>
              <w:rPr>
                <w:sz w:val="14"/>
                <w:szCs w:val="14"/>
                <w:color w:val="auto"/>
              </w:rPr>
            </w:pPr>
          </w:p>
        </w:tc>
        <w:tc>
          <w:tcPr>
            <w:tcW w:w="1140" w:type="dxa"/>
            <w:vAlign w:val="bottom"/>
            <w:tcBorders>
              <w:bottom w:val="single" w:sz="8" w:color="54585A"/>
            </w:tcBorders>
          </w:tcPr>
          <w:p>
            <w:pPr>
              <w:spacing w:after="0"/>
              <w:rPr>
                <w:sz w:val="14"/>
                <w:szCs w:val="14"/>
                <w:color w:val="auto"/>
              </w:rPr>
            </w:pPr>
          </w:p>
        </w:tc>
        <w:tc>
          <w:tcPr>
            <w:tcW w:w="980" w:type="dxa"/>
            <w:vAlign w:val="bottom"/>
            <w:tcBorders>
              <w:bottom w:val="single" w:sz="8" w:color="54585A"/>
            </w:tcBorders>
          </w:tcPr>
          <w:p>
            <w:pPr>
              <w:spacing w:after="0"/>
              <w:rPr>
                <w:sz w:val="14"/>
                <w:szCs w:val="14"/>
                <w:color w:val="auto"/>
              </w:rPr>
            </w:pPr>
          </w:p>
        </w:tc>
        <w:tc>
          <w:tcPr>
            <w:tcW w:w="1160" w:type="dxa"/>
            <w:vAlign w:val="bottom"/>
            <w:tcBorders>
              <w:bottom w:val="single" w:sz="8" w:color="54585A"/>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60" w:type="dxa"/>
            <w:vAlign w:val="bottom"/>
          </w:tcPr>
          <w:p>
            <w:pPr>
              <w:spacing w:after="0"/>
              <w:rPr>
                <w:sz w:val="24"/>
                <w:szCs w:val="24"/>
                <w:color w:val="auto"/>
              </w:rPr>
            </w:pPr>
          </w:p>
        </w:tc>
        <w:tc>
          <w:tcPr>
            <w:tcW w:w="2700" w:type="dxa"/>
            <w:vAlign w:val="bottom"/>
            <w:vMerge w:val="restart"/>
          </w:tcPr>
          <w:p>
            <w:pPr>
              <w:ind w:left="20"/>
              <w:spacing w:after="0"/>
              <w:rPr>
                <w:sz w:val="20"/>
                <w:szCs w:val="20"/>
                <w:color w:val="auto"/>
              </w:rPr>
            </w:pPr>
            <w:r>
              <w:rPr>
                <w:rFonts w:ascii="Arial" w:cs="Arial" w:eastAsia="Arial" w:hAnsi="Arial"/>
                <w:sz w:val="14"/>
                <w:szCs w:val="14"/>
                <w:b w:val="1"/>
                <w:bCs w:val="1"/>
                <w:color w:val="54585A"/>
              </w:rPr>
              <w:t>Global Business</w:t>
            </w:r>
          </w:p>
        </w:tc>
        <w:tc>
          <w:tcPr>
            <w:tcW w:w="1320" w:type="dxa"/>
            <w:vAlign w:val="bottom"/>
          </w:tcPr>
          <w:p>
            <w:pPr>
              <w:jc w:val="center"/>
              <w:ind w:left="280"/>
              <w:spacing w:after="0" w:line="304" w:lineRule="exact"/>
              <w:rPr>
                <w:sz w:val="20"/>
                <w:szCs w:val="20"/>
                <w:color w:val="auto"/>
              </w:rPr>
            </w:pPr>
            <w:r>
              <w:rPr>
                <w:rFonts w:ascii="Arial" w:cs="Arial" w:eastAsia="Arial" w:hAnsi="Arial"/>
                <w:sz w:val="32"/>
                <w:szCs w:val="32"/>
                <w:b w:val="1"/>
                <w:bCs w:val="1"/>
                <w:color w:val="63C237"/>
              </w:rPr>
              <w:t>•</w:t>
            </w:r>
          </w:p>
        </w:tc>
        <w:tc>
          <w:tcPr>
            <w:tcW w:w="1200" w:type="dxa"/>
            <w:vAlign w:val="bottom"/>
          </w:tcPr>
          <w:p>
            <w:pPr>
              <w:jc w:val="center"/>
              <w:spacing w:after="0" w:line="304" w:lineRule="exact"/>
              <w:rPr>
                <w:sz w:val="20"/>
                <w:szCs w:val="20"/>
                <w:color w:val="auto"/>
              </w:rPr>
            </w:pPr>
            <w:r>
              <w:rPr>
                <w:rFonts w:ascii="Arial" w:cs="Arial" w:eastAsia="Arial" w:hAnsi="Arial"/>
                <w:sz w:val="32"/>
                <w:szCs w:val="32"/>
                <w:b w:val="1"/>
                <w:bCs w:val="1"/>
                <w:color w:val="63C237"/>
              </w:rPr>
              <w:t>•</w:t>
            </w:r>
          </w:p>
        </w:tc>
        <w:tc>
          <w:tcPr>
            <w:tcW w:w="1060" w:type="dxa"/>
            <w:vAlign w:val="bottom"/>
          </w:tcPr>
          <w:p>
            <w:pPr>
              <w:jc w:val="center"/>
              <w:spacing w:after="0" w:line="304" w:lineRule="exact"/>
              <w:rPr>
                <w:sz w:val="20"/>
                <w:szCs w:val="20"/>
                <w:color w:val="auto"/>
              </w:rPr>
            </w:pPr>
            <w:r>
              <w:rPr>
                <w:rFonts w:ascii="Arial" w:cs="Arial" w:eastAsia="Arial" w:hAnsi="Arial"/>
                <w:sz w:val="32"/>
                <w:szCs w:val="32"/>
                <w:b w:val="1"/>
                <w:bCs w:val="1"/>
                <w:color w:val="63C237"/>
              </w:rPr>
              <w:t>•</w:t>
            </w:r>
          </w:p>
        </w:tc>
        <w:tc>
          <w:tcPr>
            <w:tcW w:w="1020" w:type="dxa"/>
            <w:vAlign w:val="bottom"/>
          </w:tcPr>
          <w:p>
            <w:pPr>
              <w:jc w:val="center"/>
              <w:spacing w:after="0" w:line="304" w:lineRule="exact"/>
              <w:rPr>
                <w:sz w:val="20"/>
                <w:szCs w:val="20"/>
                <w:color w:val="auto"/>
              </w:rPr>
            </w:pPr>
            <w:r>
              <w:rPr>
                <w:rFonts w:ascii="Arial" w:cs="Arial" w:eastAsia="Arial" w:hAnsi="Arial"/>
                <w:sz w:val="32"/>
                <w:szCs w:val="32"/>
                <w:b w:val="1"/>
                <w:bCs w:val="1"/>
                <w:color w:val="63C237"/>
              </w:rPr>
              <w:t>•</w:t>
            </w:r>
          </w:p>
        </w:tc>
        <w:tc>
          <w:tcPr>
            <w:tcW w:w="1140" w:type="dxa"/>
            <w:vAlign w:val="bottom"/>
          </w:tcPr>
          <w:p>
            <w:pPr>
              <w:jc w:val="center"/>
              <w:spacing w:after="0" w:line="304" w:lineRule="exact"/>
              <w:rPr>
                <w:sz w:val="20"/>
                <w:szCs w:val="20"/>
                <w:color w:val="auto"/>
              </w:rPr>
            </w:pPr>
            <w:r>
              <w:rPr>
                <w:rFonts w:ascii="Arial" w:cs="Arial" w:eastAsia="Arial" w:hAnsi="Arial"/>
                <w:sz w:val="32"/>
                <w:szCs w:val="32"/>
                <w:b w:val="1"/>
                <w:bCs w:val="1"/>
                <w:color w:val="63C237"/>
              </w:rPr>
              <w:t>•</w:t>
            </w:r>
          </w:p>
        </w:tc>
        <w:tc>
          <w:tcPr>
            <w:tcW w:w="980" w:type="dxa"/>
            <w:vAlign w:val="bottom"/>
          </w:tcPr>
          <w:p>
            <w:pPr>
              <w:jc w:val="center"/>
              <w:spacing w:after="0" w:line="304" w:lineRule="exact"/>
              <w:rPr>
                <w:sz w:val="20"/>
                <w:szCs w:val="20"/>
                <w:color w:val="auto"/>
              </w:rPr>
            </w:pPr>
            <w:r>
              <w:rPr>
                <w:rFonts w:ascii="Arial" w:cs="Arial" w:eastAsia="Arial" w:hAnsi="Arial"/>
                <w:sz w:val="32"/>
                <w:szCs w:val="32"/>
                <w:b w:val="1"/>
                <w:bCs w:val="1"/>
                <w:color w:val="63C237"/>
              </w:rPr>
              <w:t>•</w:t>
            </w:r>
          </w:p>
        </w:tc>
        <w:tc>
          <w:tcPr>
            <w:tcW w:w="1160" w:type="dxa"/>
            <w:vAlign w:val="bottom"/>
          </w:tcPr>
          <w:p>
            <w:pPr>
              <w:jc w:val="center"/>
              <w:spacing w:after="0" w:line="304" w:lineRule="exact"/>
              <w:rPr>
                <w:sz w:val="20"/>
                <w:szCs w:val="20"/>
                <w:color w:val="auto"/>
              </w:rPr>
            </w:pPr>
            <w:r>
              <w:rPr>
                <w:rFonts w:ascii="Arial" w:cs="Arial" w:eastAsia="Arial" w:hAnsi="Arial"/>
                <w:sz w:val="32"/>
                <w:szCs w:val="32"/>
                <w:b w:val="1"/>
                <w:bCs w:val="1"/>
                <w:color w:val="63C237"/>
              </w:rPr>
              <w:t>•</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2700" w:type="dxa"/>
            <w:vAlign w:val="bottom"/>
            <w:vMerge w:val="continue"/>
          </w:tcPr>
          <w:p>
            <w:pPr>
              <w:spacing w:after="0"/>
              <w:rPr>
                <w:sz w:val="4"/>
                <w:szCs w:val="4"/>
                <w:color w:val="auto"/>
              </w:rPr>
            </w:pPr>
          </w:p>
        </w:tc>
        <w:tc>
          <w:tcPr>
            <w:tcW w:w="13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660" w:type="dxa"/>
            <w:vAlign w:val="bottom"/>
            <w:tcBorders>
              <w:bottom w:val="single" w:sz="8" w:color="54585A"/>
            </w:tcBorders>
          </w:tcPr>
          <w:p>
            <w:pPr>
              <w:spacing w:after="0"/>
              <w:rPr>
                <w:sz w:val="14"/>
                <w:szCs w:val="14"/>
                <w:color w:val="auto"/>
              </w:rPr>
            </w:pPr>
          </w:p>
        </w:tc>
        <w:tc>
          <w:tcPr>
            <w:tcW w:w="2700" w:type="dxa"/>
            <w:vAlign w:val="bottom"/>
            <w:tcBorders>
              <w:bottom w:val="single" w:sz="8" w:color="54585A"/>
            </w:tcBorders>
          </w:tcPr>
          <w:p>
            <w:pPr>
              <w:spacing w:after="0"/>
              <w:rPr>
                <w:sz w:val="14"/>
                <w:szCs w:val="14"/>
                <w:color w:val="auto"/>
              </w:rPr>
            </w:pPr>
          </w:p>
        </w:tc>
        <w:tc>
          <w:tcPr>
            <w:tcW w:w="1320" w:type="dxa"/>
            <w:vAlign w:val="bottom"/>
            <w:tcBorders>
              <w:bottom w:val="single" w:sz="8" w:color="54585A"/>
            </w:tcBorders>
          </w:tcPr>
          <w:p>
            <w:pPr>
              <w:spacing w:after="0"/>
              <w:rPr>
                <w:sz w:val="14"/>
                <w:szCs w:val="14"/>
                <w:color w:val="auto"/>
              </w:rPr>
            </w:pPr>
          </w:p>
        </w:tc>
        <w:tc>
          <w:tcPr>
            <w:tcW w:w="1200" w:type="dxa"/>
            <w:vAlign w:val="bottom"/>
            <w:tcBorders>
              <w:bottom w:val="single" w:sz="8" w:color="54585A"/>
            </w:tcBorders>
          </w:tcPr>
          <w:p>
            <w:pPr>
              <w:spacing w:after="0"/>
              <w:rPr>
                <w:sz w:val="14"/>
                <w:szCs w:val="14"/>
                <w:color w:val="auto"/>
              </w:rPr>
            </w:pPr>
          </w:p>
        </w:tc>
        <w:tc>
          <w:tcPr>
            <w:tcW w:w="1060" w:type="dxa"/>
            <w:vAlign w:val="bottom"/>
            <w:tcBorders>
              <w:bottom w:val="single" w:sz="8" w:color="54585A"/>
            </w:tcBorders>
          </w:tcPr>
          <w:p>
            <w:pPr>
              <w:spacing w:after="0"/>
              <w:rPr>
                <w:sz w:val="14"/>
                <w:szCs w:val="14"/>
                <w:color w:val="auto"/>
              </w:rPr>
            </w:pPr>
          </w:p>
        </w:tc>
        <w:tc>
          <w:tcPr>
            <w:tcW w:w="1020" w:type="dxa"/>
            <w:vAlign w:val="bottom"/>
            <w:tcBorders>
              <w:bottom w:val="single" w:sz="8" w:color="54585A"/>
            </w:tcBorders>
          </w:tcPr>
          <w:p>
            <w:pPr>
              <w:spacing w:after="0"/>
              <w:rPr>
                <w:sz w:val="14"/>
                <w:szCs w:val="14"/>
                <w:color w:val="auto"/>
              </w:rPr>
            </w:pPr>
          </w:p>
        </w:tc>
        <w:tc>
          <w:tcPr>
            <w:tcW w:w="1140" w:type="dxa"/>
            <w:vAlign w:val="bottom"/>
            <w:tcBorders>
              <w:bottom w:val="single" w:sz="8" w:color="54585A"/>
            </w:tcBorders>
          </w:tcPr>
          <w:p>
            <w:pPr>
              <w:spacing w:after="0"/>
              <w:rPr>
                <w:sz w:val="14"/>
                <w:szCs w:val="14"/>
                <w:color w:val="auto"/>
              </w:rPr>
            </w:pPr>
          </w:p>
        </w:tc>
        <w:tc>
          <w:tcPr>
            <w:tcW w:w="980" w:type="dxa"/>
            <w:vAlign w:val="bottom"/>
            <w:tcBorders>
              <w:bottom w:val="single" w:sz="8" w:color="54585A"/>
            </w:tcBorders>
          </w:tcPr>
          <w:p>
            <w:pPr>
              <w:spacing w:after="0"/>
              <w:rPr>
                <w:sz w:val="14"/>
                <w:szCs w:val="14"/>
                <w:color w:val="auto"/>
              </w:rPr>
            </w:pPr>
          </w:p>
        </w:tc>
        <w:tc>
          <w:tcPr>
            <w:tcW w:w="1160" w:type="dxa"/>
            <w:vAlign w:val="bottom"/>
            <w:tcBorders>
              <w:bottom w:val="single" w:sz="8" w:color="54585A"/>
            </w:tcBorders>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660" w:type="dxa"/>
            <w:vAlign w:val="bottom"/>
          </w:tcPr>
          <w:p>
            <w:pPr>
              <w:spacing w:after="0"/>
              <w:rPr>
                <w:sz w:val="6"/>
                <w:szCs w:val="6"/>
                <w:color w:val="auto"/>
              </w:rPr>
            </w:pPr>
          </w:p>
        </w:tc>
        <w:tc>
          <w:tcPr>
            <w:tcW w:w="2700" w:type="dxa"/>
            <w:vAlign w:val="bottom"/>
          </w:tcPr>
          <w:p>
            <w:pPr>
              <w:ind w:left="20"/>
              <w:spacing w:after="0" w:line="79" w:lineRule="exact"/>
              <w:rPr>
                <w:sz w:val="20"/>
                <w:szCs w:val="20"/>
                <w:color w:val="auto"/>
              </w:rPr>
            </w:pPr>
            <w:r>
              <w:rPr>
                <w:rFonts w:ascii="Arial" w:cs="Arial" w:eastAsia="Arial" w:hAnsi="Arial"/>
                <w:sz w:val="9"/>
                <w:szCs w:val="9"/>
                <w:b w:val="1"/>
                <w:bCs w:val="1"/>
                <w:color w:val="54585A"/>
              </w:rPr>
              <w:t>Acquisitions</w:t>
            </w:r>
          </w:p>
        </w:tc>
        <w:tc>
          <w:tcPr>
            <w:tcW w:w="1320" w:type="dxa"/>
            <w:vAlign w:val="bottom"/>
          </w:tcPr>
          <w:p>
            <w:pPr>
              <w:jc w:val="center"/>
              <w:ind w:left="280"/>
              <w:spacing w:after="0" w:line="79" w:lineRule="exact"/>
              <w:rPr>
                <w:sz w:val="20"/>
                <w:szCs w:val="20"/>
                <w:color w:val="auto"/>
              </w:rPr>
            </w:pPr>
            <w:r>
              <w:rPr>
                <w:rFonts w:ascii="Arial" w:cs="Arial" w:eastAsia="Arial" w:hAnsi="Arial"/>
                <w:sz w:val="9"/>
                <w:szCs w:val="9"/>
                <w:b w:val="1"/>
                <w:bCs w:val="1"/>
                <w:color w:val="FFD900"/>
              </w:rPr>
              <w:t>•</w:t>
            </w:r>
          </w:p>
        </w:tc>
        <w:tc>
          <w:tcPr>
            <w:tcW w:w="1200" w:type="dxa"/>
            <w:vAlign w:val="bottom"/>
          </w:tcPr>
          <w:p>
            <w:pPr>
              <w:jc w:val="center"/>
              <w:spacing w:after="0" w:line="79" w:lineRule="exact"/>
              <w:rPr>
                <w:sz w:val="20"/>
                <w:szCs w:val="20"/>
                <w:color w:val="auto"/>
              </w:rPr>
            </w:pPr>
            <w:r>
              <w:rPr>
                <w:rFonts w:ascii="Arial" w:cs="Arial" w:eastAsia="Arial" w:hAnsi="Arial"/>
                <w:sz w:val="9"/>
                <w:szCs w:val="9"/>
                <w:b w:val="1"/>
                <w:bCs w:val="1"/>
                <w:color w:val="FFD900"/>
              </w:rPr>
              <w:t>•</w:t>
            </w:r>
          </w:p>
        </w:tc>
        <w:tc>
          <w:tcPr>
            <w:tcW w:w="1060" w:type="dxa"/>
            <w:vAlign w:val="bottom"/>
          </w:tcPr>
          <w:p>
            <w:pPr>
              <w:jc w:val="center"/>
              <w:spacing w:after="0" w:line="79" w:lineRule="exact"/>
              <w:rPr>
                <w:sz w:val="20"/>
                <w:szCs w:val="20"/>
                <w:color w:val="auto"/>
              </w:rPr>
            </w:pPr>
            <w:r>
              <w:rPr>
                <w:rFonts w:ascii="Arial" w:cs="Arial" w:eastAsia="Arial" w:hAnsi="Arial"/>
                <w:sz w:val="9"/>
                <w:szCs w:val="9"/>
                <w:b w:val="1"/>
                <w:bCs w:val="1"/>
                <w:color w:val="FFD900"/>
              </w:rPr>
              <w:t>•</w:t>
            </w:r>
          </w:p>
        </w:tc>
        <w:tc>
          <w:tcPr>
            <w:tcW w:w="1020" w:type="dxa"/>
            <w:vAlign w:val="bottom"/>
          </w:tcPr>
          <w:p>
            <w:pPr>
              <w:jc w:val="center"/>
              <w:spacing w:after="0" w:line="79" w:lineRule="exact"/>
              <w:rPr>
                <w:sz w:val="20"/>
                <w:szCs w:val="20"/>
                <w:color w:val="auto"/>
              </w:rPr>
            </w:pPr>
            <w:r>
              <w:rPr>
                <w:rFonts w:ascii="Arial" w:cs="Arial" w:eastAsia="Arial" w:hAnsi="Arial"/>
                <w:sz w:val="9"/>
                <w:szCs w:val="9"/>
                <w:b w:val="1"/>
                <w:bCs w:val="1"/>
                <w:color w:val="FFD900"/>
              </w:rPr>
              <w:t>•</w:t>
            </w:r>
          </w:p>
        </w:tc>
        <w:tc>
          <w:tcPr>
            <w:tcW w:w="1140" w:type="dxa"/>
            <w:vAlign w:val="bottom"/>
          </w:tcPr>
          <w:p>
            <w:pPr>
              <w:jc w:val="center"/>
              <w:spacing w:after="0" w:line="79" w:lineRule="exact"/>
              <w:rPr>
                <w:sz w:val="20"/>
                <w:szCs w:val="20"/>
                <w:color w:val="auto"/>
              </w:rPr>
            </w:pPr>
            <w:r>
              <w:rPr>
                <w:rFonts w:ascii="Arial" w:cs="Arial" w:eastAsia="Arial" w:hAnsi="Arial"/>
                <w:sz w:val="9"/>
                <w:szCs w:val="9"/>
                <w:b w:val="1"/>
                <w:bCs w:val="1"/>
                <w:color w:val="FFD900"/>
              </w:rPr>
              <w:t>•</w:t>
            </w:r>
          </w:p>
        </w:tc>
        <w:tc>
          <w:tcPr>
            <w:tcW w:w="980" w:type="dxa"/>
            <w:vAlign w:val="bottom"/>
          </w:tcPr>
          <w:p>
            <w:pPr>
              <w:jc w:val="center"/>
              <w:spacing w:after="0" w:line="79" w:lineRule="exact"/>
              <w:rPr>
                <w:sz w:val="20"/>
                <w:szCs w:val="20"/>
                <w:color w:val="auto"/>
              </w:rPr>
            </w:pPr>
            <w:r>
              <w:rPr>
                <w:rFonts w:ascii="Arial" w:cs="Arial" w:eastAsia="Arial" w:hAnsi="Arial"/>
                <w:sz w:val="9"/>
                <w:szCs w:val="9"/>
                <w:b w:val="1"/>
                <w:bCs w:val="1"/>
                <w:color w:val="FFD900"/>
              </w:rPr>
              <w:t>•</w:t>
            </w:r>
          </w:p>
        </w:tc>
        <w:tc>
          <w:tcPr>
            <w:tcW w:w="1160" w:type="dxa"/>
            <w:vAlign w:val="bottom"/>
          </w:tcPr>
          <w:p>
            <w:pPr>
              <w:jc w:val="center"/>
              <w:spacing w:after="0" w:line="79" w:lineRule="exact"/>
              <w:rPr>
                <w:sz w:val="20"/>
                <w:szCs w:val="20"/>
                <w:color w:val="auto"/>
              </w:rPr>
            </w:pPr>
            <w:r>
              <w:rPr>
                <w:rFonts w:ascii="Arial" w:cs="Arial" w:eastAsia="Arial" w:hAnsi="Arial"/>
                <w:sz w:val="9"/>
                <w:szCs w:val="9"/>
                <w:b w:val="1"/>
                <w:bCs w:val="1"/>
                <w:color w:val="FFD900"/>
              </w:rPr>
              <w:t>•</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2700" w:type="dxa"/>
            <w:vAlign w:val="bottom"/>
          </w:tcPr>
          <w:p>
            <w:pPr>
              <w:ind w:left="20"/>
              <w:spacing w:after="0"/>
              <w:rPr>
                <w:sz w:val="20"/>
                <w:szCs w:val="20"/>
                <w:color w:val="auto"/>
              </w:rPr>
            </w:pPr>
            <w:r>
              <w:rPr>
                <w:rFonts w:ascii="Arial" w:cs="Arial" w:eastAsia="Arial" w:hAnsi="Arial"/>
                <w:sz w:val="14"/>
                <w:szCs w:val="14"/>
                <w:b w:val="1"/>
                <w:bCs w:val="1"/>
                <w:color w:val="54585A"/>
              </w:rPr>
              <w:t>Strategic Planning / Mergers &amp;</w:t>
            </w: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360" w:type="dxa"/>
            <w:vAlign w:val="bottom"/>
            <w:tcBorders>
              <w:bottom w:val="single" w:sz="8" w:color="54585A"/>
            </w:tcBorders>
            <w:gridSpan w:val="2"/>
          </w:tcPr>
          <w:p>
            <w:pPr>
              <w:spacing w:after="0"/>
              <w:rPr>
                <w:sz w:val="21"/>
                <w:szCs w:val="21"/>
                <w:color w:val="auto"/>
              </w:rPr>
            </w:pPr>
          </w:p>
        </w:tc>
        <w:tc>
          <w:tcPr>
            <w:tcW w:w="1320" w:type="dxa"/>
            <w:vAlign w:val="bottom"/>
            <w:tcBorders>
              <w:bottom w:val="single" w:sz="8" w:color="54585A"/>
            </w:tcBorders>
          </w:tcPr>
          <w:p>
            <w:pPr>
              <w:spacing w:after="0"/>
              <w:rPr>
                <w:sz w:val="21"/>
                <w:szCs w:val="21"/>
                <w:color w:val="auto"/>
              </w:rPr>
            </w:pPr>
          </w:p>
        </w:tc>
        <w:tc>
          <w:tcPr>
            <w:tcW w:w="1200" w:type="dxa"/>
            <w:vAlign w:val="bottom"/>
            <w:tcBorders>
              <w:bottom w:val="single" w:sz="8" w:color="54585A"/>
            </w:tcBorders>
          </w:tcPr>
          <w:p>
            <w:pPr>
              <w:spacing w:after="0"/>
              <w:rPr>
                <w:sz w:val="21"/>
                <w:szCs w:val="21"/>
                <w:color w:val="auto"/>
              </w:rPr>
            </w:pPr>
          </w:p>
        </w:tc>
        <w:tc>
          <w:tcPr>
            <w:tcW w:w="1060" w:type="dxa"/>
            <w:vAlign w:val="bottom"/>
            <w:tcBorders>
              <w:bottom w:val="single" w:sz="8" w:color="54585A"/>
            </w:tcBorders>
          </w:tcPr>
          <w:p>
            <w:pPr>
              <w:spacing w:after="0"/>
              <w:rPr>
                <w:sz w:val="21"/>
                <w:szCs w:val="21"/>
                <w:color w:val="auto"/>
              </w:rPr>
            </w:pPr>
          </w:p>
        </w:tc>
        <w:tc>
          <w:tcPr>
            <w:tcW w:w="1020" w:type="dxa"/>
            <w:vAlign w:val="bottom"/>
            <w:tcBorders>
              <w:bottom w:val="single" w:sz="8" w:color="54585A"/>
            </w:tcBorders>
          </w:tcPr>
          <w:p>
            <w:pPr>
              <w:spacing w:after="0"/>
              <w:rPr>
                <w:sz w:val="21"/>
                <w:szCs w:val="21"/>
                <w:color w:val="auto"/>
              </w:rPr>
            </w:pPr>
          </w:p>
        </w:tc>
        <w:tc>
          <w:tcPr>
            <w:tcW w:w="1140" w:type="dxa"/>
            <w:vAlign w:val="bottom"/>
            <w:tcBorders>
              <w:bottom w:val="single" w:sz="8" w:color="54585A"/>
            </w:tcBorders>
          </w:tcPr>
          <w:p>
            <w:pPr>
              <w:spacing w:after="0"/>
              <w:rPr>
                <w:sz w:val="21"/>
                <w:szCs w:val="21"/>
                <w:color w:val="auto"/>
              </w:rPr>
            </w:pPr>
          </w:p>
        </w:tc>
        <w:tc>
          <w:tcPr>
            <w:tcW w:w="980" w:type="dxa"/>
            <w:vAlign w:val="bottom"/>
            <w:tcBorders>
              <w:bottom w:val="single" w:sz="8" w:color="54585A"/>
            </w:tcBorders>
          </w:tcPr>
          <w:p>
            <w:pPr>
              <w:spacing w:after="0"/>
              <w:rPr>
                <w:sz w:val="21"/>
                <w:szCs w:val="21"/>
                <w:color w:val="auto"/>
              </w:rPr>
            </w:pPr>
          </w:p>
        </w:tc>
        <w:tc>
          <w:tcPr>
            <w:tcW w:w="1160" w:type="dxa"/>
            <w:vAlign w:val="bottom"/>
            <w:tcBorders>
              <w:bottom w:val="single" w:sz="8" w:color="54585A"/>
            </w:tcBorders>
          </w:tcPr>
          <w:p>
            <w:pPr>
              <w:spacing w:after="0"/>
              <w:rPr>
                <w:sz w:val="21"/>
                <w:szCs w:val="21"/>
                <w:color w:val="auto"/>
              </w:rPr>
            </w:pPr>
          </w:p>
        </w:tc>
        <w:tc>
          <w:tcPr>
            <w:tcW w:w="0" w:type="dxa"/>
            <w:vAlign w:val="bottom"/>
          </w:tcPr>
          <w:p>
            <w:pPr>
              <w:spacing w:after="0"/>
              <w:rPr>
                <w:sz w:val="1"/>
                <w:szCs w:val="1"/>
                <w:color w:val="auto"/>
              </w:rPr>
            </w:pPr>
          </w:p>
        </w:tc>
      </w:tr>
      <w:tr>
        <w:trPr>
          <w:trHeight w:val="564"/>
        </w:trPr>
        <w:tc>
          <w:tcPr>
            <w:tcW w:w="3360" w:type="dxa"/>
            <w:vAlign w:val="bottom"/>
            <w:gridSpan w:val="2"/>
          </w:tcPr>
          <w:p>
            <w:pPr>
              <w:spacing w:after="0"/>
              <w:rPr>
                <w:sz w:val="20"/>
                <w:szCs w:val="20"/>
                <w:color w:val="auto"/>
              </w:rPr>
            </w:pPr>
            <w:r>
              <w:rPr>
                <w:rFonts w:ascii="Arial" w:cs="Arial" w:eastAsia="Arial" w:hAnsi="Arial"/>
                <w:sz w:val="18"/>
                <w:szCs w:val="18"/>
                <w:color w:val="EB6C10"/>
              </w:rPr>
              <w:t>Demographics</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660" w:type="dxa"/>
            <w:vAlign w:val="bottom"/>
          </w:tcPr>
          <w:p>
            <w:pPr>
              <w:spacing w:after="0"/>
              <w:rPr>
                <w:sz w:val="24"/>
                <w:szCs w:val="24"/>
                <w:color w:val="auto"/>
              </w:rPr>
            </w:pPr>
          </w:p>
        </w:tc>
        <w:tc>
          <w:tcPr>
            <w:tcW w:w="2700" w:type="dxa"/>
            <w:vAlign w:val="bottom"/>
            <w:vMerge w:val="restart"/>
          </w:tcPr>
          <w:p>
            <w:pPr>
              <w:ind w:left="1560"/>
              <w:spacing w:after="0"/>
              <w:rPr>
                <w:sz w:val="20"/>
                <w:szCs w:val="20"/>
                <w:color w:val="auto"/>
              </w:rPr>
            </w:pPr>
            <w:r>
              <w:rPr>
                <w:rFonts w:ascii="Arial" w:cs="Arial" w:eastAsia="Arial" w:hAnsi="Arial"/>
                <w:sz w:val="16"/>
                <w:szCs w:val="16"/>
                <w:b w:val="1"/>
                <w:bCs w:val="1"/>
                <w:color w:val="54585A"/>
              </w:rPr>
              <w:t>Tenure</w:t>
            </w:r>
          </w:p>
        </w:tc>
        <w:tc>
          <w:tcPr>
            <w:tcW w:w="1320" w:type="dxa"/>
            <w:vAlign w:val="bottom"/>
          </w:tcPr>
          <w:p>
            <w:pPr>
              <w:spacing w:after="0"/>
              <w:rPr>
                <w:sz w:val="24"/>
                <w:szCs w:val="24"/>
                <w:color w:val="auto"/>
              </w:rPr>
            </w:pPr>
          </w:p>
        </w:tc>
        <w:tc>
          <w:tcPr>
            <w:tcW w:w="2260" w:type="dxa"/>
            <w:vAlign w:val="bottom"/>
            <w:gridSpan w:val="2"/>
          </w:tcPr>
          <w:p>
            <w:pPr>
              <w:ind w:left="360"/>
              <w:spacing w:after="0"/>
              <w:rPr>
                <w:sz w:val="20"/>
                <w:szCs w:val="20"/>
                <w:color w:val="auto"/>
              </w:rPr>
            </w:pPr>
            <w:r>
              <w:rPr>
                <w:rFonts w:ascii="Arial" w:cs="Arial" w:eastAsia="Arial" w:hAnsi="Arial"/>
                <w:sz w:val="16"/>
                <w:szCs w:val="16"/>
                <w:b w:val="1"/>
                <w:bCs w:val="1"/>
                <w:color w:val="54585A"/>
              </w:rPr>
              <w:t>Independence</w:t>
            </w:r>
            <w:r>
              <w:rPr>
                <w:rFonts w:ascii="Arial" w:cs="Arial" w:eastAsia="Arial" w:hAnsi="Arial"/>
                <w:sz w:val="21"/>
                <w:szCs w:val="21"/>
                <w:b w:val="1"/>
                <w:bCs w:val="1"/>
                <w:color w:val="54585A"/>
                <w:vertAlign w:val="superscript"/>
              </w:rPr>
              <w:t>1</w:t>
            </w:r>
          </w:p>
        </w:tc>
        <w:tc>
          <w:tcPr>
            <w:tcW w:w="1020" w:type="dxa"/>
            <w:vAlign w:val="bottom"/>
          </w:tcPr>
          <w:p>
            <w:pPr>
              <w:spacing w:after="0"/>
              <w:rPr>
                <w:sz w:val="24"/>
                <w:szCs w:val="24"/>
                <w:color w:val="auto"/>
              </w:rPr>
            </w:pPr>
          </w:p>
        </w:tc>
        <w:tc>
          <w:tcPr>
            <w:tcW w:w="1140" w:type="dxa"/>
            <w:vAlign w:val="bottom"/>
            <w:vMerge w:val="restart"/>
          </w:tcPr>
          <w:p>
            <w:pPr>
              <w:ind w:left="640"/>
              <w:spacing w:after="0"/>
              <w:rPr>
                <w:sz w:val="20"/>
                <w:szCs w:val="20"/>
                <w:color w:val="auto"/>
              </w:rPr>
            </w:pPr>
            <w:r>
              <w:rPr>
                <w:rFonts w:ascii="Arial" w:cs="Arial" w:eastAsia="Arial" w:hAnsi="Arial"/>
                <w:sz w:val="16"/>
                <w:szCs w:val="16"/>
                <w:b w:val="1"/>
                <w:bCs w:val="1"/>
                <w:color w:val="54585A"/>
              </w:rPr>
              <w:t>Age</w:t>
            </w:r>
          </w:p>
        </w:tc>
        <w:tc>
          <w:tcPr>
            <w:tcW w:w="9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60" w:type="dxa"/>
            <w:vAlign w:val="bottom"/>
          </w:tcPr>
          <w:p>
            <w:pPr>
              <w:spacing w:after="0"/>
              <w:rPr>
                <w:sz w:val="8"/>
                <w:szCs w:val="8"/>
                <w:color w:val="auto"/>
              </w:rPr>
            </w:pPr>
          </w:p>
        </w:tc>
        <w:tc>
          <w:tcPr>
            <w:tcW w:w="270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-2394585</wp:posOffset>
            </wp:positionV>
            <wp:extent cx="2743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-2051685</wp:posOffset>
            </wp:positionV>
            <wp:extent cx="2743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-1708785</wp:posOffset>
            </wp:positionV>
            <wp:extent cx="274320" cy="274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-1365885</wp:posOffset>
            </wp:positionV>
            <wp:extent cx="274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-1022985</wp:posOffset>
            </wp:positionV>
            <wp:extent cx="274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613410</wp:posOffset>
            </wp:positionH>
            <wp:positionV relativeFrom="paragraph">
              <wp:posOffset>90805</wp:posOffset>
            </wp:positionV>
            <wp:extent cx="5915025" cy="12344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15025" cy="1234440"/>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40"/>
        <w:spacing w:after="0"/>
        <w:rPr>
          <w:sz w:val="20"/>
          <w:szCs w:val="20"/>
          <w:color w:val="auto"/>
        </w:rPr>
      </w:pPr>
      <w:r>
        <w:rPr>
          <w:rFonts w:ascii="Arial" w:cs="Arial" w:eastAsia="Arial" w:hAnsi="Arial"/>
          <w:sz w:val="32"/>
          <w:szCs w:val="32"/>
          <w:b w:val="1"/>
          <w:bCs w:val="1"/>
          <w:color w:val="EB6C10"/>
        </w:rPr>
        <w:t xml:space="preserve">• </w:t>
      </w:r>
      <w:r>
        <w:rPr>
          <w:rFonts w:ascii="Arial" w:cs="Arial" w:eastAsia="Arial" w:hAnsi="Arial"/>
          <w:sz w:val="14"/>
          <w:szCs w:val="14"/>
          <w:color w:val="54585A"/>
        </w:rPr>
        <w:t>0-9 years</w:t>
      </w:r>
    </w:p>
    <w:p>
      <w:pPr>
        <w:spacing w:after="0" w:line="157" w:lineRule="exact"/>
        <w:rPr>
          <w:sz w:val="20"/>
          <w:szCs w:val="20"/>
          <w:color w:val="auto"/>
        </w:rPr>
      </w:pPr>
    </w:p>
    <w:p>
      <w:pPr>
        <w:ind w:left="1340"/>
        <w:spacing w:after="0"/>
        <w:rPr>
          <w:sz w:val="20"/>
          <w:szCs w:val="20"/>
          <w:color w:val="auto"/>
        </w:rPr>
      </w:pPr>
      <w:r>
        <w:rPr>
          <w:rFonts w:ascii="Arial" w:cs="Arial" w:eastAsia="Arial" w:hAnsi="Arial"/>
          <w:sz w:val="32"/>
          <w:szCs w:val="32"/>
          <w:b w:val="1"/>
          <w:bCs w:val="1"/>
          <w:color w:val="54585A"/>
        </w:rPr>
        <w:t xml:space="preserve">• </w:t>
      </w:r>
      <w:r>
        <w:rPr>
          <w:rFonts w:ascii="Arial" w:cs="Arial" w:eastAsia="Arial" w:hAnsi="Arial"/>
          <w:sz w:val="14"/>
          <w:szCs w:val="14"/>
          <w:color w:val="54585A"/>
        </w:rPr>
        <w:t>10-19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8"/>
          <w:szCs w:val="28"/>
          <w:b w:val="1"/>
          <w:bCs w:val="1"/>
          <w:color w:val="1D8DB8"/>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54585A"/>
        </w:rPr>
        <w:t>20+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b w:val="1"/>
          <w:bCs w:val="1"/>
          <w:color w:val="EB6C10"/>
        </w:rPr>
        <w:t xml:space="preserve">• </w:t>
      </w:r>
      <w:r>
        <w:rPr>
          <w:rFonts w:ascii="Arial" w:cs="Arial" w:eastAsia="Arial" w:hAnsi="Arial"/>
          <w:sz w:val="14"/>
          <w:szCs w:val="14"/>
          <w:color w:val="54585A"/>
        </w:rPr>
        <w:t>Independent</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b w:val="1"/>
          <w:bCs w:val="1"/>
          <w:color w:val="54585A"/>
        </w:rPr>
        <w:t xml:space="preserve">• </w:t>
      </w:r>
      <w:r>
        <w:rPr>
          <w:rFonts w:ascii="Arial" w:cs="Arial" w:eastAsia="Arial" w:hAnsi="Arial"/>
          <w:sz w:val="14"/>
          <w:szCs w:val="14"/>
          <w:color w:val="54585A"/>
        </w:rPr>
        <w:t>Not Independent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b w:val="1"/>
          <w:bCs w:val="1"/>
          <w:color w:val="EB6C10"/>
        </w:rPr>
        <w:t xml:space="preserve">• </w:t>
      </w:r>
      <w:r>
        <w:rPr>
          <w:rFonts w:ascii="Arial" w:cs="Arial" w:eastAsia="Arial" w:hAnsi="Arial"/>
          <w:sz w:val="14"/>
          <w:szCs w:val="14"/>
          <w:color w:val="54585A"/>
        </w:rPr>
        <w:t>40-49 years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b w:val="1"/>
          <w:bCs w:val="1"/>
          <w:color w:val="54585A"/>
        </w:rPr>
        <w:t xml:space="preserve">• </w:t>
      </w:r>
      <w:r>
        <w:rPr>
          <w:rFonts w:ascii="Arial" w:cs="Arial" w:eastAsia="Arial" w:hAnsi="Arial"/>
          <w:sz w:val="14"/>
          <w:szCs w:val="14"/>
          <w:color w:val="54585A"/>
        </w:rPr>
        <w:t>50-59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2"/>
          <w:szCs w:val="32"/>
          <w:b w:val="1"/>
          <w:bCs w:val="1"/>
          <w:color w:val="1D8DB8"/>
        </w:rPr>
        <w:t xml:space="preserve">• </w:t>
      </w:r>
      <w:r>
        <w:rPr>
          <w:rFonts w:ascii="Arial" w:cs="Arial" w:eastAsia="Arial" w:hAnsi="Arial"/>
          <w:sz w:val="14"/>
          <w:szCs w:val="14"/>
          <w:color w:val="54585A"/>
        </w:rPr>
        <w:t>60-69 years</w:t>
      </w:r>
    </w:p>
    <w:p>
      <w:pPr>
        <w:spacing w:after="0" w:line="157" w:lineRule="exact"/>
        <w:rPr>
          <w:sz w:val="20"/>
          <w:szCs w:val="20"/>
          <w:color w:val="auto"/>
        </w:rPr>
      </w:pPr>
    </w:p>
    <w:p>
      <w:pPr>
        <w:spacing w:after="0"/>
        <w:rPr>
          <w:sz w:val="20"/>
          <w:szCs w:val="20"/>
          <w:color w:val="auto"/>
        </w:rPr>
      </w:pPr>
      <w:r>
        <w:rPr>
          <w:rFonts w:ascii="Arial" w:cs="Arial" w:eastAsia="Arial" w:hAnsi="Arial"/>
          <w:sz w:val="32"/>
          <w:szCs w:val="32"/>
          <w:b w:val="1"/>
          <w:bCs w:val="1"/>
          <w:color w:val="63C237"/>
        </w:rPr>
        <w:t xml:space="preserve">• </w:t>
      </w:r>
      <w:r>
        <w:rPr>
          <w:rFonts w:ascii="Arial" w:cs="Arial" w:eastAsia="Arial" w:hAnsi="Arial"/>
          <w:sz w:val="14"/>
          <w:szCs w:val="14"/>
          <w:color w:val="54585A"/>
        </w:rPr>
        <w:t>70+ years</w:t>
      </w:r>
    </w:p>
    <w:p>
      <w:pPr>
        <w:spacing w:after="0" w:line="181" w:lineRule="exact"/>
        <w:rPr>
          <w:sz w:val="20"/>
          <w:szCs w:val="20"/>
          <w:color w:val="auto"/>
        </w:rPr>
      </w:pPr>
    </w:p>
    <w:p>
      <w:pPr>
        <w:sectPr>
          <w:pgSz w:w="11900" w:h="16838" w:orient="portrait"/>
          <w:cols w:equalWidth="0" w:num="6">
            <w:col w:w="2320" w:space="340"/>
            <w:col w:w="100" w:space="100"/>
            <w:col w:w="1440" w:space="720"/>
            <w:col w:w="1820" w:space="720"/>
            <w:col w:w="980" w:space="340"/>
            <w:col w:w="2360"/>
          </w:cols>
          <w:pgMar w:left="320" w:top="168" w:right="339" w:bottom="1440" w:gutter="0" w:footer="0" w:header="0"/>
          <w:type w:val="continuous"/>
        </w:sectPr>
      </w:pPr>
    </w:p>
    <w:p>
      <w:pPr>
        <w:ind w:left="340" w:right="100" w:hanging="332"/>
        <w:spacing w:after="0" w:line="283" w:lineRule="auto"/>
        <w:tabs>
          <w:tab w:leader="none" w:pos="338" w:val="left"/>
        </w:tabs>
        <w:numPr>
          <w:ilvl w:val="0"/>
          <w:numId w:val="13"/>
        </w:numPr>
        <w:rPr>
          <w:rFonts w:ascii="Arial" w:cs="Arial" w:eastAsia="Arial" w:hAnsi="Arial"/>
          <w:sz w:val="14"/>
          <w:szCs w:val="14"/>
          <w:color w:val="54585A"/>
        </w:rPr>
      </w:pPr>
      <w:r>
        <w:rPr>
          <w:rFonts w:ascii="Arial" w:cs="Arial" w:eastAsia="Arial" w:hAnsi="Arial"/>
          <w:sz w:val="14"/>
          <w:szCs w:val="14"/>
          <w:color w:val="54585A"/>
        </w:rPr>
        <w:t>The Board has determined that Messrs. Cowan, Hasler and Wolff are independent directors as defined under the Securities Exchange Act of 1934 and Nasdaq rules. This determination was based on the absence of any material relationship known to the Board between Messrs. Cowan, Hasler and Wolff and the Company (other than as a director and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458470</wp:posOffset>
            </wp:positionV>
            <wp:extent cx="257175"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6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type w:val="continuous"/>
        </w:sectPr>
      </w:pPr>
    </w:p>
    <w:bookmarkStart w:id="10" w:name="page11"/>
    <w:bookmarkEnd w:id="10"/>
    <w:p>
      <w:pPr>
        <w:ind w:left="8200"/>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Director Summary</w:t>
      </w:r>
    </w:p>
    <w:p>
      <w:pPr>
        <w:spacing w:after="0" w:line="95"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54585A"/>
        </w:rPr>
        <w:t>Our Bylaws provide for a nine-member Board of Directors and the Board currently has seven members. Our Board is divided into three classes, with staggered three-year terms. Class A consists of three directors and each of Class B and Class C consists of two directors. As disclosed in our Current Report on Form 8-K filed April 30, 2024, and in our 2024 proxy statement, Michael J. Lovett, a former Class C director of the Company, passed away during 2024. Accordingly, the Company is currently in the process of identifying and interviewing candidates for the vacant Class B and Class C directorships. The terms of the directors of each class expire at the annual meetings of stockholders to be held in 2025 (Class A), 2026 (Class B) and 2027 (Class C). At each annual meeting of stockholders, one class of directors will be elected for a term of three years to succeed the directors whose terms are expiring. The table below displays a summary of each director's Board class and committee membership. Each director's narrative biography is also disclosed below the table.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60" w:type="dxa"/>
            <w:vAlign w:val="bottom"/>
            <w:shd w:val="clear" w:color="auto" w:fill="EEEDED"/>
          </w:tcPr>
          <w:p>
            <w:pPr>
              <w:spacing w:after="0"/>
              <w:rPr>
                <w:sz w:val="16"/>
                <w:szCs w:val="16"/>
                <w:color w:val="auto"/>
              </w:rPr>
            </w:pPr>
          </w:p>
        </w:tc>
        <w:tc>
          <w:tcPr>
            <w:tcW w:w="1160" w:type="dxa"/>
            <w:vAlign w:val="bottom"/>
            <w:shd w:val="clear" w:color="auto" w:fill="EEEDED"/>
          </w:tcPr>
          <w:p>
            <w:pPr>
              <w:spacing w:after="0"/>
              <w:rPr>
                <w:sz w:val="16"/>
                <w:szCs w:val="16"/>
                <w:color w:val="auto"/>
              </w:rPr>
            </w:pPr>
          </w:p>
        </w:tc>
        <w:tc>
          <w:tcPr>
            <w:tcW w:w="1140" w:type="dxa"/>
            <w:vAlign w:val="bottom"/>
            <w:shd w:val="clear" w:color="auto" w:fill="EEEDED"/>
          </w:tcPr>
          <w:p>
            <w:pPr>
              <w:spacing w:after="0"/>
              <w:rPr>
                <w:sz w:val="16"/>
                <w:szCs w:val="16"/>
                <w:color w:val="auto"/>
              </w:rPr>
            </w:pPr>
          </w:p>
        </w:tc>
        <w:tc>
          <w:tcPr>
            <w:tcW w:w="1420" w:type="dxa"/>
            <w:vAlign w:val="bottom"/>
            <w:vMerge w:val="restart"/>
            <w:shd w:val="clear" w:color="auto" w:fill="EEEDED"/>
          </w:tcPr>
          <w:p>
            <w:pPr>
              <w:jc w:val="center"/>
              <w:ind w:right="8"/>
              <w:spacing w:after="0"/>
              <w:rPr>
                <w:sz w:val="20"/>
                <w:szCs w:val="20"/>
                <w:color w:val="auto"/>
              </w:rPr>
            </w:pPr>
            <w:r>
              <w:rPr>
                <w:rFonts w:ascii="Arial" w:cs="Arial" w:eastAsia="Arial" w:hAnsi="Arial"/>
                <w:sz w:val="14"/>
                <w:szCs w:val="14"/>
                <w:b w:val="1"/>
                <w:bCs w:val="1"/>
                <w:color w:val="54585A"/>
                <w:w w:val="99"/>
              </w:rPr>
              <w:t>Board Term</w:t>
            </w:r>
          </w:p>
        </w:tc>
        <w:tc>
          <w:tcPr>
            <w:tcW w:w="1100" w:type="dxa"/>
            <w:vAlign w:val="bottom"/>
            <w:shd w:val="clear" w:color="auto" w:fill="EEEDED"/>
          </w:tcPr>
          <w:p>
            <w:pPr>
              <w:spacing w:after="0"/>
              <w:rPr>
                <w:sz w:val="16"/>
                <w:szCs w:val="16"/>
                <w:color w:val="auto"/>
              </w:rPr>
            </w:pPr>
          </w:p>
        </w:tc>
        <w:tc>
          <w:tcPr>
            <w:tcW w:w="1540" w:type="dxa"/>
            <w:vAlign w:val="bottom"/>
            <w:shd w:val="clear" w:color="auto" w:fill="EEEDED"/>
          </w:tcPr>
          <w:p>
            <w:pPr>
              <w:jc w:val="center"/>
              <w:ind w:left="88"/>
              <w:spacing w:after="0"/>
              <w:rPr>
                <w:sz w:val="20"/>
                <w:szCs w:val="20"/>
                <w:color w:val="auto"/>
              </w:rPr>
            </w:pPr>
            <w:r>
              <w:rPr>
                <w:rFonts w:ascii="Arial" w:cs="Arial" w:eastAsia="Arial" w:hAnsi="Arial"/>
                <w:sz w:val="14"/>
                <w:szCs w:val="14"/>
                <w:b w:val="1"/>
                <w:bCs w:val="1"/>
                <w:color w:val="54585A"/>
              </w:rPr>
              <w:t>Nominating</w:t>
            </w:r>
          </w:p>
        </w:tc>
        <w:tc>
          <w:tcPr>
            <w:tcW w:w="1380" w:type="dxa"/>
            <w:vAlign w:val="bottom"/>
            <w:shd w:val="clear" w:color="auto" w:fill="EEEDED"/>
          </w:tcPr>
          <w:p>
            <w:pPr>
              <w:spacing w:after="0"/>
              <w:rPr>
                <w:sz w:val="16"/>
                <w:szCs w:val="16"/>
                <w:color w:val="auto"/>
              </w:rPr>
            </w:pPr>
          </w:p>
        </w:tc>
        <w:tc>
          <w:tcPr>
            <w:tcW w:w="1440" w:type="dxa"/>
            <w:vAlign w:val="bottom"/>
            <w:shd w:val="clear" w:color="auto" w:fill="EEED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60" w:type="dxa"/>
            <w:vAlign w:val="bottom"/>
            <w:shd w:val="clear" w:color="auto" w:fill="EEEDED"/>
          </w:tcPr>
          <w:p>
            <w:pPr>
              <w:spacing w:after="0"/>
              <w:rPr>
                <w:sz w:val="14"/>
                <w:szCs w:val="14"/>
                <w:color w:val="auto"/>
              </w:rPr>
            </w:pPr>
          </w:p>
        </w:tc>
        <w:tc>
          <w:tcPr>
            <w:tcW w:w="1160" w:type="dxa"/>
            <w:vAlign w:val="bottom"/>
            <w:shd w:val="clear" w:color="auto" w:fill="EEEDED"/>
          </w:tcPr>
          <w:p>
            <w:pPr>
              <w:spacing w:after="0"/>
              <w:rPr>
                <w:sz w:val="14"/>
                <w:szCs w:val="14"/>
                <w:color w:val="auto"/>
              </w:rPr>
            </w:pPr>
          </w:p>
        </w:tc>
        <w:tc>
          <w:tcPr>
            <w:tcW w:w="1140" w:type="dxa"/>
            <w:vAlign w:val="bottom"/>
            <w:shd w:val="clear" w:color="auto" w:fill="EEEDED"/>
          </w:tcPr>
          <w:p>
            <w:pPr>
              <w:spacing w:after="0"/>
              <w:rPr>
                <w:sz w:val="14"/>
                <w:szCs w:val="14"/>
                <w:color w:val="auto"/>
              </w:rPr>
            </w:pPr>
          </w:p>
        </w:tc>
        <w:tc>
          <w:tcPr>
            <w:tcW w:w="1420" w:type="dxa"/>
            <w:vAlign w:val="bottom"/>
            <w:vMerge w:val="continue"/>
            <w:shd w:val="clear" w:color="auto" w:fill="EEEDED"/>
          </w:tcPr>
          <w:p>
            <w:pPr>
              <w:spacing w:after="0"/>
              <w:rPr>
                <w:sz w:val="14"/>
                <w:szCs w:val="14"/>
                <w:color w:val="auto"/>
              </w:rPr>
            </w:pPr>
          </w:p>
        </w:tc>
        <w:tc>
          <w:tcPr>
            <w:tcW w:w="1100" w:type="dxa"/>
            <w:vAlign w:val="bottom"/>
            <w:shd w:val="clear" w:color="auto" w:fill="EEEDED"/>
          </w:tcPr>
          <w:p>
            <w:pPr>
              <w:spacing w:after="0"/>
              <w:rPr>
                <w:sz w:val="14"/>
                <w:szCs w:val="14"/>
                <w:color w:val="auto"/>
              </w:rPr>
            </w:pPr>
          </w:p>
        </w:tc>
        <w:tc>
          <w:tcPr>
            <w:tcW w:w="1540" w:type="dxa"/>
            <w:vAlign w:val="bottom"/>
            <w:shd w:val="clear" w:color="auto" w:fill="EEEDED"/>
          </w:tcPr>
          <w:p>
            <w:pPr>
              <w:jc w:val="center"/>
              <w:ind w:left="88"/>
              <w:spacing w:after="0"/>
              <w:rPr>
                <w:sz w:val="20"/>
                <w:szCs w:val="20"/>
                <w:color w:val="auto"/>
              </w:rPr>
            </w:pPr>
            <w:r>
              <w:rPr>
                <w:rFonts w:ascii="Arial" w:cs="Arial" w:eastAsia="Arial" w:hAnsi="Arial"/>
                <w:sz w:val="14"/>
                <w:szCs w:val="14"/>
                <w:b w:val="1"/>
                <w:bCs w:val="1"/>
                <w:color w:val="54585A"/>
              </w:rPr>
              <w:t>and Corporate</w:t>
            </w:r>
          </w:p>
        </w:tc>
        <w:tc>
          <w:tcPr>
            <w:tcW w:w="1380" w:type="dxa"/>
            <w:vAlign w:val="bottom"/>
            <w:shd w:val="clear" w:color="auto" w:fill="EEEDED"/>
          </w:tcPr>
          <w:p>
            <w:pPr>
              <w:spacing w:after="0"/>
              <w:rPr>
                <w:sz w:val="14"/>
                <w:szCs w:val="14"/>
                <w:color w:val="auto"/>
              </w:rPr>
            </w:pPr>
          </w:p>
        </w:tc>
        <w:tc>
          <w:tcPr>
            <w:tcW w:w="1440" w:type="dxa"/>
            <w:vAlign w:val="bottom"/>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60" w:type="dxa"/>
            <w:vAlign w:val="bottom"/>
            <w:shd w:val="clear" w:color="auto" w:fill="EEEDED"/>
          </w:tcPr>
          <w:p>
            <w:pPr>
              <w:spacing w:after="0"/>
              <w:rPr>
                <w:sz w:val="18"/>
                <w:szCs w:val="18"/>
                <w:color w:val="auto"/>
              </w:rPr>
            </w:pPr>
          </w:p>
        </w:tc>
        <w:tc>
          <w:tcPr>
            <w:tcW w:w="116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Board Class</w:t>
            </w:r>
          </w:p>
        </w:tc>
        <w:tc>
          <w:tcPr>
            <w:tcW w:w="1140" w:type="dxa"/>
            <w:vAlign w:val="bottom"/>
            <w:shd w:val="clear" w:color="auto" w:fill="EEEDED"/>
          </w:tcPr>
          <w:p>
            <w:pPr>
              <w:jc w:val="center"/>
              <w:ind w:left="28"/>
              <w:spacing w:after="0"/>
              <w:rPr>
                <w:sz w:val="20"/>
                <w:szCs w:val="20"/>
                <w:color w:val="auto"/>
              </w:rPr>
            </w:pPr>
            <w:r>
              <w:rPr>
                <w:rFonts w:ascii="Arial" w:cs="Arial" w:eastAsia="Arial" w:hAnsi="Arial"/>
                <w:sz w:val="14"/>
                <w:szCs w:val="14"/>
                <w:b w:val="1"/>
                <w:bCs w:val="1"/>
                <w:color w:val="54585A"/>
              </w:rPr>
              <w:t>Director Since</w:t>
            </w:r>
          </w:p>
        </w:tc>
        <w:tc>
          <w:tcPr>
            <w:tcW w:w="1420" w:type="dxa"/>
            <w:vAlign w:val="bottom"/>
            <w:shd w:val="clear" w:color="auto" w:fill="EEEDED"/>
          </w:tcPr>
          <w:p>
            <w:pPr>
              <w:jc w:val="center"/>
              <w:ind w:right="8"/>
              <w:spacing w:after="0"/>
              <w:rPr>
                <w:sz w:val="20"/>
                <w:szCs w:val="20"/>
                <w:color w:val="auto"/>
              </w:rPr>
            </w:pPr>
            <w:r>
              <w:rPr>
                <w:rFonts w:ascii="Arial" w:cs="Arial" w:eastAsia="Arial" w:hAnsi="Arial"/>
                <w:sz w:val="14"/>
                <w:szCs w:val="14"/>
                <w:b w:val="1"/>
                <w:bCs w:val="1"/>
                <w:color w:val="54585A"/>
              </w:rPr>
              <w:t>Expiration</w:t>
            </w:r>
          </w:p>
        </w:tc>
        <w:tc>
          <w:tcPr>
            <w:tcW w:w="1100" w:type="dxa"/>
            <w:vAlign w:val="bottom"/>
            <w:shd w:val="clear" w:color="auto" w:fill="EEEDED"/>
          </w:tcPr>
          <w:p>
            <w:pPr>
              <w:ind w:left="360"/>
              <w:spacing w:after="0"/>
              <w:rPr>
                <w:sz w:val="20"/>
                <w:szCs w:val="20"/>
                <w:color w:val="auto"/>
              </w:rPr>
            </w:pPr>
            <w:r>
              <w:rPr>
                <w:rFonts w:ascii="Arial" w:cs="Arial" w:eastAsia="Arial" w:hAnsi="Arial"/>
                <w:sz w:val="14"/>
                <w:szCs w:val="14"/>
                <w:b w:val="1"/>
                <w:bCs w:val="1"/>
                <w:color w:val="54585A"/>
              </w:rPr>
              <w:t>Audit</w:t>
            </w:r>
          </w:p>
        </w:tc>
        <w:tc>
          <w:tcPr>
            <w:tcW w:w="1540" w:type="dxa"/>
            <w:vAlign w:val="bottom"/>
            <w:shd w:val="clear" w:color="auto" w:fill="EEEDED"/>
          </w:tcPr>
          <w:p>
            <w:pPr>
              <w:jc w:val="center"/>
              <w:ind w:left="88"/>
              <w:spacing w:after="0"/>
              <w:rPr>
                <w:sz w:val="20"/>
                <w:szCs w:val="20"/>
                <w:color w:val="auto"/>
              </w:rPr>
            </w:pPr>
            <w:r>
              <w:rPr>
                <w:rFonts w:ascii="Arial" w:cs="Arial" w:eastAsia="Arial" w:hAnsi="Arial"/>
                <w:sz w:val="14"/>
                <w:szCs w:val="14"/>
                <w:b w:val="1"/>
                <w:bCs w:val="1"/>
                <w:color w:val="54585A"/>
              </w:rPr>
              <w:t>Governance</w:t>
            </w:r>
          </w:p>
        </w:tc>
        <w:tc>
          <w:tcPr>
            <w:tcW w:w="138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Compensation</w:t>
            </w:r>
          </w:p>
        </w:tc>
        <w:tc>
          <w:tcPr>
            <w:tcW w:w="144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Strategic Review</w:t>
            </w:r>
          </w:p>
        </w:tc>
        <w:tc>
          <w:tcPr>
            <w:tcW w:w="0" w:type="dxa"/>
            <w:vAlign w:val="bottom"/>
          </w:tcPr>
          <w:p>
            <w:pPr>
              <w:spacing w:after="0"/>
              <w:rPr>
                <w:sz w:val="1"/>
                <w:szCs w:val="1"/>
                <w:color w:val="auto"/>
              </w:rPr>
            </w:pPr>
          </w:p>
        </w:tc>
      </w:tr>
      <w:tr>
        <w:trPr>
          <w:trHeight w:val="97"/>
        </w:trPr>
        <w:tc>
          <w:tcPr>
            <w:tcW w:w="2060" w:type="dxa"/>
            <w:vAlign w:val="bottom"/>
            <w:shd w:val="clear" w:color="auto" w:fill="EEEDED"/>
          </w:tcPr>
          <w:p>
            <w:pPr>
              <w:spacing w:after="0"/>
              <w:rPr>
                <w:sz w:val="8"/>
                <w:szCs w:val="8"/>
                <w:color w:val="auto"/>
              </w:rPr>
            </w:pPr>
          </w:p>
        </w:tc>
        <w:tc>
          <w:tcPr>
            <w:tcW w:w="1160" w:type="dxa"/>
            <w:vAlign w:val="bottom"/>
            <w:shd w:val="clear" w:color="auto" w:fill="EEEDED"/>
          </w:tcPr>
          <w:p>
            <w:pPr>
              <w:spacing w:after="0"/>
              <w:rPr>
                <w:sz w:val="8"/>
                <w:szCs w:val="8"/>
                <w:color w:val="auto"/>
              </w:rPr>
            </w:pPr>
          </w:p>
        </w:tc>
        <w:tc>
          <w:tcPr>
            <w:tcW w:w="1140" w:type="dxa"/>
            <w:vAlign w:val="bottom"/>
            <w:shd w:val="clear" w:color="auto" w:fill="EEEDED"/>
          </w:tcPr>
          <w:p>
            <w:pPr>
              <w:spacing w:after="0"/>
              <w:rPr>
                <w:sz w:val="8"/>
                <w:szCs w:val="8"/>
                <w:color w:val="auto"/>
              </w:rPr>
            </w:pPr>
          </w:p>
        </w:tc>
        <w:tc>
          <w:tcPr>
            <w:tcW w:w="1420" w:type="dxa"/>
            <w:vAlign w:val="bottom"/>
            <w:shd w:val="clear" w:color="auto" w:fill="EEEDED"/>
          </w:tcPr>
          <w:p>
            <w:pPr>
              <w:spacing w:after="0"/>
              <w:rPr>
                <w:sz w:val="8"/>
                <w:szCs w:val="8"/>
                <w:color w:val="auto"/>
              </w:rPr>
            </w:pPr>
          </w:p>
        </w:tc>
        <w:tc>
          <w:tcPr>
            <w:tcW w:w="1100" w:type="dxa"/>
            <w:vAlign w:val="bottom"/>
            <w:shd w:val="clear" w:color="auto" w:fill="EEEDED"/>
          </w:tcPr>
          <w:p>
            <w:pPr>
              <w:spacing w:after="0"/>
              <w:rPr>
                <w:sz w:val="8"/>
                <w:szCs w:val="8"/>
                <w:color w:val="auto"/>
              </w:rPr>
            </w:pPr>
          </w:p>
        </w:tc>
        <w:tc>
          <w:tcPr>
            <w:tcW w:w="1540" w:type="dxa"/>
            <w:vAlign w:val="bottom"/>
            <w:shd w:val="clear" w:color="auto" w:fill="EEEDED"/>
          </w:tcPr>
          <w:p>
            <w:pPr>
              <w:spacing w:after="0"/>
              <w:rPr>
                <w:sz w:val="8"/>
                <w:szCs w:val="8"/>
                <w:color w:val="auto"/>
              </w:rPr>
            </w:pPr>
          </w:p>
        </w:tc>
        <w:tc>
          <w:tcPr>
            <w:tcW w:w="1380" w:type="dxa"/>
            <w:vAlign w:val="bottom"/>
            <w:shd w:val="clear" w:color="auto" w:fill="EEEDED"/>
          </w:tcPr>
          <w:p>
            <w:pPr>
              <w:spacing w:after="0"/>
              <w:rPr>
                <w:sz w:val="8"/>
                <w:szCs w:val="8"/>
                <w:color w:val="auto"/>
              </w:rPr>
            </w:pPr>
          </w:p>
        </w:tc>
        <w:tc>
          <w:tcPr>
            <w:tcW w:w="1440" w:type="dxa"/>
            <w:vAlign w:val="bottom"/>
            <w:shd w:val="clear" w:color="auto" w:fill="EEEDED"/>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Keith O. Cowan *</w:t>
            </w:r>
            <w:r>
              <w:rPr>
                <w:rFonts w:ascii="Arial" w:cs="Arial" w:eastAsia="Arial" w:hAnsi="Arial"/>
                <w:sz w:val="18"/>
                <w:szCs w:val="18"/>
                <w:b w:val="1"/>
                <w:bCs w:val="1"/>
                <w:color w:val="EB6C10"/>
                <w:vertAlign w:val="superscript"/>
              </w:rPr>
              <w:t>M</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A</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2018</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2025</w:t>
            </w:r>
          </w:p>
        </w:tc>
        <w:tc>
          <w:tcPr>
            <w:tcW w:w="1100" w:type="dxa"/>
            <w:vAlign w:val="bottom"/>
            <w:tcBorders>
              <w:bottom w:val="single" w:sz="8" w:color="54585A"/>
            </w:tcBorders>
          </w:tcPr>
          <w:p>
            <w:pPr>
              <w:ind w:left="500"/>
              <w:spacing w:after="0"/>
              <w:rPr>
                <w:sz w:val="20"/>
                <w:szCs w:val="20"/>
                <w:color w:val="auto"/>
              </w:rPr>
            </w:pPr>
            <w:r>
              <w:rPr>
                <w:rFonts w:ascii="Wingdings" w:cs="Wingdings" w:eastAsia="Wingdings" w:hAnsi="Wingdings"/>
                <w:sz w:val="14"/>
                <w:szCs w:val="14"/>
                <w:b w:val="1"/>
                <w:bCs w:val="1"/>
                <w:color w:val="auto"/>
                <w:shd w:val="clear" w:color="auto" w:fill="54585A"/>
              </w:rPr>
              <w:t>l</w:t>
            </w:r>
          </w:p>
        </w:tc>
        <w:tc>
          <w:tcPr>
            <w:tcW w:w="1540" w:type="dxa"/>
            <w:vAlign w:val="bottom"/>
            <w:tcBorders>
              <w:bottom w:val="single" w:sz="8" w:color="54585A"/>
            </w:tcBorders>
          </w:tcPr>
          <w:p>
            <w:pPr>
              <w:jc w:val="center"/>
              <w:ind w:left="88"/>
              <w:spacing w:after="0"/>
              <w:rPr>
                <w:sz w:val="20"/>
                <w:szCs w:val="20"/>
                <w:color w:val="auto"/>
              </w:rPr>
            </w:pPr>
            <w:r>
              <w:rPr>
                <w:rFonts w:ascii="Wingdings" w:cs="Wingdings" w:eastAsia="Wingdings" w:hAnsi="Wingdings"/>
                <w:sz w:val="14"/>
                <w:szCs w:val="14"/>
                <w:b w:val="1"/>
                <w:bCs w:val="1"/>
                <w:color w:val="auto"/>
                <w:w w:val="95"/>
                <w:shd w:val="clear" w:color="auto" w:fill="54585A"/>
              </w:rPr>
              <w:t>l</w:t>
            </w:r>
          </w:p>
        </w:tc>
        <w:tc>
          <w:tcPr>
            <w:tcW w:w="138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center"/>
              <w:spacing w:after="0"/>
              <w:rPr>
                <w:sz w:val="20"/>
                <w:szCs w:val="20"/>
                <w:color w:val="auto"/>
              </w:rPr>
            </w:pPr>
            <w:r>
              <w:rPr>
                <w:rFonts w:ascii="Wingdings" w:cs="Wingdings" w:eastAsia="Wingdings" w:hAnsi="Wingdings"/>
                <w:sz w:val="14"/>
                <w:szCs w:val="14"/>
                <w:b w:val="1"/>
                <w:bCs w:val="1"/>
                <w:color w:val="auto"/>
                <w:shd w:val="clear" w:color="auto" w:fill="54585A"/>
              </w:rPr>
              <w:t>l</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Benjamin G. Wolff *</w:t>
            </w:r>
            <w:r>
              <w:rPr>
                <w:rFonts w:ascii="Arial" w:cs="Arial" w:eastAsia="Arial" w:hAnsi="Arial"/>
                <w:sz w:val="18"/>
                <w:szCs w:val="18"/>
                <w:b w:val="1"/>
                <w:bCs w:val="1"/>
                <w:color w:val="EB6C10"/>
                <w:vertAlign w:val="superscript"/>
              </w:rPr>
              <w:t>M</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A</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2018</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2025</w:t>
            </w:r>
          </w:p>
        </w:tc>
        <w:tc>
          <w:tcPr>
            <w:tcW w:w="1100" w:type="dxa"/>
            <w:vAlign w:val="bottom"/>
            <w:tcBorders>
              <w:bottom w:val="single" w:sz="8" w:color="54585A"/>
            </w:tcBorders>
          </w:tcPr>
          <w:p>
            <w:pPr>
              <w:ind w:left="500"/>
              <w:spacing w:after="0"/>
              <w:rPr>
                <w:sz w:val="20"/>
                <w:szCs w:val="20"/>
                <w:color w:val="auto"/>
              </w:rPr>
            </w:pPr>
            <w:r>
              <w:rPr>
                <w:rFonts w:ascii="Wingdings" w:cs="Wingdings" w:eastAsia="Wingdings" w:hAnsi="Wingdings"/>
                <w:sz w:val="14"/>
                <w:szCs w:val="14"/>
                <w:b w:val="1"/>
                <w:bCs w:val="1"/>
                <w:color w:val="auto"/>
                <w:shd w:val="clear" w:color="auto" w:fill="54585A"/>
              </w:rPr>
              <w:t>l</w:t>
            </w:r>
          </w:p>
        </w:tc>
        <w:tc>
          <w:tcPr>
            <w:tcW w:w="1540" w:type="dxa"/>
            <w:vAlign w:val="bottom"/>
            <w:tcBorders>
              <w:bottom w:val="single" w:sz="8" w:color="54585A"/>
            </w:tcBorders>
          </w:tcPr>
          <w:p>
            <w:pPr>
              <w:spacing w:after="0"/>
              <w:rPr>
                <w:sz w:val="19"/>
                <w:szCs w:val="19"/>
                <w:color w:val="auto"/>
              </w:rPr>
            </w:pPr>
          </w:p>
        </w:tc>
        <w:tc>
          <w:tcPr>
            <w:tcW w:w="1380" w:type="dxa"/>
            <w:vAlign w:val="bottom"/>
            <w:tcBorders>
              <w:bottom w:val="single" w:sz="8" w:color="54585A"/>
            </w:tcBorders>
          </w:tcPr>
          <w:p>
            <w:pPr>
              <w:jc w:val="center"/>
              <w:spacing w:after="0"/>
              <w:rPr>
                <w:sz w:val="20"/>
                <w:szCs w:val="20"/>
                <w:color w:val="auto"/>
              </w:rPr>
            </w:pPr>
            <w:r>
              <w:rPr>
                <w:rFonts w:ascii="Wingdings" w:cs="Wingdings" w:eastAsia="Wingdings" w:hAnsi="Wingdings"/>
                <w:sz w:val="14"/>
                <w:szCs w:val="14"/>
                <w:b w:val="1"/>
                <w:bCs w:val="1"/>
                <w:color w:val="auto"/>
                <w:w w:val="95"/>
                <w:shd w:val="clear" w:color="auto" w:fill="54585A"/>
              </w:rPr>
              <w:t>l</w:t>
            </w:r>
          </w:p>
        </w:tc>
        <w:tc>
          <w:tcPr>
            <w:tcW w:w="1440" w:type="dxa"/>
            <w:vAlign w:val="bottom"/>
            <w:tcBorders>
              <w:bottom w:val="single" w:sz="8" w:color="54585A"/>
            </w:tcBorders>
          </w:tcPr>
          <w:p>
            <w:pPr>
              <w:jc w:val="center"/>
              <w:spacing w:after="0"/>
              <w:rPr>
                <w:sz w:val="20"/>
                <w:szCs w:val="20"/>
                <w:color w:val="auto"/>
              </w:rPr>
            </w:pPr>
            <w:r>
              <w:rPr>
                <w:rFonts w:ascii="Wingdings" w:cs="Wingdings" w:eastAsia="Wingdings" w:hAnsi="Wingdings"/>
                <w:sz w:val="14"/>
                <w:szCs w:val="14"/>
                <w:b w:val="1"/>
                <w:bCs w:val="1"/>
                <w:color w:val="auto"/>
                <w:shd w:val="clear" w:color="auto" w:fill="EB6C10"/>
              </w:rPr>
              <w:t>l</w:t>
            </w:r>
          </w:p>
        </w:tc>
        <w:tc>
          <w:tcPr>
            <w:tcW w:w="0" w:type="dxa"/>
            <w:vAlign w:val="bottom"/>
          </w:tcPr>
          <w:p>
            <w:pPr>
              <w:spacing w:after="0"/>
              <w:rPr>
                <w:sz w:val="1"/>
                <w:szCs w:val="1"/>
                <w:color w:val="auto"/>
              </w:rPr>
            </w:pPr>
          </w:p>
        </w:tc>
      </w:tr>
      <w:tr>
        <w:trPr>
          <w:trHeight w:val="217"/>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Dr. Paul E. Jacobs</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A</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2023</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2025</w:t>
            </w:r>
          </w:p>
        </w:tc>
        <w:tc>
          <w:tcPr>
            <w:tcW w:w="1100" w:type="dxa"/>
            <w:vAlign w:val="bottom"/>
            <w:tcBorders>
              <w:bottom w:val="single" w:sz="8" w:color="54585A"/>
            </w:tcBorders>
          </w:tcPr>
          <w:p>
            <w:pPr>
              <w:spacing w:after="0"/>
              <w:rPr>
                <w:sz w:val="18"/>
                <w:szCs w:val="18"/>
                <w:color w:val="auto"/>
              </w:rPr>
            </w:pPr>
          </w:p>
        </w:tc>
        <w:tc>
          <w:tcPr>
            <w:tcW w:w="1540" w:type="dxa"/>
            <w:vAlign w:val="bottom"/>
            <w:tcBorders>
              <w:bottom w:val="single" w:sz="8" w:color="54585A"/>
            </w:tcBorders>
          </w:tcPr>
          <w:p>
            <w:pPr>
              <w:spacing w:after="0"/>
              <w:rPr>
                <w:sz w:val="18"/>
                <w:szCs w:val="18"/>
                <w:color w:val="auto"/>
              </w:rPr>
            </w:pPr>
          </w:p>
        </w:tc>
        <w:tc>
          <w:tcPr>
            <w:tcW w:w="1380" w:type="dxa"/>
            <w:vAlign w:val="bottom"/>
            <w:tcBorders>
              <w:bottom w:val="single" w:sz="8" w:color="54585A"/>
            </w:tcBorders>
          </w:tcPr>
          <w:p>
            <w:pPr>
              <w:spacing w:after="0"/>
              <w:rPr>
                <w:sz w:val="18"/>
                <w:szCs w:val="18"/>
                <w:color w:val="auto"/>
              </w:rPr>
            </w:pPr>
          </w:p>
        </w:tc>
        <w:tc>
          <w:tcPr>
            <w:tcW w:w="1440" w:type="dxa"/>
            <w:vAlign w:val="bottom"/>
            <w:tcBorders>
              <w:bottom w:val="single" w:sz="8" w:color="54585A"/>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James F. Lynch</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B</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2003</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2026</w:t>
            </w:r>
          </w:p>
        </w:tc>
        <w:tc>
          <w:tcPr>
            <w:tcW w:w="1100" w:type="dxa"/>
            <w:vAlign w:val="bottom"/>
            <w:tcBorders>
              <w:bottom w:val="single" w:sz="8" w:color="54585A"/>
            </w:tcBorders>
          </w:tcPr>
          <w:p>
            <w:pPr>
              <w:spacing w:after="0"/>
              <w:rPr>
                <w:sz w:val="19"/>
                <w:szCs w:val="19"/>
                <w:color w:val="auto"/>
              </w:rPr>
            </w:pPr>
          </w:p>
        </w:tc>
        <w:tc>
          <w:tcPr>
            <w:tcW w:w="1540" w:type="dxa"/>
            <w:vAlign w:val="bottom"/>
            <w:tcBorders>
              <w:bottom w:val="single" w:sz="8" w:color="54585A"/>
            </w:tcBorders>
          </w:tcPr>
          <w:p>
            <w:pPr>
              <w:spacing w:after="0"/>
              <w:rPr>
                <w:sz w:val="19"/>
                <w:szCs w:val="19"/>
                <w:color w:val="auto"/>
              </w:rPr>
            </w:pPr>
          </w:p>
        </w:tc>
        <w:tc>
          <w:tcPr>
            <w:tcW w:w="138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Timothy E. Taylor</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B</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2018</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2026</w:t>
            </w:r>
          </w:p>
        </w:tc>
        <w:tc>
          <w:tcPr>
            <w:tcW w:w="1100" w:type="dxa"/>
            <w:vAlign w:val="bottom"/>
            <w:tcBorders>
              <w:bottom w:val="single" w:sz="8" w:color="54585A"/>
            </w:tcBorders>
          </w:tcPr>
          <w:p>
            <w:pPr>
              <w:spacing w:after="0"/>
              <w:rPr>
                <w:sz w:val="19"/>
                <w:szCs w:val="19"/>
                <w:color w:val="auto"/>
              </w:rPr>
            </w:pPr>
          </w:p>
        </w:tc>
        <w:tc>
          <w:tcPr>
            <w:tcW w:w="1540" w:type="dxa"/>
            <w:vAlign w:val="bottom"/>
            <w:tcBorders>
              <w:bottom w:val="single" w:sz="8" w:color="54585A"/>
            </w:tcBorders>
          </w:tcPr>
          <w:p>
            <w:pPr>
              <w:spacing w:after="0"/>
              <w:rPr>
                <w:sz w:val="19"/>
                <w:szCs w:val="19"/>
                <w:color w:val="auto"/>
              </w:rPr>
            </w:pPr>
          </w:p>
        </w:tc>
        <w:tc>
          <w:tcPr>
            <w:tcW w:w="138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center"/>
              <w:spacing w:after="0"/>
              <w:rPr>
                <w:sz w:val="20"/>
                <w:szCs w:val="20"/>
                <w:color w:val="auto"/>
              </w:rPr>
            </w:pPr>
            <w:r>
              <w:rPr>
                <w:rFonts w:ascii="Wingdings" w:cs="Wingdings" w:eastAsia="Wingdings" w:hAnsi="Wingdings"/>
                <w:sz w:val="14"/>
                <w:szCs w:val="14"/>
                <w:b w:val="1"/>
                <w:bCs w:val="1"/>
                <w:color w:val="auto"/>
                <w:shd w:val="clear" w:color="auto" w:fill="54585A"/>
              </w:rPr>
              <w:t>l</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William A. Hasler *</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w w:val="98"/>
              </w:rPr>
              <w:t>C</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2009</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2027</w:t>
            </w:r>
          </w:p>
        </w:tc>
        <w:tc>
          <w:tcPr>
            <w:tcW w:w="1100" w:type="dxa"/>
            <w:vAlign w:val="bottom"/>
            <w:tcBorders>
              <w:bottom w:val="single" w:sz="8" w:color="54585A"/>
            </w:tcBorders>
          </w:tcPr>
          <w:p>
            <w:pPr>
              <w:ind w:left="500"/>
              <w:spacing w:after="0"/>
              <w:rPr>
                <w:sz w:val="20"/>
                <w:szCs w:val="20"/>
                <w:color w:val="auto"/>
              </w:rPr>
            </w:pPr>
            <w:r>
              <w:rPr>
                <w:rFonts w:ascii="Wingdings" w:cs="Wingdings" w:eastAsia="Wingdings" w:hAnsi="Wingdings"/>
                <w:sz w:val="14"/>
                <w:szCs w:val="14"/>
                <w:b w:val="1"/>
                <w:bCs w:val="1"/>
                <w:color w:val="auto"/>
                <w:shd w:val="clear" w:color="auto" w:fill="EB6C10"/>
              </w:rPr>
              <w:t>l</w:t>
            </w:r>
          </w:p>
        </w:tc>
        <w:tc>
          <w:tcPr>
            <w:tcW w:w="1540" w:type="dxa"/>
            <w:vAlign w:val="bottom"/>
            <w:tcBorders>
              <w:bottom w:val="single" w:sz="8" w:color="54585A"/>
            </w:tcBorders>
          </w:tcPr>
          <w:p>
            <w:pPr>
              <w:spacing w:after="0"/>
              <w:rPr>
                <w:sz w:val="19"/>
                <w:szCs w:val="19"/>
                <w:color w:val="auto"/>
              </w:rPr>
            </w:pPr>
          </w:p>
        </w:tc>
        <w:tc>
          <w:tcPr>
            <w:tcW w:w="138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center"/>
              <w:spacing w:after="0"/>
              <w:rPr>
                <w:sz w:val="20"/>
                <w:szCs w:val="20"/>
                <w:color w:val="auto"/>
              </w:rPr>
            </w:pPr>
            <w:r>
              <w:rPr>
                <w:rFonts w:ascii="Wingdings" w:cs="Wingdings" w:eastAsia="Wingdings" w:hAnsi="Wingdings"/>
                <w:sz w:val="14"/>
                <w:szCs w:val="14"/>
                <w:b w:val="1"/>
                <w:bCs w:val="1"/>
                <w:color w:val="auto"/>
                <w:shd w:val="clear" w:color="auto" w:fill="54585A"/>
              </w:rPr>
              <w:t>l</w:t>
            </w:r>
          </w:p>
        </w:tc>
        <w:tc>
          <w:tcPr>
            <w:tcW w:w="0" w:type="dxa"/>
            <w:vAlign w:val="bottom"/>
          </w:tcPr>
          <w:p>
            <w:pPr>
              <w:spacing w:after="0"/>
              <w:rPr>
                <w:sz w:val="1"/>
                <w:szCs w:val="1"/>
                <w:color w:val="auto"/>
              </w:rPr>
            </w:pPr>
          </w:p>
        </w:tc>
      </w:tr>
      <w:tr>
        <w:trPr>
          <w:trHeight w:val="223"/>
        </w:trPr>
        <w:tc>
          <w:tcPr>
            <w:tcW w:w="2060" w:type="dxa"/>
            <w:vAlign w:val="bottom"/>
            <w:tcBorders>
              <w:bottom w:val="single" w:sz="8" w:color="54585A"/>
            </w:tcBorders>
          </w:tcPr>
          <w:p>
            <w:pPr>
              <w:ind w:left="20"/>
              <w:spacing w:after="0"/>
              <w:rPr>
                <w:sz w:val="20"/>
                <w:szCs w:val="20"/>
                <w:color w:val="auto"/>
              </w:rPr>
            </w:pPr>
            <w:r>
              <w:rPr>
                <w:rFonts w:ascii="Arial" w:cs="Arial" w:eastAsia="Arial" w:hAnsi="Arial"/>
                <w:sz w:val="14"/>
                <w:szCs w:val="14"/>
                <w:b w:val="1"/>
                <w:bCs w:val="1"/>
                <w:color w:val="EB6C10"/>
              </w:rPr>
              <w:t>James Monroe III</w:t>
            </w:r>
          </w:p>
        </w:tc>
        <w:tc>
          <w:tcPr>
            <w:tcW w:w="116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w w:val="98"/>
              </w:rPr>
              <w:t>C</w:t>
            </w:r>
          </w:p>
        </w:tc>
        <w:tc>
          <w:tcPr>
            <w:tcW w:w="1140" w:type="dxa"/>
            <w:vAlign w:val="bottom"/>
            <w:tcBorders>
              <w:bottom w:val="single" w:sz="8" w:color="54585A"/>
            </w:tcBorders>
          </w:tcPr>
          <w:p>
            <w:pPr>
              <w:jc w:val="center"/>
              <w:ind w:left="28"/>
              <w:spacing w:after="0"/>
              <w:rPr>
                <w:sz w:val="20"/>
                <w:szCs w:val="20"/>
                <w:color w:val="auto"/>
              </w:rPr>
            </w:pPr>
            <w:r>
              <w:rPr>
                <w:rFonts w:ascii="Arial" w:cs="Arial" w:eastAsia="Arial" w:hAnsi="Arial"/>
                <w:sz w:val="14"/>
                <w:szCs w:val="14"/>
                <w:color w:val="54585A"/>
              </w:rPr>
              <w:t>2003</w:t>
            </w:r>
          </w:p>
        </w:tc>
        <w:tc>
          <w:tcPr>
            <w:tcW w:w="1420" w:type="dxa"/>
            <w:vAlign w:val="bottom"/>
            <w:tcBorders>
              <w:bottom w:val="single" w:sz="8" w:color="54585A"/>
            </w:tcBorders>
          </w:tcPr>
          <w:p>
            <w:pPr>
              <w:jc w:val="center"/>
              <w:ind w:right="8"/>
              <w:spacing w:after="0"/>
              <w:rPr>
                <w:sz w:val="20"/>
                <w:szCs w:val="20"/>
                <w:color w:val="auto"/>
              </w:rPr>
            </w:pPr>
            <w:r>
              <w:rPr>
                <w:rFonts w:ascii="Arial" w:cs="Arial" w:eastAsia="Arial" w:hAnsi="Arial"/>
                <w:sz w:val="14"/>
                <w:szCs w:val="14"/>
                <w:color w:val="54585A"/>
              </w:rPr>
              <w:t>2027</w:t>
            </w:r>
          </w:p>
        </w:tc>
        <w:tc>
          <w:tcPr>
            <w:tcW w:w="1100" w:type="dxa"/>
            <w:vAlign w:val="bottom"/>
            <w:tcBorders>
              <w:bottom w:val="single" w:sz="8" w:color="54585A"/>
            </w:tcBorders>
          </w:tcPr>
          <w:p>
            <w:pPr>
              <w:spacing w:after="0"/>
              <w:rPr>
                <w:sz w:val="19"/>
                <w:szCs w:val="19"/>
                <w:color w:val="auto"/>
              </w:rPr>
            </w:pPr>
          </w:p>
        </w:tc>
        <w:tc>
          <w:tcPr>
            <w:tcW w:w="1540" w:type="dxa"/>
            <w:vAlign w:val="bottom"/>
            <w:tcBorders>
              <w:bottom w:val="single" w:sz="8" w:color="54585A"/>
            </w:tcBorders>
          </w:tcPr>
          <w:p>
            <w:pPr>
              <w:jc w:val="center"/>
              <w:ind w:left="88"/>
              <w:spacing w:after="0"/>
              <w:rPr>
                <w:sz w:val="20"/>
                <w:szCs w:val="20"/>
                <w:color w:val="auto"/>
              </w:rPr>
            </w:pPr>
            <w:r>
              <w:rPr>
                <w:rFonts w:ascii="Wingdings" w:cs="Wingdings" w:eastAsia="Wingdings" w:hAnsi="Wingdings"/>
                <w:sz w:val="14"/>
                <w:szCs w:val="14"/>
                <w:b w:val="1"/>
                <w:bCs w:val="1"/>
                <w:color w:val="auto"/>
                <w:w w:val="95"/>
                <w:shd w:val="clear" w:color="auto" w:fill="EB6C10"/>
              </w:rPr>
              <w:t>l</w:t>
            </w:r>
          </w:p>
        </w:tc>
        <w:tc>
          <w:tcPr>
            <w:tcW w:w="1380" w:type="dxa"/>
            <w:vAlign w:val="bottom"/>
            <w:tcBorders>
              <w:bottom w:val="single" w:sz="8" w:color="54585A"/>
            </w:tcBorders>
          </w:tcPr>
          <w:p>
            <w:pPr>
              <w:jc w:val="center"/>
              <w:spacing w:after="0"/>
              <w:rPr>
                <w:sz w:val="20"/>
                <w:szCs w:val="20"/>
                <w:color w:val="auto"/>
              </w:rPr>
            </w:pPr>
            <w:r>
              <w:rPr>
                <w:rFonts w:ascii="Wingdings" w:cs="Wingdings" w:eastAsia="Wingdings" w:hAnsi="Wingdings"/>
                <w:sz w:val="14"/>
                <w:szCs w:val="14"/>
                <w:b w:val="1"/>
                <w:bCs w:val="1"/>
                <w:color w:val="auto"/>
                <w:w w:val="95"/>
                <w:shd w:val="clear" w:color="auto" w:fill="EB6C10"/>
              </w:rPr>
              <w:t>l</w:t>
            </w:r>
          </w:p>
        </w:tc>
        <w:tc>
          <w:tcPr>
            <w:tcW w:w="1440" w:type="dxa"/>
            <w:vAlign w:val="bottom"/>
            <w:tcBorders>
              <w:bottom w:val="single" w:sz="8" w:color="54585A"/>
            </w:tcBorders>
          </w:tcPr>
          <w:p>
            <w:pPr>
              <w:spacing w:after="0"/>
              <w:rPr>
                <w:sz w:val="19"/>
                <w:szCs w:val="19"/>
                <w:color w:val="auto"/>
              </w:rPr>
            </w:pPr>
          </w:p>
        </w:tc>
        <w:tc>
          <w:tcPr>
            <w:tcW w:w="0" w:type="dxa"/>
            <w:vAlign w:val="bottom"/>
          </w:tcPr>
          <w:p>
            <w:pPr>
              <w:spacing w:after="0"/>
              <w:rPr>
                <w:sz w:val="1"/>
                <w:szCs w:val="1"/>
                <w:color w:val="auto"/>
              </w:rPr>
            </w:pPr>
          </w:p>
        </w:tc>
      </w:tr>
      <w:tr>
        <w:trPr>
          <w:trHeight w:val="606"/>
        </w:trPr>
        <w:tc>
          <w:tcPr>
            <w:tcW w:w="2060" w:type="dxa"/>
            <w:vAlign w:val="bottom"/>
          </w:tcPr>
          <w:p>
            <w:pPr>
              <w:ind w:left="80"/>
              <w:spacing w:after="0"/>
              <w:rPr>
                <w:sz w:val="20"/>
                <w:szCs w:val="20"/>
                <w:color w:val="auto"/>
              </w:rPr>
            </w:pPr>
            <w:r>
              <w:rPr>
                <w:rFonts w:ascii="Arial" w:cs="Arial" w:eastAsia="Arial" w:hAnsi="Arial"/>
                <w:sz w:val="32"/>
                <w:szCs w:val="32"/>
                <w:b w:val="1"/>
                <w:bCs w:val="1"/>
                <w:color w:val="EB6C10"/>
              </w:rPr>
              <w:t xml:space="preserve">• </w:t>
            </w:r>
            <w:r>
              <w:rPr>
                <w:rFonts w:ascii="Arial" w:cs="Arial" w:eastAsia="Arial" w:hAnsi="Arial"/>
                <w:sz w:val="14"/>
                <w:szCs w:val="14"/>
                <w:color w:val="54585A"/>
              </w:rPr>
              <w:t>Chair</w:t>
            </w:r>
          </w:p>
        </w:tc>
        <w:tc>
          <w:tcPr>
            <w:tcW w:w="1160" w:type="dxa"/>
            <w:vAlign w:val="bottom"/>
          </w:tcPr>
          <w:p>
            <w:pPr>
              <w:ind w:left="80"/>
              <w:spacing w:after="0"/>
              <w:rPr>
                <w:sz w:val="20"/>
                <w:szCs w:val="20"/>
                <w:color w:val="auto"/>
              </w:rPr>
            </w:pPr>
            <w:r>
              <w:rPr>
                <w:rFonts w:ascii="Arial" w:cs="Arial" w:eastAsia="Arial" w:hAnsi="Arial"/>
                <w:sz w:val="32"/>
                <w:szCs w:val="32"/>
                <w:b w:val="1"/>
                <w:bCs w:val="1"/>
                <w:color w:val="54585A"/>
              </w:rPr>
              <w:t xml:space="preserve">• </w:t>
            </w:r>
            <w:r>
              <w:rPr>
                <w:rFonts w:ascii="Arial" w:cs="Arial" w:eastAsia="Arial" w:hAnsi="Arial"/>
                <w:sz w:val="14"/>
                <w:szCs w:val="14"/>
                <w:color w:val="54585A"/>
              </w:rPr>
              <w:t>Member</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EB6C10"/>
              </w:rPr>
              <w:t>*</w:t>
            </w:r>
          </w:p>
        </w:tc>
        <w:tc>
          <w:tcPr>
            <w:tcW w:w="1420" w:type="dxa"/>
            <w:vAlign w:val="bottom"/>
          </w:tcPr>
          <w:p>
            <w:pPr>
              <w:ind w:left="20"/>
              <w:spacing w:after="0"/>
              <w:rPr>
                <w:sz w:val="20"/>
                <w:szCs w:val="20"/>
                <w:color w:val="auto"/>
              </w:rPr>
            </w:pPr>
            <w:r>
              <w:rPr>
                <w:rFonts w:ascii="Arial" w:cs="Arial" w:eastAsia="Arial" w:hAnsi="Arial"/>
                <w:sz w:val="14"/>
                <w:szCs w:val="14"/>
                <w:color w:val="54585A"/>
              </w:rPr>
              <w:t>Independent</w:t>
            </w:r>
          </w:p>
        </w:tc>
        <w:tc>
          <w:tcPr>
            <w:tcW w:w="2640" w:type="dxa"/>
            <w:vAlign w:val="bottom"/>
            <w:gridSpan w:val="2"/>
          </w:tcPr>
          <w:p>
            <w:pPr>
              <w:ind w:left="480"/>
              <w:spacing w:after="0"/>
              <w:rPr>
                <w:sz w:val="20"/>
                <w:szCs w:val="20"/>
                <w:color w:val="auto"/>
              </w:rPr>
            </w:pPr>
            <w:r>
              <w:rPr>
                <w:rFonts w:ascii="Arial" w:cs="Arial" w:eastAsia="Arial" w:hAnsi="Arial"/>
                <w:sz w:val="14"/>
                <w:szCs w:val="14"/>
                <w:b w:val="1"/>
                <w:bCs w:val="1"/>
                <w:color w:val="EB6C10"/>
              </w:rPr>
              <w:t xml:space="preserve">M </w:t>
            </w:r>
            <w:r>
              <w:rPr>
                <w:rFonts w:ascii="Arial" w:cs="Arial" w:eastAsia="Arial" w:hAnsi="Arial"/>
                <w:sz w:val="14"/>
                <w:szCs w:val="14"/>
                <w:color w:val="54585A"/>
              </w:rPr>
              <w:t>Minority Director</w:t>
            </w:r>
          </w:p>
        </w:tc>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575310</wp:posOffset>
            </wp:positionV>
            <wp:extent cx="257175"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88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ind w:left="100" w:hanging="92"/>
        <w:spacing w:after="0"/>
        <w:tabs>
          <w:tab w:leader="none" w:pos="100" w:val="left"/>
        </w:tabs>
        <w:numPr>
          <w:ilvl w:val="0"/>
          <w:numId w:val="14"/>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color w:val="54585A"/>
        </w:rPr>
        <w:t>Class A - Director Nominees (to be elected for terms expiring in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511810</wp:posOffset>
            </wp:positionV>
            <wp:extent cx="1414145" cy="1414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100"/>
        <w:spacing w:after="0" w:line="332" w:lineRule="auto"/>
        <w:rPr>
          <w:sz w:val="20"/>
          <w:szCs w:val="20"/>
          <w:color w:val="auto"/>
        </w:rPr>
      </w:pPr>
      <w:r>
        <w:rPr>
          <w:rFonts w:ascii="Arial" w:cs="Arial" w:eastAsia="Arial" w:hAnsi="Arial"/>
          <w:sz w:val="16"/>
          <w:szCs w:val="16"/>
          <w:b w:val="1"/>
          <w:bCs w:val="1"/>
          <w:color w:val="54585A"/>
        </w:rPr>
        <w:t xml:space="preserve">Mr. Cowan </w:t>
      </w:r>
      <w:r>
        <w:rPr>
          <w:rFonts w:ascii="Arial" w:cs="Arial" w:eastAsia="Arial" w:hAnsi="Arial"/>
          <w:sz w:val="16"/>
          <w:szCs w:val="16"/>
          <w:color w:val="54585A"/>
        </w:rPr>
        <w:t>brings extensive experience in telecommunications, encompassing both global satellite and terrestrial</w:t>
      </w:r>
      <w:r>
        <w:rPr>
          <w:rFonts w:ascii="Arial" w:cs="Arial" w:eastAsia="Arial" w:hAnsi="Arial"/>
          <w:sz w:val="16"/>
          <w:szCs w:val="16"/>
          <w:b w:val="1"/>
          <w:bCs w:val="1"/>
          <w:color w:val="54585A"/>
        </w:rPr>
        <w:t xml:space="preserve"> </w:t>
      </w:r>
      <w:r>
        <w:rPr>
          <w:rFonts w:ascii="Arial" w:cs="Arial" w:eastAsia="Arial" w:hAnsi="Arial"/>
          <w:sz w:val="16"/>
          <w:szCs w:val="16"/>
          <w:color w:val="54585A"/>
        </w:rPr>
        <w:t>wireless networks and services, making his background highly relevant to establishing Globalstar’s strategic direction. His expertise lies in establishing corporate strategies that maximize the value and utilization of corporate capabilities and assets through partnerships, mergers, acquisitions, and divestitures. With current and past leadership roles at Rivada, Sprint, BellSouth, and Alston &amp; Bird, he brings deep expertise in corporate transactions and strategic growth initiatives, positioning him to contribute to Globalstar’s growth, market positioning, partnerships, and stockholder value creation initiatives.</w:t>
      </w:r>
    </w:p>
    <w:p>
      <w:pPr>
        <w:spacing w:after="0" w:line="135"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EB6C10"/>
        </w:rPr>
        <w:t>Mr. Cowan's current and prior experience includes: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Chief Development Officer of Rivada Networks, Inc. - August 2020 to present</w:t>
            </w:r>
          </w:p>
        </w:tc>
        <w:tc>
          <w:tcPr>
            <w:tcW w:w="0" w:type="dxa"/>
            <w:vAlign w:val="bottom"/>
          </w:tcPr>
          <w:p>
            <w:pPr>
              <w:spacing w:after="0"/>
              <w:rPr>
                <w:sz w:val="1"/>
                <w:szCs w:val="1"/>
                <w:color w:val="auto"/>
              </w:rPr>
            </w:pPr>
          </w:p>
        </w:tc>
      </w:tr>
      <w:tr>
        <w:trPr>
          <w:trHeight w:val="364"/>
        </w:trPr>
        <w:tc>
          <w:tcPr>
            <w:tcW w:w="2620" w:type="dxa"/>
            <w:vAlign w:val="bottom"/>
          </w:tcPr>
          <w:p>
            <w:pPr>
              <w:spacing w:after="0"/>
              <w:rPr>
                <w:sz w:val="20"/>
                <w:szCs w:val="20"/>
                <w:color w:val="auto"/>
              </w:rPr>
            </w:pPr>
            <w:r>
              <w:rPr>
                <w:rFonts w:ascii="Georgia" w:cs="Georgia" w:eastAsia="Georgia" w:hAnsi="Georgia"/>
                <w:sz w:val="25"/>
                <w:szCs w:val="25"/>
                <w:b w:val="1"/>
                <w:bCs w:val="1"/>
                <w:color w:val="EB6C10"/>
              </w:rPr>
              <w:t>Keith O. Cowan</w:t>
            </w: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Chief Executive Officer of Cowan Consulting Corporation LLC - January 2013 to present</w:t>
            </w:r>
          </w:p>
        </w:tc>
        <w:tc>
          <w:tcPr>
            <w:tcW w:w="0" w:type="dxa"/>
            <w:vAlign w:val="bottom"/>
          </w:tcPr>
          <w:p>
            <w:pPr>
              <w:spacing w:after="0"/>
              <w:rPr>
                <w:sz w:val="1"/>
                <w:szCs w:val="1"/>
                <w:color w:val="auto"/>
              </w:rPr>
            </w:pPr>
          </w:p>
        </w:tc>
      </w:tr>
      <w:tr>
        <w:trPr>
          <w:trHeight w:val="365"/>
        </w:trPr>
        <w:tc>
          <w:tcPr>
            <w:tcW w:w="2620" w:type="dxa"/>
            <w:vAlign w:val="bottom"/>
            <w:vMerge w:val="restart"/>
          </w:tcPr>
          <w:p>
            <w:pPr>
              <w:spacing w:after="0"/>
              <w:rPr>
                <w:sz w:val="20"/>
                <w:szCs w:val="20"/>
                <w:color w:val="auto"/>
              </w:rPr>
            </w:pPr>
            <w:r>
              <w:rPr>
                <w:rFonts w:ascii="Arial" w:cs="Arial" w:eastAsia="Arial" w:hAnsi="Arial"/>
                <w:sz w:val="16"/>
                <w:szCs w:val="16"/>
                <w:b w:val="1"/>
                <w:bCs w:val="1"/>
                <w:color w:val="54585A"/>
              </w:rPr>
              <w:t xml:space="preserve">Age / </w:t>
            </w:r>
            <w:r>
              <w:rPr>
                <w:rFonts w:ascii="Arial" w:cs="Arial" w:eastAsia="Arial" w:hAnsi="Arial"/>
                <w:sz w:val="16"/>
                <w:szCs w:val="16"/>
                <w:color w:val="54585A"/>
              </w:rPr>
              <w:t>69</w:t>
            </w: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Chief Executive Officer of NVR3 LLC (dba Venadar) - September 2019 to present</w:t>
            </w:r>
          </w:p>
        </w:tc>
        <w:tc>
          <w:tcPr>
            <w:tcW w:w="0" w:type="dxa"/>
            <w:vAlign w:val="bottom"/>
          </w:tcPr>
          <w:p>
            <w:pPr>
              <w:spacing w:after="0"/>
              <w:rPr>
                <w:sz w:val="1"/>
                <w:szCs w:val="1"/>
                <w:color w:val="auto"/>
              </w:rPr>
            </w:pPr>
          </w:p>
        </w:tc>
      </w:tr>
      <w:tr>
        <w:trPr>
          <w:trHeight w:val="62"/>
        </w:trPr>
        <w:tc>
          <w:tcPr>
            <w:tcW w:w="26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9"/>
        </w:trPr>
        <w:tc>
          <w:tcPr>
            <w:tcW w:w="2620" w:type="dxa"/>
            <w:vAlign w:val="bottom"/>
          </w:tcPr>
          <w:p>
            <w:pPr>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2018</w:t>
            </w: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President of Strategic Planning and Corporate Initiatives at Sprint Corporation - July 2007 to January 2013</w:t>
            </w:r>
          </w:p>
        </w:tc>
        <w:tc>
          <w:tcPr>
            <w:tcW w:w="0" w:type="dxa"/>
            <w:vAlign w:val="bottom"/>
          </w:tcPr>
          <w:p>
            <w:pPr>
              <w:spacing w:after="0"/>
              <w:rPr>
                <w:sz w:val="1"/>
                <w:szCs w:val="1"/>
                <w:color w:val="auto"/>
              </w:rPr>
            </w:pPr>
          </w:p>
        </w:tc>
      </w:tr>
      <w:tr>
        <w:trPr>
          <w:trHeight w:val="365"/>
        </w:trPr>
        <w:tc>
          <w:tcPr>
            <w:tcW w:w="2620" w:type="dxa"/>
            <w:vAlign w:val="bottom"/>
          </w:tcPr>
          <w:p>
            <w:pPr>
              <w:spacing w:after="0"/>
              <w:rPr>
                <w:sz w:val="24"/>
                <w:szCs w:val="24"/>
                <w:color w:val="auto"/>
              </w:rPr>
            </w:pP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Board Member - Aegex Technologies</w:t>
            </w:r>
          </w:p>
        </w:tc>
        <w:tc>
          <w:tcPr>
            <w:tcW w:w="0" w:type="dxa"/>
            <w:vAlign w:val="bottom"/>
          </w:tcPr>
          <w:p>
            <w:pPr>
              <w:spacing w:after="0"/>
              <w:rPr>
                <w:sz w:val="1"/>
                <w:szCs w:val="1"/>
                <w:color w:val="auto"/>
              </w:rPr>
            </w:pPr>
          </w:p>
        </w:tc>
      </w:tr>
      <w:tr>
        <w:trPr>
          <w:trHeight w:val="351"/>
        </w:trPr>
        <w:tc>
          <w:tcPr>
            <w:tcW w:w="2620" w:type="dxa"/>
            <w:vAlign w:val="bottom"/>
          </w:tcPr>
          <w:p>
            <w:pPr>
              <w:spacing w:after="0"/>
              <w:rPr>
                <w:sz w:val="24"/>
                <w:szCs w:val="24"/>
                <w:color w:val="auto"/>
              </w:rPr>
            </w:pP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Board Member - American Rescue Associates, Inc.</w:t>
            </w:r>
          </w:p>
        </w:tc>
        <w:tc>
          <w:tcPr>
            <w:tcW w:w="0" w:type="dxa"/>
            <w:vAlign w:val="bottom"/>
          </w:tcPr>
          <w:p>
            <w:pPr>
              <w:spacing w:after="0"/>
              <w:rPr>
                <w:sz w:val="1"/>
                <w:szCs w:val="1"/>
                <w:color w:val="auto"/>
              </w:rPr>
            </w:pPr>
          </w:p>
        </w:tc>
      </w:tr>
      <w:tr>
        <w:trPr>
          <w:trHeight w:val="418"/>
        </w:trPr>
        <w:tc>
          <w:tcPr>
            <w:tcW w:w="2620" w:type="dxa"/>
            <w:vAlign w:val="bottom"/>
          </w:tcPr>
          <w:p>
            <w:pPr>
              <w:spacing w:after="0"/>
              <w:rPr>
                <w:sz w:val="24"/>
                <w:szCs w:val="24"/>
                <w:color w:val="auto"/>
              </w:rPr>
            </w:pPr>
          </w:p>
        </w:tc>
        <w:tc>
          <w:tcPr>
            <w:tcW w:w="720" w:type="dxa"/>
            <w:vAlign w:val="bottom"/>
          </w:tcPr>
          <w:p>
            <w:pPr>
              <w:ind w:left="620"/>
              <w:spacing w:after="0"/>
              <w:rPr>
                <w:sz w:val="20"/>
                <w:szCs w:val="20"/>
                <w:color w:val="auto"/>
              </w:rPr>
            </w:pPr>
            <w:r>
              <w:rPr>
                <w:rFonts w:ascii="Arial" w:cs="Arial" w:eastAsia="Arial" w:hAnsi="Arial"/>
                <w:sz w:val="16"/>
                <w:szCs w:val="16"/>
                <w:color w:val="54585A"/>
              </w:rPr>
              <w:t>•</w:t>
            </w:r>
          </w:p>
        </w:tc>
        <w:tc>
          <w:tcPr>
            <w:tcW w:w="7660" w:type="dxa"/>
            <w:vAlign w:val="bottom"/>
          </w:tcPr>
          <w:p>
            <w:pPr>
              <w:ind w:left="40"/>
              <w:spacing w:after="0"/>
              <w:rPr>
                <w:sz w:val="20"/>
                <w:szCs w:val="20"/>
                <w:color w:val="auto"/>
              </w:rPr>
            </w:pPr>
            <w:r>
              <w:rPr>
                <w:rFonts w:ascii="Arial" w:cs="Arial" w:eastAsia="Arial" w:hAnsi="Arial"/>
                <w:sz w:val="16"/>
                <w:szCs w:val="16"/>
                <w:color w:val="54585A"/>
              </w:rPr>
              <w:t>Board Member - Phunware, Inc. - January 2019 to November 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841375</wp:posOffset>
            </wp:positionV>
            <wp:extent cx="1414145" cy="1414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ectPr>
          <w:pgSz w:w="11900" w:h="16838" w:orient="portrait"/>
          <w:cols w:equalWidth="0" w:num="1">
            <w:col w:w="11200"/>
          </w:cols>
          <w:pgMar w:left="320" w:top="16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sz w:val="20"/>
          <w:szCs w:val="20"/>
          <w:color w:val="auto"/>
        </w:rPr>
      </w:pPr>
      <w:r>
        <w:rPr>
          <w:rFonts w:ascii="Georgia" w:cs="Georgia" w:eastAsia="Georgia" w:hAnsi="Georgia"/>
          <w:sz w:val="25"/>
          <w:szCs w:val="25"/>
          <w:b w:val="1"/>
          <w:bCs w:val="1"/>
          <w:color w:val="EB6C10"/>
        </w:rPr>
        <w:t>Benjamin G. Wolff</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Age / </w:t>
      </w:r>
      <w:r>
        <w:rPr>
          <w:rFonts w:ascii="Arial" w:cs="Arial" w:eastAsia="Arial" w:hAnsi="Arial"/>
          <w:sz w:val="16"/>
          <w:szCs w:val="16"/>
          <w:color w:val="54585A"/>
        </w:rPr>
        <w:t>56</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345" w:lineRule="auto"/>
        <w:rPr>
          <w:sz w:val="20"/>
          <w:szCs w:val="20"/>
          <w:color w:val="auto"/>
        </w:rPr>
      </w:pPr>
      <w:r>
        <w:rPr>
          <w:rFonts w:ascii="Arial" w:cs="Arial" w:eastAsia="Arial" w:hAnsi="Arial"/>
          <w:sz w:val="16"/>
          <w:szCs w:val="16"/>
          <w:b w:val="1"/>
          <w:bCs w:val="1"/>
          <w:color w:val="54585A"/>
        </w:rPr>
        <w:t xml:space="preserve">Mr. Wolff </w:t>
      </w:r>
      <w:r>
        <w:rPr>
          <w:rFonts w:ascii="Arial" w:cs="Arial" w:eastAsia="Arial" w:hAnsi="Arial"/>
          <w:sz w:val="16"/>
          <w:szCs w:val="16"/>
          <w:color w:val="54585A"/>
        </w:rPr>
        <w:t>provides the Board with strong knowledge and insight into the telecommunications market in the United</w:t>
      </w:r>
      <w:r>
        <w:rPr>
          <w:rFonts w:ascii="Arial" w:cs="Arial" w:eastAsia="Arial" w:hAnsi="Arial"/>
          <w:sz w:val="16"/>
          <w:szCs w:val="16"/>
          <w:b w:val="1"/>
          <w:bCs w:val="1"/>
          <w:color w:val="54585A"/>
        </w:rPr>
        <w:t xml:space="preserve"> </w:t>
      </w:r>
      <w:r>
        <w:rPr>
          <w:rFonts w:ascii="Arial" w:cs="Arial" w:eastAsia="Arial" w:hAnsi="Arial"/>
          <w:sz w:val="16"/>
          <w:szCs w:val="16"/>
          <w:color w:val="54585A"/>
        </w:rPr>
        <w:t>States and abroad and extensive experience in capital markets transactions. Mr. Wolff has served in leadership roles and as a member of the board of directors of various telecom and technology companies.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Mr. Wolff's current and prior experience includes:</w:t>
      </w:r>
    </w:p>
    <w:p>
      <w:pPr>
        <w:spacing w:after="0" w:line="181" w:lineRule="exact"/>
        <w:rPr>
          <w:sz w:val="20"/>
          <w:szCs w:val="20"/>
          <w:color w:val="auto"/>
        </w:rPr>
      </w:pPr>
    </w:p>
    <w:p>
      <w:pPr>
        <w:ind w:left="320" w:right="300" w:hanging="168"/>
        <w:spacing w:after="0" w:line="356" w:lineRule="auto"/>
        <w:tabs>
          <w:tab w:leader="none" w:pos="309" w:val="left"/>
        </w:tabs>
        <w:numPr>
          <w:ilvl w:val="0"/>
          <w:numId w:val="15"/>
        </w:numPr>
        <w:rPr>
          <w:rFonts w:ascii="Arial" w:cs="Arial" w:eastAsia="Arial" w:hAnsi="Arial"/>
          <w:sz w:val="16"/>
          <w:szCs w:val="16"/>
          <w:color w:val="54585A"/>
        </w:rPr>
      </w:pPr>
      <w:r>
        <w:rPr>
          <w:rFonts w:ascii="Arial" w:cs="Arial" w:eastAsia="Arial" w:hAnsi="Arial"/>
          <w:sz w:val="16"/>
          <w:szCs w:val="16"/>
          <w:color w:val="54585A"/>
        </w:rPr>
        <w:t>President and CEO of Palladyne AI - February 2024 to present; also Co-Founder and Board Member (formerly President and CEO from 2015 through 2021 and Executive Chairman from 2021 through 2022)</w:t>
      </w:r>
    </w:p>
    <w:p>
      <w:pPr>
        <w:spacing w:after="0" w:line="61" w:lineRule="exact"/>
        <w:rPr>
          <w:rFonts w:ascii="Arial" w:cs="Arial" w:eastAsia="Arial" w:hAnsi="Arial"/>
          <w:sz w:val="16"/>
          <w:szCs w:val="16"/>
          <w:color w:val="54585A"/>
        </w:rPr>
      </w:pPr>
    </w:p>
    <w:p>
      <w:pPr>
        <w:ind w:left="320" w:right="360" w:hanging="168"/>
        <w:spacing w:after="0" w:line="356" w:lineRule="auto"/>
        <w:tabs>
          <w:tab w:leader="none" w:pos="309" w:val="left"/>
        </w:tabs>
        <w:numPr>
          <w:ilvl w:val="0"/>
          <w:numId w:val="15"/>
        </w:numPr>
        <w:rPr>
          <w:rFonts w:ascii="Arial" w:cs="Arial" w:eastAsia="Arial" w:hAnsi="Arial"/>
          <w:sz w:val="16"/>
          <w:szCs w:val="16"/>
          <w:color w:val="54585A"/>
        </w:rPr>
      </w:pPr>
      <w:r>
        <w:rPr>
          <w:rFonts w:ascii="Arial" w:cs="Arial" w:eastAsia="Arial" w:hAnsi="Arial"/>
          <w:sz w:val="16"/>
          <w:szCs w:val="16"/>
          <w:color w:val="54585A"/>
        </w:rPr>
        <w:t>Chief Executive Officer, President and Chairman of Pendrell Corporation (formerly known as ICO Global Communications) - 2009 to 2014</w:t>
      </w:r>
    </w:p>
    <w:p>
      <w:pPr>
        <w:spacing w:after="0" w:line="61" w:lineRule="exact"/>
        <w:rPr>
          <w:rFonts w:ascii="Arial" w:cs="Arial" w:eastAsia="Arial" w:hAnsi="Arial"/>
          <w:sz w:val="16"/>
          <w:szCs w:val="16"/>
          <w:color w:val="54585A"/>
        </w:rPr>
      </w:pPr>
    </w:p>
    <w:p>
      <w:pPr>
        <w:ind w:left="300" w:hanging="148"/>
        <w:spacing w:after="0"/>
        <w:tabs>
          <w:tab w:leader="none" w:pos="300" w:val="left"/>
        </w:tabs>
        <w:numPr>
          <w:ilvl w:val="0"/>
          <w:numId w:val="15"/>
        </w:numPr>
        <w:rPr>
          <w:rFonts w:ascii="Arial" w:cs="Arial" w:eastAsia="Arial" w:hAnsi="Arial"/>
          <w:sz w:val="16"/>
          <w:szCs w:val="16"/>
          <w:color w:val="54585A"/>
        </w:rPr>
      </w:pPr>
      <w:r>
        <w:rPr>
          <w:rFonts w:ascii="Arial" w:cs="Arial" w:eastAsia="Arial" w:hAnsi="Arial"/>
          <w:sz w:val="16"/>
          <w:szCs w:val="16"/>
          <w:color w:val="54585A"/>
        </w:rPr>
        <w:t>President of Eagle River Investments - 2004 to 2014</w:t>
      </w:r>
    </w:p>
    <w:p>
      <w:pPr>
        <w:spacing w:after="0" w:line="180" w:lineRule="exact"/>
        <w:rPr>
          <w:rFonts w:ascii="Arial" w:cs="Arial" w:eastAsia="Arial" w:hAnsi="Arial"/>
          <w:sz w:val="16"/>
          <w:szCs w:val="16"/>
          <w:color w:val="54585A"/>
        </w:rPr>
      </w:pPr>
    </w:p>
    <w:p>
      <w:pPr>
        <w:ind w:left="320" w:right="140" w:hanging="168"/>
        <w:spacing w:after="0" w:line="356" w:lineRule="auto"/>
        <w:tabs>
          <w:tab w:leader="none" w:pos="309" w:val="left"/>
        </w:tabs>
        <w:numPr>
          <w:ilvl w:val="0"/>
          <w:numId w:val="15"/>
        </w:numPr>
        <w:rPr>
          <w:rFonts w:ascii="Arial" w:cs="Arial" w:eastAsia="Arial" w:hAnsi="Arial"/>
          <w:sz w:val="16"/>
          <w:szCs w:val="16"/>
          <w:color w:val="54585A"/>
        </w:rPr>
      </w:pPr>
      <w:r>
        <w:rPr>
          <w:rFonts w:ascii="Arial" w:cs="Arial" w:eastAsia="Arial" w:hAnsi="Arial"/>
          <w:sz w:val="16"/>
          <w:szCs w:val="16"/>
          <w:color w:val="54585A"/>
        </w:rPr>
        <w:t>Co-Founder of Clearwire Corporation (served in various capacities including President, CEO, Co-Chairman and member of the Board of Directors) - 2003 to 2011</w:t>
      </w:r>
    </w:p>
    <w:p>
      <w:pPr>
        <w:spacing w:after="0" w:line="61" w:lineRule="exact"/>
        <w:rPr>
          <w:rFonts w:ascii="Arial" w:cs="Arial" w:eastAsia="Arial" w:hAnsi="Arial"/>
          <w:sz w:val="16"/>
          <w:szCs w:val="16"/>
          <w:color w:val="54585A"/>
        </w:rPr>
      </w:pPr>
    </w:p>
    <w:p>
      <w:pPr>
        <w:ind w:left="300" w:hanging="148"/>
        <w:spacing w:after="0"/>
        <w:tabs>
          <w:tab w:leader="none" w:pos="300" w:val="left"/>
        </w:tabs>
        <w:numPr>
          <w:ilvl w:val="0"/>
          <w:numId w:val="15"/>
        </w:numPr>
        <w:rPr>
          <w:rFonts w:ascii="Arial" w:cs="Arial" w:eastAsia="Arial" w:hAnsi="Arial"/>
          <w:sz w:val="16"/>
          <w:szCs w:val="16"/>
          <w:color w:val="54585A"/>
        </w:rPr>
      </w:pPr>
      <w:r>
        <w:rPr>
          <w:rFonts w:ascii="Arial" w:cs="Arial" w:eastAsia="Arial" w:hAnsi="Arial"/>
          <w:sz w:val="16"/>
          <w:szCs w:val="16"/>
          <w:color w:val="54585A"/>
        </w:rPr>
        <w:t>Board Member - FORT Robotics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895350</wp:posOffset>
            </wp:positionV>
            <wp:extent cx="257175" cy="2571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660"/>
            <w:col w:w="8100"/>
          </w:cols>
          <w:pgMar w:left="320" w:top="16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8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8" w:right="379" w:bottom="1440" w:gutter="0" w:footer="0" w:header="0"/>
          <w:type w:val="continuous"/>
        </w:sectPr>
      </w:pPr>
    </w:p>
    <w:bookmarkStart w:id="12" w:name="page13"/>
    <w:bookmarkEnd w:id="12"/>
    <w:p>
      <w:pPr>
        <w:ind w:left="8180"/>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1344930</wp:posOffset>
            </wp:positionV>
            <wp:extent cx="1414145" cy="1414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ectPr>
          <w:pgSz w:w="11900" w:h="16838" w:orient="portrait"/>
          <w:cols w:equalWidth="0" w:num="1">
            <w:col w:w="11220"/>
          </w:cols>
          <w:pgMar w:left="34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Georgia" w:cs="Georgia" w:eastAsia="Georgia" w:hAnsi="Georgia"/>
          <w:sz w:val="25"/>
          <w:szCs w:val="25"/>
          <w:b w:val="1"/>
          <w:bCs w:val="1"/>
          <w:color w:val="EB6C10"/>
        </w:rPr>
        <w:t>Dr. Paul E. Jacobs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Age / </w:t>
      </w:r>
      <w:r>
        <w:rPr>
          <w:rFonts w:ascii="Arial" w:cs="Arial" w:eastAsia="Arial" w:hAnsi="Arial"/>
          <w:sz w:val="16"/>
          <w:szCs w:val="16"/>
          <w:color w:val="54585A"/>
        </w:rPr>
        <w:t>62</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1983740</wp:posOffset>
            </wp:positionV>
            <wp:extent cx="257175"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color w:val="54585A"/>
        </w:rPr>
        <w:t xml:space="preserve">Dr. Jacobs </w:t>
      </w:r>
      <w:r>
        <w:rPr>
          <w:rFonts w:ascii="Arial" w:cs="Arial" w:eastAsia="Arial" w:hAnsi="Arial"/>
          <w:sz w:val="16"/>
          <w:szCs w:val="16"/>
          <w:color w:val="54585A"/>
        </w:rPr>
        <w:t>brings insight into the daily operations of Globalstar and management experience to the Board. Dr</w:t>
      </w:r>
      <w:r>
        <w:rPr>
          <w:rFonts w:ascii="Arial" w:cs="Arial" w:eastAsia="Arial" w:hAnsi="Arial"/>
          <w:sz w:val="16"/>
          <w:szCs w:val="16"/>
          <w:b w:val="1"/>
          <w:bCs w:val="1"/>
          <w:color w:val="54585A"/>
        </w:rPr>
        <w:t xml:space="preserve"> </w:t>
      </w:r>
      <w:r>
        <w:rPr>
          <w:rFonts w:ascii="Arial" w:cs="Arial" w:eastAsia="Arial" w:hAnsi="Arial"/>
          <w:sz w:val="16"/>
          <w:szCs w:val="16"/>
          <w:color w:val="54585A"/>
        </w:rPr>
        <w:t>Jacobs has a track record of innovation-led growth and serves on the board of various technology companies. Dr. Jacobs is a prolific inventor with over 80 U.S. patents granted or pending in the field of wireless technology and devices.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Dr. Jacobs' current and prior experience includes:</w:t>
      </w:r>
    </w:p>
    <w:p>
      <w:pPr>
        <w:spacing w:after="0" w:line="181" w:lineRule="exact"/>
        <w:rPr>
          <w:sz w:val="20"/>
          <w:szCs w:val="20"/>
          <w:color w:val="auto"/>
        </w:rPr>
      </w:pPr>
    </w:p>
    <w:p>
      <w:pPr>
        <w:ind w:left="300" w:hanging="148"/>
        <w:spacing w:after="0"/>
        <w:tabs>
          <w:tab w:leader="none" w:pos="300" w:val="left"/>
        </w:tabs>
        <w:numPr>
          <w:ilvl w:val="0"/>
          <w:numId w:val="16"/>
        </w:numPr>
        <w:rPr>
          <w:rFonts w:ascii="Arial" w:cs="Arial" w:eastAsia="Arial" w:hAnsi="Arial"/>
          <w:sz w:val="16"/>
          <w:szCs w:val="16"/>
          <w:color w:val="54585A"/>
        </w:rPr>
      </w:pPr>
      <w:r>
        <w:rPr>
          <w:rFonts w:ascii="Arial" w:cs="Arial" w:eastAsia="Arial" w:hAnsi="Arial"/>
          <w:sz w:val="16"/>
          <w:szCs w:val="16"/>
          <w:color w:val="54585A"/>
        </w:rPr>
        <w:t>CEO of Globalstar - August 2023 to present</w:t>
      </w:r>
    </w:p>
    <w:p>
      <w:pPr>
        <w:spacing w:after="0" w:line="180" w:lineRule="exact"/>
        <w:rPr>
          <w:rFonts w:ascii="Arial" w:cs="Arial" w:eastAsia="Arial" w:hAnsi="Arial"/>
          <w:sz w:val="16"/>
          <w:szCs w:val="16"/>
          <w:color w:val="54585A"/>
        </w:rPr>
      </w:pPr>
    </w:p>
    <w:p>
      <w:pPr>
        <w:ind w:left="320" w:right="100" w:hanging="168"/>
        <w:spacing w:after="0" w:line="356" w:lineRule="auto"/>
        <w:tabs>
          <w:tab w:leader="none" w:pos="309" w:val="left"/>
        </w:tabs>
        <w:numPr>
          <w:ilvl w:val="0"/>
          <w:numId w:val="16"/>
        </w:numPr>
        <w:rPr>
          <w:rFonts w:ascii="Arial" w:cs="Arial" w:eastAsia="Arial" w:hAnsi="Arial"/>
          <w:sz w:val="16"/>
          <w:szCs w:val="16"/>
          <w:color w:val="54585A"/>
        </w:rPr>
      </w:pPr>
      <w:r>
        <w:rPr>
          <w:rFonts w:ascii="Arial" w:cs="Arial" w:eastAsia="Arial" w:hAnsi="Arial"/>
          <w:sz w:val="16"/>
          <w:szCs w:val="16"/>
          <w:color w:val="54585A"/>
        </w:rPr>
        <w:t>Founder and Executive Chairman of Virewirx, Inc. (formerly XCOM Labs, Inc.) - 2018 to present (and former CEO 2018 - 2023)</w:t>
      </w:r>
    </w:p>
    <w:p>
      <w:pPr>
        <w:spacing w:after="0" w:line="61" w:lineRule="exact"/>
        <w:rPr>
          <w:rFonts w:ascii="Arial" w:cs="Arial" w:eastAsia="Arial" w:hAnsi="Arial"/>
          <w:sz w:val="16"/>
          <w:szCs w:val="16"/>
          <w:color w:val="54585A"/>
        </w:rPr>
      </w:pPr>
    </w:p>
    <w:p>
      <w:pPr>
        <w:ind w:left="320" w:right="60" w:hanging="168"/>
        <w:spacing w:after="0" w:line="342" w:lineRule="auto"/>
        <w:tabs>
          <w:tab w:leader="none" w:pos="309" w:val="left"/>
        </w:tabs>
        <w:numPr>
          <w:ilvl w:val="0"/>
          <w:numId w:val="16"/>
        </w:numPr>
        <w:rPr>
          <w:rFonts w:ascii="Arial" w:cs="Arial" w:eastAsia="Arial" w:hAnsi="Arial"/>
          <w:sz w:val="16"/>
          <w:szCs w:val="16"/>
          <w:color w:val="54585A"/>
        </w:rPr>
      </w:pPr>
      <w:r>
        <w:rPr>
          <w:rFonts w:ascii="Arial" w:cs="Arial" w:eastAsia="Arial" w:hAnsi="Arial"/>
          <w:sz w:val="16"/>
          <w:szCs w:val="16"/>
          <w:color w:val="54585A"/>
        </w:rPr>
        <w:t>CEO of Qualcomm - 2005 to 2014 (and as Group President of Qualcomm Wireless &amp; Internet from 2001 to 2005 and Executive Vice President from 2000 to 2005); also Director of Qualcomm - 2005 to 2018 (including Chairman of the Board of Directors from 2009 to 2014 and Executive Chairman of the Board of Directors from March 2014 to March 2018)</w:t>
      </w:r>
    </w:p>
    <w:p>
      <w:pPr>
        <w:spacing w:after="0" w:line="58" w:lineRule="exact"/>
        <w:rPr>
          <w:rFonts w:ascii="Arial" w:cs="Arial" w:eastAsia="Arial" w:hAnsi="Arial"/>
          <w:sz w:val="16"/>
          <w:szCs w:val="16"/>
          <w:color w:val="54585A"/>
        </w:rPr>
      </w:pPr>
    </w:p>
    <w:p>
      <w:pPr>
        <w:ind w:left="300" w:hanging="148"/>
        <w:spacing w:after="0"/>
        <w:tabs>
          <w:tab w:leader="none" w:pos="300" w:val="left"/>
        </w:tabs>
        <w:numPr>
          <w:ilvl w:val="0"/>
          <w:numId w:val="16"/>
        </w:numPr>
        <w:rPr>
          <w:rFonts w:ascii="Arial" w:cs="Arial" w:eastAsia="Arial" w:hAnsi="Arial"/>
          <w:sz w:val="16"/>
          <w:szCs w:val="16"/>
          <w:color w:val="54585A"/>
        </w:rPr>
      </w:pPr>
      <w:r>
        <w:rPr>
          <w:rFonts w:ascii="Arial" w:cs="Arial" w:eastAsia="Arial" w:hAnsi="Arial"/>
          <w:sz w:val="16"/>
          <w:szCs w:val="16"/>
          <w:color w:val="54585A"/>
        </w:rPr>
        <w:t>Board Member of Dropbox, Inc. - April 2016 to present</w:t>
      </w:r>
    </w:p>
    <w:p>
      <w:pPr>
        <w:spacing w:after="0" w:line="180" w:lineRule="exact"/>
        <w:rPr>
          <w:rFonts w:ascii="Arial" w:cs="Arial" w:eastAsia="Arial" w:hAnsi="Arial"/>
          <w:sz w:val="16"/>
          <w:szCs w:val="16"/>
          <w:color w:val="54585A"/>
        </w:rPr>
      </w:pPr>
    </w:p>
    <w:p>
      <w:pPr>
        <w:ind w:left="300" w:hanging="148"/>
        <w:spacing w:after="0"/>
        <w:tabs>
          <w:tab w:leader="none" w:pos="300" w:val="left"/>
        </w:tabs>
        <w:numPr>
          <w:ilvl w:val="0"/>
          <w:numId w:val="16"/>
        </w:numPr>
        <w:rPr>
          <w:rFonts w:ascii="Arial" w:cs="Arial" w:eastAsia="Arial" w:hAnsi="Arial"/>
          <w:sz w:val="16"/>
          <w:szCs w:val="16"/>
          <w:color w:val="54585A"/>
        </w:rPr>
      </w:pPr>
      <w:r>
        <w:rPr>
          <w:rFonts w:ascii="Arial" w:cs="Arial" w:eastAsia="Arial" w:hAnsi="Arial"/>
          <w:sz w:val="16"/>
          <w:szCs w:val="16"/>
          <w:color w:val="54585A"/>
        </w:rPr>
        <w:t>Board Member of Arm Limited - December 2022 to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234950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360" w:space="720"/>
            <w:col w:w="8140"/>
          </w:cols>
          <w:pgMar w:left="340" w:top="122" w:right="339" w:bottom="1440" w:gutter="0" w:footer="0" w:header="0"/>
          <w:type w:val="continuous"/>
        </w:sectPr>
      </w:pPr>
    </w:p>
    <w:bookmarkStart w:id="13" w:name="page14"/>
    <w:bookmarkEnd w:id="13"/>
    <w:p>
      <w:pPr>
        <w:ind w:left="100" w:hanging="92"/>
        <w:spacing w:after="0"/>
        <w:tabs>
          <w:tab w:leader="none" w:pos="100" w:val="left"/>
        </w:tabs>
        <w:numPr>
          <w:ilvl w:val="0"/>
          <w:numId w:val="17"/>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8"/>
          <w:szCs w:val="28"/>
          <w:color w:val="54585A"/>
        </w:rPr>
        <w:t>Class B - Continuing Directors (terms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518795</wp:posOffset>
            </wp:positionV>
            <wp:extent cx="1414145" cy="1414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ectPr>
          <w:pgSz w:w="11900" w:h="16838" w:orient="portrait"/>
          <w:cols w:equalWidth="0" w:num="1">
            <w:col w:w="11000"/>
          </w:cols>
          <w:pgMar w:left="320" w:top="168"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Georgia" w:cs="Georgia" w:eastAsia="Georgia" w:hAnsi="Georgia"/>
          <w:sz w:val="25"/>
          <w:szCs w:val="25"/>
          <w:b w:val="1"/>
          <w:bCs w:val="1"/>
          <w:color w:val="EB6C10"/>
        </w:rPr>
        <w:t>James F. Lynch</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Age / </w:t>
      </w:r>
      <w:r>
        <w:rPr>
          <w:rFonts w:ascii="Arial" w:cs="Arial" w:eastAsia="Arial" w:hAnsi="Arial"/>
          <w:sz w:val="16"/>
          <w:szCs w:val="16"/>
          <w:color w:val="54585A"/>
        </w:rPr>
        <w:t>67</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861060</wp:posOffset>
            </wp:positionV>
            <wp:extent cx="1414145" cy="1414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Mr. Lynch </w:t>
      </w:r>
      <w:r>
        <w:rPr>
          <w:rFonts w:ascii="Arial" w:cs="Arial" w:eastAsia="Arial" w:hAnsi="Arial"/>
          <w:sz w:val="16"/>
          <w:szCs w:val="16"/>
          <w:color w:val="54585A"/>
        </w:rPr>
        <w:t>brings extensive financial management experience, especially in the telecom industry, to the Board.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Mr. Lynch's current and prior experience includes:</w:t>
      </w:r>
    </w:p>
    <w:p>
      <w:pPr>
        <w:spacing w:after="0" w:line="181" w:lineRule="exact"/>
        <w:rPr>
          <w:sz w:val="20"/>
          <w:szCs w:val="20"/>
          <w:color w:val="auto"/>
        </w:rPr>
      </w:pPr>
    </w:p>
    <w:p>
      <w:pPr>
        <w:ind w:left="300" w:hanging="148"/>
        <w:spacing w:after="0"/>
        <w:tabs>
          <w:tab w:leader="none" w:pos="300" w:val="left"/>
        </w:tabs>
        <w:numPr>
          <w:ilvl w:val="0"/>
          <w:numId w:val="18"/>
        </w:numPr>
        <w:rPr>
          <w:rFonts w:ascii="Arial" w:cs="Arial" w:eastAsia="Arial" w:hAnsi="Arial"/>
          <w:sz w:val="16"/>
          <w:szCs w:val="16"/>
          <w:color w:val="54585A"/>
        </w:rPr>
      </w:pPr>
      <w:r>
        <w:rPr>
          <w:rFonts w:ascii="Arial" w:cs="Arial" w:eastAsia="Arial" w:hAnsi="Arial"/>
          <w:sz w:val="16"/>
          <w:szCs w:val="16"/>
          <w:color w:val="54585A"/>
        </w:rPr>
        <w:t>Managing Partner of Thermo Capital Partners, L.L.C. - October 2001 to present</w:t>
      </w:r>
    </w:p>
    <w:p>
      <w:pPr>
        <w:spacing w:after="0" w:line="167" w:lineRule="exact"/>
        <w:rPr>
          <w:rFonts w:ascii="Arial" w:cs="Arial" w:eastAsia="Arial" w:hAnsi="Arial"/>
          <w:sz w:val="16"/>
          <w:szCs w:val="16"/>
          <w:color w:val="54585A"/>
        </w:rPr>
      </w:pPr>
    </w:p>
    <w:p>
      <w:pPr>
        <w:ind w:left="300" w:hanging="148"/>
        <w:spacing w:after="0"/>
        <w:tabs>
          <w:tab w:leader="none" w:pos="300" w:val="left"/>
        </w:tabs>
        <w:numPr>
          <w:ilvl w:val="0"/>
          <w:numId w:val="18"/>
        </w:numPr>
        <w:rPr>
          <w:rFonts w:ascii="Arial" w:cs="Arial" w:eastAsia="Arial" w:hAnsi="Arial"/>
          <w:sz w:val="16"/>
          <w:szCs w:val="16"/>
          <w:color w:val="54585A"/>
        </w:rPr>
      </w:pPr>
      <w:r>
        <w:rPr>
          <w:rFonts w:ascii="Arial" w:cs="Arial" w:eastAsia="Arial" w:hAnsi="Arial"/>
          <w:sz w:val="16"/>
          <w:szCs w:val="16"/>
          <w:color w:val="54585A"/>
        </w:rPr>
        <w:t>Executive Chairman of FiberLight, LLC - 2017 to 2022 (formerly CEO from 2015 through 2017)</w:t>
      </w:r>
    </w:p>
    <w:p>
      <w:pPr>
        <w:spacing w:after="0" w:line="180" w:lineRule="exact"/>
        <w:rPr>
          <w:rFonts w:ascii="Arial" w:cs="Arial" w:eastAsia="Arial" w:hAnsi="Arial"/>
          <w:sz w:val="16"/>
          <w:szCs w:val="16"/>
          <w:color w:val="54585A"/>
        </w:rPr>
      </w:pPr>
    </w:p>
    <w:p>
      <w:pPr>
        <w:ind w:left="320" w:right="160" w:hanging="168"/>
        <w:spacing w:after="0" w:line="374" w:lineRule="auto"/>
        <w:tabs>
          <w:tab w:leader="none" w:pos="309" w:val="left"/>
        </w:tabs>
        <w:numPr>
          <w:ilvl w:val="0"/>
          <w:numId w:val="18"/>
        </w:numPr>
        <w:rPr>
          <w:rFonts w:ascii="Arial" w:cs="Arial" w:eastAsia="Arial" w:hAnsi="Arial"/>
          <w:sz w:val="16"/>
          <w:szCs w:val="16"/>
          <w:color w:val="54585A"/>
        </w:rPr>
      </w:pPr>
      <w:r>
        <w:rPr>
          <w:rFonts w:ascii="Arial" w:cs="Arial" w:eastAsia="Arial" w:hAnsi="Arial"/>
          <w:sz w:val="16"/>
          <w:szCs w:val="16"/>
          <w:color w:val="54585A"/>
        </w:rPr>
        <w:t>Chairman of Xspedius Communications, LLC - January 2005 through October 2006 (formerly CEO from August 2005 through March 2006)</w:t>
      </w:r>
    </w:p>
    <w:p>
      <w:pPr>
        <w:spacing w:after="0" w:line="34" w:lineRule="exact"/>
        <w:rPr>
          <w:rFonts w:ascii="Arial" w:cs="Arial" w:eastAsia="Arial" w:hAnsi="Arial"/>
          <w:sz w:val="16"/>
          <w:szCs w:val="16"/>
          <w:color w:val="54585A"/>
        </w:rPr>
      </w:pPr>
    </w:p>
    <w:p>
      <w:pPr>
        <w:ind w:left="300" w:hanging="148"/>
        <w:spacing w:after="0"/>
        <w:tabs>
          <w:tab w:leader="none" w:pos="300" w:val="left"/>
        </w:tabs>
        <w:numPr>
          <w:ilvl w:val="0"/>
          <w:numId w:val="18"/>
        </w:numPr>
        <w:rPr>
          <w:rFonts w:ascii="Arial" w:cs="Arial" w:eastAsia="Arial" w:hAnsi="Arial"/>
          <w:sz w:val="16"/>
          <w:szCs w:val="16"/>
          <w:color w:val="54585A"/>
        </w:rPr>
      </w:pPr>
      <w:r>
        <w:rPr>
          <w:rFonts w:ascii="Arial" w:cs="Arial" w:eastAsia="Arial" w:hAnsi="Arial"/>
          <w:sz w:val="16"/>
          <w:szCs w:val="16"/>
          <w:color w:val="54585A"/>
        </w:rPr>
        <w:t>Managing Director at Bear Stearns &amp; Co. - prior to joining Thermo in 2001</w:t>
      </w:r>
    </w:p>
    <w:p>
      <w:pPr>
        <w:spacing w:after="0" w:line="180" w:lineRule="exact"/>
        <w:rPr>
          <w:rFonts w:ascii="Arial" w:cs="Arial" w:eastAsia="Arial" w:hAnsi="Arial"/>
          <w:sz w:val="16"/>
          <w:szCs w:val="16"/>
          <w:color w:val="54585A"/>
        </w:rPr>
      </w:pPr>
    </w:p>
    <w:p>
      <w:pPr>
        <w:ind w:left="300" w:hanging="148"/>
        <w:spacing w:after="0"/>
        <w:tabs>
          <w:tab w:leader="none" w:pos="300" w:val="left"/>
        </w:tabs>
        <w:numPr>
          <w:ilvl w:val="0"/>
          <w:numId w:val="18"/>
        </w:numPr>
        <w:rPr>
          <w:rFonts w:ascii="Arial" w:cs="Arial" w:eastAsia="Arial" w:hAnsi="Arial"/>
          <w:sz w:val="16"/>
          <w:szCs w:val="16"/>
          <w:color w:val="54585A"/>
        </w:rPr>
      </w:pPr>
      <w:r>
        <w:rPr>
          <w:rFonts w:ascii="Arial" w:cs="Arial" w:eastAsia="Arial" w:hAnsi="Arial"/>
          <w:sz w:val="16"/>
          <w:szCs w:val="16"/>
          <w:color w:val="54585A"/>
        </w:rPr>
        <w:t>Limited Partner of Globalstar Satellite,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1032510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36" w:lineRule="exact"/>
        <w:rPr>
          <w:sz w:val="20"/>
          <w:szCs w:val="20"/>
          <w:color w:val="auto"/>
        </w:rPr>
      </w:pPr>
    </w:p>
    <w:p>
      <w:pPr>
        <w:sectPr>
          <w:pgSz w:w="11900" w:h="16838" w:orient="portrait"/>
          <w:cols w:equalWidth="0" w:num="2">
            <w:col w:w="2380" w:space="720"/>
            <w:col w:w="7900"/>
          </w:cols>
          <w:pgMar w:left="320" w:top="168"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Georgia" w:cs="Georgia" w:eastAsia="Georgia" w:hAnsi="Georgia"/>
          <w:sz w:val="25"/>
          <w:szCs w:val="25"/>
          <w:b w:val="1"/>
          <w:bCs w:val="1"/>
          <w:color w:val="EB6C10"/>
        </w:rPr>
        <w:t>Timothy E. Taylor</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Age / </w:t>
      </w:r>
      <w:r>
        <w:rPr>
          <w:rFonts w:ascii="Arial" w:cs="Arial" w:eastAsia="Arial" w:hAnsi="Arial"/>
          <w:sz w:val="16"/>
          <w:szCs w:val="16"/>
          <w:color w:val="54585A"/>
        </w:rPr>
        <w:t>43</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Mr. Taylor </w:t>
      </w:r>
      <w:r>
        <w:rPr>
          <w:rFonts w:ascii="Arial" w:cs="Arial" w:eastAsia="Arial" w:hAnsi="Arial"/>
          <w:sz w:val="16"/>
          <w:szCs w:val="16"/>
          <w:color w:val="54585A"/>
        </w:rPr>
        <w:t>brings insight into the daily operations of Globalstar and management experience to the Board.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Mr. Taylor's current and prior experience includes:</w:t>
      </w:r>
    </w:p>
    <w:p>
      <w:pPr>
        <w:spacing w:after="0" w:line="167" w:lineRule="exact"/>
        <w:rPr>
          <w:sz w:val="20"/>
          <w:szCs w:val="20"/>
          <w:color w:val="auto"/>
        </w:rPr>
      </w:pPr>
    </w:p>
    <w:p>
      <w:pPr>
        <w:ind w:left="300" w:hanging="148"/>
        <w:spacing w:after="0"/>
        <w:tabs>
          <w:tab w:leader="none" w:pos="300" w:val="left"/>
        </w:tabs>
        <w:numPr>
          <w:ilvl w:val="0"/>
          <w:numId w:val="19"/>
        </w:numPr>
        <w:rPr>
          <w:rFonts w:ascii="Arial" w:cs="Arial" w:eastAsia="Arial" w:hAnsi="Arial"/>
          <w:sz w:val="16"/>
          <w:szCs w:val="16"/>
          <w:color w:val="54585A"/>
        </w:rPr>
      </w:pPr>
      <w:r>
        <w:rPr>
          <w:rFonts w:ascii="Arial" w:cs="Arial" w:eastAsia="Arial" w:hAnsi="Arial"/>
          <w:sz w:val="16"/>
          <w:szCs w:val="16"/>
          <w:color w:val="54585A"/>
        </w:rPr>
        <w:t>Vice President, Finance, Business Operations and Strategy of Globalstar - 2010 to present</w:t>
      </w:r>
    </w:p>
    <w:p>
      <w:pPr>
        <w:spacing w:after="0" w:line="180" w:lineRule="exact"/>
        <w:rPr>
          <w:rFonts w:ascii="Arial" w:cs="Arial" w:eastAsia="Arial" w:hAnsi="Arial"/>
          <w:sz w:val="16"/>
          <w:szCs w:val="16"/>
          <w:color w:val="54585A"/>
        </w:rPr>
      </w:pPr>
    </w:p>
    <w:p>
      <w:pPr>
        <w:ind w:left="300" w:hanging="148"/>
        <w:spacing w:after="0"/>
        <w:tabs>
          <w:tab w:leader="none" w:pos="300" w:val="left"/>
        </w:tabs>
        <w:numPr>
          <w:ilvl w:val="0"/>
          <w:numId w:val="19"/>
        </w:numPr>
        <w:rPr>
          <w:rFonts w:ascii="Arial" w:cs="Arial" w:eastAsia="Arial" w:hAnsi="Arial"/>
          <w:sz w:val="16"/>
          <w:szCs w:val="16"/>
          <w:color w:val="54585A"/>
        </w:rPr>
      </w:pPr>
      <w:r>
        <w:rPr>
          <w:rFonts w:ascii="Arial" w:cs="Arial" w:eastAsia="Arial" w:hAnsi="Arial"/>
          <w:sz w:val="16"/>
          <w:szCs w:val="16"/>
          <w:color w:val="54585A"/>
        </w:rPr>
        <w:t>Partner of The Thermo Companies - 2010 to present</w:t>
      </w:r>
    </w:p>
    <w:p>
      <w:pPr>
        <w:spacing w:after="0" w:line="180" w:lineRule="exact"/>
        <w:rPr>
          <w:rFonts w:ascii="Arial" w:cs="Arial" w:eastAsia="Arial" w:hAnsi="Arial"/>
          <w:sz w:val="16"/>
          <w:szCs w:val="16"/>
          <w:color w:val="54585A"/>
        </w:rPr>
      </w:pPr>
    </w:p>
    <w:p>
      <w:pPr>
        <w:ind w:left="320" w:right="80" w:hanging="168"/>
        <w:spacing w:after="0" w:line="356" w:lineRule="auto"/>
        <w:tabs>
          <w:tab w:leader="none" w:pos="309" w:val="left"/>
        </w:tabs>
        <w:numPr>
          <w:ilvl w:val="0"/>
          <w:numId w:val="19"/>
        </w:numPr>
        <w:rPr>
          <w:rFonts w:ascii="Arial" w:cs="Arial" w:eastAsia="Arial" w:hAnsi="Arial"/>
          <w:sz w:val="16"/>
          <w:szCs w:val="16"/>
          <w:color w:val="54585A"/>
        </w:rPr>
      </w:pPr>
      <w:r>
        <w:rPr>
          <w:rFonts w:ascii="Arial" w:cs="Arial" w:eastAsia="Arial" w:hAnsi="Arial"/>
          <w:sz w:val="16"/>
          <w:szCs w:val="16"/>
          <w:color w:val="54585A"/>
        </w:rPr>
        <w:t>Associate in the Mergers &amp; Acquisitions Group at Brown Brothers Harriman - prior to joining Globalstar in 2010</w:t>
      </w:r>
    </w:p>
    <w:p>
      <w:pPr>
        <w:spacing w:after="0" w:line="61" w:lineRule="exact"/>
        <w:rPr>
          <w:rFonts w:ascii="Arial" w:cs="Arial" w:eastAsia="Arial" w:hAnsi="Arial"/>
          <w:sz w:val="16"/>
          <w:szCs w:val="16"/>
          <w:color w:val="54585A"/>
        </w:rPr>
      </w:pPr>
    </w:p>
    <w:p>
      <w:pPr>
        <w:ind w:left="300" w:hanging="148"/>
        <w:spacing w:after="0"/>
        <w:tabs>
          <w:tab w:leader="none" w:pos="300" w:val="left"/>
        </w:tabs>
        <w:numPr>
          <w:ilvl w:val="0"/>
          <w:numId w:val="19"/>
        </w:numPr>
        <w:rPr>
          <w:rFonts w:ascii="Arial" w:cs="Arial" w:eastAsia="Arial" w:hAnsi="Arial"/>
          <w:sz w:val="16"/>
          <w:szCs w:val="16"/>
          <w:color w:val="54585A"/>
        </w:rPr>
      </w:pPr>
      <w:r>
        <w:rPr>
          <w:rFonts w:ascii="Arial" w:cs="Arial" w:eastAsia="Arial" w:hAnsi="Arial"/>
          <w:sz w:val="16"/>
          <w:szCs w:val="16"/>
          <w:color w:val="54585A"/>
        </w:rPr>
        <w:t>Board Member of Birch Investment Partners, LLC, dba Timberland Cabinets - 2017 to present</w:t>
      </w:r>
    </w:p>
    <w:p>
      <w:pPr>
        <w:spacing w:after="0" w:line="167" w:lineRule="exact"/>
        <w:rPr>
          <w:rFonts w:ascii="Arial" w:cs="Arial" w:eastAsia="Arial" w:hAnsi="Arial"/>
          <w:sz w:val="16"/>
          <w:szCs w:val="16"/>
          <w:color w:val="54585A"/>
        </w:rPr>
      </w:pPr>
    </w:p>
    <w:p>
      <w:pPr>
        <w:ind w:left="300" w:hanging="148"/>
        <w:spacing w:after="0"/>
        <w:tabs>
          <w:tab w:leader="none" w:pos="300" w:val="left"/>
        </w:tabs>
        <w:numPr>
          <w:ilvl w:val="0"/>
          <w:numId w:val="19"/>
        </w:numPr>
        <w:rPr>
          <w:rFonts w:ascii="Arial" w:cs="Arial" w:eastAsia="Arial" w:hAnsi="Arial"/>
          <w:sz w:val="16"/>
          <w:szCs w:val="16"/>
          <w:color w:val="54585A"/>
        </w:rPr>
      </w:pPr>
      <w:r>
        <w:rPr>
          <w:rFonts w:ascii="Arial" w:cs="Arial" w:eastAsia="Arial" w:hAnsi="Arial"/>
          <w:sz w:val="16"/>
          <w:szCs w:val="16"/>
          <w:color w:val="54585A"/>
        </w:rPr>
        <w:t>Board Member of Thermo Communications Funding - 2014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2103755</wp:posOffset>
            </wp:positionV>
            <wp:extent cx="25717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050" w:lineRule="exact"/>
        <w:rPr>
          <w:sz w:val="20"/>
          <w:szCs w:val="20"/>
          <w:color w:val="auto"/>
        </w:rPr>
      </w:pPr>
    </w:p>
    <w:p>
      <w:pPr>
        <w:sectPr>
          <w:pgSz w:w="11900" w:h="16838" w:orient="portrait"/>
          <w:cols w:equalWidth="0" w:num="2">
            <w:col w:w="2380" w:space="720"/>
            <w:col w:w="7900"/>
          </w:cols>
          <w:pgMar w:left="320" w:top="168"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10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68" w:right="57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54585A"/>
        </w:rPr>
        <w:t>Class C - Continuing Directors (terms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511810</wp:posOffset>
            </wp:positionV>
            <wp:extent cx="1414145" cy="1414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1414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Georgia" w:cs="Georgia" w:eastAsia="Georgia" w:hAnsi="Georgia"/>
          <w:sz w:val="25"/>
          <w:szCs w:val="25"/>
          <w:b w:val="1"/>
          <w:bCs w:val="1"/>
          <w:color w:val="EB6C10"/>
        </w:rPr>
        <w:t>William A. Hasler</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Age / </w:t>
      </w:r>
      <w:r>
        <w:rPr>
          <w:rFonts w:ascii="Arial" w:cs="Arial" w:eastAsia="Arial" w:hAnsi="Arial"/>
          <w:sz w:val="16"/>
          <w:szCs w:val="16"/>
          <w:color w:val="54585A"/>
        </w:rPr>
        <w:t>83</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861060</wp:posOffset>
            </wp:positionV>
            <wp:extent cx="1414145" cy="14147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spacing w:after="0" w:line="345" w:lineRule="auto"/>
        <w:rPr>
          <w:sz w:val="20"/>
          <w:szCs w:val="20"/>
          <w:color w:val="auto"/>
        </w:rPr>
      </w:pPr>
      <w:r>
        <w:rPr>
          <w:rFonts w:ascii="Arial" w:cs="Arial" w:eastAsia="Arial" w:hAnsi="Arial"/>
          <w:sz w:val="16"/>
          <w:szCs w:val="16"/>
          <w:b w:val="1"/>
          <w:bCs w:val="1"/>
          <w:color w:val="54585A"/>
        </w:rPr>
        <w:t xml:space="preserve">Mr. Hasler </w:t>
      </w:r>
      <w:r>
        <w:rPr>
          <w:rFonts w:ascii="Arial" w:cs="Arial" w:eastAsia="Arial" w:hAnsi="Arial"/>
          <w:sz w:val="16"/>
          <w:szCs w:val="16"/>
          <w:color w:val="54585A"/>
        </w:rPr>
        <w:t>has an extensive financial background and financial reporting expertise. Due to his financial</w:t>
      </w:r>
      <w:r>
        <w:rPr>
          <w:rFonts w:ascii="Arial" w:cs="Arial" w:eastAsia="Arial" w:hAnsi="Arial"/>
          <w:sz w:val="16"/>
          <w:szCs w:val="16"/>
          <w:b w:val="1"/>
          <w:bCs w:val="1"/>
          <w:color w:val="54585A"/>
        </w:rPr>
        <w:t xml:space="preserve"> </w:t>
      </w:r>
      <w:r>
        <w:rPr>
          <w:rFonts w:ascii="Arial" w:cs="Arial" w:eastAsia="Arial" w:hAnsi="Arial"/>
          <w:sz w:val="16"/>
          <w:szCs w:val="16"/>
          <w:color w:val="54585A"/>
        </w:rPr>
        <w:t>leadership roles on other public company boards, he is well-suited to be one of our directors and Chair of our Audit Committee.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EB6C10"/>
        </w:rPr>
        <w:t>Mr. Hasler's current and prior experience includes:</w:t>
      </w:r>
    </w:p>
    <w:p>
      <w:pPr>
        <w:spacing w:after="0" w:line="181" w:lineRule="exact"/>
        <w:rPr>
          <w:sz w:val="20"/>
          <w:szCs w:val="20"/>
          <w:color w:val="auto"/>
        </w:rPr>
      </w:pPr>
    </w:p>
    <w:p>
      <w:pPr>
        <w:ind w:left="300" w:hanging="148"/>
        <w:spacing w:after="0"/>
        <w:tabs>
          <w:tab w:leader="none" w:pos="300" w:val="left"/>
        </w:tabs>
        <w:numPr>
          <w:ilvl w:val="0"/>
          <w:numId w:val="20"/>
        </w:numPr>
        <w:rPr>
          <w:rFonts w:ascii="Arial" w:cs="Arial" w:eastAsia="Arial" w:hAnsi="Arial"/>
          <w:sz w:val="16"/>
          <w:szCs w:val="16"/>
          <w:color w:val="54585A"/>
        </w:rPr>
      </w:pPr>
      <w:r>
        <w:rPr>
          <w:rFonts w:ascii="Arial" w:cs="Arial" w:eastAsia="Arial" w:hAnsi="Arial"/>
          <w:sz w:val="16"/>
          <w:szCs w:val="16"/>
          <w:color w:val="54585A"/>
        </w:rPr>
        <w:t>Co-Chief Executive Officer of Aphton Corp. - 1998 to 2004</w:t>
      </w:r>
    </w:p>
    <w:p>
      <w:pPr>
        <w:spacing w:after="0" w:line="180" w:lineRule="exact"/>
        <w:rPr>
          <w:rFonts w:ascii="Arial" w:cs="Arial" w:eastAsia="Arial" w:hAnsi="Arial"/>
          <w:sz w:val="16"/>
          <w:szCs w:val="16"/>
          <w:color w:val="54585A"/>
        </w:rPr>
      </w:pPr>
    </w:p>
    <w:p>
      <w:pPr>
        <w:ind w:left="300" w:hanging="148"/>
        <w:spacing w:after="0"/>
        <w:tabs>
          <w:tab w:leader="none" w:pos="300" w:val="left"/>
        </w:tabs>
        <w:numPr>
          <w:ilvl w:val="0"/>
          <w:numId w:val="20"/>
        </w:numPr>
        <w:rPr>
          <w:rFonts w:ascii="Arial" w:cs="Arial" w:eastAsia="Arial" w:hAnsi="Arial"/>
          <w:sz w:val="16"/>
          <w:szCs w:val="16"/>
          <w:color w:val="54585A"/>
        </w:rPr>
      </w:pPr>
      <w:r>
        <w:rPr>
          <w:rFonts w:ascii="Arial" w:cs="Arial" w:eastAsia="Arial" w:hAnsi="Arial"/>
          <w:sz w:val="16"/>
          <w:szCs w:val="16"/>
          <w:color w:val="54585A"/>
        </w:rPr>
        <w:t>Dean of the Haas School of Business, University of California, Berkeley - 1991 to 1998</w:t>
      </w:r>
    </w:p>
    <w:p>
      <w:pPr>
        <w:spacing w:after="0" w:line="167" w:lineRule="exact"/>
        <w:rPr>
          <w:rFonts w:ascii="Arial" w:cs="Arial" w:eastAsia="Arial" w:hAnsi="Arial"/>
          <w:sz w:val="16"/>
          <w:szCs w:val="16"/>
          <w:color w:val="54585A"/>
        </w:rPr>
      </w:pPr>
    </w:p>
    <w:p>
      <w:pPr>
        <w:ind w:left="300" w:hanging="148"/>
        <w:spacing w:after="0"/>
        <w:tabs>
          <w:tab w:leader="none" w:pos="300" w:val="left"/>
        </w:tabs>
        <w:numPr>
          <w:ilvl w:val="0"/>
          <w:numId w:val="20"/>
        </w:numPr>
        <w:rPr>
          <w:rFonts w:ascii="Arial" w:cs="Arial" w:eastAsia="Arial" w:hAnsi="Arial"/>
          <w:sz w:val="16"/>
          <w:szCs w:val="16"/>
          <w:color w:val="54585A"/>
        </w:rPr>
      </w:pPr>
      <w:r>
        <w:rPr>
          <w:rFonts w:ascii="Arial" w:cs="Arial" w:eastAsia="Arial" w:hAnsi="Arial"/>
          <w:sz w:val="16"/>
          <w:szCs w:val="16"/>
          <w:color w:val="54585A"/>
        </w:rPr>
        <w:t>Vice Chairman of KPMG Peat Marwick - 1984 to 1991</w:t>
      </w:r>
    </w:p>
    <w:p>
      <w:pPr>
        <w:spacing w:after="0" w:line="180" w:lineRule="exact"/>
        <w:rPr>
          <w:rFonts w:ascii="Arial" w:cs="Arial" w:eastAsia="Arial" w:hAnsi="Arial"/>
          <w:sz w:val="16"/>
          <w:szCs w:val="16"/>
          <w:color w:val="54585A"/>
        </w:rPr>
      </w:pPr>
    </w:p>
    <w:p>
      <w:pPr>
        <w:ind w:left="300" w:hanging="148"/>
        <w:spacing w:after="0"/>
        <w:tabs>
          <w:tab w:leader="none" w:pos="300" w:val="left"/>
        </w:tabs>
        <w:numPr>
          <w:ilvl w:val="0"/>
          <w:numId w:val="20"/>
        </w:numPr>
        <w:rPr>
          <w:rFonts w:ascii="Arial" w:cs="Arial" w:eastAsia="Arial" w:hAnsi="Arial"/>
          <w:sz w:val="16"/>
          <w:szCs w:val="16"/>
          <w:color w:val="54585A"/>
        </w:rPr>
      </w:pPr>
      <w:r>
        <w:rPr>
          <w:rFonts w:ascii="Arial" w:cs="Arial" w:eastAsia="Arial" w:hAnsi="Arial"/>
          <w:sz w:val="16"/>
          <w:szCs w:val="16"/>
          <w:color w:val="54585A"/>
        </w:rPr>
        <w:t>Certified Public Accountant; Audit Committee Financial Expert</w:t>
      </w:r>
    </w:p>
    <w:p>
      <w:pPr>
        <w:spacing w:after="0" w:line="167" w:lineRule="exact"/>
        <w:rPr>
          <w:rFonts w:ascii="Arial" w:cs="Arial" w:eastAsia="Arial" w:hAnsi="Arial"/>
          <w:sz w:val="16"/>
          <w:szCs w:val="16"/>
          <w:color w:val="54585A"/>
        </w:rPr>
      </w:pPr>
    </w:p>
    <w:p>
      <w:pPr>
        <w:ind w:left="320" w:right="360" w:hanging="168"/>
        <w:spacing w:after="0" w:line="374" w:lineRule="auto"/>
        <w:tabs>
          <w:tab w:leader="none" w:pos="309" w:val="left"/>
        </w:tabs>
        <w:numPr>
          <w:ilvl w:val="0"/>
          <w:numId w:val="20"/>
        </w:numPr>
        <w:rPr>
          <w:rFonts w:ascii="Arial" w:cs="Arial" w:eastAsia="Arial" w:hAnsi="Arial"/>
          <w:sz w:val="16"/>
          <w:szCs w:val="16"/>
          <w:color w:val="54585A"/>
        </w:rPr>
      </w:pPr>
      <w:r>
        <w:rPr>
          <w:rFonts w:ascii="Arial" w:cs="Arial" w:eastAsia="Arial" w:hAnsi="Arial"/>
          <w:sz w:val="16"/>
          <w:szCs w:val="16"/>
          <w:color w:val="54585A"/>
        </w:rPr>
        <w:t>Former director of Aviat Networks, DiTech Networks Corp., Mission West Properties, the Schwab Funds, Selectron Corp., Tousa Inc. and Rubicon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630555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04" w:lineRule="exact"/>
        <w:rPr>
          <w:sz w:val="20"/>
          <w:szCs w:val="20"/>
          <w:color w:val="auto"/>
        </w:rPr>
      </w:pPr>
    </w:p>
    <w:p>
      <w:pPr>
        <w:sectPr>
          <w:pgSz w:w="11900" w:h="16838" w:orient="portrait"/>
          <w:cols w:equalWidth="0" w:num="2">
            <w:col w:w="2380" w:space="720"/>
            <w:col w:w="81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100" w:right="40"/>
        <w:spacing w:after="0" w:line="335" w:lineRule="auto"/>
        <w:rPr>
          <w:sz w:val="20"/>
          <w:szCs w:val="20"/>
          <w:color w:val="auto"/>
        </w:rPr>
      </w:pPr>
      <w:r>
        <w:rPr>
          <w:rFonts w:ascii="Arial" w:cs="Arial" w:eastAsia="Arial" w:hAnsi="Arial"/>
          <w:sz w:val="16"/>
          <w:szCs w:val="16"/>
          <w:color w:val="54585A"/>
        </w:rPr>
        <w:t xml:space="preserve">Since 1984, </w:t>
      </w:r>
      <w:r>
        <w:rPr>
          <w:rFonts w:ascii="Arial" w:cs="Arial" w:eastAsia="Arial" w:hAnsi="Arial"/>
          <w:sz w:val="16"/>
          <w:szCs w:val="16"/>
          <w:b w:val="1"/>
          <w:bCs w:val="1"/>
          <w:color w:val="54585A"/>
        </w:rPr>
        <w:t>Mr. Monroe</w:t>
      </w:r>
      <w:r>
        <w:rPr>
          <w:rFonts w:ascii="Arial" w:cs="Arial" w:eastAsia="Arial" w:hAnsi="Arial"/>
          <w:sz w:val="16"/>
          <w:szCs w:val="16"/>
          <w:color w:val="54585A"/>
        </w:rPr>
        <w:t xml:space="preserve"> has been the majority owner of a diverse group of privately owned businesses that have operated in the fields of telecommunications, real estate, power generation, industrial equipment distribution, financial services and leasing services that are sometimes referred to collectively in this proxy statement as “Thermo.” Mr. Monroe controls, directly or indirectly, various Thermo entities as reflected in the "Security Ownership of Certain Beneficial Owners and Management" table. In addition to being our controlling stockholder, Mr. Monroe brings his long-term experience in investment, financing and the telecommunications industry to the Board.</w:t>
      </w:r>
    </w:p>
    <w:p>
      <w:pPr>
        <w:spacing w:after="0" w:line="119"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EB6C10"/>
        </w:rPr>
        <w:t>Mr. Monroe's current and prior experience includes:</w:t>
      </w:r>
    </w:p>
    <w:p>
      <w:pPr>
        <w:spacing w:after="0" w:line="181" w:lineRule="exact"/>
        <w:rPr>
          <w:sz w:val="20"/>
          <w:szCs w:val="20"/>
          <w:color w:val="auto"/>
        </w:rPr>
      </w:pPr>
    </w:p>
    <w:p>
      <w:pPr>
        <w:ind w:left="3260"/>
        <w:spacing w:after="0"/>
        <w:rPr>
          <w:sz w:val="20"/>
          <w:szCs w:val="20"/>
          <w:color w:val="auto"/>
        </w:rPr>
      </w:pPr>
      <w:r>
        <w:rPr>
          <w:rFonts w:ascii="Arial" w:cs="Arial" w:eastAsia="Arial" w:hAnsi="Arial"/>
          <w:sz w:val="16"/>
          <w:szCs w:val="16"/>
          <w:color w:val="54585A"/>
        </w:rPr>
        <w:t>• Executive Chairman (formerly Chairman) of the Board of Globalstar - 2004 to present</w:t>
      </w:r>
    </w:p>
    <w:p>
      <w:pPr>
        <w:ind w:left="20"/>
        <w:spacing w:after="0" w:line="182" w:lineRule="auto"/>
        <w:tabs>
          <w:tab w:leader="none" w:pos="3240" w:val="left"/>
        </w:tabs>
        <w:rPr>
          <w:sz w:val="20"/>
          <w:szCs w:val="20"/>
          <w:color w:val="auto"/>
        </w:rPr>
      </w:pPr>
      <w:r>
        <w:rPr>
          <w:rFonts w:ascii="Georgia" w:cs="Georgia" w:eastAsia="Georgia" w:hAnsi="Georgia"/>
          <w:sz w:val="27"/>
          <w:szCs w:val="27"/>
          <w:b w:val="1"/>
          <w:bCs w:val="1"/>
          <w:color w:val="EB6C10"/>
          <w:vertAlign w:val="superscript"/>
        </w:rPr>
        <w:t>James</w:t>
      </w:r>
      <w:r>
        <w:rPr>
          <w:sz w:val="20"/>
          <w:szCs w:val="20"/>
          <w:color w:val="auto"/>
        </w:rPr>
        <w:tab/>
      </w:r>
      <w:r>
        <w:rPr>
          <w:rFonts w:ascii="Arial" w:cs="Arial" w:eastAsia="Arial" w:hAnsi="Arial"/>
          <w:sz w:val="13"/>
          <w:szCs w:val="13"/>
          <w:color w:val="54585A"/>
        </w:rPr>
        <w:t>• CEO of Globalstar - 2005 through 2009 and from 2011 through 2018</w:t>
      </w:r>
    </w:p>
    <w:p>
      <w:pPr>
        <w:spacing w:after="0" w:line="122" w:lineRule="exact"/>
        <w:rPr>
          <w:sz w:val="20"/>
          <w:szCs w:val="20"/>
          <w:color w:val="auto"/>
        </w:rPr>
      </w:pPr>
    </w:p>
    <w:p>
      <w:pPr>
        <w:ind w:left="20"/>
        <w:spacing w:after="0"/>
        <w:rPr>
          <w:sz w:val="20"/>
          <w:szCs w:val="20"/>
          <w:color w:val="auto"/>
        </w:rPr>
      </w:pPr>
      <w:r>
        <w:rPr>
          <w:rFonts w:ascii="Georgia" w:cs="Georgia" w:eastAsia="Georgia" w:hAnsi="Georgia"/>
          <w:sz w:val="25"/>
          <w:szCs w:val="25"/>
          <w:b w:val="1"/>
          <w:bCs w:val="1"/>
          <w:color w:val="EB6C10"/>
        </w:rPr>
        <w:t>Monroe III</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Age / 70</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4585A"/>
        </w:rPr>
        <w:t xml:space="preserve">Director Since / </w:t>
      </w:r>
      <w:r>
        <w:rPr>
          <w:rFonts w:ascii="Arial" w:cs="Arial" w:eastAsia="Arial" w:hAnsi="Arial"/>
          <w:sz w:val="16"/>
          <w:szCs w:val="16"/>
          <w:color w:val="54585A"/>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937895</wp:posOffset>
            </wp:positionV>
            <wp:extent cx="257175"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ind w:left="100" w:hanging="92"/>
        <w:spacing w:after="0"/>
        <w:tabs>
          <w:tab w:leader="none" w:pos="100" w:val="left"/>
        </w:tabs>
        <w:numPr>
          <w:ilvl w:val="0"/>
          <w:numId w:val="21"/>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Leadership Structure</w:t>
      </w:r>
    </w:p>
    <w:p>
      <w:pPr>
        <w:spacing w:after="0" w:line="9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4585A"/>
        </w:rPr>
        <w:t>Dr. Jacobs serves as our Chief Executive Officer and Mr. Monroe serves as the Executive Chairman of the Board. Our Bylaws provide the Board flexibility to appoint one individual as Chief Executive Officer and Chairman of the Board or to separate the roles and appoint an individual for each role. We believe the current separation between Chief Executive Officer and Executive Chairman of the Board provides the Company with the ability to pursue strategic and operational objectives, while also maintaining oversight and objective evaluation of the performance of the Company.</w:t>
      </w:r>
    </w:p>
    <w:p>
      <w:pPr>
        <w:spacing w:after="0" w:line="112" w:lineRule="exact"/>
        <w:rPr>
          <w:sz w:val="20"/>
          <w:szCs w:val="20"/>
          <w:color w:val="auto"/>
        </w:rPr>
      </w:pPr>
    </w:p>
    <w:p>
      <w:pPr>
        <w:spacing w:after="0" w:line="354" w:lineRule="auto"/>
        <w:rPr>
          <w:sz w:val="20"/>
          <w:szCs w:val="20"/>
          <w:color w:val="auto"/>
        </w:rPr>
      </w:pPr>
      <w:r>
        <w:rPr>
          <w:rFonts w:ascii="Arial" w:cs="Arial" w:eastAsia="Arial" w:hAnsi="Arial"/>
          <w:sz w:val="16"/>
          <w:szCs w:val="16"/>
          <w:color w:val="54585A"/>
        </w:rPr>
        <w:t>Mr. Monroe dually served as our Chairman and Chief Executive Officer from our initial public offering in November 2006 through July 2009 and again July 2011 through September 2018. As demonstrated by past practice, the Board, with input from Mr. Monroe, will periodically review our leadership structure and determine what leadership structure best supports our business, making changes as the Board deems appropriate.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Meetings and Attendance in Meetings</w:t>
      </w:r>
    </w:p>
    <w:p>
      <w:pPr>
        <w:spacing w:after="0" w:line="95" w:lineRule="exact"/>
        <w:rPr>
          <w:sz w:val="20"/>
          <w:szCs w:val="20"/>
          <w:color w:val="auto"/>
        </w:rPr>
      </w:pPr>
    </w:p>
    <w:p>
      <w:pPr>
        <w:ind w:right="620"/>
        <w:spacing w:after="0" w:line="345" w:lineRule="auto"/>
        <w:rPr>
          <w:sz w:val="20"/>
          <w:szCs w:val="20"/>
          <w:color w:val="auto"/>
        </w:rPr>
      </w:pPr>
      <w:r>
        <w:rPr>
          <w:rFonts w:ascii="Arial" w:cs="Arial" w:eastAsia="Arial" w:hAnsi="Arial"/>
          <w:sz w:val="16"/>
          <w:szCs w:val="16"/>
          <w:color w:val="54585A"/>
        </w:rPr>
        <w:t>During 2024, the Board held 8 meetings. Each director serving on the Board in 2024 attended at least 75% of the meetings of the Board and of each committee on which he served in each case during the time he was a director. We do not have a policy regarding director attendance at our annual meetings. No members of the Board attended our 2024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311150</wp:posOffset>
            </wp:positionV>
            <wp:extent cx="257175"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12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Board Committees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EB6C10"/>
        </w:rPr>
        <w:t>Audit Committee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54585A"/>
        </w:rPr>
        <w:t>The current members of the Audit Committee are Messrs. Hasler, Cowan and Wolff. Mr. Hasler serves as Chairman, and the Board has determined that Mr.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54585A"/>
        </w:rPr>
        <w:t>Hasler is an "audit committee financial expert" as defined by SEC and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791335" cy="3977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91335" cy="397764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360"/>
        <w:spacing w:after="0"/>
        <w:rPr>
          <w:sz w:val="20"/>
          <w:szCs w:val="20"/>
          <w:color w:val="auto"/>
        </w:rPr>
      </w:pPr>
      <w:r>
        <w:rPr>
          <w:rFonts w:ascii="Georgia" w:cs="Georgia" w:eastAsia="Georgia" w:hAnsi="Georgia"/>
          <w:sz w:val="21"/>
          <w:szCs w:val="21"/>
          <w:b w:val="1"/>
          <w:bCs w:val="1"/>
          <w:color w:val="EB6C10"/>
        </w:rPr>
        <w:t>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B6C10"/>
        </w:rPr>
        <w:t>Meetings in 2024</w:t>
      </w:r>
    </w:p>
    <w:p>
      <w:pPr>
        <w:spacing w:after="0" w:line="239" w:lineRule="exact"/>
        <w:rPr>
          <w:sz w:val="20"/>
          <w:szCs w:val="20"/>
          <w:color w:val="auto"/>
        </w:rPr>
      </w:pPr>
    </w:p>
    <w:p>
      <w:pPr>
        <w:ind w:left="460" w:hanging="97"/>
        <w:spacing w:after="0"/>
        <w:tabs>
          <w:tab w:leader="none" w:pos="460" w:val="left"/>
        </w:tabs>
        <w:numPr>
          <w:ilvl w:val="0"/>
          <w:numId w:val="22"/>
        </w:numPr>
        <w:rPr>
          <w:rFonts w:ascii="Arial" w:cs="Arial" w:eastAsia="Arial" w:hAnsi="Arial"/>
          <w:sz w:val="18"/>
          <w:szCs w:val="18"/>
          <w:b w:val="1"/>
          <w:bCs w:val="1"/>
          <w:color w:val="EB6C10"/>
        </w:rPr>
      </w:pPr>
      <w:r>
        <w:rPr>
          <w:rFonts w:ascii="Arial" w:cs="Arial" w:eastAsia="Arial" w:hAnsi="Arial"/>
          <w:sz w:val="18"/>
          <w:szCs w:val="18"/>
          <w:color w:val="54585A"/>
        </w:rPr>
        <w:t>Mr. Hasler (Chairman)</w:t>
      </w:r>
    </w:p>
    <w:p>
      <w:pPr>
        <w:spacing w:after="0" w:line="171" w:lineRule="exact"/>
        <w:rPr>
          <w:rFonts w:ascii="Arial" w:cs="Arial" w:eastAsia="Arial" w:hAnsi="Arial"/>
          <w:sz w:val="18"/>
          <w:szCs w:val="18"/>
          <w:b w:val="1"/>
          <w:bCs w:val="1"/>
          <w:color w:val="EB6C10"/>
        </w:rPr>
      </w:pPr>
    </w:p>
    <w:p>
      <w:pPr>
        <w:ind w:left="460" w:hanging="97"/>
        <w:spacing w:after="0"/>
        <w:tabs>
          <w:tab w:leader="none" w:pos="460" w:val="left"/>
        </w:tabs>
        <w:numPr>
          <w:ilvl w:val="0"/>
          <w:numId w:val="22"/>
        </w:numPr>
        <w:rPr>
          <w:rFonts w:ascii="Arial" w:cs="Arial" w:eastAsia="Arial" w:hAnsi="Arial"/>
          <w:sz w:val="18"/>
          <w:szCs w:val="18"/>
          <w:b w:val="1"/>
          <w:bCs w:val="1"/>
          <w:color w:val="EB6C10"/>
        </w:rPr>
      </w:pPr>
      <w:r>
        <w:rPr>
          <w:rFonts w:ascii="Arial" w:cs="Arial" w:eastAsia="Arial" w:hAnsi="Arial"/>
          <w:sz w:val="18"/>
          <w:szCs w:val="18"/>
          <w:color w:val="54585A"/>
        </w:rPr>
        <w:t>Mr. Cowan</w:t>
      </w:r>
    </w:p>
    <w:p>
      <w:pPr>
        <w:spacing w:after="0" w:line="184" w:lineRule="exact"/>
        <w:rPr>
          <w:rFonts w:ascii="Arial" w:cs="Arial" w:eastAsia="Arial" w:hAnsi="Arial"/>
          <w:sz w:val="18"/>
          <w:szCs w:val="18"/>
          <w:b w:val="1"/>
          <w:bCs w:val="1"/>
          <w:color w:val="EB6C10"/>
        </w:rPr>
      </w:pPr>
    </w:p>
    <w:p>
      <w:pPr>
        <w:ind w:left="460" w:hanging="97"/>
        <w:spacing w:after="0"/>
        <w:tabs>
          <w:tab w:leader="none" w:pos="460" w:val="left"/>
        </w:tabs>
        <w:numPr>
          <w:ilvl w:val="0"/>
          <w:numId w:val="22"/>
        </w:numPr>
        <w:rPr>
          <w:rFonts w:ascii="Arial" w:cs="Arial" w:eastAsia="Arial" w:hAnsi="Arial"/>
          <w:sz w:val="18"/>
          <w:szCs w:val="18"/>
          <w:b w:val="1"/>
          <w:bCs w:val="1"/>
          <w:color w:val="EB6C10"/>
        </w:rPr>
      </w:pPr>
      <w:r>
        <w:rPr>
          <w:rFonts w:ascii="Arial" w:cs="Arial" w:eastAsia="Arial" w:hAnsi="Arial"/>
          <w:sz w:val="18"/>
          <w:szCs w:val="18"/>
          <w:color w:val="54585A"/>
        </w:rPr>
        <w:t>Mr. Wolff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54585A"/>
        </w:rPr>
        <w:t>The principal functions of the Audit Committee, which are reflected in the Audit Committee's charter, include:</w:t>
      </w:r>
    </w:p>
    <w:p>
      <w:pPr>
        <w:spacing w:after="0" w:line="235" w:lineRule="exact"/>
        <w:rPr>
          <w:sz w:val="20"/>
          <w:szCs w:val="20"/>
          <w:color w:val="auto"/>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appointing and replacing our independent registered public accounting firm;</w:t>
      </w:r>
    </w:p>
    <w:p>
      <w:pPr>
        <w:spacing w:after="0" w:line="167" w:lineRule="exact"/>
        <w:rPr>
          <w:rFonts w:ascii="Arial" w:cs="Arial" w:eastAsia="Arial" w:hAnsi="Arial"/>
          <w:sz w:val="16"/>
          <w:szCs w:val="16"/>
          <w:color w:val="54585A"/>
        </w:rPr>
      </w:pPr>
    </w:p>
    <w:p>
      <w:pPr>
        <w:ind w:left="320" w:right="600" w:hanging="167"/>
        <w:spacing w:after="0" w:line="374" w:lineRule="auto"/>
        <w:tabs>
          <w:tab w:leader="none" w:pos="309"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approving all fees and all audit and permitted non-audit services of the independent registered public accounting firm;</w:t>
      </w:r>
    </w:p>
    <w:p>
      <w:pPr>
        <w:spacing w:after="0" w:line="47"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annually reviewing the independence of the independent registered public accounting firm;</w:t>
      </w:r>
    </w:p>
    <w:p>
      <w:pPr>
        <w:spacing w:after="0" w:line="167"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assessing annual audit results;</w:t>
      </w:r>
    </w:p>
    <w:p>
      <w:pPr>
        <w:spacing w:after="0" w:line="180"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periodically reassessing the effectiveness of the independent registered public accounting firm;</w:t>
      </w:r>
    </w:p>
    <w:p>
      <w:pPr>
        <w:spacing w:after="0" w:line="167"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reviewing our financial and accounting policies and our annual and quarterly financial statements;</w:t>
      </w:r>
    </w:p>
    <w:p>
      <w:pPr>
        <w:spacing w:after="0" w:line="180" w:lineRule="exact"/>
        <w:rPr>
          <w:rFonts w:ascii="Arial" w:cs="Arial" w:eastAsia="Arial" w:hAnsi="Arial"/>
          <w:sz w:val="16"/>
          <w:szCs w:val="16"/>
          <w:color w:val="54585A"/>
        </w:rPr>
      </w:pPr>
    </w:p>
    <w:p>
      <w:pPr>
        <w:ind w:left="320" w:right="920" w:hanging="167"/>
        <w:spacing w:after="0" w:line="374" w:lineRule="auto"/>
        <w:tabs>
          <w:tab w:leader="none" w:pos="309"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reviewing the adequacy and effectiveness of our internal controls and monitoring management's assessment of internal controls over financial reporting;</w:t>
      </w:r>
    </w:p>
    <w:p>
      <w:pPr>
        <w:spacing w:after="0" w:line="34"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overseeing our programs for compliance with laws, regulations and Company policies;</w:t>
      </w:r>
    </w:p>
    <w:p>
      <w:pPr>
        <w:spacing w:after="0" w:line="180"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reviewing and reassessing the adequacy of its charter at least annually;</w:t>
      </w:r>
    </w:p>
    <w:p>
      <w:pPr>
        <w:spacing w:after="0" w:line="221" w:lineRule="exact"/>
        <w:rPr>
          <w:rFonts w:ascii="Arial" w:cs="Arial" w:eastAsia="Arial" w:hAnsi="Arial"/>
          <w:sz w:val="16"/>
          <w:szCs w:val="16"/>
          <w:color w:val="54585A"/>
        </w:rPr>
      </w:pPr>
    </w:p>
    <w:p>
      <w:pPr>
        <w:ind w:left="300" w:hanging="147"/>
        <w:spacing w:after="0"/>
        <w:tabs>
          <w:tab w:leader="none" w:pos="300"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approving all related person transactions not otherwise delegated to the Strategic Review Committee;</w:t>
      </w:r>
    </w:p>
    <w:p>
      <w:pPr>
        <w:spacing w:after="0" w:line="180" w:lineRule="exact"/>
        <w:rPr>
          <w:rFonts w:ascii="Arial" w:cs="Arial" w:eastAsia="Arial" w:hAnsi="Arial"/>
          <w:sz w:val="16"/>
          <w:szCs w:val="16"/>
          <w:color w:val="54585A"/>
        </w:rPr>
      </w:pPr>
    </w:p>
    <w:p>
      <w:pPr>
        <w:ind w:left="320" w:right="280" w:hanging="167"/>
        <w:spacing w:after="0" w:line="374" w:lineRule="auto"/>
        <w:tabs>
          <w:tab w:leader="none" w:pos="309"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considering any requests for waivers from our Code of Conduct for senior executive and financial officers (which waivers would be subject to Board approval); and</w:t>
      </w:r>
    </w:p>
    <w:p>
      <w:pPr>
        <w:spacing w:after="0" w:line="34" w:lineRule="exact"/>
        <w:rPr>
          <w:rFonts w:ascii="Arial" w:cs="Arial" w:eastAsia="Arial" w:hAnsi="Arial"/>
          <w:sz w:val="16"/>
          <w:szCs w:val="16"/>
          <w:color w:val="54585A"/>
        </w:rPr>
      </w:pPr>
    </w:p>
    <w:p>
      <w:pPr>
        <w:ind w:left="320" w:right="620" w:hanging="167"/>
        <w:spacing w:after="0" w:line="374" w:lineRule="auto"/>
        <w:tabs>
          <w:tab w:leader="none" w:pos="309" w:val="left"/>
        </w:tabs>
        <w:numPr>
          <w:ilvl w:val="0"/>
          <w:numId w:val="23"/>
        </w:numPr>
        <w:rPr>
          <w:rFonts w:ascii="Arial" w:cs="Arial" w:eastAsia="Arial" w:hAnsi="Arial"/>
          <w:sz w:val="16"/>
          <w:szCs w:val="16"/>
          <w:color w:val="54585A"/>
        </w:rPr>
      </w:pPr>
      <w:r>
        <w:rPr>
          <w:rFonts w:ascii="Arial" w:cs="Arial" w:eastAsia="Arial" w:hAnsi="Arial"/>
          <w:sz w:val="16"/>
          <w:szCs w:val="16"/>
          <w:color w:val="54585A"/>
        </w:rPr>
        <w:t>in connection with the foregoing, meeting with our independent registered public accounting firm and financial management.</w:t>
      </w:r>
    </w:p>
    <w:p>
      <w:pPr>
        <w:spacing w:after="0" w:line="200" w:lineRule="exact"/>
        <w:rPr>
          <w:sz w:val="20"/>
          <w:szCs w:val="20"/>
          <w:color w:val="auto"/>
        </w:rPr>
      </w:pPr>
    </w:p>
    <w:p>
      <w:pPr>
        <w:sectPr>
          <w:pgSz w:w="11900" w:h="16838" w:orient="portrait"/>
          <w:cols w:equalWidth="0" w:num="2">
            <w:col w:w="2420" w:space="720"/>
            <w:col w:w="8100"/>
          </w:cols>
          <w:pgMar w:left="320" w:top="122" w:right="339" w:bottom="1440" w:gutter="0" w:footer="0" w:header="0"/>
          <w:type w:val="continuous"/>
        </w:sectPr>
      </w:pPr>
    </w:p>
    <w:p>
      <w:pPr>
        <w:spacing w:after="0" w:line="200" w:lineRule="exact"/>
        <w:rPr>
          <w:sz w:val="20"/>
          <w:szCs w:val="20"/>
          <w:color w:val="auto"/>
        </w:rPr>
      </w:pPr>
    </w:p>
    <w:p>
      <w:pPr>
        <w:spacing w:after="0" w:line="296" w:lineRule="exact"/>
        <w:rPr>
          <w:sz w:val="20"/>
          <w:szCs w:val="20"/>
          <w:color w:val="auto"/>
        </w:rPr>
      </w:pPr>
    </w:p>
    <w:p>
      <w:pPr>
        <w:ind w:right="60"/>
        <w:spacing w:after="0" w:line="356" w:lineRule="auto"/>
        <w:rPr>
          <w:sz w:val="20"/>
          <w:szCs w:val="20"/>
          <w:color w:val="auto"/>
        </w:rPr>
      </w:pPr>
      <w:r>
        <w:rPr>
          <w:rFonts w:ascii="Arial" w:cs="Arial" w:eastAsia="Arial" w:hAnsi="Arial"/>
          <w:sz w:val="16"/>
          <w:szCs w:val="16"/>
          <w:color w:val="54585A"/>
        </w:rPr>
        <w:t>The Audit Committee meets as often as it determines necessary to carry out its duties and responsibilities, but no less than quarterly. During 2024, the Audit Committee held four meetings. The Audit Committee's charter is available at our website at investors.globalstar.com under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257175" cy="257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ind w:left="100" w:hanging="92"/>
        <w:spacing w:after="0"/>
        <w:tabs>
          <w:tab w:leader="none" w:pos="100" w:val="left"/>
        </w:tabs>
        <w:numPr>
          <w:ilvl w:val="0"/>
          <w:numId w:val="24"/>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54585A"/>
        </w:rPr>
        <w:t>The Audit Committee has furnished the following report for inclusion in this proxy statement.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Audit Committee Report for 2024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54585A"/>
        </w:rPr>
        <w:t>In addition to other activities, the Audit Committee:</w:t>
      </w:r>
    </w:p>
    <w:p>
      <w:pPr>
        <w:spacing w:after="0" w:line="235" w:lineRule="exact"/>
        <w:rPr>
          <w:sz w:val="20"/>
          <w:szCs w:val="20"/>
          <w:color w:val="auto"/>
        </w:rPr>
      </w:pPr>
    </w:p>
    <w:p>
      <w:pPr>
        <w:ind w:left="480" w:hanging="148"/>
        <w:spacing w:after="0"/>
        <w:tabs>
          <w:tab w:leader="none" w:pos="480" w:val="left"/>
        </w:tabs>
        <w:numPr>
          <w:ilvl w:val="0"/>
          <w:numId w:val="25"/>
        </w:numPr>
        <w:rPr>
          <w:rFonts w:ascii="Arial" w:cs="Arial" w:eastAsia="Arial" w:hAnsi="Arial"/>
          <w:sz w:val="16"/>
          <w:szCs w:val="16"/>
          <w:color w:val="54585A"/>
        </w:rPr>
      </w:pPr>
      <w:r>
        <w:rPr>
          <w:rFonts w:ascii="Arial" w:cs="Arial" w:eastAsia="Arial" w:hAnsi="Arial"/>
          <w:sz w:val="16"/>
          <w:szCs w:val="16"/>
          <w:color w:val="54585A"/>
        </w:rPr>
        <w:t>reviewed and discussed with management the Company’s audited financial statements for 2024;</w:t>
      </w:r>
    </w:p>
    <w:p>
      <w:pPr>
        <w:spacing w:after="0" w:line="167" w:lineRule="exact"/>
        <w:rPr>
          <w:rFonts w:ascii="Arial" w:cs="Arial" w:eastAsia="Arial" w:hAnsi="Arial"/>
          <w:sz w:val="16"/>
          <w:szCs w:val="16"/>
          <w:color w:val="54585A"/>
        </w:rPr>
      </w:pPr>
    </w:p>
    <w:p>
      <w:pPr>
        <w:ind w:left="500" w:right="100" w:hanging="168"/>
        <w:spacing w:after="0" w:line="342" w:lineRule="auto"/>
        <w:tabs>
          <w:tab w:leader="none" w:pos="489" w:val="left"/>
        </w:tabs>
        <w:numPr>
          <w:ilvl w:val="0"/>
          <w:numId w:val="25"/>
        </w:numPr>
        <w:rPr>
          <w:rFonts w:ascii="Arial" w:cs="Arial" w:eastAsia="Arial" w:hAnsi="Arial"/>
          <w:sz w:val="16"/>
          <w:szCs w:val="16"/>
          <w:color w:val="54585A"/>
        </w:rPr>
      </w:pPr>
      <w:r>
        <w:rPr>
          <w:rFonts w:ascii="Arial" w:cs="Arial" w:eastAsia="Arial" w:hAnsi="Arial"/>
          <w:sz w:val="16"/>
          <w:szCs w:val="16"/>
          <w:color w:val="54585A"/>
        </w:rPr>
        <w:t>discussed with EY, the Company’s independent registered public accounting firm for 2024, the matters required to be discussed by the applicable requirements of the Public Company Accounting Oversight Board ("PCAOB") and the Commission, including significant accounting policies, management’s judgments and accounting estimates, and EY’s judgments about the quality of the Company’s accounting principles as applied in its financial reporting; and</w:t>
      </w:r>
    </w:p>
    <w:p>
      <w:pPr>
        <w:spacing w:after="0" w:line="71" w:lineRule="exact"/>
        <w:rPr>
          <w:rFonts w:ascii="Arial" w:cs="Arial" w:eastAsia="Arial" w:hAnsi="Arial"/>
          <w:sz w:val="16"/>
          <w:szCs w:val="16"/>
          <w:color w:val="54585A"/>
        </w:rPr>
      </w:pPr>
    </w:p>
    <w:p>
      <w:pPr>
        <w:ind w:left="500" w:right="280" w:hanging="168"/>
        <w:spacing w:after="0" w:line="345" w:lineRule="auto"/>
        <w:tabs>
          <w:tab w:leader="none" w:pos="489" w:val="left"/>
        </w:tabs>
        <w:numPr>
          <w:ilvl w:val="0"/>
          <w:numId w:val="25"/>
        </w:numPr>
        <w:rPr>
          <w:rFonts w:ascii="Arial" w:cs="Arial" w:eastAsia="Arial" w:hAnsi="Arial"/>
          <w:sz w:val="16"/>
          <w:szCs w:val="16"/>
          <w:color w:val="54585A"/>
        </w:rPr>
      </w:pPr>
      <w:r>
        <w:rPr>
          <w:rFonts w:ascii="Arial" w:cs="Arial" w:eastAsia="Arial" w:hAnsi="Arial"/>
          <w:sz w:val="16"/>
          <w:szCs w:val="16"/>
          <w:color w:val="54585A"/>
        </w:rPr>
        <w:t>received the written disclosures and the letter from EY required by the applicable requirements of the PCAOB and the Commission regarding the independent accountant’s communications with the Audit Committee concerning the accountant’s independence from the Company and its subsidiaries, and discussed with EY their independence.</w:t>
      </w:r>
    </w:p>
    <w:p>
      <w:pPr>
        <w:spacing w:after="0" w:line="71" w:lineRule="exact"/>
        <w:rPr>
          <w:sz w:val="20"/>
          <w:szCs w:val="20"/>
          <w:color w:val="auto"/>
        </w:rPr>
      </w:pPr>
    </w:p>
    <w:p>
      <w:pPr>
        <w:ind w:right="20"/>
        <w:spacing w:after="0" w:line="356" w:lineRule="auto"/>
        <w:rPr>
          <w:sz w:val="20"/>
          <w:szCs w:val="20"/>
          <w:color w:val="auto"/>
        </w:rPr>
      </w:pPr>
      <w:r>
        <w:rPr>
          <w:rFonts w:ascii="Arial" w:cs="Arial" w:eastAsia="Arial" w:hAnsi="Arial"/>
          <w:sz w:val="16"/>
          <w:szCs w:val="16"/>
          <w:color w:val="54585A"/>
        </w:rPr>
        <w:t>Based on the reviews and discussions referred to above, the Audit Committee recommended to the Board that the audited financial statements for the year ended December 31, 2024 be included in the Company’s Annual Report on Form 10-K for filing with the SEC.</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William A. Hasler, </w:t>
      </w:r>
      <w:r>
        <w:rPr>
          <w:rFonts w:ascii="Arial" w:cs="Arial" w:eastAsia="Arial" w:hAnsi="Arial"/>
          <w:sz w:val="16"/>
          <w:szCs w:val="16"/>
          <w:i w:val="1"/>
          <w:iCs w:val="1"/>
          <w:color w:val="54585A"/>
        </w:rPr>
        <w:t>Chair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Keith O. Cowan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Benjamin G. Wolff</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EB6C10"/>
        </w:rPr>
        <w:t>Compensation Committee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54585A"/>
        </w:rPr>
        <w:t>The current members of the Compensation Committee are Messrs. Monroe and Wolff. Mr. Monroe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1800225" cy="25031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00225" cy="2503170"/>
                    </a:xfrm>
                    <a:prstGeom prst="rect">
                      <a:avLst/>
                    </a:prstGeom>
                    <a:noFill/>
                  </pic:spPr>
                </pic:pic>
              </a:graphicData>
            </a:graphic>
          </wp:anchor>
        </w:drawing>
      </w:r>
    </w:p>
    <w:p>
      <w:pPr>
        <w:sectPr>
          <w:pgSz w:w="11900" w:h="16838" w:orient="portrait"/>
          <w:cols w:equalWidth="0" w:num="1">
            <w:col w:w="11120"/>
          </w:cols>
          <w:pgMar w:left="320" w:top="168" w:right="4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360" w:right="440"/>
        <w:spacing w:after="0" w:line="263" w:lineRule="auto"/>
        <w:rPr>
          <w:sz w:val="20"/>
          <w:szCs w:val="20"/>
          <w:color w:val="auto"/>
        </w:rPr>
      </w:pPr>
      <w:r>
        <w:rPr>
          <w:rFonts w:ascii="Georgia" w:cs="Georgia" w:eastAsia="Georgia" w:hAnsi="Georgia"/>
          <w:sz w:val="21"/>
          <w:szCs w:val="21"/>
          <w:b w:val="1"/>
          <w:bCs w:val="1"/>
          <w:color w:val="EB6C10"/>
        </w:rPr>
        <w:t>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B6C10"/>
        </w:rPr>
        <w:t>Meetings in 2024</w:t>
      </w:r>
    </w:p>
    <w:p>
      <w:pPr>
        <w:spacing w:after="0" w:line="239" w:lineRule="exact"/>
        <w:rPr>
          <w:sz w:val="20"/>
          <w:szCs w:val="20"/>
          <w:color w:val="auto"/>
        </w:rPr>
      </w:pPr>
    </w:p>
    <w:p>
      <w:pPr>
        <w:ind w:left="460" w:hanging="97"/>
        <w:spacing w:after="0"/>
        <w:tabs>
          <w:tab w:leader="none" w:pos="460" w:val="left"/>
        </w:tabs>
        <w:numPr>
          <w:ilvl w:val="0"/>
          <w:numId w:val="26"/>
        </w:numPr>
        <w:rPr>
          <w:rFonts w:ascii="Arial" w:cs="Arial" w:eastAsia="Arial" w:hAnsi="Arial"/>
          <w:sz w:val="17"/>
          <w:szCs w:val="17"/>
          <w:b w:val="1"/>
          <w:bCs w:val="1"/>
          <w:color w:val="EB6C10"/>
        </w:rPr>
      </w:pPr>
      <w:r>
        <w:rPr>
          <w:rFonts w:ascii="Arial" w:cs="Arial" w:eastAsia="Arial" w:hAnsi="Arial"/>
          <w:sz w:val="17"/>
          <w:szCs w:val="17"/>
          <w:color w:val="54585A"/>
        </w:rPr>
        <w:t>Mr. Monroe (Chairman)</w:t>
      </w:r>
    </w:p>
    <w:p>
      <w:pPr>
        <w:spacing w:after="0" w:line="182" w:lineRule="exact"/>
        <w:rPr>
          <w:rFonts w:ascii="Arial" w:cs="Arial" w:eastAsia="Arial" w:hAnsi="Arial"/>
          <w:sz w:val="17"/>
          <w:szCs w:val="17"/>
          <w:b w:val="1"/>
          <w:bCs w:val="1"/>
          <w:color w:val="EB6C10"/>
        </w:rPr>
      </w:pPr>
    </w:p>
    <w:p>
      <w:pPr>
        <w:ind w:left="460" w:hanging="97"/>
        <w:spacing w:after="0"/>
        <w:tabs>
          <w:tab w:leader="none" w:pos="460" w:val="left"/>
        </w:tabs>
        <w:numPr>
          <w:ilvl w:val="0"/>
          <w:numId w:val="26"/>
        </w:numPr>
        <w:rPr>
          <w:rFonts w:ascii="Arial" w:cs="Arial" w:eastAsia="Arial" w:hAnsi="Arial"/>
          <w:sz w:val="18"/>
          <w:szCs w:val="18"/>
          <w:b w:val="1"/>
          <w:bCs w:val="1"/>
          <w:color w:val="EB6C10"/>
        </w:rPr>
      </w:pPr>
      <w:r>
        <w:rPr>
          <w:rFonts w:ascii="Arial" w:cs="Arial" w:eastAsia="Arial" w:hAnsi="Arial"/>
          <w:sz w:val="18"/>
          <w:szCs w:val="18"/>
          <w:color w:val="54585A"/>
        </w:rPr>
        <w:t>Mr. Wolff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54585A"/>
        </w:rPr>
        <w:t>The principal functions of the Compensation Committee include:</w:t>
      </w:r>
    </w:p>
    <w:p>
      <w:pPr>
        <w:spacing w:after="0" w:line="208" w:lineRule="exact"/>
        <w:rPr>
          <w:sz w:val="20"/>
          <w:szCs w:val="20"/>
          <w:color w:val="auto"/>
        </w:rPr>
      </w:pPr>
    </w:p>
    <w:p>
      <w:pPr>
        <w:ind w:left="320" w:right="80" w:hanging="154"/>
        <w:spacing w:after="0" w:line="345" w:lineRule="auto"/>
        <w:tabs>
          <w:tab w:leader="none" w:pos="309" w:val="left"/>
        </w:tabs>
        <w:numPr>
          <w:ilvl w:val="0"/>
          <w:numId w:val="27"/>
        </w:numPr>
        <w:rPr>
          <w:rFonts w:ascii="Arial" w:cs="Arial" w:eastAsia="Arial" w:hAnsi="Arial"/>
          <w:sz w:val="16"/>
          <w:szCs w:val="16"/>
          <w:color w:val="54585A"/>
        </w:rPr>
      </w:pPr>
      <w:r>
        <w:rPr>
          <w:rFonts w:ascii="Arial" w:cs="Arial" w:eastAsia="Arial" w:hAnsi="Arial"/>
          <w:sz w:val="16"/>
          <w:szCs w:val="16"/>
          <w:color w:val="54585A"/>
        </w:rPr>
        <w:t>discharging the responsibilities of the Board relating to compensation of the Company's executive officers, including reviewing and approving corporate goals and objectives relevant to the compensation of our executive officers in light of business strategies and objectives;</w:t>
      </w:r>
    </w:p>
    <w:p>
      <w:pPr>
        <w:spacing w:after="0" w:line="70" w:lineRule="exact"/>
        <w:rPr>
          <w:rFonts w:ascii="Arial" w:cs="Arial" w:eastAsia="Arial" w:hAnsi="Arial"/>
          <w:sz w:val="16"/>
          <w:szCs w:val="16"/>
          <w:color w:val="54585A"/>
        </w:rPr>
      </w:pPr>
    </w:p>
    <w:p>
      <w:pPr>
        <w:ind w:left="320" w:hanging="154"/>
        <w:spacing w:after="0"/>
        <w:tabs>
          <w:tab w:leader="none" w:pos="320" w:val="left"/>
        </w:tabs>
        <w:numPr>
          <w:ilvl w:val="0"/>
          <w:numId w:val="27"/>
        </w:numPr>
        <w:rPr>
          <w:rFonts w:ascii="Arial" w:cs="Arial" w:eastAsia="Arial" w:hAnsi="Arial"/>
          <w:sz w:val="16"/>
          <w:szCs w:val="16"/>
          <w:color w:val="54585A"/>
        </w:rPr>
      </w:pPr>
      <w:r>
        <w:rPr>
          <w:rFonts w:ascii="Arial" w:cs="Arial" w:eastAsia="Arial" w:hAnsi="Arial"/>
          <w:sz w:val="16"/>
          <w:szCs w:val="16"/>
          <w:color w:val="54585A"/>
        </w:rPr>
        <w:t>developing the Company's compensation philosophies and practices generally;</w:t>
      </w:r>
    </w:p>
    <w:p>
      <w:pPr>
        <w:spacing w:after="0" w:line="221" w:lineRule="exact"/>
        <w:rPr>
          <w:rFonts w:ascii="Arial" w:cs="Arial" w:eastAsia="Arial" w:hAnsi="Arial"/>
          <w:sz w:val="16"/>
          <w:szCs w:val="16"/>
          <w:color w:val="54585A"/>
        </w:rPr>
      </w:pPr>
    </w:p>
    <w:p>
      <w:pPr>
        <w:ind w:left="320" w:hanging="154"/>
        <w:spacing w:after="0" w:line="374" w:lineRule="auto"/>
        <w:tabs>
          <w:tab w:leader="none" w:pos="309" w:val="left"/>
        </w:tabs>
        <w:numPr>
          <w:ilvl w:val="0"/>
          <w:numId w:val="27"/>
        </w:numPr>
        <w:rPr>
          <w:rFonts w:ascii="Arial" w:cs="Arial" w:eastAsia="Arial" w:hAnsi="Arial"/>
          <w:sz w:val="16"/>
          <w:szCs w:val="16"/>
          <w:color w:val="54585A"/>
        </w:rPr>
      </w:pPr>
      <w:r>
        <w:rPr>
          <w:rFonts w:ascii="Arial" w:cs="Arial" w:eastAsia="Arial" w:hAnsi="Arial"/>
          <w:sz w:val="16"/>
          <w:szCs w:val="16"/>
          <w:color w:val="54585A"/>
        </w:rPr>
        <w:t>reviewing and recommending to the Board compensation for our chief executive officer and other executive officers;</w:t>
      </w:r>
    </w:p>
    <w:p>
      <w:pPr>
        <w:spacing w:after="0" w:line="34" w:lineRule="exact"/>
        <w:rPr>
          <w:rFonts w:ascii="Arial" w:cs="Arial" w:eastAsia="Arial" w:hAnsi="Arial"/>
          <w:sz w:val="16"/>
          <w:szCs w:val="16"/>
          <w:color w:val="54585A"/>
        </w:rPr>
      </w:pPr>
    </w:p>
    <w:p>
      <w:pPr>
        <w:ind w:left="320" w:right="320" w:hanging="154"/>
        <w:spacing w:after="0" w:line="374" w:lineRule="auto"/>
        <w:tabs>
          <w:tab w:leader="none" w:pos="309" w:val="left"/>
        </w:tabs>
        <w:numPr>
          <w:ilvl w:val="0"/>
          <w:numId w:val="27"/>
        </w:numPr>
        <w:rPr>
          <w:rFonts w:ascii="Arial" w:cs="Arial" w:eastAsia="Arial" w:hAnsi="Arial"/>
          <w:sz w:val="16"/>
          <w:szCs w:val="16"/>
          <w:color w:val="54585A"/>
        </w:rPr>
      </w:pPr>
      <w:r>
        <w:rPr>
          <w:rFonts w:ascii="Arial" w:cs="Arial" w:eastAsia="Arial" w:hAnsi="Arial"/>
          <w:sz w:val="16"/>
          <w:szCs w:val="16"/>
          <w:color w:val="54585A"/>
        </w:rPr>
        <w:t>overseeing the Company's leadership and organizational development, including review of appropriate executive succession planning; and</w:t>
      </w:r>
    </w:p>
    <w:p>
      <w:pPr>
        <w:spacing w:after="0" w:line="47" w:lineRule="exact"/>
        <w:rPr>
          <w:rFonts w:ascii="Arial" w:cs="Arial" w:eastAsia="Arial" w:hAnsi="Arial"/>
          <w:sz w:val="16"/>
          <w:szCs w:val="16"/>
          <w:color w:val="54585A"/>
        </w:rPr>
      </w:pPr>
    </w:p>
    <w:p>
      <w:pPr>
        <w:ind w:left="320" w:right="500" w:hanging="154"/>
        <w:spacing w:after="0" w:line="356" w:lineRule="auto"/>
        <w:tabs>
          <w:tab w:leader="none" w:pos="309" w:val="left"/>
        </w:tabs>
        <w:numPr>
          <w:ilvl w:val="0"/>
          <w:numId w:val="27"/>
        </w:numPr>
        <w:rPr>
          <w:rFonts w:ascii="Arial" w:cs="Arial" w:eastAsia="Arial" w:hAnsi="Arial"/>
          <w:sz w:val="16"/>
          <w:szCs w:val="16"/>
          <w:color w:val="54585A"/>
        </w:rPr>
      </w:pPr>
      <w:r>
        <w:rPr>
          <w:rFonts w:ascii="Arial" w:cs="Arial" w:eastAsia="Arial" w:hAnsi="Arial"/>
          <w:sz w:val="16"/>
          <w:szCs w:val="16"/>
          <w:color w:val="54585A"/>
        </w:rPr>
        <w:t>to the extent appropriate, administering our incentive compensation plans, including the 2006 Equity Incentive Plan (the "Plan").</w:t>
      </w:r>
    </w:p>
    <w:p>
      <w:pPr>
        <w:spacing w:after="0" w:line="200" w:lineRule="exact"/>
        <w:rPr>
          <w:sz w:val="20"/>
          <w:szCs w:val="20"/>
          <w:color w:val="auto"/>
        </w:rPr>
      </w:pPr>
    </w:p>
    <w:p>
      <w:pPr>
        <w:sectPr>
          <w:pgSz w:w="11900" w:h="16838" w:orient="portrait"/>
          <w:cols w:equalWidth="0" w:num="2">
            <w:col w:w="2420" w:space="720"/>
            <w:col w:w="7980"/>
          </w:cols>
          <w:pgMar w:left="320" w:top="168" w:right="45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jc w:val="both"/>
        <w:ind w:right="160"/>
        <w:spacing w:after="0" w:line="345" w:lineRule="auto"/>
        <w:rPr>
          <w:sz w:val="20"/>
          <w:szCs w:val="20"/>
          <w:color w:val="auto"/>
        </w:rPr>
      </w:pPr>
      <w:r>
        <w:rPr>
          <w:rFonts w:ascii="Arial" w:cs="Arial" w:eastAsia="Arial" w:hAnsi="Arial"/>
          <w:sz w:val="16"/>
          <w:szCs w:val="16"/>
          <w:color w:val="54585A"/>
        </w:rPr>
        <w:t>As indicated above, the Compensation Committee is responsible for approving or recommending to the Board the compensation of each of our executive officers and the review of corporate goals and objectives. The Compensation Committee may delegate tasks to a subcommittee for any purpose and with such power and authority as the Compensation Committee deems appropriate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311150</wp:posOffset>
            </wp:positionV>
            <wp:extent cx="257175"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14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68" w:right="459" w:bottom="1440" w:gutter="0" w:footer="0" w:header="0"/>
          <w:type w:val="continuous"/>
        </w:sectPr>
      </w:pPr>
    </w:p>
    <w:bookmarkStart w:id="18" w:name="page19"/>
    <w:bookmarkEnd w:id="18"/>
    <w:p>
      <w:pPr>
        <w:jc w:val="right"/>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340"/>
        <w:spacing w:after="0" w:line="374" w:lineRule="auto"/>
        <w:rPr>
          <w:sz w:val="20"/>
          <w:szCs w:val="20"/>
          <w:color w:val="auto"/>
        </w:rPr>
      </w:pPr>
      <w:r>
        <w:rPr>
          <w:rFonts w:ascii="Arial" w:cs="Arial" w:eastAsia="Arial" w:hAnsi="Arial"/>
          <w:sz w:val="16"/>
          <w:szCs w:val="16"/>
          <w:color w:val="54585A"/>
        </w:rPr>
        <w:t>The Compensation Committee makes decisions on all components of compensation for all employees at the vice president level and above and reviews employees at the manager level and below for bonus and equity awards based upon input from executive officers in charge of each business unit.</w:t>
      </w:r>
    </w:p>
    <w:p>
      <w:pPr>
        <w:spacing w:after="0" w:line="88" w:lineRule="exact"/>
        <w:rPr>
          <w:sz w:val="20"/>
          <w:szCs w:val="20"/>
          <w:color w:val="auto"/>
        </w:rPr>
      </w:pPr>
    </w:p>
    <w:p>
      <w:pPr>
        <w:ind w:right="280"/>
        <w:spacing w:after="0" w:line="374" w:lineRule="auto"/>
        <w:rPr>
          <w:sz w:val="20"/>
          <w:szCs w:val="20"/>
          <w:color w:val="auto"/>
        </w:rPr>
      </w:pPr>
      <w:r>
        <w:rPr>
          <w:rFonts w:ascii="Arial" w:cs="Arial" w:eastAsia="Arial" w:hAnsi="Arial"/>
          <w:sz w:val="16"/>
          <w:szCs w:val="16"/>
          <w:color w:val="54585A"/>
        </w:rPr>
        <w:t>The Compensation Committee meets as often as it determines necessary to discharge its responsibilities. The Committee may hold follow-up conference calls and act by written consent between its regularly scheduled meetings. In 2024, the Compensation Committee held three meetings.</w:t>
      </w:r>
    </w:p>
    <w:p>
      <w:pPr>
        <w:spacing w:after="0" w:line="88"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54585A"/>
        </w:rPr>
        <w:t>Under its charter, the Compensation Committee has the authority to retain and terminate compensation consultants used to assist in the evaluation of executive officer compensation. During 2024, the Company, on behalf of the Compensation Committee, engaged a consultant to evaluate compensation for its named executive officers as well as other vice presidents of the Company. The Compensation Committee's charter is available at our website at investors.globalstar.com under "Governance."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54585A"/>
        </w:rPr>
        <w:t>The Compensation Committee has furnished the following report for inclusion in this proxy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EB6C10"/>
        </w:rPr>
        <w:t>Nominating and Governance Committee</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54585A"/>
        </w:rPr>
        <w:t>The current members of the Nominating and Governance Committee are Messrs. Cowan and Monroe. Mr. Monroe serves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1791335" cy="25628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91335" cy="256286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360" w:right="260"/>
        <w:spacing w:after="0" w:line="260" w:lineRule="auto"/>
        <w:rPr>
          <w:sz w:val="20"/>
          <w:szCs w:val="20"/>
          <w:color w:val="auto"/>
        </w:rPr>
      </w:pPr>
      <w:r>
        <w:rPr>
          <w:rFonts w:ascii="Georgia" w:cs="Georgia" w:eastAsia="Georgia" w:hAnsi="Georgia"/>
          <w:sz w:val="21"/>
          <w:szCs w:val="21"/>
          <w:b w:val="1"/>
          <w:bCs w:val="1"/>
          <w:color w:val="EB6C10"/>
        </w:rPr>
        <w:t>Nominating and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B6C10"/>
        </w:rPr>
        <w:t>Meeting in 2024</w:t>
      </w:r>
    </w:p>
    <w:p>
      <w:pPr>
        <w:spacing w:after="0" w:line="239" w:lineRule="exact"/>
        <w:rPr>
          <w:sz w:val="20"/>
          <w:szCs w:val="20"/>
          <w:color w:val="auto"/>
        </w:rPr>
      </w:pPr>
    </w:p>
    <w:p>
      <w:pPr>
        <w:ind w:left="460" w:hanging="97"/>
        <w:spacing w:after="0"/>
        <w:tabs>
          <w:tab w:leader="none" w:pos="460" w:val="left"/>
        </w:tabs>
        <w:numPr>
          <w:ilvl w:val="0"/>
          <w:numId w:val="28"/>
        </w:numPr>
        <w:rPr>
          <w:rFonts w:ascii="Arial" w:cs="Arial" w:eastAsia="Arial" w:hAnsi="Arial"/>
          <w:sz w:val="17"/>
          <w:szCs w:val="17"/>
          <w:b w:val="1"/>
          <w:bCs w:val="1"/>
          <w:color w:val="EB6C10"/>
        </w:rPr>
      </w:pPr>
      <w:r>
        <w:rPr>
          <w:rFonts w:ascii="Arial" w:cs="Arial" w:eastAsia="Arial" w:hAnsi="Arial"/>
          <w:sz w:val="17"/>
          <w:szCs w:val="17"/>
          <w:color w:val="54585A"/>
        </w:rPr>
        <w:t>Mr. Monroe (Chairman)</w:t>
      </w:r>
    </w:p>
    <w:p>
      <w:pPr>
        <w:spacing w:after="0" w:line="182" w:lineRule="exact"/>
        <w:rPr>
          <w:rFonts w:ascii="Arial" w:cs="Arial" w:eastAsia="Arial" w:hAnsi="Arial"/>
          <w:sz w:val="17"/>
          <w:szCs w:val="17"/>
          <w:b w:val="1"/>
          <w:bCs w:val="1"/>
          <w:color w:val="EB6C10"/>
        </w:rPr>
      </w:pPr>
    </w:p>
    <w:p>
      <w:pPr>
        <w:ind w:left="460" w:hanging="97"/>
        <w:spacing w:after="0"/>
        <w:tabs>
          <w:tab w:leader="none" w:pos="460" w:val="left"/>
        </w:tabs>
        <w:numPr>
          <w:ilvl w:val="0"/>
          <w:numId w:val="28"/>
        </w:numPr>
        <w:rPr>
          <w:rFonts w:ascii="Arial" w:cs="Arial" w:eastAsia="Arial" w:hAnsi="Arial"/>
          <w:sz w:val="18"/>
          <w:szCs w:val="18"/>
          <w:b w:val="1"/>
          <w:bCs w:val="1"/>
          <w:color w:val="EB6C10"/>
        </w:rPr>
      </w:pPr>
      <w:r>
        <w:rPr>
          <w:rFonts w:ascii="Arial" w:cs="Arial" w:eastAsia="Arial" w:hAnsi="Arial"/>
          <w:sz w:val="18"/>
          <w:szCs w:val="18"/>
          <w:color w:val="54585A"/>
        </w:rPr>
        <w:t>Mr. Cowan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54585A"/>
        </w:rPr>
        <w:t>The principal functions of the Nominating and Governance Committee include:</w:t>
      </w:r>
    </w:p>
    <w:p>
      <w:pPr>
        <w:spacing w:after="0" w:line="235" w:lineRule="exact"/>
        <w:rPr>
          <w:sz w:val="20"/>
          <w:szCs w:val="20"/>
          <w:color w:val="auto"/>
        </w:rPr>
      </w:pPr>
    </w:p>
    <w:p>
      <w:pPr>
        <w:ind w:left="320" w:right="60" w:hanging="167"/>
        <w:spacing w:after="0" w:line="356" w:lineRule="auto"/>
        <w:tabs>
          <w:tab w:leader="none" w:pos="309" w:val="left"/>
        </w:tabs>
        <w:numPr>
          <w:ilvl w:val="0"/>
          <w:numId w:val="29"/>
        </w:numPr>
        <w:rPr>
          <w:rFonts w:ascii="Arial" w:cs="Arial" w:eastAsia="Arial" w:hAnsi="Arial"/>
          <w:sz w:val="16"/>
          <w:szCs w:val="16"/>
          <w:color w:val="54585A"/>
        </w:rPr>
      </w:pPr>
      <w:r>
        <w:rPr>
          <w:rFonts w:ascii="Arial" w:cs="Arial" w:eastAsia="Arial" w:hAnsi="Arial"/>
          <w:sz w:val="16"/>
          <w:szCs w:val="16"/>
          <w:color w:val="54585A"/>
        </w:rPr>
        <w:t>identifying and recommending to the Board qualified candidates to fill vacancies on the Board in accordance with the committee's charter (subject to the authority of the Strategic Review Committee);</w:t>
      </w:r>
    </w:p>
    <w:p>
      <w:pPr>
        <w:spacing w:after="0" w:line="61" w:lineRule="exact"/>
        <w:rPr>
          <w:rFonts w:ascii="Arial" w:cs="Arial" w:eastAsia="Arial" w:hAnsi="Arial"/>
          <w:sz w:val="16"/>
          <w:szCs w:val="16"/>
          <w:color w:val="54585A"/>
        </w:rPr>
      </w:pPr>
    </w:p>
    <w:p>
      <w:pPr>
        <w:ind w:left="320" w:right="440" w:hanging="167"/>
        <w:spacing w:after="0" w:line="356" w:lineRule="auto"/>
        <w:tabs>
          <w:tab w:leader="none" w:pos="309" w:val="left"/>
        </w:tabs>
        <w:numPr>
          <w:ilvl w:val="0"/>
          <w:numId w:val="29"/>
        </w:numPr>
        <w:rPr>
          <w:rFonts w:ascii="Arial" w:cs="Arial" w:eastAsia="Arial" w:hAnsi="Arial"/>
          <w:sz w:val="16"/>
          <w:szCs w:val="16"/>
          <w:color w:val="54585A"/>
        </w:rPr>
      </w:pPr>
      <w:r>
        <w:rPr>
          <w:rFonts w:ascii="Arial" w:cs="Arial" w:eastAsia="Arial" w:hAnsi="Arial"/>
          <w:sz w:val="16"/>
          <w:szCs w:val="16"/>
          <w:color w:val="54585A"/>
        </w:rPr>
        <w:t>recommending to the Board candidates to be nominated for election as directors at annual meetings of stockholders (subject to the authority of the Strategic Review Committee);</w:t>
      </w:r>
    </w:p>
    <w:p>
      <w:pPr>
        <w:spacing w:after="0" w:line="61" w:lineRule="exact"/>
        <w:rPr>
          <w:rFonts w:ascii="Arial" w:cs="Arial" w:eastAsia="Arial" w:hAnsi="Arial"/>
          <w:sz w:val="16"/>
          <w:szCs w:val="16"/>
          <w:color w:val="54585A"/>
        </w:rPr>
      </w:pPr>
    </w:p>
    <w:p>
      <w:pPr>
        <w:ind w:left="300" w:hanging="147"/>
        <w:spacing w:after="0"/>
        <w:tabs>
          <w:tab w:leader="none" w:pos="300" w:val="left"/>
        </w:tabs>
        <w:numPr>
          <w:ilvl w:val="0"/>
          <w:numId w:val="29"/>
        </w:numPr>
        <w:rPr>
          <w:rFonts w:ascii="Arial" w:cs="Arial" w:eastAsia="Arial" w:hAnsi="Arial"/>
          <w:sz w:val="16"/>
          <w:szCs w:val="16"/>
          <w:color w:val="54585A"/>
        </w:rPr>
      </w:pPr>
      <w:r>
        <w:rPr>
          <w:rFonts w:ascii="Arial" w:cs="Arial" w:eastAsia="Arial" w:hAnsi="Arial"/>
          <w:sz w:val="16"/>
          <w:szCs w:val="16"/>
          <w:color w:val="54585A"/>
        </w:rPr>
        <w:t>considering stockholder suggestions for nominees for director;</w:t>
      </w:r>
    </w:p>
    <w:p>
      <w:pPr>
        <w:spacing w:after="0" w:line="180" w:lineRule="exact"/>
        <w:rPr>
          <w:rFonts w:ascii="Arial" w:cs="Arial" w:eastAsia="Arial" w:hAnsi="Arial"/>
          <w:sz w:val="16"/>
          <w:szCs w:val="16"/>
          <w:color w:val="54585A"/>
        </w:rPr>
      </w:pPr>
    </w:p>
    <w:p>
      <w:pPr>
        <w:ind w:left="300" w:hanging="147"/>
        <w:spacing w:after="0"/>
        <w:tabs>
          <w:tab w:leader="none" w:pos="300" w:val="left"/>
        </w:tabs>
        <w:numPr>
          <w:ilvl w:val="0"/>
          <w:numId w:val="29"/>
        </w:numPr>
        <w:rPr>
          <w:rFonts w:ascii="Arial" w:cs="Arial" w:eastAsia="Arial" w:hAnsi="Arial"/>
          <w:sz w:val="16"/>
          <w:szCs w:val="16"/>
          <w:color w:val="54585A"/>
        </w:rPr>
      </w:pPr>
      <w:r>
        <w:rPr>
          <w:rFonts w:ascii="Arial" w:cs="Arial" w:eastAsia="Arial" w:hAnsi="Arial"/>
          <w:sz w:val="16"/>
          <w:szCs w:val="16"/>
          <w:color w:val="54585A"/>
        </w:rPr>
        <w:t>making recommendations to the Board regarding corporate governance matters and practices;</w:t>
      </w:r>
    </w:p>
    <w:p>
      <w:pPr>
        <w:spacing w:after="0" w:line="167" w:lineRule="exact"/>
        <w:rPr>
          <w:rFonts w:ascii="Arial" w:cs="Arial" w:eastAsia="Arial" w:hAnsi="Arial"/>
          <w:sz w:val="16"/>
          <w:szCs w:val="16"/>
          <w:color w:val="54585A"/>
        </w:rPr>
      </w:pPr>
    </w:p>
    <w:p>
      <w:pPr>
        <w:ind w:left="300" w:hanging="147"/>
        <w:spacing w:after="0"/>
        <w:tabs>
          <w:tab w:leader="none" w:pos="300" w:val="left"/>
        </w:tabs>
        <w:numPr>
          <w:ilvl w:val="0"/>
          <w:numId w:val="29"/>
        </w:numPr>
        <w:rPr>
          <w:rFonts w:ascii="Arial" w:cs="Arial" w:eastAsia="Arial" w:hAnsi="Arial"/>
          <w:sz w:val="16"/>
          <w:szCs w:val="16"/>
          <w:color w:val="54585A"/>
        </w:rPr>
      </w:pPr>
      <w:r>
        <w:rPr>
          <w:rFonts w:ascii="Arial" w:cs="Arial" w:eastAsia="Arial" w:hAnsi="Arial"/>
          <w:sz w:val="16"/>
          <w:szCs w:val="16"/>
          <w:color w:val="54585A"/>
        </w:rPr>
        <w:t>reviewing and making recommendations to the Board regarding director compensation; and</w:t>
      </w:r>
    </w:p>
    <w:p>
      <w:pPr>
        <w:spacing w:after="0" w:line="180" w:lineRule="exact"/>
        <w:rPr>
          <w:rFonts w:ascii="Arial" w:cs="Arial" w:eastAsia="Arial" w:hAnsi="Arial"/>
          <w:sz w:val="16"/>
          <w:szCs w:val="16"/>
          <w:color w:val="54585A"/>
        </w:rPr>
      </w:pPr>
    </w:p>
    <w:p>
      <w:pPr>
        <w:ind w:left="320" w:right="540" w:hanging="167"/>
        <w:spacing w:after="0" w:line="356" w:lineRule="auto"/>
        <w:tabs>
          <w:tab w:leader="none" w:pos="309" w:val="left"/>
        </w:tabs>
        <w:numPr>
          <w:ilvl w:val="0"/>
          <w:numId w:val="29"/>
        </w:numPr>
        <w:rPr>
          <w:rFonts w:ascii="Arial" w:cs="Arial" w:eastAsia="Arial" w:hAnsi="Arial"/>
          <w:sz w:val="16"/>
          <w:szCs w:val="16"/>
          <w:color w:val="54585A"/>
        </w:rPr>
      </w:pPr>
      <w:r>
        <w:rPr>
          <w:rFonts w:ascii="Arial" w:cs="Arial" w:eastAsia="Arial" w:hAnsi="Arial"/>
          <w:sz w:val="16"/>
          <w:szCs w:val="16"/>
          <w:color w:val="54585A"/>
        </w:rPr>
        <w:t>reviewing public policy matters of importance to our stockholders, including oversight of our corporate responsibility program.</w:t>
      </w:r>
    </w:p>
    <w:p>
      <w:pPr>
        <w:spacing w:after="0" w:line="301" w:lineRule="exact"/>
        <w:rPr>
          <w:sz w:val="20"/>
          <w:szCs w:val="20"/>
          <w:color w:val="auto"/>
        </w:rPr>
      </w:pPr>
    </w:p>
    <w:p>
      <w:pPr>
        <w:sectPr>
          <w:pgSz w:w="11900" w:h="16838" w:orient="portrait"/>
          <w:cols w:equalWidth="0" w:num="2">
            <w:col w:w="2420" w:space="720"/>
            <w:col w:w="810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34" w:lineRule="auto"/>
        <w:rPr>
          <w:sz w:val="20"/>
          <w:szCs w:val="20"/>
          <w:color w:val="auto"/>
        </w:rPr>
      </w:pPr>
      <w:r>
        <w:rPr>
          <w:rFonts w:ascii="Arial" w:cs="Arial" w:eastAsia="Arial" w:hAnsi="Arial"/>
          <w:sz w:val="16"/>
          <w:szCs w:val="16"/>
          <w:color w:val="54585A"/>
        </w:rPr>
        <w:t>The Nominating and Governance Committee met one time in 2024. We do not currently employ an executive search firm, or pay a fee to any other third party, to locate or evaluate qualified candidates for director positions. The Board and the Nominating and Governance Committee believe that the minimum qualifications (whether a candidate is recommended by a stockholder, management or the Board) for serving as a director are that a nominee demonstrate, by significant accomplishment in his or her field, an ability to make a meaningful contribution to the Board’s oversight of our business and have an impeccable record and reputation for honest and ethical conduct in his or her professional and personal activities. The Nominating and Governance Committee, as well as any search firm or consultant it may engage, includes candidates with a diversity of race, ethnicity and gender in the pool from which it selects director candidates. The Nominating and Governance Committee's charter is available for review on our website at investors.globalstar.com under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473710</wp:posOffset>
            </wp:positionV>
            <wp:extent cx="257175" cy="2571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ind w:left="100" w:hanging="92"/>
        <w:spacing w:after="0"/>
        <w:tabs>
          <w:tab w:leader="none" w:pos="100" w:val="left"/>
        </w:tabs>
        <w:numPr>
          <w:ilvl w:val="0"/>
          <w:numId w:val="30"/>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20"/>
        <w:spacing w:after="0" w:line="335" w:lineRule="auto"/>
        <w:rPr>
          <w:sz w:val="20"/>
          <w:szCs w:val="20"/>
          <w:color w:val="auto"/>
        </w:rPr>
      </w:pPr>
      <w:r>
        <w:rPr>
          <w:rFonts w:ascii="Arial" w:cs="Arial" w:eastAsia="Arial" w:hAnsi="Arial"/>
          <w:sz w:val="16"/>
          <w:szCs w:val="16"/>
          <w:color w:val="54585A"/>
        </w:rPr>
        <w:t>The Board has not established formal procedures for stockholders to submit director recommendations; however, such recommendations may be sent by U.S. Postal Service mail to the Globalstar Nominating and Governance Committee, c/o Corporate Secretary, 1351 Holiday Square Blvd., Covington, LA 70433, or by e-mail to corporate.secretary@globalstar.com, and should be sent by not later than December 31 of the year before the year in which the director candidate is recommended for election. If we were to receive such a recommendation of a candidate from a stockholder, the Nominating and Governance Committee would consider the recommendation in the same manner as all other candidates. In considering candidates submitted by stockholders, the Nominating and Governance Committee will take into consideration the needs of the Board and the qualifications of the candidate.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EB6C10"/>
        </w:rPr>
        <w:t>Strategic Review Committee</w:t>
      </w:r>
    </w:p>
    <w:p>
      <w:pPr>
        <w:spacing w:after="0" w:line="95"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54585A"/>
        </w:rPr>
        <w:t>The current members of the Strategic Review Committee are Messrs. Cowan, Taylor, Hasler and Wolff. Mr. Wolff serves as Chairman. The Strategic Review Committee is required to remain in existence for as long as Thermo and its affiliates beneficially own forty-five percent (45%) or more of Globalstar’s outstanding common stock (the “Thermo Minimum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1791335" cy="4080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91335" cy="4080510"/>
                    </a:xfrm>
                    <a:prstGeom prst="rect">
                      <a:avLst/>
                    </a:prstGeom>
                    <a:noFill/>
                  </pic:spPr>
                </pic:pic>
              </a:graphicData>
            </a:graphic>
          </wp:anchor>
        </w:drawing>
      </w:r>
    </w:p>
    <w:p>
      <w:pPr>
        <w:sectPr>
          <w:pgSz w:w="11900" w:h="16838" w:orient="portrait"/>
          <w:cols w:equalWidth="0" w:num="1">
            <w:col w:w="11180"/>
          </w:cols>
          <w:pgMar w:left="320" w:top="168" w:right="399" w:bottom="1440" w:gutter="0" w:footer="0" w:header="0"/>
        </w:sectPr>
      </w:pPr>
    </w:p>
    <w:p>
      <w:pPr>
        <w:spacing w:after="0" w:line="373" w:lineRule="exact"/>
        <w:rPr>
          <w:sz w:val="20"/>
          <w:szCs w:val="20"/>
          <w:color w:val="auto"/>
        </w:rPr>
      </w:pPr>
    </w:p>
    <w:p>
      <w:pPr>
        <w:ind w:left="360" w:right="200"/>
        <w:spacing w:after="0" w:line="277" w:lineRule="auto"/>
        <w:rPr>
          <w:sz w:val="20"/>
          <w:szCs w:val="20"/>
          <w:color w:val="auto"/>
        </w:rPr>
      </w:pPr>
      <w:r>
        <w:rPr>
          <w:rFonts w:ascii="Georgia" w:cs="Georgia" w:eastAsia="Georgia" w:hAnsi="Georgia"/>
          <w:sz w:val="21"/>
          <w:szCs w:val="21"/>
          <w:b w:val="1"/>
          <w:bCs w:val="1"/>
          <w:color w:val="EB6C10"/>
        </w:rPr>
        <w:t>Strategic Review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EB6C10"/>
        </w:rPr>
        <w:t>Meetings in 2024</w:t>
      </w:r>
    </w:p>
    <w:p>
      <w:pPr>
        <w:spacing w:after="0" w:line="198" w:lineRule="exact"/>
        <w:rPr>
          <w:sz w:val="20"/>
          <w:szCs w:val="20"/>
          <w:color w:val="auto"/>
        </w:rPr>
      </w:pPr>
    </w:p>
    <w:p>
      <w:pPr>
        <w:ind w:left="460" w:hanging="97"/>
        <w:spacing w:after="0"/>
        <w:tabs>
          <w:tab w:leader="none" w:pos="460" w:val="left"/>
        </w:tabs>
        <w:numPr>
          <w:ilvl w:val="0"/>
          <w:numId w:val="31"/>
        </w:numPr>
        <w:rPr>
          <w:rFonts w:ascii="Arial" w:cs="Arial" w:eastAsia="Arial" w:hAnsi="Arial"/>
          <w:sz w:val="18"/>
          <w:szCs w:val="18"/>
          <w:b w:val="1"/>
          <w:bCs w:val="1"/>
          <w:color w:val="EB6C10"/>
        </w:rPr>
      </w:pPr>
      <w:r>
        <w:rPr>
          <w:rFonts w:ascii="Arial" w:cs="Arial" w:eastAsia="Arial" w:hAnsi="Arial"/>
          <w:sz w:val="18"/>
          <w:szCs w:val="18"/>
          <w:color w:val="54585A"/>
        </w:rPr>
        <w:t>Mr. Wolff (Chairman)</w:t>
      </w:r>
    </w:p>
    <w:p>
      <w:pPr>
        <w:spacing w:after="0" w:line="184" w:lineRule="exact"/>
        <w:rPr>
          <w:rFonts w:ascii="Arial" w:cs="Arial" w:eastAsia="Arial" w:hAnsi="Arial"/>
          <w:sz w:val="18"/>
          <w:szCs w:val="18"/>
          <w:b w:val="1"/>
          <w:bCs w:val="1"/>
          <w:color w:val="EB6C10"/>
        </w:rPr>
      </w:pPr>
    </w:p>
    <w:p>
      <w:pPr>
        <w:ind w:left="460" w:hanging="97"/>
        <w:spacing w:after="0"/>
        <w:tabs>
          <w:tab w:leader="none" w:pos="460" w:val="left"/>
        </w:tabs>
        <w:numPr>
          <w:ilvl w:val="0"/>
          <w:numId w:val="31"/>
        </w:numPr>
        <w:rPr>
          <w:rFonts w:ascii="Arial" w:cs="Arial" w:eastAsia="Arial" w:hAnsi="Arial"/>
          <w:sz w:val="18"/>
          <w:szCs w:val="18"/>
          <w:b w:val="1"/>
          <w:bCs w:val="1"/>
          <w:color w:val="EB6C10"/>
        </w:rPr>
      </w:pPr>
      <w:r>
        <w:rPr>
          <w:rFonts w:ascii="Arial" w:cs="Arial" w:eastAsia="Arial" w:hAnsi="Arial"/>
          <w:sz w:val="18"/>
          <w:szCs w:val="18"/>
          <w:color w:val="54585A"/>
        </w:rPr>
        <w:t>Mr. Cowan</w:t>
      </w:r>
    </w:p>
    <w:p>
      <w:pPr>
        <w:spacing w:after="0" w:line="184" w:lineRule="exact"/>
        <w:rPr>
          <w:rFonts w:ascii="Arial" w:cs="Arial" w:eastAsia="Arial" w:hAnsi="Arial"/>
          <w:sz w:val="18"/>
          <w:szCs w:val="18"/>
          <w:b w:val="1"/>
          <w:bCs w:val="1"/>
          <w:color w:val="EB6C10"/>
        </w:rPr>
      </w:pPr>
    </w:p>
    <w:p>
      <w:pPr>
        <w:ind w:left="460" w:hanging="97"/>
        <w:spacing w:after="0"/>
        <w:tabs>
          <w:tab w:leader="none" w:pos="460" w:val="left"/>
        </w:tabs>
        <w:numPr>
          <w:ilvl w:val="0"/>
          <w:numId w:val="31"/>
        </w:numPr>
        <w:rPr>
          <w:rFonts w:ascii="Arial" w:cs="Arial" w:eastAsia="Arial" w:hAnsi="Arial"/>
          <w:sz w:val="18"/>
          <w:szCs w:val="18"/>
          <w:b w:val="1"/>
          <w:bCs w:val="1"/>
          <w:color w:val="EB6C10"/>
        </w:rPr>
      </w:pPr>
      <w:r>
        <w:rPr>
          <w:rFonts w:ascii="Arial" w:cs="Arial" w:eastAsia="Arial" w:hAnsi="Arial"/>
          <w:sz w:val="18"/>
          <w:szCs w:val="18"/>
          <w:color w:val="54585A"/>
        </w:rPr>
        <w:t>Mr. Hasler</w:t>
      </w:r>
    </w:p>
    <w:p>
      <w:pPr>
        <w:spacing w:after="0" w:line="171" w:lineRule="exact"/>
        <w:rPr>
          <w:rFonts w:ascii="Arial" w:cs="Arial" w:eastAsia="Arial" w:hAnsi="Arial"/>
          <w:sz w:val="18"/>
          <w:szCs w:val="18"/>
          <w:b w:val="1"/>
          <w:bCs w:val="1"/>
          <w:color w:val="EB6C10"/>
        </w:rPr>
      </w:pPr>
    </w:p>
    <w:p>
      <w:pPr>
        <w:ind w:left="460" w:hanging="97"/>
        <w:spacing w:after="0"/>
        <w:tabs>
          <w:tab w:leader="none" w:pos="460" w:val="left"/>
        </w:tabs>
        <w:numPr>
          <w:ilvl w:val="0"/>
          <w:numId w:val="31"/>
        </w:numPr>
        <w:rPr>
          <w:rFonts w:ascii="Arial" w:cs="Arial" w:eastAsia="Arial" w:hAnsi="Arial"/>
          <w:sz w:val="18"/>
          <w:szCs w:val="18"/>
          <w:b w:val="1"/>
          <w:bCs w:val="1"/>
          <w:color w:val="EB6C10"/>
        </w:rPr>
      </w:pPr>
      <w:r>
        <w:rPr>
          <w:rFonts w:ascii="Arial" w:cs="Arial" w:eastAsia="Arial" w:hAnsi="Arial"/>
          <w:sz w:val="18"/>
          <w:szCs w:val="18"/>
          <w:color w:val="54585A"/>
        </w:rPr>
        <w:t>Mr. Taylor</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54585A"/>
        </w:rPr>
        <w:t>The principal functions of the Strategic Review Committee include:</w:t>
      </w:r>
    </w:p>
    <w:p>
      <w:pPr>
        <w:spacing w:after="0" w:line="235" w:lineRule="exact"/>
        <w:rPr>
          <w:sz w:val="20"/>
          <w:szCs w:val="20"/>
          <w:color w:val="auto"/>
        </w:rPr>
      </w:pPr>
    </w:p>
    <w:p>
      <w:pPr>
        <w:ind w:left="320" w:right="20" w:hanging="167"/>
        <w:spacing w:after="0" w:line="345" w:lineRule="auto"/>
        <w:tabs>
          <w:tab w:leader="none" w:pos="309" w:val="left"/>
        </w:tabs>
        <w:numPr>
          <w:ilvl w:val="0"/>
          <w:numId w:val="32"/>
        </w:numPr>
        <w:rPr>
          <w:rFonts w:ascii="Arial" w:cs="Arial" w:eastAsia="Arial" w:hAnsi="Arial"/>
          <w:sz w:val="16"/>
          <w:szCs w:val="16"/>
          <w:color w:val="54585A"/>
        </w:rPr>
      </w:pPr>
      <w:r>
        <w:rPr>
          <w:rFonts w:ascii="Arial" w:cs="Arial" w:eastAsia="Arial" w:hAnsi="Arial"/>
          <w:sz w:val="16"/>
          <w:szCs w:val="16"/>
          <w:color w:val="54585A"/>
        </w:rPr>
        <w:t>Unless the Strategic Review Committee is prohibited under applicable law from having the power or authority to act on any of the following matters, the Strategic Review Committee has exclusive responsibility for oversight, review, and approval (to the extent permitted by law) or disapproval of the following:</w:t>
      </w:r>
    </w:p>
    <w:p>
      <w:pPr>
        <w:spacing w:after="0" w:line="124" w:lineRule="exact"/>
        <w:rPr>
          <w:rFonts w:ascii="Arial" w:cs="Arial" w:eastAsia="Arial" w:hAnsi="Arial"/>
          <w:sz w:val="16"/>
          <w:szCs w:val="16"/>
          <w:color w:val="54585A"/>
        </w:rPr>
      </w:pPr>
    </w:p>
    <w:p>
      <w:pPr>
        <w:ind w:left="640" w:right="20" w:hanging="163"/>
        <w:spacing w:after="0" w:line="356" w:lineRule="auto"/>
        <w:tabs>
          <w:tab w:leader="none" w:pos="629" w:val="left"/>
        </w:tabs>
        <w:numPr>
          <w:ilvl w:val="1"/>
          <w:numId w:val="32"/>
        </w:numPr>
        <w:rPr>
          <w:rFonts w:ascii="Arial" w:cs="Arial" w:eastAsia="Arial" w:hAnsi="Arial"/>
          <w:sz w:val="16"/>
          <w:szCs w:val="16"/>
          <w:color w:val="54585A"/>
        </w:rPr>
      </w:pPr>
      <w:r>
        <w:rPr>
          <w:rFonts w:ascii="Arial" w:cs="Arial" w:eastAsia="Arial" w:hAnsi="Arial"/>
          <w:sz w:val="16"/>
          <w:szCs w:val="16"/>
          <w:color w:val="54585A"/>
        </w:rPr>
        <w:t>any acquisition by Thermo of additional newly-issued securities of the Company (other than pursuant to a Permitted Financing (as defined below));</w:t>
      </w:r>
    </w:p>
    <w:p>
      <w:pPr>
        <w:spacing w:after="0" w:line="115" w:lineRule="exact"/>
        <w:rPr>
          <w:rFonts w:ascii="Arial" w:cs="Arial" w:eastAsia="Arial" w:hAnsi="Arial"/>
          <w:sz w:val="16"/>
          <w:szCs w:val="16"/>
          <w:color w:val="54585A"/>
        </w:rPr>
      </w:pPr>
    </w:p>
    <w:p>
      <w:pPr>
        <w:ind w:left="640" w:right="140" w:hanging="163"/>
        <w:spacing w:after="0" w:line="374" w:lineRule="auto"/>
        <w:tabs>
          <w:tab w:leader="none" w:pos="629" w:val="left"/>
        </w:tabs>
        <w:numPr>
          <w:ilvl w:val="1"/>
          <w:numId w:val="32"/>
        </w:numPr>
        <w:rPr>
          <w:rFonts w:ascii="Arial" w:cs="Arial" w:eastAsia="Arial" w:hAnsi="Arial"/>
          <w:sz w:val="16"/>
          <w:szCs w:val="16"/>
          <w:color w:val="54585A"/>
        </w:rPr>
      </w:pPr>
      <w:r>
        <w:rPr>
          <w:rFonts w:ascii="Arial" w:cs="Arial" w:eastAsia="Arial" w:hAnsi="Arial"/>
          <w:sz w:val="16"/>
          <w:szCs w:val="16"/>
          <w:color w:val="54585A"/>
        </w:rPr>
        <w:t>any extraordinary corporate transaction, such as a merger, reorganization, or liquidation, involving the Company or any of its subsidiaries;</w:t>
      </w:r>
    </w:p>
    <w:p>
      <w:pPr>
        <w:spacing w:after="0" w:line="88" w:lineRule="exact"/>
        <w:rPr>
          <w:rFonts w:ascii="Arial" w:cs="Arial" w:eastAsia="Arial" w:hAnsi="Arial"/>
          <w:sz w:val="16"/>
          <w:szCs w:val="16"/>
          <w:color w:val="54585A"/>
        </w:rPr>
      </w:pPr>
    </w:p>
    <w:p>
      <w:pPr>
        <w:ind w:left="640" w:right="120" w:hanging="163"/>
        <w:spacing w:after="0" w:line="374" w:lineRule="auto"/>
        <w:tabs>
          <w:tab w:leader="none" w:pos="629" w:val="left"/>
        </w:tabs>
        <w:numPr>
          <w:ilvl w:val="1"/>
          <w:numId w:val="32"/>
        </w:numPr>
        <w:rPr>
          <w:rFonts w:ascii="Arial" w:cs="Arial" w:eastAsia="Arial" w:hAnsi="Arial"/>
          <w:sz w:val="16"/>
          <w:szCs w:val="16"/>
          <w:color w:val="54585A"/>
        </w:rPr>
      </w:pPr>
      <w:r>
        <w:rPr>
          <w:rFonts w:ascii="Arial" w:cs="Arial" w:eastAsia="Arial" w:hAnsi="Arial"/>
          <w:sz w:val="16"/>
          <w:szCs w:val="16"/>
          <w:color w:val="54585A"/>
        </w:rPr>
        <w:t>any sale or transfer of a material amount of assets of the Company or any sale or transfer of assets of any of the Company’s subsidiaries which are material to the Company;</w:t>
      </w:r>
    </w:p>
    <w:p>
      <w:pPr>
        <w:spacing w:after="0" w:line="88" w:lineRule="exact"/>
        <w:rPr>
          <w:rFonts w:ascii="Arial" w:cs="Arial" w:eastAsia="Arial" w:hAnsi="Arial"/>
          <w:sz w:val="16"/>
          <w:szCs w:val="16"/>
          <w:color w:val="54585A"/>
        </w:rPr>
      </w:pPr>
    </w:p>
    <w:p>
      <w:pPr>
        <w:ind w:left="640" w:right="80" w:hanging="163"/>
        <w:spacing w:after="0" w:line="340" w:lineRule="auto"/>
        <w:tabs>
          <w:tab w:leader="none" w:pos="629" w:val="left"/>
        </w:tabs>
        <w:numPr>
          <w:ilvl w:val="1"/>
          <w:numId w:val="32"/>
        </w:numPr>
        <w:rPr>
          <w:rFonts w:ascii="Arial" w:cs="Arial" w:eastAsia="Arial" w:hAnsi="Arial"/>
          <w:sz w:val="16"/>
          <w:szCs w:val="16"/>
          <w:color w:val="54585A"/>
        </w:rPr>
      </w:pPr>
      <w:r>
        <w:rPr>
          <w:rFonts w:ascii="Arial" w:cs="Arial" w:eastAsia="Arial" w:hAnsi="Arial"/>
          <w:sz w:val="16"/>
          <w:szCs w:val="16"/>
          <w:color w:val="54585A"/>
        </w:rPr>
        <w:t>any change in the Board, including any plans or proposals to change the number or term of directors, other than nominations for election or reelection to the Board (except nominations for election or reelection of Minority Directors (as defined below in Proposal 1) in connection with the end of a term of a Minority Director) and nominations and appointments of individuals to fill vacancies or newly created directorships (except nominations and appointments to fill vacancies of Minority Director seats);</w:t>
      </w:r>
    </w:p>
    <w:p>
      <w:pPr>
        <w:spacing w:after="0" w:line="60" w:lineRule="exact"/>
        <w:rPr>
          <w:rFonts w:ascii="Arial" w:cs="Arial" w:eastAsia="Arial" w:hAnsi="Arial"/>
          <w:sz w:val="16"/>
          <w:szCs w:val="16"/>
          <w:color w:val="54585A"/>
        </w:rPr>
      </w:pPr>
    </w:p>
    <w:p>
      <w:pPr>
        <w:ind w:left="640" w:hanging="163"/>
        <w:spacing w:after="0" w:line="345" w:lineRule="auto"/>
        <w:tabs>
          <w:tab w:leader="none" w:pos="629" w:val="left"/>
        </w:tabs>
        <w:numPr>
          <w:ilvl w:val="1"/>
          <w:numId w:val="32"/>
        </w:numPr>
        <w:rPr>
          <w:rFonts w:ascii="Arial" w:cs="Arial" w:eastAsia="Arial" w:hAnsi="Arial"/>
          <w:sz w:val="16"/>
          <w:szCs w:val="16"/>
          <w:color w:val="54585A"/>
        </w:rPr>
      </w:pPr>
      <w:r>
        <w:rPr>
          <w:rFonts w:ascii="Arial" w:cs="Arial" w:eastAsia="Arial" w:hAnsi="Arial"/>
          <w:sz w:val="16"/>
          <w:szCs w:val="16"/>
          <w:color w:val="54585A"/>
        </w:rPr>
        <w:t>any material change in the present capitalization or dividend policy of the Company (other than pursuant to a Permitted Financing, a Debt Conversion, or an Option Conversion (each as defined in our Certificate of Incorporation));</w:t>
      </w:r>
    </w:p>
    <w:p>
      <w:pPr>
        <w:spacing w:after="0" w:line="70" w:lineRule="exact"/>
        <w:rPr>
          <w:rFonts w:ascii="Arial" w:cs="Arial" w:eastAsia="Arial" w:hAnsi="Arial"/>
          <w:sz w:val="16"/>
          <w:szCs w:val="16"/>
          <w:color w:val="54585A"/>
        </w:rPr>
      </w:pPr>
    </w:p>
    <w:p>
      <w:pPr>
        <w:ind w:left="640" w:right="500" w:hanging="163"/>
        <w:spacing w:after="0" w:line="374" w:lineRule="auto"/>
        <w:tabs>
          <w:tab w:leader="none" w:pos="629" w:val="left"/>
        </w:tabs>
        <w:numPr>
          <w:ilvl w:val="1"/>
          <w:numId w:val="32"/>
        </w:numPr>
        <w:rPr>
          <w:rFonts w:ascii="Arial" w:cs="Arial" w:eastAsia="Arial" w:hAnsi="Arial"/>
          <w:sz w:val="16"/>
          <w:szCs w:val="16"/>
          <w:color w:val="54585A"/>
        </w:rPr>
      </w:pPr>
      <w:r>
        <w:rPr>
          <w:rFonts w:ascii="Arial" w:cs="Arial" w:eastAsia="Arial" w:hAnsi="Arial"/>
          <w:sz w:val="16"/>
          <w:szCs w:val="16"/>
          <w:color w:val="54585A"/>
        </w:rPr>
        <w:t>any other material changes in the Company’s lines of business or corporate structure (other than pursuant to a Permitted Financing, a Debt Conversion, or an Option Conversion);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4877435</wp:posOffset>
            </wp:positionH>
            <wp:positionV relativeFrom="paragraph">
              <wp:posOffset>536575</wp:posOffset>
            </wp:positionV>
            <wp:extent cx="257175" cy="2571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720"/>
            <w:col w:w="8040"/>
          </w:cols>
          <w:pgMar w:left="320" w:top="16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16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8" w:right="399" w:bottom="1440" w:gutter="0" w:footer="0" w:header="0"/>
          <w:type w:val="continuous"/>
        </w:sectPr>
      </w:pPr>
    </w:p>
    <w:bookmarkStart w:id="20" w:name="page21"/>
    <w:bookmarkEnd w:id="20"/>
    <w:p>
      <w:pPr>
        <w:jc w:val="right"/>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1791335" cy="2074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1335"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780" w:right="100" w:hanging="325"/>
        <w:spacing w:after="0" w:line="345" w:lineRule="auto"/>
        <w:tabs>
          <w:tab w:leader="none" w:pos="3769" w:val="left"/>
        </w:tabs>
        <w:numPr>
          <w:ilvl w:val="0"/>
          <w:numId w:val="33"/>
        </w:numPr>
        <w:rPr>
          <w:rFonts w:ascii="Arial" w:cs="Arial" w:eastAsia="Arial" w:hAnsi="Arial"/>
          <w:sz w:val="16"/>
          <w:szCs w:val="16"/>
          <w:color w:val="54585A"/>
        </w:rPr>
      </w:pPr>
      <w:r>
        <w:rPr>
          <w:rFonts w:ascii="Arial" w:cs="Arial" w:eastAsia="Arial" w:hAnsi="Arial"/>
          <w:sz w:val="16"/>
          <w:szCs w:val="16"/>
          <w:color w:val="54585A"/>
        </w:rPr>
        <w:t>any transaction between the Company and one or more of the Thermo stockholders that has a value (as determined in good faith by the Strategic Review Committee) in excess of $250,000, except for any Permitted Financing, any Debt Conversion, any Option Conversion, and certain other matters.</w:t>
      </w:r>
    </w:p>
    <w:p>
      <w:pPr>
        <w:spacing w:after="0" w:line="125" w:lineRule="exact"/>
        <w:rPr>
          <w:sz w:val="20"/>
          <w:szCs w:val="20"/>
          <w:color w:val="auto"/>
        </w:rPr>
      </w:pPr>
    </w:p>
    <w:p>
      <w:pPr>
        <w:ind w:left="3140" w:right="80"/>
        <w:spacing w:after="0" w:line="342" w:lineRule="auto"/>
        <w:rPr>
          <w:sz w:val="20"/>
          <w:szCs w:val="20"/>
          <w:color w:val="auto"/>
        </w:rPr>
      </w:pPr>
      <w:r>
        <w:rPr>
          <w:rFonts w:ascii="Arial" w:cs="Arial" w:eastAsia="Arial" w:hAnsi="Arial"/>
          <w:sz w:val="16"/>
          <w:szCs w:val="16"/>
          <w:color w:val="54585A"/>
        </w:rPr>
        <w:t>For as long as Thermo and its affiliates own the Thermo Minimum Shares, to the extent that any of the foregoing matters, or any matter set forth in the charter of the Strategic Review Committee, requires approval of the full Board under applicable law, the Company does not have the power to take such action unless such action is approved by the Board only after it is recommended to the Board by the Strategic Review Committee.</w:t>
      </w:r>
    </w:p>
    <w:p>
      <w:pPr>
        <w:spacing w:after="0" w:line="112" w:lineRule="exact"/>
        <w:rPr>
          <w:sz w:val="20"/>
          <w:szCs w:val="20"/>
          <w:color w:val="auto"/>
        </w:rPr>
      </w:pPr>
    </w:p>
    <w:p>
      <w:pPr>
        <w:jc w:val="both"/>
        <w:ind w:left="3140" w:right="320"/>
        <w:spacing w:after="0" w:line="345" w:lineRule="auto"/>
        <w:rPr>
          <w:sz w:val="20"/>
          <w:szCs w:val="20"/>
          <w:color w:val="auto"/>
        </w:rPr>
      </w:pPr>
      <w:r>
        <w:rPr>
          <w:rFonts w:ascii="Arial" w:cs="Arial" w:eastAsia="Arial" w:hAnsi="Arial"/>
          <w:sz w:val="16"/>
          <w:szCs w:val="16"/>
          <w:color w:val="54585A"/>
        </w:rPr>
        <w:t>Certain enumerated transactions are not subject to Strategic Review Committee review, including a financing that includes participation by one or more of the Thermo stockholders on terms equal (as determined in good faith by the Board) to other parties (a “Permitted Financing”).</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54585A"/>
        </w:rPr>
        <w:t>The Strategic Review Committee met five times in 2024. The Strategic Review Committee requires the affirmative vote of a majority of its authorized number of members (regardless of vacancies thereon) in order to take action at a meeting. To the extent the Strategic Review Committee fails to obtain such vote on any particular matter of business before it, the Strategic Review Committee consults with the Board until such vote is obtained or the matter is otherwise resolved and abandoned. In the event the Strategic Review Committee cannot obtain such vote for any single nominee for Minority Director, then the Strategic Review Committee shall nominate two such nominees for each Minority Director seat subject to election. The members of the Strategic Review Committee who are Minority Directors shall each have three votes with respect to one nominee for Minority Director and the members of the Strategic Review Committee who are not Minority Directors shall each have three votes with respect to the other nominee for Minority Director. The Strategic Review Committee may nominate and include on the annual or special meeting proxy card two candidates for a Minority Director seat. The Strategic Review Committee's charter is available at our website at investors.globalstar.com under "Governance."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Communicating with the Board of Directors or with Individual Directors</w:t>
      </w:r>
    </w:p>
    <w:p>
      <w:pPr>
        <w:spacing w:after="0" w:line="9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4585A"/>
        </w:rPr>
        <w:t>The Board has adopted a process for our stockholders and any other interested parties to send communications to the Board or any management or non-management director. Correspondence should be addressed to the Board or any individual director(s) or group or committee of directors either by name or title. All correspondence of this nature should be sent to us by US Postal Service mail at c/o Corporate Secretary, 1351 Holiday Square Blvd., Covington, LA 70433.</w:t>
      </w:r>
    </w:p>
    <w:p>
      <w:pPr>
        <w:spacing w:after="0" w:line="112" w:lineRule="exact"/>
        <w:rPr>
          <w:sz w:val="20"/>
          <w:szCs w:val="20"/>
          <w:color w:val="auto"/>
        </w:rPr>
      </w:pPr>
    </w:p>
    <w:p>
      <w:pPr>
        <w:ind w:right="520"/>
        <w:spacing w:after="0" w:line="354" w:lineRule="auto"/>
        <w:rPr>
          <w:sz w:val="20"/>
          <w:szCs w:val="20"/>
          <w:color w:val="auto"/>
        </w:rPr>
      </w:pPr>
      <w:r>
        <w:rPr>
          <w:rFonts w:ascii="Arial" w:cs="Arial" w:eastAsia="Arial" w:hAnsi="Arial"/>
          <w:sz w:val="16"/>
          <w:szCs w:val="16"/>
          <w:color w:val="54585A"/>
        </w:rPr>
        <w:t>All communications received as set forth in the preceding paragraph will be opened by the office of the Secretary for the sole purpose of determining whether the contents represent a message to the directors. Any contents that are not in the nature of promotion of a product or service, advertising, or patently offensive will be forwarded promptly to the addressee(s), but any communication also will be available to any director who requests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257175" cy="2571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92" w:hanging="92"/>
        <w:spacing w:after="0"/>
        <w:tabs>
          <w:tab w:leader="none" w:pos="92" w:val="left"/>
        </w:tabs>
        <w:numPr>
          <w:ilvl w:val="0"/>
          <w:numId w:val="34"/>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ectPr>
          <w:pgSz w:w="11900" w:h="16838" w:orient="portrait"/>
          <w:cols w:equalWidth="0" w:num="1">
            <w:col w:w="11192"/>
          </w:cols>
          <w:pgMar w:left="328" w:top="16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52"/>
        <w:spacing w:after="0"/>
        <w:rPr>
          <w:sz w:val="20"/>
          <w:szCs w:val="20"/>
          <w:color w:val="auto"/>
        </w:rPr>
      </w:pPr>
      <w:r>
        <w:rPr>
          <w:rFonts w:ascii="Georgia" w:cs="Georgia" w:eastAsia="Georgia" w:hAnsi="Georgia"/>
          <w:sz w:val="22"/>
          <w:szCs w:val="22"/>
          <w:b w:val="1"/>
          <w:bCs w:val="1"/>
          <w:color w:val="EB6C10"/>
        </w:rPr>
        <w:t>Proposal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-2600325</wp:posOffset>
            </wp:positionV>
            <wp:extent cx="1800225" cy="7303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00225" cy="7303770"/>
                    </a:xfrm>
                    <a:prstGeom prst="rect">
                      <a:avLst/>
                    </a:prstGeom>
                    <a:noFill/>
                  </pic:spPr>
                </pic:pic>
              </a:graphicData>
            </a:graphic>
          </wp:anchor>
        </w:drawing>
      </w:r>
    </w:p>
    <w:p>
      <w:pPr>
        <w:spacing w:after="0" w:line="158" w:lineRule="exact"/>
        <w:rPr>
          <w:sz w:val="20"/>
          <w:szCs w:val="20"/>
          <w:color w:val="auto"/>
        </w:rPr>
      </w:pPr>
    </w:p>
    <w:p>
      <w:pPr>
        <w:ind w:left="512" w:right="20" w:hanging="157"/>
        <w:spacing w:after="0" w:line="329" w:lineRule="auto"/>
        <w:tabs>
          <w:tab w:leader="none" w:pos="450" w:val="left"/>
        </w:tabs>
        <w:numPr>
          <w:ilvl w:val="0"/>
          <w:numId w:val="35"/>
        </w:numPr>
        <w:rPr>
          <w:rFonts w:ascii="Arial" w:cs="Arial" w:eastAsia="Arial" w:hAnsi="Arial"/>
          <w:sz w:val="18"/>
          <w:szCs w:val="18"/>
          <w:b w:val="1"/>
          <w:bCs w:val="1"/>
          <w:color w:val="EB6C10"/>
        </w:rPr>
      </w:pPr>
      <w:r>
        <w:rPr>
          <w:rFonts w:ascii="Arial" w:cs="Arial" w:eastAsia="Arial" w:hAnsi="Arial"/>
          <w:sz w:val="18"/>
          <w:szCs w:val="18"/>
          <w:color w:val="FFFFFF"/>
        </w:rPr>
        <w:t xml:space="preserve">The Board recommends that stockholders vote </w:t>
      </w:r>
      <w:r>
        <w:rPr>
          <w:rFonts w:ascii="Georgia" w:cs="Georgia" w:eastAsia="Georgia" w:hAnsi="Georgia"/>
          <w:sz w:val="18"/>
          <w:szCs w:val="18"/>
          <w:b w:val="1"/>
          <w:bCs w:val="1"/>
          <w:color w:val="EB6C10"/>
        </w:rPr>
        <w:t xml:space="preserve">FOR </w:t>
      </w:r>
      <w:r>
        <w:rPr>
          <w:rFonts w:ascii="Arial" w:cs="Arial" w:eastAsia="Arial" w:hAnsi="Arial"/>
          <w:sz w:val="18"/>
          <w:szCs w:val="18"/>
          <w:color w:val="FFFFFF"/>
        </w:rPr>
        <w:t>the election of the</w:t>
      </w:r>
      <w:r>
        <w:rPr>
          <w:rFonts w:ascii="Georgia" w:cs="Georgia" w:eastAsia="Georgia" w:hAnsi="Georgia"/>
          <w:sz w:val="18"/>
          <w:szCs w:val="18"/>
          <w:b w:val="1"/>
          <w:bCs w:val="1"/>
          <w:color w:val="EB6C10"/>
        </w:rPr>
        <w:t xml:space="preserve"> </w:t>
      </w:r>
      <w:r>
        <w:rPr>
          <w:rFonts w:ascii="Arial" w:cs="Arial" w:eastAsia="Arial" w:hAnsi="Arial"/>
          <w:sz w:val="18"/>
          <w:szCs w:val="18"/>
          <w:color w:val="FFFFFF"/>
        </w:rPr>
        <w:t>three Class A director 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9"/>
          <w:szCs w:val="29"/>
          <w:color w:val="54585A"/>
        </w:rPr>
        <w:t>Election of Class A Directors</w:t>
      </w:r>
    </w:p>
    <w:p>
      <w:pPr>
        <w:spacing w:after="0" w:line="225" w:lineRule="exact"/>
        <w:rPr>
          <w:sz w:val="20"/>
          <w:szCs w:val="20"/>
          <w:color w:val="auto"/>
        </w:rPr>
      </w:pPr>
    </w:p>
    <w:p>
      <w:pPr>
        <w:ind w:right="700"/>
        <w:spacing w:after="0" w:line="356" w:lineRule="auto"/>
        <w:rPr>
          <w:sz w:val="20"/>
          <w:szCs w:val="20"/>
          <w:color w:val="auto"/>
        </w:rPr>
      </w:pPr>
      <w:r>
        <w:rPr>
          <w:rFonts w:ascii="Arial" w:cs="Arial" w:eastAsia="Arial" w:hAnsi="Arial"/>
          <w:sz w:val="16"/>
          <w:szCs w:val="16"/>
          <w:color w:val="54585A"/>
        </w:rPr>
        <w:t>Upon recommendation of the Nominating and Governance Committee and, with respect to the Minority Directors, the Strategic Review Committee, the Board has nominated</w:t>
      </w:r>
    </w:p>
    <w:p>
      <w:pPr>
        <w:spacing w:after="0" w:line="111" w:lineRule="exact"/>
        <w:rPr>
          <w:sz w:val="20"/>
          <w:szCs w:val="20"/>
          <w:color w:val="auto"/>
        </w:rPr>
      </w:pPr>
    </w:p>
    <w:p>
      <w:pPr>
        <w:ind w:left="600" w:hanging="110"/>
        <w:spacing w:after="0"/>
        <w:tabs>
          <w:tab w:leader="none" w:pos="600" w:val="left"/>
        </w:tabs>
        <w:numPr>
          <w:ilvl w:val="0"/>
          <w:numId w:val="36"/>
        </w:numPr>
        <w:rPr>
          <w:rFonts w:ascii="Arial" w:cs="Arial" w:eastAsia="Arial" w:hAnsi="Arial"/>
          <w:sz w:val="18"/>
          <w:szCs w:val="18"/>
          <w:b w:val="1"/>
          <w:bCs w:val="1"/>
          <w:color w:val="EB6C10"/>
        </w:rPr>
      </w:pPr>
      <w:r>
        <w:rPr>
          <w:rFonts w:ascii="Arial" w:cs="Arial" w:eastAsia="Arial" w:hAnsi="Arial"/>
          <w:sz w:val="18"/>
          <w:szCs w:val="18"/>
          <w:color w:val="54585A"/>
        </w:rPr>
        <w:t>Keith O. Cowan</w:t>
      </w:r>
    </w:p>
    <w:p>
      <w:pPr>
        <w:spacing w:after="0" w:line="171" w:lineRule="exact"/>
        <w:rPr>
          <w:rFonts w:ascii="Arial" w:cs="Arial" w:eastAsia="Arial" w:hAnsi="Arial"/>
          <w:sz w:val="18"/>
          <w:szCs w:val="18"/>
          <w:b w:val="1"/>
          <w:bCs w:val="1"/>
          <w:color w:val="EB6C10"/>
        </w:rPr>
      </w:pPr>
    </w:p>
    <w:p>
      <w:pPr>
        <w:ind w:left="600" w:hanging="110"/>
        <w:spacing w:after="0"/>
        <w:tabs>
          <w:tab w:leader="none" w:pos="600" w:val="left"/>
        </w:tabs>
        <w:numPr>
          <w:ilvl w:val="0"/>
          <w:numId w:val="36"/>
        </w:numPr>
        <w:rPr>
          <w:rFonts w:ascii="Arial" w:cs="Arial" w:eastAsia="Arial" w:hAnsi="Arial"/>
          <w:sz w:val="18"/>
          <w:szCs w:val="18"/>
          <w:b w:val="1"/>
          <w:bCs w:val="1"/>
          <w:color w:val="EB6C10"/>
        </w:rPr>
      </w:pPr>
      <w:r>
        <w:rPr>
          <w:rFonts w:ascii="Arial" w:cs="Arial" w:eastAsia="Arial" w:hAnsi="Arial"/>
          <w:sz w:val="18"/>
          <w:szCs w:val="18"/>
          <w:color w:val="54585A"/>
        </w:rPr>
        <w:t>Benjamin G. Wolff</w:t>
      </w:r>
    </w:p>
    <w:p>
      <w:pPr>
        <w:spacing w:after="0" w:line="184" w:lineRule="exact"/>
        <w:rPr>
          <w:rFonts w:ascii="Arial" w:cs="Arial" w:eastAsia="Arial" w:hAnsi="Arial"/>
          <w:sz w:val="18"/>
          <w:szCs w:val="18"/>
          <w:b w:val="1"/>
          <w:bCs w:val="1"/>
          <w:color w:val="EB6C10"/>
        </w:rPr>
      </w:pPr>
    </w:p>
    <w:p>
      <w:pPr>
        <w:ind w:left="600" w:hanging="110"/>
        <w:spacing w:after="0"/>
        <w:tabs>
          <w:tab w:leader="none" w:pos="600" w:val="left"/>
        </w:tabs>
        <w:numPr>
          <w:ilvl w:val="0"/>
          <w:numId w:val="36"/>
        </w:numPr>
        <w:rPr>
          <w:rFonts w:ascii="Arial" w:cs="Arial" w:eastAsia="Arial" w:hAnsi="Arial"/>
          <w:sz w:val="18"/>
          <w:szCs w:val="18"/>
          <w:b w:val="1"/>
          <w:bCs w:val="1"/>
          <w:color w:val="EB6C10"/>
        </w:rPr>
      </w:pPr>
      <w:r>
        <w:rPr>
          <w:rFonts w:ascii="Arial" w:cs="Arial" w:eastAsia="Arial" w:hAnsi="Arial"/>
          <w:sz w:val="18"/>
          <w:szCs w:val="18"/>
          <w:color w:val="54585A"/>
        </w:rPr>
        <w:t>Dr. Paul E. Jacobs</w:t>
      </w:r>
    </w:p>
    <w:p>
      <w:pPr>
        <w:spacing w:after="0" w:line="243"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color w:val="54585A"/>
        </w:rPr>
        <w:t>for election as Class A Directors at the Annual Meeting. The nominations rest, in part, on each nominee’s diverse business experience, qualifications, skills and attributes described above. Each of these nominees has consented to being named in this proxy statement and has agreed to serve if elected. If you elect them, they will hold office until our annual meeting of stockholders in 2028 or until their successors have been elected and qualified. The Board is not aware of any reason why any nominee would be unable to serve as a director if elected. If prior to the Annual Meeting any nominee should become unable to serve as a director, the management proxies may vote for another nominee proposed by the Board, although proxies may not be voted for more than three nominees. If any director resigns, dies or is otherwise unable to serve out his term, or if the Board increases the number of directors, the Board may fill the vacancy for the balance of the term for that class of directors; provided that, for any vacancies left by a Minority Director, the candidate for director must be nominated by the Strategic Review Committee. Under our Bylaws, only the Board may fill vacancies on the Board.</w:t>
      </w:r>
    </w:p>
    <w:p>
      <w:pPr>
        <w:spacing w:after="0" w:line="390"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54585A"/>
        </w:rPr>
        <w:t>Our Certificate of Incorporation and Bylaws provide that so long as Thermo and its affiliates beneficially own at least 45% of the Company’s outstanding Common Stock, two of the members of the Board (the “Minority Directors”) must be elected by the vote of a plurality of the Company’s outstanding common stock other than Thermo and its affiliates. Upon recommendation of the Strategic Review Committee, Keith O. Cowan and Benjamin G. Wolff have been nominated for election as Class A Directors at the Annual Meeting and both directors qualify as Minority Directors under our Certificate of Incorporation.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Vote Required to Elect Directors</w:t>
      </w:r>
    </w:p>
    <w:p>
      <w:pPr>
        <w:spacing w:after="0" w:line="95" w:lineRule="exact"/>
        <w:rPr>
          <w:sz w:val="20"/>
          <w:szCs w:val="20"/>
          <w:color w:val="auto"/>
        </w:rPr>
      </w:pPr>
    </w:p>
    <w:p>
      <w:pPr>
        <w:spacing w:after="0" w:line="332" w:lineRule="auto"/>
        <w:rPr>
          <w:sz w:val="20"/>
          <w:szCs w:val="20"/>
          <w:color w:val="auto"/>
        </w:rPr>
      </w:pPr>
      <w:r>
        <w:rPr>
          <w:rFonts w:ascii="Arial" w:cs="Arial" w:eastAsia="Arial" w:hAnsi="Arial"/>
          <w:sz w:val="16"/>
          <w:szCs w:val="16"/>
          <w:color w:val="54585A"/>
        </w:rPr>
        <w:t>The election of directors nominated for election at the Annual Meeting require a plurality of the votes of the shares of our common stock present in person or represented by proxy at the Annual Meeting and entitled to vote thereon. All holders of our common stock as of the Record Date, other than Thermo and its affiliates, are eligible to vote for the election of the Minority Directors nominated for election at the Annual Meeting, Keith O. Cowan and Benjamin G. Wolff. All holders of our common stock as of the Record Date are eligible to vote for the election of Dr. Paul E. Jacobs. Therefore, the nominees who receive the highest number of votes cast by stockholders eligible to vote (a plurality) will be elected as directors. There is no provision under our Certificate of Incorporation or Bylaws for cumulative voting in the election of directors. If you do not vote for a particular nominee, or if you indicate “withhold” to vote for a particular nominee, your vote will not count “for” the nominee. “Withhold” votes and “broker non-votes” will not count as a vote cast with respect to that nominee’s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4877435</wp:posOffset>
            </wp:positionH>
            <wp:positionV relativeFrom="paragraph">
              <wp:posOffset>1376045</wp:posOffset>
            </wp:positionV>
            <wp:extent cx="257175" cy="2571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12" w:space="720"/>
            <w:col w:w="8060"/>
          </w:cols>
          <w:pgMar w:left="328" w:top="16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
        <w:spacing w:after="0"/>
        <w:rPr>
          <w:sz w:val="20"/>
          <w:szCs w:val="20"/>
          <w:color w:val="auto"/>
        </w:rPr>
      </w:pPr>
      <w:r>
        <w:rPr>
          <w:rFonts w:ascii="Arial" w:cs="Arial" w:eastAsia="Arial" w:hAnsi="Arial"/>
          <w:sz w:val="14"/>
          <w:szCs w:val="14"/>
          <w:color w:val="54585A"/>
        </w:rPr>
        <w:t xml:space="preserve">18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68" w:right="379" w:bottom="1440" w:gutter="0" w:footer="0" w:header="0"/>
          <w:type w:val="continuous"/>
        </w:sectPr>
      </w:pPr>
    </w:p>
    <w:bookmarkStart w:id="22" w:name="page23"/>
    <w:bookmarkEnd w:id="22"/>
    <w:p>
      <w:pPr>
        <w:ind w:left="8200"/>
        <w:spacing w:after="0"/>
        <w:rPr>
          <w:sz w:val="20"/>
          <w:szCs w:val="20"/>
          <w:color w:val="auto"/>
        </w:rPr>
      </w:pPr>
      <w:r>
        <w:rPr>
          <w:rFonts w:ascii="Arial" w:cs="Arial" w:eastAsia="Arial" w:hAnsi="Arial"/>
          <w:sz w:val="14"/>
          <w:szCs w:val="14"/>
          <w:color w:val="54585A"/>
        </w:rPr>
        <w:t xml:space="preserve">Board of Directors and Corporate Governance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54585A"/>
        </w:rPr>
        <w:t>Director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Highlights of our Director Compensation Program</w:t>
      </w:r>
    </w:p>
    <w:p>
      <w:pPr>
        <w:spacing w:after="0" w:line="203"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54585A"/>
        </w:rPr>
      </w:pPr>
      <w:r>
        <w:rPr>
          <w:rFonts w:ascii="Arial" w:cs="Arial" w:eastAsia="Arial" w:hAnsi="Arial"/>
          <w:sz w:val="16"/>
          <w:szCs w:val="16"/>
          <w:color w:val="54585A"/>
        </w:rPr>
        <w:t>$50,000 is paid in cash annually to each Director over a quarterly basis</w:t>
      </w:r>
    </w:p>
    <w:p>
      <w:pPr>
        <w:spacing w:after="0" w:line="167" w:lineRule="exact"/>
        <w:rPr>
          <w:rFonts w:ascii="Arial" w:cs="Arial" w:eastAsia="Arial" w:hAnsi="Arial"/>
          <w:sz w:val="16"/>
          <w:szCs w:val="16"/>
          <w:color w:val="54585A"/>
        </w:rPr>
      </w:pPr>
    </w:p>
    <w:p>
      <w:pPr>
        <w:ind w:left="640" w:hanging="308"/>
        <w:spacing w:after="0"/>
        <w:tabs>
          <w:tab w:leader="none" w:pos="640" w:val="left"/>
        </w:tabs>
        <w:numPr>
          <w:ilvl w:val="0"/>
          <w:numId w:val="37"/>
        </w:numPr>
        <w:rPr>
          <w:rFonts w:ascii="Arial" w:cs="Arial" w:eastAsia="Arial" w:hAnsi="Arial"/>
          <w:sz w:val="16"/>
          <w:szCs w:val="16"/>
          <w:color w:val="54585A"/>
        </w:rPr>
      </w:pPr>
      <w:r>
        <w:rPr>
          <w:rFonts w:ascii="Arial" w:cs="Arial" w:eastAsia="Arial" w:hAnsi="Arial"/>
          <w:sz w:val="16"/>
          <w:szCs w:val="16"/>
          <w:color w:val="54585A"/>
        </w:rPr>
        <w:t>$50,000 in value of restricted stock awards are awarded to Directors each January</w:t>
      </w:r>
    </w:p>
    <w:p>
      <w:pPr>
        <w:spacing w:after="0" w:line="180" w:lineRule="exact"/>
        <w:rPr>
          <w:rFonts w:ascii="Arial" w:cs="Arial" w:eastAsia="Arial" w:hAnsi="Arial"/>
          <w:sz w:val="16"/>
          <w:szCs w:val="16"/>
          <w:color w:val="54585A"/>
        </w:rPr>
      </w:pPr>
    </w:p>
    <w:p>
      <w:pPr>
        <w:ind w:left="640" w:hanging="308"/>
        <w:spacing w:after="0"/>
        <w:tabs>
          <w:tab w:leader="none" w:pos="640" w:val="left"/>
        </w:tabs>
        <w:numPr>
          <w:ilvl w:val="0"/>
          <w:numId w:val="37"/>
        </w:numPr>
        <w:rPr>
          <w:rFonts w:ascii="Arial" w:cs="Arial" w:eastAsia="Arial" w:hAnsi="Arial"/>
          <w:sz w:val="16"/>
          <w:szCs w:val="16"/>
          <w:color w:val="54585A"/>
        </w:rPr>
      </w:pPr>
      <w:r>
        <w:rPr>
          <w:rFonts w:ascii="Arial" w:cs="Arial" w:eastAsia="Arial" w:hAnsi="Arial"/>
          <w:sz w:val="16"/>
          <w:szCs w:val="16"/>
          <w:color w:val="54585A"/>
        </w:rPr>
        <w:t>6,666 options to purchase shares of common stock are awarded to Directors each January</w:t>
      </w:r>
    </w:p>
    <w:p>
      <w:pPr>
        <w:spacing w:after="0" w:line="167" w:lineRule="exact"/>
        <w:rPr>
          <w:rFonts w:ascii="Arial" w:cs="Arial" w:eastAsia="Arial" w:hAnsi="Arial"/>
          <w:sz w:val="16"/>
          <w:szCs w:val="16"/>
          <w:color w:val="54585A"/>
        </w:rPr>
      </w:pPr>
    </w:p>
    <w:p>
      <w:pPr>
        <w:ind w:left="640" w:hanging="308"/>
        <w:spacing w:after="0"/>
        <w:tabs>
          <w:tab w:leader="none" w:pos="640" w:val="left"/>
        </w:tabs>
        <w:numPr>
          <w:ilvl w:val="0"/>
          <w:numId w:val="37"/>
        </w:numPr>
        <w:rPr>
          <w:rFonts w:ascii="Arial" w:cs="Arial" w:eastAsia="Arial" w:hAnsi="Arial"/>
          <w:sz w:val="16"/>
          <w:szCs w:val="16"/>
          <w:color w:val="54585A"/>
        </w:rPr>
      </w:pPr>
      <w:r>
        <w:rPr>
          <w:rFonts w:ascii="Arial" w:cs="Arial" w:eastAsia="Arial" w:hAnsi="Arial"/>
          <w:sz w:val="16"/>
          <w:szCs w:val="16"/>
          <w:color w:val="54585A"/>
        </w:rPr>
        <w:t>3,333 restricted stock awards are awarded to members of the Strategic Review Committee each May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54585A"/>
        </w:rPr>
        <w:t>The table below reflects compensation paid to our directors during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shd w:val="clear" w:color="auto" w:fill="EEEDED"/>
          </w:tcPr>
          <w:p>
            <w:pPr>
              <w:spacing w:after="0"/>
              <w:rPr>
                <w:sz w:val="15"/>
                <w:szCs w:val="15"/>
                <w:color w:val="auto"/>
              </w:rPr>
            </w:pPr>
          </w:p>
        </w:tc>
        <w:tc>
          <w:tcPr>
            <w:tcW w:w="2100" w:type="dxa"/>
            <w:vAlign w:val="bottom"/>
            <w:shd w:val="clear" w:color="auto" w:fill="EEEDED"/>
          </w:tcPr>
          <w:p>
            <w:pPr>
              <w:spacing w:after="0"/>
              <w:rPr>
                <w:sz w:val="15"/>
                <w:szCs w:val="15"/>
                <w:color w:val="auto"/>
              </w:rPr>
            </w:pPr>
          </w:p>
        </w:tc>
        <w:tc>
          <w:tcPr>
            <w:tcW w:w="1580" w:type="dxa"/>
            <w:vAlign w:val="bottom"/>
            <w:shd w:val="clear" w:color="auto" w:fill="EEEDED"/>
          </w:tcPr>
          <w:p>
            <w:pPr>
              <w:jc w:val="right"/>
              <w:ind w:right="451"/>
              <w:spacing w:after="0"/>
              <w:rPr>
                <w:sz w:val="20"/>
                <w:szCs w:val="20"/>
                <w:color w:val="auto"/>
              </w:rPr>
            </w:pPr>
            <w:r>
              <w:rPr>
                <w:rFonts w:ascii="Arial" w:cs="Arial" w:eastAsia="Arial" w:hAnsi="Arial"/>
                <w:sz w:val="14"/>
                <w:szCs w:val="14"/>
                <w:b w:val="1"/>
                <w:bCs w:val="1"/>
                <w:color w:val="54585A"/>
              </w:rPr>
              <w:t>Stock</w:t>
            </w:r>
          </w:p>
        </w:tc>
        <w:tc>
          <w:tcPr>
            <w:tcW w:w="1400" w:type="dxa"/>
            <w:vAlign w:val="bottom"/>
            <w:shd w:val="clear" w:color="auto" w:fill="EEEDED"/>
          </w:tcPr>
          <w:p>
            <w:pPr>
              <w:jc w:val="right"/>
              <w:ind w:right="251"/>
              <w:spacing w:after="0"/>
              <w:rPr>
                <w:sz w:val="20"/>
                <w:szCs w:val="20"/>
                <w:color w:val="auto"/>
              </w:rPr>
            </w:pPr>
            <w:r>
              <w:rPr>
                <w:rFonts w:ascii="Arial" w:cs="Arial" w:eastAsia="Arial" w:hAnsi="Arial"/>
                <w:sz w:val="14"/>
                <w:szCs w:val="14"/>
                <w:b w:val="1"/>
                <w:bCs w:val="1"/>
                <w:color w:val="54585A"/>
              </w:rPr>
              <w:t>Option</w:t>
            </w:r>
          </w:p>
        </w:tc>
        <w:tc>
          <w:tcPr>
            <w:tcW w:w="1760" w:type="dxa"/>
            <w:vAlign w:val="bottom"/>
            <w:shd w:val="clear" w:color="auto" w:fill="EEEDED"/>
          </w:tcPr>
          <w:p>
            <w:pPr>
              <w:jc w:val="right"/>
              <w:ind w:right="388"/>
              <w:spacing w:after="0"/>
              <w:rPr>
                <w:sz w:val="20"/>
                <w:szCs w:val="20"/>
                <w:color w:val="auto"/>
              </w:rPr>
            </w:pPr>
            <w:r>
              <w:rPr>
                <w:rFonts w:ascii="Arial" w:cs="Arial" w:eastAsia="Arial" w:hAnsi="Arial"/>
                <w:sz w:val="14"/>
                <w:szCs w:val="14"/>
                <w:b w:val="1"/>
                <w:bCs w:val="1"/>
                <w:color w:val="54585A"/>
              </w:rPr>
              <w:t>All Other</w:t>
            </w:r>
          </w:p>
        </w:tc>
        <w:tc>
          <w:tcPr>
            <w:tcW w:w="1200" w:type="dxa"/>
            <w:vAlign w:val="bottom"/>
            <w:shd w:val="clear" w:color="auto" w:fill="EEEDED"/>
          </w:tcPr>
          <w:p>
            <w:pPr>
              <w:spacing w:after="0"/>
              <w:rPr>
                <w:sz w:val="15"/>
                <w:szCs w:val="15"/>
                <w:color w:val="auto"/>
              </w:rPr>
            </w:pPr>
          </w:p>
        </w:tc>
      </w:tr>
      <w:tr>
        <w:trPr>
          <w:trHeight w:val="162"/>
        </w:trPr>
        <w:tc>
          <w:tcPr>
            <w:tcW w:w="3200" w:type="dxa"/>
            <w:vAlign w:val="bottom"/>
            <w:shd w:val="clear" w:color="auto" w:fill="EEEDED"/>
          </w:tcPr>
          <w:p>
            <w:pPr>
              <w:spacing w:after="0"/>
              <w:rPr>
                <w:sz w:val="14"/>
                <w:szCs w:val="14"/>
                <w:color w:val="auto"/>
              </w:rPr>
            </w:pPr>
          </w:p>
        </w:tc>
        <w:tc>
          <w:tcPr>
            <w:tcW w:w="2100" w:type="dxa"/>
            <w:vAlign w:val="bottom"/>
            <w:shd w:val="clear" w:color="auto" w:fill="EEEDED"/>
          </w:tcPr>
          <w:p>
            <w:pPr>
              <w:jc w:val="right"/>
              <w:ind w:right="468"/>
              <w:spacing w:after="0"/>
              <w:rPr>
                <w:sz w:val="20"/>
                <w:szCs w:val="20"/>
                <w:color w:val="auto"/>
              </w:rPr>
            </w:pPr>
            <w:r>
              <w:rPr>
                <w:rFonts w:ascii="Arial" w:cs="Arial" w:eastAsia="Arial" w:hAnsi="Arial"/>
                <w:sz w:val="14"/>
                <w:szCs w:val="14"/>
                <w:b w:val="1"/>
                <w:bCs w:val="1"/>
                <w:color w:val="54585A"/>
              </w:rPr>
              <w:t>Fees Earned</w:t>
            </w:r>
          </w:p>
        </w:tc>
        <w:tc>
          <w:tcPr>
            <w:tcW w:w="1580" w:type="dxa"/>
            <w:vAlign w:val="bottom"/>
            <w:shd w:val="clear" w:color="auto" w:fill="EEEDED"/>
          </w:tcPr>
          <w:p>
            <w:pPr>
              <w:jc w:val="right"/>
              <w:ind w:right="451"/>
              <w:spacing w:after="0"/>
              <w:rPr>
                <w:sz w:val="20"/>
                <w:szCs w:val="20"/>
                <w:color w:val="auto"/>
              </w:rPr>
            </w:pPr>
            <w:r>
              <w:rPr>
                <w:rFonts w:ascii="Arial" w:cs="Arial" w:eastAsia="Arial" w:hAnsi="Arial"/>
                <w:sz w:val="14"/>
                <w:szCs w:val="14"/>
                <w:b w:val="1"/>
                <w:bCs w:val="1"/>
                <w:color w:val="54585A"/>
              </w:rPr>
              <w:t>Awards</w:t>
            </w:r>
          </w:p>
        </w:tc>
        <w:tc>
          <w:tcPr>
            <w:tcW w:w="1400" w:type="dxa"/>
            <w:vAlign w:val="bottom"/>
            <w:shd w:val="clear" w:color="auto" w:fill="EEEDED"/>
          </w:tcPr>
          <w:p>
            <w:pPr>
              <w:jc w:val="right"/>
              <w:ind w:right="251"/>
              <w:spacing w:after="0"/>
              <w:rPr>
                <w:sz w:val="20"/>
                <w:szCs w:val="20"/>
                <w:color w:val="auto"/>
              </w:rPr>
            </w:pPr>
            <w:r>
              <w:rPr>
                <w:rFonts w:ascii="Arial" w:cs="Arial" w:eastAsia="Arial" w:hAnsi="Arial"/>
                <w:sz w:val="14"/>
                <w:szCs w:val="14"/>
                <w:b w:val="1"/>
                <w:bCs w:val="1"/>
                <w:color w:val="54585A"/>
              </w:rPr>
              <w:t>Awards</w:t>
            </w:r>
          </w:p>
        </w:tc>
        <w:tc>
          <w:tcPr>
            <w:tcW w:w="1760" w:type="dxa"/>
            <w:vAlign w:val="bottom"/>
            <w:shd w:val="clear" w:color="auto" w:fill="EEEDED"/>
          </w:tcPr>
          <w:p>
            <w:pPr>
              <w:jc w:val="right"/>
              <w:ind w:right="388"/>
              <w:spacing w:after="0"/>
              <w:rPr>
                <w:sz w:val="20"/>
                <w:szCs w:val="20"/>
                <w:color w:val="auto"/>
              </w:rPr>
            </w:pPr>
            <w:r>
              <w:rPr>
                <w:rFonts w:ascii="Arial" w:cs="Arial" w:eastAsia="Arial" w:hAnsi="Arial"/>
                <w:sz w:val="14"/>
                <w:szCs w:val="14"/>
                <w:b w:val="1"/>
                <w:bCs w:val="1"/>
                <w:color w:val="54585A"/>
              </w:rPr>
              <w:t>Compensation</w:t>
            </w:r>
          </w:p>
        </w:tc>
        <w:tc>
          <w:tcPr>
            <w:tcW w:w="1200" w:type="dxa"/>
            <w:vAlign w:val="bottom"/>
            <w:shd w:val="clear" w:color="auto" w:fill="EEEDED"/>
          </w:tcPr>
          <w:p>
            <w:pPr>
              <w:jc w:val="right"/>
              <w:ind w:right="128"/>
              <w:spacing w:after="0"/>
              <w:rPr>
                <w:sz w:val="20"/>
                <w:szCs w:val="20"/>
                <w:color w:val="auto"/>
              </w:rPr>
            </w:pPr>
            <w:r>
              <w:rPr>
                <w:rFonts w:ascii="Arial" w:cs="Arial" w:eastAsia="Arial" w:hAnsi="Arial"/>
                <w:sz w:val="14"/>
                <w:szCs w:val="14"/>
                <w:b w:val="1"/>
                <w:bCs w:val="1"/>
                <w:color w:val="54585A"/>
              </w:rPr>
              <w:t>Total</w:t>
            </w:r>
          </w:p>
        </w:tc>
      </w:tr>
      <w:tr>
        <w:trPr>
          <w:trHeight w:val="225"/>
        </w:trPr>
        <w:tc>
          <w:tcPr>
            <w:tcW w:w="320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Name</w:t>
            </w:r>
          </w:p>
        </w:tc>
        <w:tc>
          <w:tcPr>
            <w:tcW w:w="2100" w:type="dxa"/>
            <w:vAlign w:val="bottom"/>
            <w:shd w:val="clear" w:color="auto" w:fill="EEEDED"/>
          </w:tcPr>
          <w:p>
            <w:pPr>
              <w:jc w:val="right"/>
              <w:ind w:right="468"/>
              <w:spacing w:after="0"/>
              <w:rPr>
                <w:sz w:val="20"/>
                <w:szCs w:val="20"/>
                <w:color w:val="auto"/>
              </w:rPr>
            </w:pPr>
            <w:r>
              <w:rPr>
                <w:rFonts w:ascii="Arial" w:cs="Arial" w:eastAsia="Arial" w:hAnsi="Arial"/>
                <w:sz w:val="14"/>
                <w:szCs w:val="14"/>
                <w:b w:val="1"/>
                <w:bCs w:val="1"/>
                <w:color w:val="54585A"/>
              </w:rPr>
              <w:t>or Paid in Cash ($)</w:t>
            </w:r>
          </w:p>
        </w:tc>
        <w:tc>
          <w:tcPr>
            <w:tcW w:w="1580" w:type="dxa"/>
            <w:vAlign w:val="bottom"/>
            <w:shd w:val="clear" w:color="auto" w:fill="EEEDED"/>
          </w:tcPr>
          <w:p>
            <w:pPr>
              <w:jc w:val="right"/>
              <w:ind w:right="451"/>
              <w:spacing w:after="0" w:line="225" w:lineRule="exact"/>
              <w:rPr>
                <w:sz w:val="20"/>
                <w:szCs w:val="20"/>
                <w:color w:val="auto"/>
              </w:rPr>
            </w:pPr>
            <w:r>
              <w:rPr>
                <w:rFonts w:ascii="Arial" w:cs="Arial" w:eastAsia="Arial" w:hAnsi="Arial"/>
                <w:sz w:val="26"/>
                <w:szCs w:val="26"/>
                <w:b w:val="1"/>
                <w:bCs w:val="1"/>
                <w:color w:val="54585A"/>
                <w:vertAlign w:val="subscript"/>
              </w:rPr>
              <w:t>($)</w:t>
            </w:r>
            <w:r>
              <w:rPr>
                <w:rFonts w:ascii="Arial" w:cs="Arial" w:eastAsia="Arial" w:hAnsi="Arial"/>
                <w:sz w:val="9"/>
                <w:szCs w:val="9"/>
                <w:b w:val="1"/>
                <w:bCs w:val="1"/>
                <w:color w:val="54585A"/>
              </w:rPr>
              <w:t>(1)(2)</w:t>
            </w:r>
          </w:p>
        </w:tc>
        <w:tc>
          <w:tcPr>
            <w:tcW w:w="1400" w:type="dxa"/>
            <w:vAlign w:val="bottom"/>
            <w:shd w:val="clear" w:color="auto" w:fill="EEEDED"/>
          </w:tcPr>
          <w:p>
            <w:pPr>
              <w:jc w:val="right"/>
              <w:ind w:right="251"/>
              <w:spacing w:after="0" w:line="225" w:lineRule="exact"/>
              <w:rPr>
                <w:sz w:val="20"/>
                <w:szCs w:val="20"/>
                <w:color w:val="auto"/>
              </w:rPr>
            </w:pPr>
            <w:r>
              <w:rPr>
                <w:rFonts w:ascii="Arial" w:cs="Arial" w:eastAsia="Arial" w:hAnsi="Arial"/>
                <w:sz w:val="26"/>
                <w:szCs w:val="26"/>
                <w:b w:val="1"/>
                <w:bCs w:val="1"/>
                <w:color w:val="54585A"/>
                <w:vertAlign w:val="subscript"/>
              </w:rPr>
              <w:t>($)</w:t>
            </w:r>
            <w:r>
              <w:rPr>
                <w:rFonts w:ascii="Arial" w:cs="Arial" w:eastAsia="Arial" w:hAnsi="Arial"/>
                <w:sz w:val="9"/>
                <w:szCs w:val="9"/>
                <w:b w:val="1"/>
                <w:bCs w:val="1"/>
                <w:color w:val="54585A"/>
              </w:rPr>
              <w:t>(1)(2)</w:t>
            </w:r>
          </w:p>
        </w:tc>
        <w:tc>
          <w:tcPr>
            <w:tcW w:w="1760" w:type="dxa"/>
            <w:vAlign w:val="bottom"/>
            <w:shd w:val="clear" w:color="auto" w:fill="EEEDED"/>
          </w:tcPr>
          <w:p>
            <w:pPr>
              <w:ind w:left="1120"/>
              <w:spacing w:after="0"/>
              <w:rPr>
                <w:sz w:val="20"/>
                <w:szCs w:val="20"/>
                <w:color w:val="auto"/>
              </w:rPr>
            </w:pPr>
            <w:r>
              <w:rPr>
                <w:rFonts w:ascii="Arial" w:cs="Arial" w:eastAsia="Arial" w:hAnsi="Arial"/>
                <w:sz w:val="14"/>
                <w:szCs w:val="14"/>
                <w:b w:val="1"/>
                <w:bCs w:val="1"/>
                <w:color w:val="54585A"/>
              </w:rPr>
              <w:t>($)</w:t>
            </w:r>
          </w:p>
        </w:tc>
        <w:tc>
          <w:tcPr>
            <w:tcW w:w="120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94"/>
        </w:trPr>
        <w:tc>
          <w:tcPr>
            <w:tcW w:w="3200" w:type="dxa"/>
            <w:vAlign w:val="bottom"/>
            <w:shd w:val="clear" w:color="auto" w:fill="EEEDED"/>
          </w:tcPr>
          <w:p>
            <w:pPr>
              <w:spacing w:after="0"/>
              <w:rPr>
                <w:sz w:val="8"/>
                <w:szCs w:val="8"/>
                <w:color w:val="auto"/>
              </w:rPr>
            </w:pPr>
          </w:p>
        </w:tc>
        <w:tc>
          <w:tcPr>
            <w:tcW w:w="2100" w:type="dxa"/>
            <w:vAlign w:val="bottom"/>
            <w:shd w:val="clear" w:color="auto" w:fill="EEEDED"/>
          </w:tcPr>
          <w:p>
            <w:pPr>
              <w:spacing w:after="0"/>
              <w:rPr>
                <w:sz w:val="8"/>
                <w:szCs w:val="8"/>
                <w:color w:val="auto"/>
              </w:rPr>
            </w:pPr>
          </w:p>
        </w:tc>
        <w:tc>
          <w:tcPr>
            <w:tcW w:w="1580" w:type="dxa"/>
            <w:vAlign w:val="bottom"/>
            <w:shd w:val="clear" w:color="auto" w:fill="EEEDED"/>
          </w:tcPr>
          <w:p>
            <w:pPr>
              <w:spacing w:after="0"/>
              <w:rPr>
                <w:sz w:val="8"/>
                <w:szCs w:val="8"/>
                <w:color w:val="auto"/>
              </w:rPr>
            </w:pPr>
          </w:p>
        </w:tc>
        <w:tc>
          <w:tcPr>
            <w:tcW w:w="1400" w:type="dxa"/>
            <w:vAlign w:val="bottom"/>
            <w:shd w:val="clear" w:color="auto" w:fill="EEEDED"/>
          </w:tcPr>
          <w:p>
            <w:pPr>
              <w:spacing w:after="0"/>
              <w:rPr>
                <w:sz w:val="8"/>
                <w:szCs w:val="8"/>
                <w:color w:val="auto"/>
              </w:rPr>
            </w:pPr>
          </w:p>
        </w:tc>
        <w:tc>
          <w:tcPr>
            <w:tcW w:w="1760" w:type="dxa"/>
            <w:vAlign w:val="bottom"/>
            <w:shd w:val="clear" w:color="auto" w:fill="EEEDED"/>
          </w:tcPr>
          <w:p>
            <w:pPr>
              <w:spacing w:after="0"/>
              <w:rPr>
                <w:sz w:val="8"/>
                <w:szCs w:val="8"/>
                <w:color w:val="auto"/>
              </w:rPr>
            </w:pPr>
          </w:p>
        </w:tc>
        <w:tc>
          <w:tcPr>
            <w:tcW w:w="1200" w:type="dxa"/>
            <w:vAlign w:val="bottom"/>
            <w:shd w:val="clear" w:color="auto" w:fill="EEEDED"/>
          </w:tcPr>
          <w:p>
            <w:pPr>
              <w:spacing w:after="0"/>
              <w:rPr>
                <w:sz w:val="8"/>
                <w:szCs w:val="8"/>
                <w:color w:val="auto"/>
              </w:rPr>
            </w:pPr>
          </w:p>
        </w:tc>
      </w:tr>
      <w:tr>
        <w:trPr>
          <w:trHeight w:val="223"/>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James Monroe III</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50,000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287,000</w:t>
            </w:r>
          </w:p>
        </w:tc>
      </w:tr>
      <w:tr>
        <w:trPr>
          <w:trHeight w:val="229"/>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Dr. Paul E. Jacobs</w:t>
            </w:r>
            <w:r>
              <w:rPr>
                <w:rFonts w:ascii="Arial" w:cs="Arial" w:eastAsia="Arial" w:hAnsi="Arial"/>
                <w:sz w:val="18"/>
                <w:szCs w:val="18"/>
                <w:b w:val="1"/>
                <w:bCs w:val="1"/>
                <w:color w:val="EB6C10"/>
                <w:vertAlign w:val="superscript"/>
              </w:rPr>
              <w:t>(4)</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50,000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287,000</w:t>
            </w:r>
          </w:p>
        </w:tc>
      </w:tr>
      <w:tr>
        <w:trPr>
          <w:trHeight w:val="217"/>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James F. Lynch</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50,000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287,000</w:t>
            </w:r>
          </w:p>
        </w:tc>
      </w:tr>
      <w:tr>
        <w:trPr>
          <w:trHeight w:val="229"/>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William A. Hasler</w:t>
            </w:r>
            <w:r>
              <w:rPr>
                <w:rFonts w:ascii="Arial" w:cs="Arial" w:eastAsia="Arial" w:hAnsi="Arial"/>
                <w:sz w:val="18"/>
                <w:szCs w:val="18"/>
                <w:b w:val="1"/>
                <w:bCs w:val="1"/>
                <w:color w:val="EB6C10"/>
                <w:vertAlign w:val="superscript"/>
              </w:rPr>
              <w:t>(3)</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111,500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348,500</w:t>
            </w:r>
          </w:p>
        </w:tc>
      </w:tr>
      <w:tr>
        <w:trPr>
          <w:trHeight w:val="223"/>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Keith O. Cowan</w:t>
            </w:r>
            <w:r>
              <w:rPr>
                <w:rFonts w:ascii="Arial" w:cs="Arial" w:eastAsia="Arial" w:hAnsi="Arial"/>
                <w:sz w:val="18"/>
                <w:szCs w:val="18"/>
                <w:b w:val="1"/>
                <w:bCs w:val="1"/>
                <w:color w:val="EB6C10"/>
                <w:vertAlign w:val="superscript"/>
              </w:rPr>
              <w:t>(3)</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111,500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348,500</w:t>
            </w:r>
          </w:p>
        </w:tc>
      </w:tr>
      <w:tr>
        <w:trPr>
          <w:trHeight w:val="223"/>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Benjamin G. Wolff</w:t>
            </w:r>
            <w:r>
              <w:rPr>
                <w:rFonts w:ascii="Arial" w:cs="Arial" w:eastAsia="Arial" w:hAnsi="Arial"/>
                <w:sz w:val="18"/>
                <w:szCs w:val="18"/>
                <w:b w:val="1"/>
                <w:bCs w:val="1"/>
                <w:color w:val="EB6C10"/>
                <w:vertAlign w:val="superscript"/>
              </w:rPr>
              <w:t>(3)</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111,500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348,500</w:t>
            </w:r>
          </w:p>
        </w:tc>
      </w:tr>
      <w:tr>
        <w:trPr>
          <w:trHeight w:val="217"/>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Michael J. Lovett</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25,000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50,000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262,000</w:t>
            </w:r>
          </w:p>
        </w:tc>
      </w:tr>
      <w:tr>
        <w:trPr>
          <w:trHeight w:val="230"/>
        </w:trPr>
        <w:tc>
          <w:tcPr>
            <w:tcW w:w="32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Timothy E. Taylor</w:t>
            </w:r>
            <w:r>
              <w:rPr>
                <w:rFonts w:ascii="Arial" w:cs="Arial" w:eastAsia="Arial" w:hAnsi="Arial"/>
                <w:sz w:val="18"/>
                <w:szCs w:val="18"/>
                <w:b w:val="1"/>
                <w:bCs w:val="1"/>
                <w:color w:val="EB6C10"/>
                <w:vertAlign w:val="superscript"/>
              </w:rPr>
              <w:t>(3)(4)</w:t>
            </w:r>
          </w:p>
        </w:tc>
        <w:tc>
          <w:tcPr>
            <w:tcW w:w="2100" w:type="dxa"/>
            <w:vAlign w:val="bottom"/>
            <w:tcBorders>
              <w:bottom w:val="single" w:sz="8" w:color="54585A"/>
            </w:tcBorders>
          </w:tcPr>
          <w:p>
            <w:pPr>
              <w:jc w:val="right"/>
              <w:ind w:right="508"/>
              <w:spacing w:after="0"/>
              <w:rPr>
                <w:sz w:val="20"/>
                <w:szCs w:val="20"/>
                <w:color w:val="auto"/>
              </w:rPr>
            </w:pPr>
            <w:r>
              <w:rPr>
                <w:rFonts w:ascii="Arial" w:cs="Arial" w:eastAsia="Arial" w:hAnsi="Arial"/>
                <w:sz w:val="14"/>
                <w:szCs w:val="14"/>
                <w:color w:val="54585A"/>
              </w:rPr>
              <w:t>50,000</w:t>
            </w:r>
          </w:p>
        </w:tc>
        <w:tc>
          <w:tcPr>
            <w:tcW w:w="1580" w:type="dxa"/>
            <w:vAlign w:val="bottom"/>
            <w:tcBorders>
              <w:bottom w:val="single" w:sz="8" w:color="54585A"/>
            </w:tcBorders>
          </w:tcPr>
          <w:p>
            <w:pPr>
              <w:jc w:val="right"/>
              <w:ind w:right="491"/>
              <w:spacing w:after="0"/>
              <w:rPr>
                <w:sz w:val="20"/>
                <w:szCs w:val="20"/>
                <w:color w:val="auto"/>
              </w:rPr>
            </w:pPr>
            <w:r>
              <w:rPr>
                <w:rFonts w:ascii="Arial" w:cs="Arial" w:eastAsia="Arial" w:hAnsi="Arial"/>
                <w:sz w:val="14"/>
                <w:szCs w:val="14"/>
                <w:color w:val="54585A"/>
              </w:rPr>
              <w:t>111,500</w:t>
            </w:r>
          </w:p>
        </w:tc>
        <w:tc>
          <w:tcPr>
            <w:tcW w:w="1400" w:type="dxa"/>
            <w:vAlign w:val="bottom"/>
            <w:tcBorders>
              <w:bottom w:val="single" w:sz="8" w:color="54585A"/>
            </w:tcBorders>
          </w:tcPr>
          <w:p>
            <w:pPr>
              <w:jc w:val="right"/>
              <w:ind w:right="291"/>
              <w:spacing w:after="0"/>
              <w:rPr>
                <w:sz w:val="20"/>
                <w:szCs w:val="20"/>
                <w:color w:val="auto"/>
              </w:rPr>
            </w:pPr>
            <w:r>
              <w:rPr>
                <w:rFonts w:ascii="Arial" w:cs="Arial" w:eastAsia="Arial" w:hAnsi="Arial"/>
                <w:sz w:val="14"/>
                <w:szCs w:val="14"/>
                <w:color w:val="54585A"/>
              </w:rPr>
              <w:t>187,000</w:t>
            </w:r>
          </w:p>
        </w:tc>
        <w:tc>
          <w:tcPr>
            <w:tcW w:w="1760" w:type="dxa"/>
            <w:vAlign w:val="bottom"/>
            <w:tcBorders>
              <w:bottom w:val="single" w:sz="8" w:color="54585A"/>
            </w:tcBorders>
          </w:tcPr>
          <w:p>
            <w:pPr>
              <w:ind w:left="1100"/>
              <w:spacing w:after="0"/>
              <w:rPr>
                <w:sz w:val="20"/>
                <w:szCs w:val="20"/>
                <w:color w:val="auto"/>
              </w:rPr>
            </w:pPr>
            <w:r>
              <w:rPr>
                <w:rFonts w:ascii="Arial" w:cs="Arial" w:eastAsia="Arial" w:hAnsi="Arial"/>
                <w:sz w:val="14"/>
                <w:szCs w:val="14"/>
                <w:color w:val="54585A"/>
              </w:rPr>
              <w:t>—</w:t>
            </w:r>
          </w:p>
        </w:tc>
        <w:tc>
          <w:tcPr>
            <w:tcW w:w="120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348,500</w:t>
            </w:r>
          </w:p>
        </w:tc>
      </w:tr>
    </w:tbl>
    <w:p>
      <w:pPr>
        <w:spacing w:after="0" w:line="180" w:lineRule="exact"/>
        <w:rPr>
          <w:sz w:val="20"/>
          <w:szCs w:val="20"/>
          <w:color w:val="auto"/>
        </w:rPr>
      </w:pPr>
    </w:p>
    <w:p>
      <w:pPr>
        <w:ind w:left="340" w:hanging="332"/>
        <w:spacing w:after="0" w:line="267" w:lineRule="auto"/>
        <w:tabs>
          <w:tab w:leader="none" w:pos="338" w:val="left"/>
        </w:tabs>
        <w:numPr>
          <w:ilvl w:val="0"/>
          <w:numId w:val="38"/>
        </w:numPr>
        <w:rPr>
          <w:rFonts w:ascii="Arial" w:cs="Arial" w:eastAsia="Arial" w:hAnsi="Arial"/>
          <w:sz w:val="14"/>
          <w:szCs w:val="14"/>
          <w:color w:val="54585A"/>
        </w:rPr>
      </w:pPr>
      <w:r>
        <w:rPr>
          <w:rFonts w:ascii="Arial" w:cs="Arial" w:eastAsia="Arial" w:hAnsi="Arial"/>
          <w:sz w:val="14"/>
          <w:szCs w:val="14"/>
          <w:color w:val="54585A"/>
        </w:rPr>
        <w:t>Represents the aggregate grant date fair value computed consistent with FASB ASC Topic 718. For further discussion of our accounting policies for stock-based compensation and assumptions used in calculating the grant date fair value of stock-based compensation awards, see Note 15 to the Consolidated Financial Statements in our 2024 Annual Report on Form 10-K. The actual amount of compensation realized, if any, for option and stock awards may differ from the amounts presented in the table. For Mr. Lovett, as a result of Mr. Lovett's passing on April 26, 2024. the Company vested the remaining unvested awards and stock options granted to Mr. Lovett. This modification was not significant and therefore excluded from the table above.</w:t>
      </w:r>
    </w:p>
    <w:p>
      <w:pPr>
        <w:spacing w:after="0" w:line="76" w:lineRule="exact"/>
        <w:rPr>
          <w:rFonts w:ascii="Arial" w:cs="Arial" w:eastAsia="Arial" w:hAnsi="Arial"/>
          <w:sz w:val="14"/>
          <w:szCs w:val="14"/>
          <w:color w:val="54585A"/>
        </w:rPr>
      </w:pPr>
    </w:p>
    <w:p>
      <w:pPr>
        <w:ind w:left="340" w:right="140" w:hanging="332"/>
        <w:spacing w:after="0" w:line="276" w:lineRule="auto"/>
        <w:tabs>
          <w:tab w:leader="none" w:pos="338" w:val="left"/>
        </w:tabs>
        <w:numPr>
          <w:ilvl w:val="0"/>
          <w:numId w:val="38"/>
        </w:numPr>
        <w:rPr>
          <w:rFonts w:ascii="Arial" w:cs="Arial" w:eastAsia="Arial" w:hAnsi="Arial"/>
          <w:sz w:val="14"/>
          <w:szCs w:val="14"/>
          <w:color w:val="54585A"/>
        </w:rPr>
      </w:pPr>
      <w:r>
        <w:rPr>
          <w:rFonts w:ascii="Arial" w:cs="Arial" w:eastAsia="Arial" w:hAnsi="Arial"/>
          <w:sz w:val="14"/>
          <w:szCs w:val="14"/>
          <w:color w:val="54585A"/>
        </w:rPr>
        <w:t>On January 2, 2024, we granted our directors options to purchase 6,666 shares of our common stock with a grant date fair value of $16.21 per share and 1,782 restricted stock awards with a grant date fair value of $28.05 per share. The options to purchase shares of common stock vest in one-third annual increments over a three-year period and the restricted stock awards cliff vest after a one-year period. The following table sets forth the total number of unvested restricted stock awards and stock options received by each director as director compensation and outstanding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290195</wp:posOffset>
            </wp:positionV>
            <wp:extent cx="257175" cy="2571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92" w:hanging="92"/>
        <w:spacing w:after="0"/>
        <w:tabs>
          <w:tab w:leader="none" w:pos="92" w:val="left"/>
        </w:tabs>
        <w:numPr>
          <w:ilvl w:val="0"/>
          <w:numId w:val="39"/>
        </w:numPr>
        <w:rPr>
          <w:rFonts w:ascii="Arial" w:cs="Arial" w:eastAsia="Arial" w:hAnsi="Arial"/>
          <w:sz w:val="18"/>
          <w:szCs w:val="18"/>
          <w:b w:val="1"/>
          <w:bCs w:val="1"/>
          <w:color w:val="EB6C10"/>
        </w:rPr>
      </w:pPr>
      <w:r>
        <w:rPr>
          <w:rFonts w:ascii="Arial" w:cs="Arial" w:eastAsia="Arial" w:hAnsi="Arial"/>
          <w:sz w:val="14"/>
          <w:szCs w:val="14"/>
          <w:color w:val="54585A"/>
        </w:rPr>
        <w:t>Board of Directors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332" w:type="dxa"/>
        <w:tblCellMar>
          <w:top w:w="0" w:type="dxa"/>
          <w:left w:w="0" w:type="dxa"/>
          <w:bottom w:w="0" w:type="dxa"/>
          <w:right w:w="0" w:type="dxa"/>
        </w:tblCellMar>
      </w:tblPr>
      <w:tr>
        <w:trPr>
          <w:trHeight w:val="193"/>
        </w:trPr>
        <w:tc>
          <w:tcPr>
            <w:tcW w:w="5900" w:type="dxa"/>
            <w:vAlign w:val="bottom"/>
            <w:shd w:val="clear" w:color="auto" w:fill="EEEDED"/>
          </w:tcPr>
          <w:p>
            <w:pPr>
              <w:spacing w:after="0"/>
              <w:rPr>
                <w:sz w:val="16"/>
                <w:szCs w:val="16"/>
                <w:color w:val="auto"/>
              </w:rPr>
            </w:pPr>
          </w:p>
        </w:tc>
        <w:tc>
          <w:tcPr>
            <w:tcW w:w="2700" w:type="dxa"/>
            <w:vAlign w:val="bottom"/>
            <w:shd w:val="clear" w:color="auto" w:fill="EEEDED"/>
          </w:tcPr>
          <w:p>
            <w:pPr>
              <w:jc w:val="right"/>
              <w:ind w:right="108"/>
              <w:spacing w:after="0"/>
              <w:rPr>
                <w:sz w:val="20"/>
                <w:szCs w:val="20"/>
                <w:color w:val="auto"/>
              </w:rPr>
            </w:pPr>
            <w:r>
              <w:rPr>
                <w:rFonts w:ascii="Arial" w:cs="Arial" w:eastAsia="Arial" w:hAnsi="Arial"/>
                <w:sz w:val="14"/>
                <w:szCs w:val="14"/>
                <w:b w:val="1"/>
                <w:bCs w:val="1"/>
                <w:color w:val="54585A"/>
              </w:rPr>
              <w:t>Outstanding Shares of Restricted</w:t>
            </w:r>
          </w:p>
        </w:tc>
        <w:tc>
          <w:tcPr>
            <w:tcW w:w="192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Outstanding Options at</w:t>
            </w:r>
          </w:p>
        </w:tc>
      </w:tr>
      <w:tr>
        <w:trPr>
          <w:trHeight w:val="196"/>
        </w:trPr>
        <w:tc>
          <w:tcPr>
            <w:tcW w:w="590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Name</w:t>
            </w:r>
          </w:p>
        </w:tc>
        <w:tc>
          <w:tcPr>
            <w:tcW w:w="2700" w:type="dxa"/>
            <w:vAlign w:val="bottom"/>
            <w:shd w:val="clear" w:color="auto" w:fill="EEEDED"/>
          </w:tcPr>
          <w:p>
            <w:pPr>
              <w:jc w:val="right"/>
              <w:ind w:right="108"/>
              <w:spacing w:after="0"/>
              <w:rPr>
                <w:sz w:val="20"/>
                <w:szCs w:val="20"/>
                <w:color w:val="auto"/>
              </w:rPr>
            </w:pPr>
            <w:r>
              <w:rPr>
                <w:rFonts w:ascii="Arial" w:cs="Arial" w:eastAsia="Arial" w:hAnsi="Arial"/>
                <w:sz w:val="14"/>
                <w:szCs w:val="14"/>
                <w:b w:val="1"/>
                <w:bCs w:val="1"/>
                <w:color w:val="54585A"/>
              </w:rPr>
              <w:t>Stock at 12/31/2024</w:t>
            </w:r>
          </w:p>
        </w:tc>
        <w:tc>
          <w:tcPr>
            <w:tcW w:w="192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12/31/2024</w:t>
            </w:r>
          </w:p>
        </w:tc>
      </w:tr>
      <w:tr>
        <w:trPr>
          <w:trHeight w:val="110"/>
        </w:trPr>
        <w:tc>
          <w:tcPr>
            <w:tcW w:w="5900" w:type="dxa"/>
            <w:vAlign w:val="bottom"/>
            <w:shd w:val="clear" w:color="auto" w:fill="EEEDED"/>
          </w:tcPr>
          <w:p>
            <w:pPr>
              <w:spacing w:after="0"/>
              <w:rPr>
                <w:sz w:val="9"/>
                <w:szCs w:val="9"/>
                <w:color w:val="auto"/>
              </w:rPr>
            </w:pPr>
          </w:p>
        </w:tc>
        <w:tc>
          <w:tcPr>
            <w:tcW w:w="2700" w:type="dxa"/>
            <w:vAlign w:val="bottom"/>
            <w:shd w:val="clear" w:color="auto" w:fill="EEEDED"/>
          </w:tcPr>
          <w:p>
            <w:pPr>
              <w:spacing w:after="0"/>
              <w:rPr>
                <w:sz w:val="9"/>
                <w:szCs w:val="9"/>
                <w:color w:val="auto"/>
              </w:rPr>
            </w:pPr>
          </w:p>
        </w:tc>
        <w:tc>
          <w:tcPr>
            <w:tcW w:w="1920" w:type="dxa"/>
            <w:vAlign w:val="bottom"/>
            <w:shd w:val="clear" w:color="auto" w:fill="EEEDED"/>
          </w:tcPr>
          <w:p>
            <w:pPr>
              <w:spacing w:after="0"/>
              <w:rPr>
                <w:sz w:val="9"/>
                <w:szCs w:val="9"/>
                <w:color w:val="auto"/>
              </w:rPr>
            </w:pP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James Monroe III</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1,782</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39,996</w:t>
            </w: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Dr. Paul E. Jacobs</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1,782</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39,996</w:t>
            </w: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James F. Lynch</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5,115</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93,327</w:t>
            </w: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William A. Hasler</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5,115</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39,996</w:t>
            </w: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Keith O. Cowan</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5,115</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39,996</w:t>
            </w: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Benjamin G. Wolff</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1,782</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73,328</w:t>
            </w:r>
          </w:p>
        </w:tc>
      </w:tr>
      <w:tr>
        <w:trPr>
          <w:trHeight w:val="223"/>
        </w:trPr>
        <w:tc>
          <w:tcPr>
            <w:tcW w:w="59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Timothy E. Taylor</w:t>
            </w:r>
          </w:p>
        </w:tc>
        <w:tc>
          <w:tcPr>
            <w:tcW w:w="2700" w:type="dxa"/>
            <w:vAlign w:val="bottom"/>
            <w:tcBorders>
              <w:bottom w:val="single" w:sz="8" w:color="54585A"/>
            </w:tcBorders>
          </w:tcPr>
          <w:p>
            <w:pPr>
              <w:jc w:val="right"/>
              <w:ind w:right="168"/>
              <w:spacing w:after="0"/>
              <w:rPr>
                <w:sz w:val="20"/>
                <w:szCs w:val="20"/>
                <w:color w:val="auto"/>
              </w:rPr>
            </w:pPr>
            <w:r>
              <w:rPr>
                <w:rFonts w:ascii="Arial" w:cs="Arial" w:eastAsia="Arial" w:hAnsi="Arial"/>
                <w:sz w:val="14"/>
                <w:szCs w:val="14"/>
                <w:color w:val="54585A"/>
              </w:rPr>
              <w:t>1,782</w:t>
            </w:r>
          </w:p>
        </w:tc>
        <w:tc>
          <w:tcPr>
            <w:tcW w:w="192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6,666</w:t>
            </w:r>
          </w:p>
        </w:tc>
      </w:tr>
    </w:tbl>
    <w:p>
      <w:pPr>
        <w:spacing w:after="0" w:line="193" w:lineRule="exact"/>
        <w:rPr>
          <w:sz w:val="20"/>
          <w:szCs w:val="20"/>
          <w:color w:val="auto"/>
        </w:rPr>
      </w:pPr>
    </w:p>
    <w:p>
      <w:pPr>
        <w:ind w:left="332" w:hanging="332"/>
        <w:spacing w:after="0"/>
        <w:tabs>
          <w:tab w:leader="none" w:pos="332" w:val="left"/>
        </w:tabs>
        <w:numPr>
          <w:ilvl w:val="0"/>
          <w:numId w:val="40"/>
        </w:numPr>
        <w:rPr>
          <w:rFonts w:ascii="Arial" w:cs="Arial" w:eastAsia="Arial" w:hAnsi="Arial"/>
          <w:sz w:val="14"/>
          <w:szCs w:val="14"/>
          <w:color w:val="54585A"/>
        </w:rPr>
      </w:pPr>
      <w:r>
        <w:rPr>
          <w:rFonts w:ascii="Arial" w:cs="Arial" w:eastAsia="Arial" w:hAnsi="Arial"/>
          <w:sz w:val="14"/>
          <w:szCs w:val="14"/>
          <w:color w:val="54585A"/>
        </w:rPr>
        <w:t>On May 10, 2024, we granted 3,333 restricted stock awards that had a grant date fair value of $18.45 per share and cliff vest after a one-year period.</w:t>
      </w:r>
    </w:p>
    <w:p>
      <w:pPr>
        <w:spacing w:after="0" w:line="109" w:lineRule="exact"/>
        <w:rPr>
          <w:rFonts w:ascii="Arial" w:cs="Arial" w:eastAsia="Arial" w:hAnsi="Arial"/>
          <w:sz w:val="14"/>
          <w:szCs w:val="14"/>
          <w:color w:val="54585A"/>
        </w:rPr>
      </w:pPr>
    </w:p>
    <w:p>
      <w:pPr>
        <w:ind w:left="332" w:right="20" w:hanging="332"/>
        <w:spacing w:after="0" w:line="305" w:lineRule="auto"/>
        <w:tabs>
          <w:tab w:leader="none" w:pos="330" w:val="left"/>
        </w:tabs>
        <w:numPr>
          <w:ilvl w:val="0"/>
          <w:numId w:val="40"/>
        </w:numPr>
        <w:rPr>
          <w:rFonts w:ascii="Arial" w:cs="Arial" w:eastAsia="Arial" w:hAnsi="Arial"/>
          <w:sz w:val="14"/>
          <w:szCs w:val="14"/>
          <w:color w:val="54585A"/>
        </w:rPr>
      </w:pPr>
      <w:r>
        <w:rPr>
          <w:rFonts w:ascii="Arial" w:cs="Arial" w:eastAsia="Arial" w:hAnsi="Arial"/>
          <w:sz w:val="14"/>
          <w:szCs w:val="14"/>
          <w:color w:val="54585A"/>
        </w:rPr>
        <w:t>Dr. Jacobs and Mr. Taylor also received compensation during 2024 for services as a CEO and Vice President, respectively, of the Company. This compensation is not reflected in the table above. Dr. Jacobs compensation as CEO is reflected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277495</wp:posOffset>
            </wp:positionV>
            <wp:extent cx="257175" cy="2571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
        <w:spacing w:after="0"/>
        <w:rPr>
          <w:sz w:val="20"/>
          <w:szCs w:val="20"/>
          <w:color w:val="auto"/>
        </w:rPr>
      </w:pPr>
      <w:r>
        <w:rPr>
          <w:rFonts w:ascii="Arial" w:cs="Arial" w:eastAsia="Arial" w:hAnsi="Arial"/>
          <w:sz w:val="14"/>
          <w:szCs w:val="14"/>
          <w:color w:val="54585A"/>
        </w:rPr>
        <w:t xml:space="preserve">20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2"/>
          </w:cols>
          <w:pgMar w:left="328" w:top="168" w:right="719" w:bottom="1440" w:gutter="0" w:footer="0" w:header="0"/>
        </w:sectPr>
      </w:pPr>
    </w:p>
    <w:bookmarkStart w:id="24" w:name="page25"/>
    <w:bookmarkEnd w:id="24"/>
    <w:p>
      <w:pPr>
        <w:jc w:val="right"/>
        <w:spacing w:after="0"/>
        <w:rPr>
          <w:sz w:val="20"/>
          <w:szCs w:val="20"/>
          <w:color w:val="auto"/>
        </w:rPr>
      </w:pPr>
      <w:r>
        <w:rPr>
          <w:rFonts w:ascii="Arial" w:cs="Arial" w:eastAsia="Arial" w:hAnsi="Arial"/>
          <w:sz w:val="14"/>
          <w:szCs w:val="14"/>
          <w:color w:val="54585A"/>
        </w:rPr>
        <w:t xml:space="preserve">Other Voting Matters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54"/>
          <w:szCs w:val="54"/>
          <w:color w:val="EB6C10"/>
        </w:rPr>
        <w:t>Audit Matters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Georgia" w:cs="Georgia" w:eastAsia="Georgia" w:hAnsi="Georgia"/>
          <w:sz w:val="22"/>
          <w:szCs w:val="22"/>
          <w:b w:val="1"/>
          <w:bCs w:val="1"/>
          <w:color w:val="1D8DB8"/>
        </w:rPr>
        <w:t>Proposal Two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-1939925</wp:posOffset>
            </wp:positionV>
            <wp:extent cx="1800225" cy="6772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0225" cy="6772275"/>
                    </a:xfrm>
                    <a:prstGeom prst="rect">
                      <a:avLst/>
                    </a:prstGeom>
                    <a:noFill/>
                  </pic:spPr>
                </pic:pic>
              </a:graphicData>
            </a:graphic>
          </wp:anchor>
        </w:drawing>
      </w:r>
    </w:p>
    <w:p>
      <w:pPr>
        <w:spacing w:after="0" w:line="158" w:lineRule="exact"/>
        <w:rPr>
          <w:sz w:val="20"/>
          <w:szCs w:val="20"/>
          <w:color w:val="auto"/>
        </w:rPr>
      </w:pPr>
    </w:p>
    <w:p>
      <w:pPr>
        <w:ind w:left="520" w:right="20" w:hanging="157"/>
        <w:spacing w:after="0" w:line="326" w:lineRule="auto"/>
        <w:tabs>
          <w:tab w:leader="none" w:pos="458" w:val="left"/>
        </w:tabs>
        <w:numPr>
          <w:ilvl w:val="0"/>
          <w:numId w:val="41"/>
        </w:numPr>
        <w:rPr>
          <w:rFonts w:ascii="Arial" w:cs="Arial" w:eastAsia="Arial" w:hAnsi="Arial"/>
          <w:sz w:val="18"/>
          <w:szCs w:val="18"/>
          <w:b w:val="1"/>
          <w:bCs w:val="1"/>
          <w:color w:val="1D8DB8"/>
        </w:rPr>
      </w:pPr>
      <w:r>
        <w:rPr>
          <w:rFonts w:ascii="Arial" w:cs="Arial" w:eastAsia="Arial" w:hAnsi="Arial"/>
          <w:sz w:val="18"/>
          <w:szCs w:val="18"/>
          <w:color w:val="FFFFFF"/>
        </w:rPr>
        <w:t xml:space="preserve">The Board recommends that stockholders vote </w:t>
      </w:r>
      <w:r>
        <w:rPr>
          <w:rFonts w:ascii="Georgia" w:cs="Georgia" w:eastAsia="Georgia" w:hAnsi="Georgia"/>
          <w:sz w:val="18"/>
          <w:szCs w:val="18"/>
          <w:b w:val="1"/>
          <w:bCs w:val="1"/>
          <w:color w:val="1D8DB8"/>
        </w:rPr>
        <w:t xml:space="preserve">FOR </w:t>
      </w:r>
      <w:r>
        <w:rPr>
          <w:rFonts w:ascii="Arial" w:cs="Arial" w:eastAsia="Arial" w:hAnsi="Arial"/>
          <w:sz w:val="18"/>
          <w:szCs w:val="18"/>
          <w:color w:val="FFFFFF"/>
        </w:rPr>
        <w:t>ratification of the</w:t>
      </w:r>
      <w:r>
        <w:rPr>
          <w:rFonts w:ascii="Georgia" w:cs="Georgia" w:eastAsia="Georgia" w:hAnsi="Georgia"/>
          <w:sz w:val="18"/>
          <w:szCs w:val="18"/>
          <w:b w:val="1"/>
          <w:bCs w:val="1"/>
          <w:color w:val="1D8DB8"/>
        </w:rPr>
        <w:t xml:space="preserve"> </w:t>
      </w:r>
      <w:r>
        <w:rPr>
          <w:rFonts w:ascii="Arial" w:cs="Arial" w:eastAsia="Arial" w:hAnsi="Arial"/>
          <w:sz w:val="18"/>
          <w:szCs w:val="18"/>
          <w:color w:val="FFFFFF"/>
        </w:rPr>
        <w:t>appointment of EY as our independent registered public accounting firm for the year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3683635</wp:posOffset>
            </wp:positionV>
            <wp:extent cx="257175"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100"/>
        <w:spacing w:after="0" w:line="276" w:lineRule="auto"/>
        <w:rPr>
          <w:sz w:val="20"/>
          <w:szCs w:val="20"/>
          <w:color w:val="auto"/>
        </w:rPr>
      </w:pPr>
      <w:r>
        <w:rPr>
          <w:rFonts w:ascii="Arial" w:cs="Arial" w:eastAsia="Arial" w:hAnsi="Arial"/>
          <w:sz w:val="29"/>
          <w:szCs w:val="29"/>
          <w:color w:val="54585A"/>
        </w:rPr>
        <w:t>Ratification of 2025 Independent Registered Public Accounting Firm</w:t>
      </w:r>
    </w:p>
    <w:p>
      <w:pPr>
        <w:spacing w:after="0" w:line="101" w:lineRule="exact"/>
        <w:rPr>
          <w:sz w:val="20"/>
          <w:szCs w:val="20"/>
          <w:color w:val="auto"/>
        </w:rPr>
      </w:pPr>
    </w:p>
    <w:p>
      <w:pPr>
        <w:ind w:right="740"/>
        <w:spacing w:after="0" w:line="345" w:lineRule="auto"/>
        <w:rPr>
          <w:sz w:val="20"/>
          <w:szCs w:val="20"/>
          <w:color w:val="auto"/>
        </w:rPr>
      </w:pPr>
      <w:r>
        <w:rPr>
          <w:rFonts w:ascii="Arial" w:cs="Arial" w:eastAsia="Arial" w:hAnsi="Arial"/>
          <w:sz w:val="16"/>
          <w:szCs w:val="16"/>
          <w:color w:val="54585A"/>
        </w:rPr>
        <w:t>The Board desires to obtain from the stockholders an indication of their approval or disapproval of the appointment by the Audit Committee of Ernst &amp; Young LLP ("EY") as our independent registered public accounting firm for 2025.</w:t>
      </w:r>
    </w:p>
    <w:p>
      <w:pPr>
        <w:spacing w:after="0" w:line="1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54585A"/>
        </w:rPr>
        <w:t>EY has served as our independent registered public accounting firm beginning with the audit of the year ended December 31, 2020. We have been informed that neither EY nor any of its partners has any direct financial interest or any material indirect financial interest in Globalstar and during the past three years has not had any connection therewith in the capacity of promoter, underwriter, director, officer or employee.</w:t>
      </w:r>
    </w:p>
    <w:p>
      <w:pPr>
        <w:spacing w:after="0" w:line="112" w:lineRule="exact"/>
        <w:rPr>
          <w:sz w:val="20"/>
          <w:szCs w:val="20"/>
          <w:color w:val="auto"/>
        </w:rPr>
      </w:pPr>
    </w:p>
    <w:p>
      <w:pPr>
        <w:ind w:right="60"/>
        <w:spacing w:after="0" w:line="374" w:lineRule="auto"/>
        <w:rPr>
          <w:sz w:val="20"/>
          <w:szCs w:val="20"/>
          <w:color w:val="auto"/>
        </w:rPr>
      </w:pPr>
      <w:r>
        <w:rPr>
          <w:rFonts w:ascii="Arial" w:cs="Arial" w:eastAsia="Arial" w:hAnsi="Arial"/>
          <w:sz w:val="16"/>
          <w:szCs w:val="16"/>
          <w:color w:val="54585A"/>
        </w:rPr>
        <w:t>One or more representatives of EY will be present, either in person or by telephone, at the Annual Meeting, will have an opportunity to make a statement if they desire and will be available to respond to appropriate questions.</w:t>
      </w:r>
    </w:p>
    <w:p>
      <w:pPr>
        <w:spacing w:after="0" w:line="88" w:lineRule="exact"/>
        <w:rPr>
          <w:sz w:val="20"/>
          <w:szCs w:val="20"/>
          <w:color w:val="auto"/>
        </w:rPr>
      </w:pPr>
    </w:p>
    <w:p>
      <w:pPr>
        <w:ind w:right="100"/>
        <w:spacing w:after="0" w:line="340" w:lineRule="auto"/>
        <w:rPr>
          <w:sz w:val="20"/>
          <w:szCs w:val="20"/>
          <w:color w:val="auto"/>
        </w:rPr>
      </w:pPr>
      <w:r>
        <w:rPr>
          <w:rFonts w:ascii="Arial" w:cs="Arial" w:eastAsia="Arial" w:hAnsi="Arial"/>
          <w:sz w:val="16"/>
          <w:szCs w:val="16"/>
          <w:color w:val="54585A"/>
        </w:rPr>
        <w:t>If the resolution is defeated, the Audit Committee will reconsider the appointment, although the appointment will be permitted to stand unless the Audit Committee becomes aware of other reasons for changing independent registered public accounting firms. Additionally, even if stockholders ratify the appointment, the Audit Committee may, in its discretion, appoint a different independent registered public accounting firm at any time during the year if it believes such appointment is in the best interests of the Company and the stockholders.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Vote Required to Ratify the Appointment of EY</w:t>
      </w:r>
    </w:p>
    <w:p>
      <w:pPr>
        <w:spacing w:after="0" w:line="95" w:lineRule="exact"/>
        <w:rPr>
          <w:sz w:val="20"/>
          <w:szCs w:val="20"/>
          <w:color w:val="auto"/>
        </w:rPr>
      </w:pPr>
    </w:p>
    <w:p>
      <w:pPr>
        <w:ind w:right="320"/>
        <w:spacing w:after="0" w:line="374" w:lineRule="auto"/>
        <w:rPr>
          <w:sz w:val="20"/>
          <w:szCs w:val="20"/>
          <w:color w:val="auto"/>
        </w:rPr>
      </w:pPr>
      <w:r>
        <w:rPr>
          <w:rFonts w:ascii="Arial" w:cs="Arial" w:eastAsia="Arial" w:hAnsi="Arial"/>
          <w:sz w:val="16"/>
          <w:szCs w:val="16"/>
          <w:color w:val="54585A"/>
        </w:rPr>
        <w:t>The Board will consider an affirmative vote of the holders of a majority of the shares of our common stock represented, in person or by proxy, and entitled to vote at the Annual Meeting to ratify the appointment of EY.</w:t>
      </w:r>
    </w:p>
    <w:p>
      <w:pPr>
        <w:spacing w:after="0" w:line="200" w:lineRule="exact"/>
        <w:rPr>
          <w:sz w:val="20"/>
          <w:szCs w:val="20"/>
          <w:color w:val="auto"/>
        </w:rPr>
      </w:pPr>
    </w:p>
    <w:p>
      <w:pPr>
        <w:sectPr>
          <w:pgSz w:w="11900" w:h="16838" w:orient="portrait"/>
          <w:cols w:equalWidth="0" w:num="2">
            <w:col w:w="2420" w:space="720"/>
            <w:col w:w="81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ind w:left="100" w:hanging="92"/>
        <w:spacing w:after="0"/>
        <w:tabs>
          <w:tab w:leader="none" w:pos="100" w:val="left"/>
        </w:tabs>
        <w:numPr>
          <w:ilvl w:val="0"/>
          <w:numId w:val="42"/>
        </w:numPr>
        <w:rPr>
          <w:rFonts w:ascii="Arial" w:cs="Arial" w:eastAsia="Arial" w:hAnsi="Arial"/>
          <w:sz w:val="18"/>
          <w:szCs w:val="18"/>
          <w:b w:val="1"/>
          <w:bCs w:val="1"/>
          <w:color w:val="EB6C10"/>
        </w:rPr>
      </w:pPr>
      <w:r>
        <w:rPr>
          <w:rFonts w:ascii="Arial" w:cs="Arial" w:eastAsia="Arial" w:hAnsi="Arial"/>
          <w:sz w:val="14"/>
          <w:szCs w:val="14"/>
          <w:color w:val="54585A"/>
        </w:rPr>
        <w:t>Other Voting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Independent Registered Public Accounting Firm Fees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54585A"/>
        </w:rPr>
        <w:t>The table below presents fees for professional audit and other services rendered by EY for the fiscal years ended December 31, 2024 and 2023.</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Borders>
              <w:bottom w:val="single" w:sz="8" w:color="EEEDED"/>
            </w:tcBorders>
            <w:shd w:val="clear" w:color="auto" w:fill="EEEDED"/>
          </w:tcPr>
          <w:p>
            <w:pPr>
              <w:spacing w:after="0"/>
              <w:rPr>
                <w:sz w:val="19"/>
                <w:szCs w:val="19"/>
                <w:color w:val="auto"/>
              </w:rPr>
            </w:pPr>
          </w:p>
        </w:tc>
        <w:tc>
          <w:tcPr>
            <w:tcW w:w="3420" w:type="dxa"/>
            <w:vAlign w:val="bottom"/>
            <w:tcBorders>
              <w:bottom w:val="single" w:sz="8" w:color="54585A"/>
            </w:tcBorders>
            <w:gridSpan w:val="2"/>
            <w:shd w:val="clear" w:color="auto" w:fill="EEEDED"/>
          </w:tcPr>
          <w:p>
            <w:pPr>
              <w:ind w:left="1340"/>
              <w:spacing w:after="0"/>
              <w:rPr>
                <w:sz w:val="20"/>
                <w:szCs w:val="20"/>
                <w:color w:val="auto"/>
              </w:rPr>
            </w:pPr>
            <w:r>
              <w:rPr>
                <w:rFonts w:ascii="Arial" w:cs="Arial" w:eastAsia="Arial" w:hAnsi="Arial"/>
                <w:sz w:val="14"/>
                <w:szCs w:val="14"/>
                <w:b w:val="1"/>
                <w:bCs w:val="1"/>
                <w:color w:val="54585A"/>
              </w:rPr>
              <w:t>Year Ended December 31,</w:t>
            </w:r>
          </w:p>
        </w:tc>
        <w:tc>
          <w:tcPr>
            <w:tcW w:w="1160" w:type="dxa"/>
            <w:vAlign w:val="bottom"/>
            <w:tcBorders>
              <w:bottom w:val="single" w:sz="8" w:color="54585A"/>
            </w:tcBorders>
            <w:shd w:val="clear" w:color="auto" w:fill="EEEDED"/>
          </w:tcPr>
          <w:p>
            <w:pPr>
              <w:spacing w:after="0"/>
              <w:rPr>
                <w:sz w:val="19"/>
                <w:szCs w:val="19"/>
                <w:color w:val="auto"/>
              </w:rPr>
            </w:pPr>
          </w:p>
        </w:tc>
      </w:tr>
      <w:tr>
        <w:trPr>
          <w:trHeight w:val="214"/>
        </w:trPr>
        <w:tc>
          <w:tcPr>
            <w:tcW w:w="6660" w:type="dxa"/>
            <w:vAlign w:val="bottom"/>
            <w:shd w:val="clear" w:color="auto" w:fill="EEEDED"/>
          </w:tcPr>
          <w:p>
            <w:pPr>
              <w:spacing w:after="0"/>
              <w:rPr>
                <w:sz w:val="18"/>
                <w:szCs w:val="18"/>
                <w:color w:val="auto"/>
              </w:rPr>
            </w:pPr>
          </w:p>
        </w:tc>
        <w:tc>
          <w:tcPr>
            <w:tcW w:w="2300" w:type="dxa"/>
            <w:vAlign w:val="bottom"/>
            <w:tcBorders>
              <w:right w:val="single" w:sz="8" w:color="54585A"/>
            </w:tcBorders>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2024</w:t>
            </w:r>
          </w:p>
        </w:tc>
        <w:tc>
          <w:tcPr>
            <w:tcW w:w="1120" w:type="dxa"/>
            <w:vAlign w:val="bottom"/>
            <w:shd w:val="clear" w:color="auto" w:fill="EEEDED"/>
          </w:tcPr>
          <w:p>
            <w:pPr>
              <w:spacing w:after="0"/>
              <w:rPr>
                <w:sz w:val="18"/>
                <w:szCs w:val="18"/>
                <w:color w:val="auto"/>
              </w:rPr>
            </w:pPr>
          </w:p>
        </w:tc>
        <w:tc>
          <w:tcPr>
            <w:tcW w:w="11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2023</w:t>
            </w:r>
          </w:p>
        </w:tc>
      </w:tr>
      <w:tr>
        <w:trPr>
          <w:trHeight w:val="229"/>
        </w:trPr>
        <w:tc>
          <w:tcPr>
            <w:tcW w:w="6660" w:type="dxa"/>
            <w:vAlign w:val="bottom"/>
            <w:shd w:val="clear" w:color="auto" w:fill="EEEDED"/>
          </w:tcPr>
          <w:p>
            <w:pPr>
              <w:spacing w:after="0"/>
              <w:rPr>
                <w:sz w:val="19"/>
                <w:szCs w:val="19"/>
                <w:color w:val="auto"/>
              </w:rPr>
            </w:pPr>
          </w:p>
        </w:tc>
        <w:tc>
          <w:tcPr>
            <w:tcW w:w="2300" w:type="dxa"/>
            <w:vAlign w:val="bottom"/>
            <w:tcBorders>
              <w:right w:val="single" w:sz="8" w:color="54585A"/>
            </w:tcBorders>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c>
          <w:tcPr>
            <w:tcW w:w="1120" w:type="dxa"/>
            <w:vAlign w:val="bottom"/>
            <w:shd w:val="clear" w:color="auto" w:fill="EEEDED"/>
          </w:tcPr>
          <w:p>
            <w:pPr>
              <w:spacing w:after="0"/>
              <w:rPr>
                <w:sz w:val="19"/>
                <w:szCs w:val="19"/>
                <w:color w:val="auto"/>
              </w:rPr>
            </w:pPr>
          </w:p>
        </w:tc>
        <w:tc>
          <w:tcPr>
            <w:tcW w:w="11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110"/>
        </w:trPr>
        <w:tc>
          <w:tcPr>
            <w:tcW w:w="6660" w:type="dxa"/>
            <w:vAlign w:val="bottom"/>
            <w:shd w:val="clear" w:color="auto" w:fill="EEEDED"/>
          </w:tcPr>
          <w:p>
            <w:pPr>
              <w:spacing w:after="0"/>
              <w:rPr>
                <w:sz w:val="9"/>
                <w:szCs w:val="9"/>
                <w:color w:val="auto"/>
              </w:rPr>
            </w:pPr>
          </w:p>
        </w:tc>
        <w:tc>
          <w:tcPr>
            <w:tcW w:w="2300" w:type="dxa"/>
            <w:vAlign w:val="bottom"/>
            <w:tcBorders>
              <w:right w:val="single" w:sz="8" w:color="54585A"/>
            </w:tcBorders>
            <w:shd w:val="clear" w:color="auto" w:fill="EEEDED"/>
          </w:tcPr>
          <w:p>
            <w:pPr>
              <w:spacing w:after="0"/>
              <w:rPr>
                <w:sz w:val="9"/>
                <w:szCs w:val="9"/>
                <w:color w:val="auto"/>
              </w:rPr>
            </w:pPr>
          </w:p>
        </w:tc>
        <w:tc>
          <w:tcPr>
            <w:tcW w:w="1120" w:type="dxa"/>
            <w:vAlign w:val="bottom"/>
            <w:shd w:val="clear" w:color="auto" w:fill="EEEDED"/>
          </w:tcPr>
          <w:p>
            <w:pPr>
              <w:spacing w:after="0"/>
              <w:rPr>
                <w:sz w:val="9"/>
                <w:szCs w:val="9"/>
                <w:color w:val="auto"/>
              </w:rPr>
            </w:pPr>
          </w:p>
        </w:tc>
        <w:tc>
          <w:tcPr>
            <w:tcW w:w="1160" w:type="dxa"/>
            <w:vAlign w:val="bottom"/>
            <w:shd w:val="clear" w:color="auto" w:fill="EEEDED"/>
          </w:tcPr>
          <w:p>
            <w:pPr>
              <w:spacing w:after="0"/>
              <w:rPr>
                <w:sz w:val="9"/>
                <w:szCs w:val="9"/>
                <w:color w:val="auto"/>
              </w:rPr>
            </w:pPr>
          </w:p>
        </w:tc>
      </w:tr>
      <w:tr>
        <w:trPr>
          <w:trHeight w:val="229"/>
        </w:trPr>
        <w:tc>
          <w:tcPr>
            <w:tcW w:w="666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Audit Fees</w:t>
            </w:r>
            <w:r>
              <w:rPr>
                <w:rFonts w:ascii="Arial" w:cs="Arial" w:eastAsia="Arial" w:hAnsi="Arial"/>
                <w:sz w:val="18"/>
                <w:szCs w:val="18"/>
                <w:b w:val="1"/>
                <w:bCs w:val="1"/>
                <w:color w:val="EB6C10"/>
                <w:vertAlign w:val="superscript"/>
              </w:rPr>
              <w:t>(1)</w:t>
            </w:r>
          </w:p>
        </w:tc>
        <w:tc>
          <w:tcPr>
            <w:tcW w:w="2300" w:type="dxa"/>
            <w:vAlign w:val="bottom"/>
            <w:tcBorders>
              <w:bottom w:val="single" w:sz="8" w:color="54585A"/>
              <w:right w:val="single" w:sz="8" w:color="54585A"/>
            </w:tcBorders>
          </w:tcPr>
          <w:p>
            <w:pPr>
              <w:jc w:val="right"/>
              <w:ind w:right="148"/>
              <w:spacing w:after="0"/>
              <w:rPr>
                <w:sz w:val="20"/>
                <w:szCs w:val="20"/>
                <w:color w:val="auto"/>
              </w:rPr>
            </w:pPr>
            <w:r>
              <w:rPr>
                <w:rFonts w:ascii="Arial" w:cs="Arial" w:eastAsia="Arial" w:hAnsi="Arial"/>
                <w:sz w:val="14"/>
                <w:szCs w:val="14"/>
                <w:color w:val="54585A"/>
              </w:rPr>
              <w:t>1,785,720</w:t>
            </w:r>
          </w:p>
        </w:tc>
        <w:tc>
          <w:tcPr>
            <w:tcW w:w="1120" w:type="dxa"/>
            <w:vAlign w:val="bottom"/>
            <w:tcBorders>
              <w:bottom w:val="single" w:sz="8" w:color="54585A"/>
            </w:tcBorders>
          </w:tcPr>
          <w:p>
            <w:pPr>
              <w:spacing w:after="0"/>
              <w:rPr>
                <w:sz w:val="19"/>
                <w:szCs w:val="19"/>
                <w:color w:val="auto"/>
              </w:rPr>
            </w:pPr>
          </w:p>
        </w:tc>
        <w:tc>
          <w:tcPr>
            <w:tcW w:w="1160" w:type="dxa"/>
            <w:vAlign w:val="bottom"/>
            <w:tcBorders>
              <w:bottom w:val="single" w:sz="8" w:color="54585A"/>
            </w:tcBorders>
          </w:tcPr>
          <w:p>
            <w:pPr>
              <w:jc w:val="right"/>
              <w:ind w:right="148"/>
              <w:spacing w:after="0"/>
              <w:rPr>
                <w:sz w:val="20"/>
                <w:szCs w:val="20"/>
                <w:color w:val="auto"/>
              </w:rPr>
            </w:pPr>
            <w:r>
              <w:rPr>
                <w:rFonts w:ascii="Arial" w:cs="Arial" w:eastAsia="Arial" w:hAnsi="Arial"/>
                <w:sz w:val="14"/>
                <w:szCs w:val="14"/>
                <w:color w:val="54585A"/>
              </w:rPr>
              <w:t>1,180,157</w:t>
            </w:r>
          </w:p>
        </w:tc>
      </w:tr>
      <w:tr>
        <w:trPr>
          <w:trHeight w:val="223"/>
        </w:trPr>
        <w:tc>
          <w:tcPr>
            <w:tcW w:w="666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Tax Fees</w:t>
            </w:r>
            <w:r>
              <w:rPr>
                <w:rFonts w:ascii="Arial" w:cs="Arial" w:eastAsia="Arial" w:hAnsi="Arial"/>
                <w:sz w:val="18"/>
                <w:szCs w:val="18"/>
                <w:b w:val="1"/>
                <w:bCs w:val="1"/>
                <w:color w:val="EB6C10"/>
                <w:vertAlign w:val="superscript"/>
              </w:rPr>
              <w:t>(3)</w:t>
            </w:r>
          </w:p>
        </w:tc>
        <w:tc>
          <w:tcPr>
            <w:tcW w:w="2300" w:type="dxa"/>
            <w:vAlign w:val="bottom"/>
            <w:tcBorders>
              <w:bottom w:val="single" w:sz="8" w:color="54585A"/>
              <w:right w:val="single" w:sz="8" w:color="54585A"/>
            </w:tcBorders>
          </w:tcPr>
          <w:p>
            <w:pPr>
              <w:jc w:val="right"/>
              <w:ind w:right="148"/>
              <w:spacing w:after="0"/>
              <w:rPr>
                <w:sz w:val="20"/>
                <w:szCs w:val="20"/>
                <w:color w:val="auto"/>
              </w:rPr>
            </w:pPr>
            <w:r>
              <w:rPr>
                <w:rFonts w:ascii="Arial" w:cs="Arial" w:eastAsia="Arial" w:hAnsi="Arial"/>
                <w:sz w:val="14"/>
                <w:szCs w:val="14"/>
                <w:color w:val="54585A"/>
              </w:rPr>
              <w:t>635,376</w:t>
            </w:r>
          </w:p>
        </w:tc>
        <w:tc>
          <w:tcPr>
            <w:tcW w:w="1120" w:type="dxa"/>
            <w:vAlign w:val="bottom"/>
            <w:tcBorders>
              <w:bottom w:val="single" w:sz="8" w:color="54585A"/>
            </w:tcBorders>
          </w:tcPr>
          <w:p>
            <w:pPr>
              <w:spacing w:after="0"/>
              <w:rPr>
                <w:sz w:val="19"/>
                <w:szCs w:val="19"/>
                <w:color w:val="auto"/>
              </w:rPr>
            </w:pPr>
          </w:p>
        </w:tc>
        <w:tc>
          <w:tcPr>
            <w:tcW w:w="1160" w:type="dxa"/>
            <w:vAlign w:val="bottom"/>
            <w:tcBorders>
              <w:bottom w:val="single" w:sz="8" w:color="54585A"/>
            </w:tcBorders>
          </w:tcPr>
          <w:p>
            <w:pPr>
              <w:jc w:val="right"/>
              <w:ind w:right="148"/>
              <w:spacing w:after="0"/>
              <w:rPr>
                <w:sz w:val="20"/>
                <w:szCs w:val="20"/>
                <w:color w:val="auto"/>
              </w:rPr>
            </w:pPr>
            <w:r>
              <w:rPr>
                <w:rFonts w:ascii="Arial" w:cs="Arial" w:eastAsia="Arial" w:hAnsi="Arial"/>
                <w:sz w:val="14"/>
                <w:szCs w:val="14"/>
                <w:color w:val="54585A"/>
              </w:rPr>
              <w:t>488,211</w:t>
            </w:r>
          </w:p>
        </w:tc>
      </w:tr>
      <w:tr>
        <w:trPr>
          <w:trHeight w:val="216"/>
        </w:trPr>
        <w:tc>
          <w:tcPr>
            <w:tcW w:w="666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Total</w:t>
            </w:r>
          </w:p>
        </w:tc>
        <w:tc>
          <w:tcPr>
            <w:tcW w:w="2300" w:type="dxa"/>
            <w:vAlign w:val="bottom"/>
            <w:tcBorders>
              <w:bottom w:val="single" w:sz="8" w:color="54585A"/>
              <w:right w:val="single" w:sz="8" w:color="54585A"/>
            </w:tcBorders>
          </w:tcPr>
          <w:p>
            <w:pPr>
              <w:jc w:val="right"/>
              <w:ind w:right="148"/>
              <w:spacing w:after="0"/>
              <w:rPr>
                <w:sz w:val="20"/>
                <w:szCs w:val="20"/>
                <w:color w:val="auto"/>
              </w:rPr>
            </w:pPr>
            <w:r>
              <w:rPr>
                <w:rFonts w:ascii="Arial" w:cs="Arial" w:eastAsia="Arial" w:hAnsi="Arial"/>
                <w:sz w:val="14"/>
                <w:szCs w:val="14"/>
                <w:color w:val="54585A"/>
              </w:rPr>
              <w:t>2,421,096</w:t>
            </w:r>
          </w:p>
        </w:tc>
        <w:tc>
          <w:tcPr>
            <w:tcW w:w="1120" w:type="dxa"/>
            <w:vAlign w:val="bottom"/>
            <w:tcBorders>
              <w:bottom w:val="single" w:sz="8" w:color="54585A"/>
            </w:tcBorders>
          </w:tcPr>
          <w:p>
            <w:pPr>
              <w:spacing w:after="0"/>
              <w:rPr>
                <w:sz w:val="18"/>
                <w:szCs w:val="18"/>
                <w:color w:val="auto"/>
              </w:rPr>
            </w:pPr>
          </w:p>
        </w:tc>
        <w:tc>
          <w:tcPr>
            <w:tcW w:w="1160" w:type="dxa"/>
            <w:vAlign w:val="bottom"/>
            <w:tcBorders>
              <w:bottom w:val="single" w:sz="8" w:color="54585A"/>
            </w:tcBorders>
          </w:tcPr>
          <w:p>
            <w:pPr>
              <w:jc w:val="right"/>
              <w:ind w:right="148"/>
              <w:spacing w:after="0"/>
              <w:rPr>
                <w:sz w:val="20"/>
                <w:szCs w:val="20"/>
                <w:color w:val="auto"/>
              </w:rPr>
            </w:pPr>
            <w:r>
              <w:rPr>
                <w:rFonts w:ascii="Arial" w:cs="Arial" w:eastAsia="Arial" w:hAnsi="Arial"/>
                <w:sz w:val="14"/>
                <w:szCs w:val="14"/>
                <w:color w:val="54585A"/>
              </w:rPr>
              <w:t>1,668,368</w:t>
            </w:r>
          </w:p>
        </w:tc>
      </w:tr>
    </w:tbl>
    <w:p>
      <w:pPr>
        <w:spacing w:after="0" w:line="180" w:lineRule="exact"/>
        <w:rPr>
          <w:sz w:val="20"/>
          <w:szCs w:val="20"/>
          <w:color w:val="auto"/>
        </w:rPr>
      </w:pPr>
    </w:p>
    <w:p>
      <w:pPr>
        <w:ind w:left="340" w:right="140" w:hanging="332"/>
        <w:spacing w:after="0" w:line="283" w:lineRule="auto"/>
        <w:tabs>
          <w:tab w:leader="none" w:pos="338" w:val="left"/>
        </w:tabs>
        <w:numPr>
          <w:ilvl w:val="0"/>
          <w:numId w:val="43"/>
        </w:numPr>
        <w:rPr>
          <w:rFonts w:ascii="Arial" w:cs="Arial" w:eastAsia="Arial" w:hAnsi="Arial"/>
          <w:sz w:val="14"/>
          <w:szCs w:val="14"/>
          <w:color w:val="54585A"/>
        </w:rPr>
      </w:pPr>
      <w:r>
        <w:rPr>
          <w:rFonts w:ascii="Arial" w:cs="Arial" w:eastAsia="Arial" w:hAnsi="Arial"/>
          <w:sz w:val="14"/>
          <w:szCs w:val="14"/>
          <w:color w:val="54585A"/>
        </w:rPr>
        <w:t>Fees for audit services billed related to the audits of our annual financial statements as well as other filings under the Securities Act of 1933, as amended, and the Securities Exchange Act of 1934, as amended, and services that are normally provided by the independent registered public accountants in connection with statutory and regulatory filings or engagements.</w:t>
      </w:r>
    </w:p>
    <w:p>
      <w:pPr>
        <w:spacing w:after="0" w:line="64" w:lineRule="exact"/>
        <w:rPr>
          <w:rFonts w:ascii="Arial" w:cs="Arial" w:eastAsia="Arial" w:hAnsi="Arial"/>
          <w:sz w:val="14"/>
          <w:szCs w:val="14"/>
          <w:color w:val="54585A"/>
        </w:rPr>
      </w:pPr>
    </w:p>
    <w:p>
      <w:pPr>
        <w:ind w:left="340" w:right="220" w:hanging="332"/>
        <w:spacing w:after="0" w:line="285" w:lineRule="auto"/>
        <w:tabs>
          <w:tab w:leader="none" w:pos="338" w:val="left"/>
        </w:tabs>
        <w:numPr>
          <w:ilvl w:val="0"/>
          <w:numId w:val="43"/>
        </w:numPr>
        <w:rPr>
          <w:rFonts w:ascii="Arial" w:cs="Arial" w:eastAsia="Arial" w:hAnsi="Arial"/>
          <w:sz w:val="14"/>
          <w:szCs w:val="14"/>
          <w:color w:val="54585A"/>
        </w:rPr>
      </w:pPr>
      <w:r>
        <w:rPr>
          <w:rFonts w:ascii="Arial" w:cs="Arial" w:eastAsia="Arial" w:hAnsi="Arial"/>
          <w:sz w:val="14"/>
          <w:szCs w:val="14"/>
          <w:color w:val="54585A"/>
        </w:rPr>
        <w:t>Fees for tax compliance, tax advice and tax planning services. These fees also included consulting services related to international logistics and indirect taxes (including value-added-tax and goods and services tax) levied by various countries around the world.</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Policy on Pre-Approval Process of Audit and Permissible Non-Audit Services</w:t>
      </w:r>
    </w:p>
    <w:p>
      <w:pPr>
        <w:spacing w:after="0" w:line="95" w:lineRule="exact"/>
        <w:rPr>
          <w:sz w:val="20"/>
          <w:szCs w:val="20"/>
          <w:color w:val="auto"/>
        </w:rPr>
      </w:pPr>
    </w:p>
    <w:p>
      <w:pPr>
        <w:ind w:right="120"/>
        <w:spacing w:after="0" w:line="340" w:lineRule="auto"/>
        <w:rPr>
          <w:sz w:val="20"/>
          <w:szCs w:val="20"/>
          <w:color w:val="auto"/>
        </w:rPr>
      </w:pPr>
      <w:r>
        <w:rPr>
          <w:rFonts w:ascii="Arial" w:cs="Arial" w:eastAsia="Arial" w:hAnsi="Arial"/>
          <w:sz w:val="16"/>
          <w:szCs w:val="16"/>
          <w:color w:val="54585A"/>
        </w:rPr>
        <w:t>The Audit Committee pre-approves all audit and permissible non-audit services to be provided by our independent registered public accountants. Non-audit services may include audit-related services, tax services and other services not prohibited by SEC rules on auditor independence. Pre-approval is detailed as to the particular service or category of services and generally is subject to a specific budget. The independent auditors report periodically to the Audit Committee regarding the extent of services they provided in accordance with the Committee’s pre-approvals and the fees for services performed to date. In 2024, the Audit Committee’s pre-approval requirement was not waived for any fees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313055</wp:posOffset>
            </wp:positionV>
            <wp:extent cx="257175" cy="2571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22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4"/>
          <w:szCs w:val="14"/>
          <w:color w:val="54585A"/>
        </w:rPr>
        <w:t xml:space="preserve">Other Voting Matters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54"/>
          <w:szCs w:val="54"/>
          <w:color w:val="EB6C10"/>
        </w:rPr>
        <w:t>Other Voting Matters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Georgia" w:cs="Georgia" w:eastAsia="Georgia" w:hAnsi="Georgia"/>
          <w:sz w:val="22"/>
          <w:szCs w:val="22"/>
          <w:b w:val="1"/>
          <w:bCs w:val="1"/>
          <w:color w:val="63C237"/>
        </w:rPr>
        <w:t>Proposal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-1939925</wp:posOffset>
            </wp:positionV>
            <wp:extent cx="1800225" cy="6772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00225" cy="6772275"/>
                    </a:xfrm>
                    <a:prstGeom prst="rect">
                      <a:avLst/>
                    </a:prstGeom>
                    <a:noFill/>
                  </pic:spPr>
                </pic:pic>
              </a:graphicData>
            </a:graphic>
          </wp:anchor>
        </w:drawing>
      </w:r>
    </w:p>
    <w:p>
      <w:pPr>
        <w:spacing w:after="0" w:line="158" w:lineRule="exact"/>
        <w:rPr>
          <w:sz w:val="20"/>
          <w:szCs w:val="20"/>
          <w:color w:val="auto"/>
        </w:rPr>
      </w:pPr>
    </w:p>
    <w:p>
      <w:pPr>
        <w:ind w:left="520" w:right="20" w:hanging="157"/>
        <w:spacing w:after="0" w:line="329" w:lineRule="auto"/>
        <w:tabs>
          <w:tab w:leader="none" w:pos="458" w:val="left"/>
        </w:tabs>
        <w:numPr>
          <w:ilvl w:val="0"/>
          <w:numId w:val="44"/>
        </w:numPr>
        <w:rPr>
          <w:rFonts w:ascii="Arial" w:cs="Arial" w:eastAsia="Arial" w:hAnsi="Arial"/>
          <w:sz w:val="18"/>
          <w:szCs w:val="18"/>
          <w:b w:val="1"/>
          <w:bCs w:val="1"/>
          <w:color w:val="63C237"/>
        </w:rPr>
      </w:pPr>
      <w:r>
        <w:rPr>
          <w:rFonts w:ascii="Arial" w:cs="Arial" w:eastAsia="Arial" w:hAnsi="Arial"/>
          <w:sz w:val="18"/>
          <w:szCs w:val="18"/>
          <w:color w:val="FFFFFF"/>
        </w:rPr>
        <w:t xml:space="preserve">The Board recommends that stockholders vote </w:t>
      </w:r>
      <w:r>
        <w:rPr>
          <w:rFonts w:ascii="Georgia" w:cs="Georgia" w:eastAsia="Georgia" w:hAnsi="Georgia"/>
          <w:sz w:val="18"/>
          <w:szCs w:val="18"/>
          <w:b w:val="1"/>
          <w:bCs w:val="1"/>
          <w:color w:val="63C237"/>
        </w:rPr>
        <w:t xml:space="preserve">FOR </w:t>
      </w:r>
      <w:r>
        <w:rPr>
          <w:rFonts w:ascii="Arial" w:cs="Arial" w:eastAsia="Arial" w:hAnsi="Arial"/>
          <w:sz w:val="18"/>
          <w:szCs w:val="18"/>
          <w:color w:val="FFFFFF"/>
        </w:rPr>
        <w:t>the approval of</w:t>
      </w:r>
      <w:r>
        <w:rPr>
          <w:rFonts w:ascii="Georgia" w:cs="Georgia" w:eastAsia="Georgia" w:hAnsi="Georgia"/>
          <w:sz w:val="18"/>
          <w:szCs w:val="18"/>
          <w:b w:val="1"/>
          <w:bCs w:val="1"/>
          <w:color w:val="63C237"/>
        </w:rPr>
        <w:t xml:space="preserve"> </w:t>
      </w:r>
      <w:r>
        <w:rPr>
          <w:rFonts w:ascii="Arial" w:cs="Arial" w:eastAsia="Arial" w:hAnsi="Arial"/>
          <w:sz w:val="18"/>
          <w:szCs w:val="18"/>
          <w:color w:val="FFFFFF"/>
        </w:rPr>
        <w:t>the entry into the Amended Thermo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4106545</wp:posOffset>
            </wp:positionV>
            <wp:extent cx="257175"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ind w:right="1220"/>
        <w:spacing w:after="0" w:line="286" w:lineRule="auto"/>
        <w:rPr>
          <w:sz w:val="20"/>
          <w:szCs w:val="20"/>
          <w:color w:val="auto"/>
        </w:rPr>
      </w:pPr>
      <w:r>
        <w:rPr>
          <w:rFonts w:ascii="Arial" w:cs="Arial" w:eastAsia="Arial" w:hAnsi="Arial"/>
          <w:sz w:val="29"/>
          <w:szCs w:val="29"/>
          <w:color w:val="54585A"/>
        </w:rPr>
        <w:t>Approval of Entry into the Amended Thermo Guaranty Agreement</w:t>
      </w:r>
    </w:p>
    <w:p>
      <w:pPr>
        <w:spacing w:after="0" w:line="101"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54585A"/>
        </w:rPr>
        <w:t>As previously disclosed, the Company and Apple Inc. (the “Customer”) amended certain of the services agreements and related ancillary agreements (collectively, as amended, the “Services Agreements”) to provide for, among other things, the Customer’s prepayment of up to $252 million to the Company (the “2023 Funding Agreement”), the proceeds of which are intended to be used to fund 50% of the amounts due under our Satellite Procurement Agreement (the “SPA Agreement”) with Macdonald, Dettwiler and Associates Corporation (“MDA”), as well as launch, insurance and ancillary costs incurred in connection with the construction and launch of such satellites. In connection with the amendment of the foregoing, Thermo Funding II, LLC, a Thermo controlled affiliate, entered into (i) a Secured Guaranty with the Customer (the “Customer Guaranty”), whereby Thermo agreed to guaranty certain of our obligations under the 2023 Funding Agreement, the Services Agreements and the SPA Agreement (the “Guaranteed Obligations”) and (ii) a Guaranty (the “Thermo Guaranty”), which provides for Thermo to guarantee these obligations directly in favor of the Company, as previously approved by our stockholders on June 27, 2023 and effective December 7, 2023. As of December 31, 2024, payments under the 2023 Funding Agreement totaled $155.0 million.</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54585A"/>
        </w:rPr>
        <w:t>Under the Thermo Guaranty, Thermo is obligated directly to us to make payments in respect of the Guaranteed Obligations if we fail to pay or otherwise do not make payment in respect of the Guaranteed Obligations to the Customer or MDA. Thermo is also required to comply with certain covenants, which include advancing funds to us to allow us to maintain compliance with our minimum liquidity covenant and maintenance of a minimum asset level in excess of the obligations guaranteed by Thermo. In the event Thermo is required to pay amounts to us in respect of the Guaranteed Obligations (each such amount, a “Guaranty Payment”), we will issue a number of shares of our common stock to Thermo equal to (i) the amount of the Guaranty Payment multiplied by (ii) the average of the five trailing volume-weighted average prices of the common stock for the trading days immediately preceding the date of such Guaranty Payment.</w:t>
      </w:r>
    </w:p>
    <w:p>
      <w:pPr>
        <w:spacing w:after="0" w:line="126" w:lineRule="exact"/>
        <w:rPr>
          <w:sz w:val="20"/>
          <w:szCs w:val="20"/>
          <w:color w:val="auto"/>
        </w:rPr>
      </w:pPr>
    </w:p>
    <w:p>
      <w:pPr>
        <w:jc w:val="both"/>
        <w:ind w:right="340"/>
        <w:spacing w:after="0" w:line="340" w:lineRule="auto"/>
        <w:rPr>
          <w:sz w:val="20"/>
          <w:szCs w:val="20"/>
          <w:color w:val="auto"/>
        </w:rPr>
      </w:pPr>
      <w:r>
        <w:rPr>
          <w:rFonts w:ascii="Arial" w:cs="Arial" w:eastAsia="Arial" w:hAnsi="Arial"/>
          <w:sz w:val="16"/>
          <w:szCs w:val="16"/>
          <w:color w:val="54585A"/>
        </w:rPr>
        <w:t>As consideration for the Thermo Guaranty, we issued to Thermo a warrant to purchase 666,668 shares of its common stock at an exercise price equal to $30 per share. The right to purchase 333,334 shares under the Thermo warrant vested upon the effectiveness of Thermo’s guarantee in December 2023, and the remaining 333,334 shares may vest if and when Thermo advances funds under the Thermo Guaranty of $25 million or more. The Thermo warrant expires in December 2028.</w:t>
      </w:r>
    </w:p>
    <w:p>
      <w:pPr>
        <w:spacing w:after="0" w:line="200" w:lineRule="exact"/>
        <w:rPr>
          <w:sz w:val="20"/>
          <w:szCs w:val="20"/>
          <w:color w:val="auto"/>
        </w:rPr>
      </w:pPr>
    </w:p>
    <w:p>
      <w:pPr>
        <w:sectPr>
          <w:pgSz w:w="11900" w:h="16838" w:orient="portrait"/>
          <w:cols w:equalWidth="0" w:num="2">
            <w:col w:w="2420" w:space="720"/>
            <w:col w:w="81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ind w:left="100" w:hanging="92"/>
        <w:spacing w:after="0"/>
        <w:tabs>
          <w:tab w:leader="none" w:pos="100" w:val="left"/>
        </w:tabs>
        <w:numPr>
          <w:ilvl w:val="0"/>
          <w:numId w:val="45"/>
        </w:numPr>
        <w:rPr>
          <w:rFonts w:ascii="Arial" w:cs="Arial" w:eastAsia="Arial" w:hAnsi="Arial"/>
          <w:sz w:val="18"/>
          <w:szCs w:val="18"/>
          <w:b w:val="1"/>
          <w:bCs w:val="1"/>
          <w:color w:val="EB6C10"/>
        </w:rPr>
      </w:pPr>
      <w:r>
        <w:rPr>
          <w:rFonts w:ascii="Arial" w:cs="Arial" w:eastAsia="Arial" w:hAnsi="Arial"/>
          <w:sz w:val="14"/>
          <w:szCs w:val="14"/>
          <w:color w:val="54585A"/>
        </w:rPr>
        <w:t>Other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1791335" cy="4500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91335" cy="450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40"/>
        <w:spacing w:after="0" w:line="330" w:lineRule="auto"/>
        <w:rPr>
          <w:sz w:val="20"/>
          <w:szCs w:val="20"/>
          <w:color w:val="auto"/>
        </w:rPr>
      </w:pPr>
      <w:r>
        <w:rPr>
          <w:rFonts w:ascii="Arial" w:cs="Arial" w:eastAsia="Arial" w:hAnsi="Arial"/>
          <w:sz w:val="16"/>
          <w:szCs w:val="16"/>
          <w:color w:val="54585A"/>
        </w:rPr>
        <w:t>In October 2024, we further amended the Services Agreements and entered into certain related agreements (collectively, the “Updated Services Agreements”) with the Customer for the Company to deliver expanded services over a new MSS network, including a new satellite constellation, expanded ground infrastructure, and increased global MSS licensing (collectively, the “Extended MSS Network”). In connection with the Updated Services Agreements, the Company, Customer, and Thermo amended the Customer Guaranty and agreed to amend the Thermo Guaranty to lower the amount of Guaranteed Obligations covered by the Thermo Guaranty to $100 million, with the effective date of such amendment to the Thermo Guaranty subject to the approval of our stockholders (other than Thermo, including its affiliates) as described below. The amendment to the Customer Guaranty and agreement to amend the Thermo Guaranty reflect the strengthened financial position of the Company, and the intention of the parties is for the Customer Guaranty and Thermo Guaranty to align to work in tandem. Accordingly, we are asking our stockholders (other than Thermo, including its affiliates) to approve our entry into an amendment to the Thermo Guaranty, substantially in the form included in Appendix A attached hereto (the “Amended Thermo Guaranty Agreement”) to lower the amount of Guaranteed Obligations covered by the Thermo Guaranty to $100 million. The Amended Thermo Guaranty Agreement will not impact the outstanding warrant and no additional warrants or rights to purchase additional shares of our common stock will be issued to Thermo in connection with the entry into such amendment. As discussed above, Mr. Monroe, our Executive Chairman and controlling stockholder, controls Thermo.</w:t>
      </w:r>
    </w:p>
    <w:p>
      <w:pPr>
        <w:spacing w:after="0" w:line="96"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54585A"/>
        </w:rPr>
        <w:t>Vote Required to Approve the Amended Thermo Guaranty Agreement</w:t>
      </w:r>
    </w:p>
    <w:p>
      <w:pPr>
        <w:spacing w:after="0" w:line="95" w:lineRule="exact"/>
        <w:rPr>
          <w:sz w:val="20"/>
          <w:szCs w:val="20"/>
          <w:color w:val="auto"/>
        </w:rPr>
      </w:pPr>
    </w:p>
    <w:p>
      <w:pPr>
        <w:ind w:left="3140" w:right="40"/>
        <w:spacing w:after="0" w:line="335" w:lineRule="auto"/>
        <w:rPr>
          <w:sz w:val="20"/>
          <w:szCs w:val="20"/>
          <w:color w:val="auto"/>
        </w:rPr>
      </w:pPr>
      <w:r>
        <w:rPr>
          <w:rFonts w:ascii="Arial" w:cs="Arial" w:eastAsia="Arial" w:hAnsi="Arial"/>
          <w:sz w:val="16"/>
          <w:szCs w:val="16"/>
          <w:color w:val="54585A"/>
        </w:rPr>
        <w:t>Because the Amended Thermo Guaranty Agreement provides for a potential transaction between Thermo, on one hand, and the Company, on the other, which may have a value greater than $5 million, as determined by the Strategic Review Committee, it is a Related Party Transaction under our Certificate of Incorporation. Under our Certificate of Incorporation, Related Party Transactions must be approved by the affirmative vote of a majority of shares of common stock of the Company owned by stockholders other than Thermo (including its affiliates) and voting affirmatively or negatively (i.e., votes cast) on the matter. Shares represented by proxies that are marked to indicate abstentions from this proposal and broker non-votes with respect to this proposal will have no effect.</w:t>
      </w:r>
    </w:p>
    <w:p>
      <w:pPr>
        <w:spacing w:after="0" w:line="119"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54585A"/>
        </w:rPr>
        <w:t>Thermo and its affiliates are not eligible to vote on 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783590</wp:posOffset>
            </wp:positionV>
            <wp:extent cx="257175"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24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8" w:right="35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1800225" cy="73037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00225" cy="7303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FFD900"/>
        </w:rPr>
        <w:t>Proposal Four</w:t>
      </w:r>
    </w:p>
    <w:p>
      <w:pPr>
        <w:spacing w:after="0" w:line="178" w:lineRule="exact"/>
        <w:rPr>
          <w:sz w:val="20"/>
          <w:szCs w:val="20"/>
          <w:color w:val="auto"/>
        </w:rPr>
      </w:pPr>
    </w:p>
    <w:p>
      <w:pPr>
        <w:ind w:left="160" w:hanging="157"/>
        <w:spacing w:after="0" w:line="328" w:lineRule="auto"/>
        <w:tabs>
          <w:tab w:leader="none" w:pos="98" w:val="left"/>
        </w:tabs>
        <w:numPr>
          <w:ilvl w:val="0"/>
          <w:numId w:val="46"/>
        </w:numPr>
        <w:rPr>
          <w:rFonts w:ascii="Arial" w:cs="Arial" w:eastAsia="Arial" w:hAnsi="Arial"/>
          <w:sz w:val="18"/>
          <w:szCs w:val="18"/>
          <w:b w:val="1"/>
          <w:bCs w:val="1"/>
          <w:color w:val="FFD900"/>
        </w:rPr>
      </w:pPr>
      <w:r>
        <w:rPr>
          <w:rFonts w:ascii="Arial" w:cs="Arial" w:eastAsia="Arial" w:hAnsi="Arial"/>
          <w:sz w:val="18"/>
          <w:szCs w:val="18"/>
          <w:color w:val="FFFFFF"/>
        </w:rPr>
        <w:t xml:space="preserve">The Board recommends that stockholders vote </w:t>
      </w:r>
      <w:r>
        <w:rPr>
          <w:rFonts w:ascii="Georgia" w:cs="Georgia" w:eastAsia="Georgia" w:hAnsi="Georgia"/>
          <w:sz w:val="18"/>
          <w:szCs w:val="18"/>
          <w:b w:val="1"/>
          <w:bCs w:val="1"/>
          <w:color w:val="FFD900"/>
        </w:rPr>
        <w:t xml:space="preserve">FOR </w:t>
      </w:r>
      <w:r>
        <w:rPr>
          <w:rFonts w:ascii="Arial" w:cs="Arial" w:eastAsia="Arial" w:hAnsi="Arial"/>
          <w:sz w:val="18"/>
          <w:szCs w:val="18"/>
          <w:color w:val="FFFFFF"/>
        </w:rPr>
        <w:t>the approval of</w:t>
      </w:r>
      <w:r>
        <w:rPr>
          <w:rFonts w:ascii="Georgia" w:cs="Georgia" w:eastAsia="Georgia" w:hAnsi="Georgia"/>
          <w:sz w:val="18"/>
          <w:szCs w:val="18"/>
          <w:b w:val="1"/>
          <w:bCs w:val="1"/>
          <w:color w:val="FFD900"/>
        </w:rPr>
        <w:t xml:space="preserve"> </w:t>
      </w:r>
      <w:r>
        <w:rPr>
          <w:rFonts w:ascii="Arial" w:cs="Arial" w:eastAsia="Arial" w:hAnsi="Arial"/>
          <w:sz w:val="18"/>
          <w:szCs w:val="18"/>
          <w:color w:val="FFFFFF"/>
        </w:rPr>
        <w:t>the amendment to our Certificate of Incorporation to provide for officer exculpation.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3801745</wp:posOffset>
            </wp:positionV>
            <wp:extent cx="25717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54585A"/>
        </w:rPr>
        <w:t xml:space="preserve">Other Voting Matters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280"/>
        <w:spacing w:after="0" w:line="286" w:lineRule="auto"/>
        <w:rPr>
          <w:sz w:val="20"/>
          <w:szCs w:val="20"/>
          <w:color w:val="auto"/>
        </w:rPr>
      </w:pPr>
      <w:r>
        <w:rPr>
          <w:rFonts w:ascii="Arial" w:cs="Arial" w:eastAsia="Arial" w:hAnsi="Arial"/>
          <w:sz w:val="29"/>
          <w:szCs w:val="29"/>
          <w:color w:val="54585A"/>
        </w:rPr>
        <w:t>Approval of the amendment to our Certificate of Incorporation to provide for officer exculpation</w:t>
      </w:r>
    </w:p>
    <w:p>
      <w:pPr>
        <w:spacing w:after="0" w:line="10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54585A"/>
        </w:rPr>
        <w:t>Article EIGHTH of our Certificate of Incorporation currently contains a provision eliminating the personal liability of our directors for monetary damages for breach of fiduciary duty as a director, except to the extent that exculpation from liability is not permitted under the General Corporation Law of the State of Delaware (the “DGCL”). Delaware amended Section 102(b)(7) of the DGCL to allow a Delaware corporation to include a similar provision in its certificate of incorporation eliminating the personal liability of certain officers for monetary damages for breach of fiduciary duty as an officer in certain circumstances. As further described below, we are asking our stockholders to approve an amendment to our Certificate of Incorporation to provide for such officer exculpation, similar to our existing ability to exculpate our directors.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Description of the Amendment</w:t>
      </w:r>
    </w:p>
    <w:p>
      <w:pPr>
        <w:spacing w:after="0" w:line="95"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54585A"/>
        </w:rPr>
        <w:t>As now permitted by the DGCL, we propose to amend Article EIGHTH of our Certificate of Incorporation to read in its entirety as follows (additions are indicated by underlining and boldface type):</w:t>
      </w:r>
    </w:p>
    <w:p>
      <w:pPr>
        <w:spacing w:after="0" w:line="34"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54585A"/>
        </w:rPr>
        <w:t>EIGHTH</w:t>
      </w:r>
    </w:p>
    <w:p>
      <w:pPr>
        <w:spacing w:after="0" w:line="127" w:lineRule="exact"/>
        <w:rPr>
          <w:sz w:val="20"/>
          <w:szCs w:val="20"/>
          <w:color w:val="auto"/>
        </w:rPr>
      </w:pPr>
    </w:p>
    <w:p>
      <w:pPr>
        <w:ind w:left="240" w:right="220"/>
        <w:spacing w:after="0" w:line="330" w:lineRule="auto"/>
        <w:rPr>
          <w:sz w:val="20"/>
          <w:szCs w:val="20"/>
          <w:color w:val="auto"/>
        </w:rPr>
      </w:pPr>
      <w:r>
        <w:rPr>
          <w:rFonts w:ascii="Arial" w:cs="Arial" w:eastAsia="Arial" w:hAnsi="Arial"/>
          <w:sz w:val="16"/>
          <w:szCs w:val="16"/>
          <w:color w:val="54585A"/>
        </w:rPr>
        <w:t xml:space="preserve">A director </w:t>
      </w:r>
      <w:r>
        <w:rPr>
          <w:rFonts w:ascii="Arial" w:cs="Arial" w:eastAsia="Arial" w:hAnsi="Arial"/>
          <w:sz w:val="16"/>
          <w:szCs w:val="16"/>
          <w:b w:val="1"/>
          <w:bCs w:val="1"/>
          <w:u w:val="single" w:color="auto"/>
          <w:color w:val="54585A"/>
        </w:rPr>
        <w:t>or officer</w:t>
      </w:r>
      <w:r>
        <w:rPr>
          <w:rFonts w:ascii="Arial" w:cs="Arial" w:eastAsia="Arial" w:hAnsi="Arial"/>
          <w:sz w:val="16"/>
          <w:szCs w:val="16"/>
          <w:color w:val="54585A"/>
        </w:rPr>
        <w:t xml:space="preserve"> of the Corporation shall not be liable to the Corporation or the stockholders for monetary damages for breach of fiduciary duty as a director </w:t>
      </w:r>
      <w:r>
        <w:rPr>
          <w:rFonts w:ascii="Arial" w:cs="Arial" w:eastAsia="Arial" w:hAnsi="Arial"/>
          <w:sz w:val="16"/>
          <w:szCs w:val="16"/>
          <w:b w:val="1"/>
          <w:bCs w:val="1"/>
          <w:u w:val="single" w:color="auto"/>
          <w:color w:val="54585A"/>
        </w:rPr>
        <w:t>or officer, respectively</w:t>
      </w:r>
      <w:r>
        <w:rPr>
          <w:rFonts w:ascii="Arial" w:cs="Arial" w:eastAsia="Arial" w:hAnsi="Arial"/>
          <w:sz w:val="16"/>
          <w:szCs w:val="16"/>
          <w:color w:val="54585A"/>
        </w:rPr>
        <w:t xml:space="preserve">, except to the extent that exculpation from liability is not permitted under the General Corporation Law of the State of Delaware as in effect at the time such liability is determined. No amendment or repeal of this Article Eighth shall apply to or have any effect on the liability of any director </w:t>
      </w:r>
      <w:r>
        <w:rPr>
          <w:rFonts w:ascii="Arial" w:cs="Arial" w:eastAsia="Arial" w:hAnsi="Arial"/>
          <w:sz w:val="16"/>
          <w:szCs w:val="16"/>
          <w:b w:val="1"/>
          <w:bCs w:val="1"/>
          <w:u w:val="single" w:color="auto"/>
          <w:color w:val="54585A"/>
        </w:rPr>
        <w:t>or officer</w:t>
      </w:r>
      <w:r>
        <w:rPr>
          <w:rFonts w:ascii="Arial" w:cs="Arial" w:eastAsia="Arial" w:hAnsi="Arial"/>
          <w:sz w:val="16"/>
          <w:szCs w:val="16"/>
          <w:color w:val="54585A"/>
        </w:rPr>
        <w:t xml:space="preserve"> with respect to acts or omission</w:t>
      </w:r>
      <w:r>
        <w:rPr>
          <w:rFonts w:ascii="Arial" w:cs="Arial" w:eastAsia="Arial" w:hAnsi="Arial"/>
          <w:sz w:val="16"/>
          <w:szCs w:val="16"/>
          <w:b w:val="1"/>
          <w:bCs w:val="1"/>
          <w:u w:val="single" w:color="auto"/>
          <w:color w:val="54585A"/>
        </w:rPr>
        <w:t>s</w:t>
      </w:r>
      <w:r>
        <w:rPr>
          <w:rFonts w:ascii="Arial" w:cs="Arial" w:eastAsia="Arial" w:hAnsi="Arial"/>
          <w:sz w:val="16"/>
          <w:szCs w:val="16"/>
          <w:color w:val="54585A"/>
        </w:rPr>
        <w:t xml:space="preserve"> of such director </w:t>
      </w:r>
      <w:r>
        <w:rPr>
          <w:rFonts w:ascii="Arial" w:cs="Arial" w:eastAsia="Arial" w:hAnsi="Arial"/>
          <w:sz w:val="16"/>
          <w:szCs w:val="16"/>
          <w:b w:val="1"/>
          <w:bCs w:val="1"/>
          <w:u w:val="single" w:color="auto"/>
          <w:color w:val="54585A"/>
        </w:rPr>
        <w:t>or officer</w:t>
      </w:r>
      <w:r>
        <w:rPr>
          <w:rFonts w:ascii="Arial" w:cs="Arial" w:eastAsia="Arial" w:hAnsi="Arial"/>
          <w:sz w:val="16"/>
          <w:szCs w:val="16"/>
          <w:color w:val="54585A"/>
        </w:rPr>
        <w:t xml:space="preserve"> prior to such amendment or repeal. To the maximum extent permitted from time to time under the law of the State of Delaware, the Corporation renounces any interest or expectancy of the Corporation in, or in being offered an opportunity to participate in, business opportunities that are from time to time being presented to its officers, directors or stockholders, other than (i) those officers, directors or stockholders who are employees of the Corporation and (ii) those opportunities demonstrated by the Corporation to have been presented to officers or directors of the Corporation in their capacity as such. No amendment or repeal of this Article Eighth shall apply to or have any effect on any opportunities which such officer, director or stockholder becomes aware prior to such amendment or repeal.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Reasons for the Amendment</w:t>
      </w:r>
    </w:p>
    <w:p>
      <w:pPr>
        <w:spacing w:after="0" w:line="95"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54585A"/>
        </w:rPr>
        <w:t>The Strategic Review Committee and our Board desire to amend our Certificate of Incorporation to eliminate the personal liability of our officers for monetary damages for breach of fiduciary duty as an officer to the fullest extent permitted by the DGCL. In considering the proposed amendment, the Strategic Review Committee and our Board considered the narrow class and type of claims for which officers are permitted to be exculpated from personal liability, which is more limited than the protection currently permitted for our directors.</w:t>
      </w:r>
    </w:p>
    <w:p>
      <w:pPr>
        <w:spacing w:after="0" w:line="200" w:lineRule="exact"/>
        <w:rPr>
          <w:sz w:val="20"/>
          <w:szCs w:val="20"/>
          <w:color w:val="auto"/>
        </w:rPr>
      </w:pPr>
    </w:p>
    <w:p>
      <w:pPr>
        <w:sectPr>
          <w:pgSz w:w="11900" w:h="16838" w:orient="portrait"/>
          <w:cols w:equalWidth="0" w:num="2">
            <w:col w:w="2060" w:space="720"/>
            <w:col w:w="8100"/>
          </w:cols>
          <w:pgMar w:left="6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844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234950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type w:val="continuous"/>
        </w:sectPr>
      </w:pPr>
    </w:p>
    <w:bookmarkStart w:id="29" w:name="page30"/>
    <w:bookmarkEnd w:id="29"/>
    <w:p>
      <w:pPr>
        <w:ind w:left="92" w:hanging="92"/>
        <w:spacing w:after="0"/>
        <w:tabs>
          <w:tab w:leader="none" w:pos="92" w:val="left"/>
        </w:tabs>
        <w:numPr>
          <w:ilvl w:val="0"/>
          <w:numId w:val="47"/>
        </w:numPr>
        <w:rPr>
          <w:rFonts w:ascii="Arial" w:cs="Arial" w:eastAsia="Arial" w:hAnsi="Arial"/>
          <w:sz w:val="18"/>
          <w:szCs w:val="18"/>
          <w:b w:val="1"/>
          <w:bCs w:val="1"/>
          <w:color w:val="EB6C10"/>
        </w:rPr>
      </w:pPr>
      <w:r>
        <w:rPr>
          <w:rFonts w:ascii="Arial" w:cs="Arial" w:eastAsia="Arial" w:hAnsi="Arial"/>
          <w:sz w:val="14"/>
          <w:szCs w:val="14"/>
          <w:color w:val="54585A"/>
        </w:rPr>
        <w:t>Other Voting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793750</wp:posOffset>
            </wp:positionV>
            <wp:extent cx="1791335" cy="65493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91335" cy="654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132" w:right="400"/>
        <w:spacing w:after="0" w:line="374" w:lineRule="auto"/>
        <w:rPr>
          <w:sz w:val="20"/>
          <w:szCs w:val="20"/>
          <w:color w:val="auto"/>
        </w:rPr>
      </w:pPr>
      <w:r>
        <w:rPr>
          <w:rFonts w:ascii="Arial" w:cs="Arial" w:eastAsia="Arial" w:hAnsi="Arial"/>
          <w:sz w:val="16"/>
          <w:szCs w:val="16"/>
          <w:color w:val="54585A"/>
        </w:rPr>
        <w:t>As amended, the DGCL only permits, and the amendment would only provide, exculpation for direct claims brought by stockholders, and would not limit any officer’s personal liability for:</w:t>
      </w:r>
    </w:p>
    <w:p>
      <w:pPr>
        <w:spacing w:after="0" w:line="88" w:lineRule="exact"/>
        <w:rPr>
          <w:sz w:val="20"/>
          <w:szCs w:val="20"/>
          <w:color w:val="auto"/>
        </w:rPr>
      </w:pPr>
    </w:p>
    <w:p>
      <w:pPr>
        <w:ind w:left="3772" w:right="780" w:hanging="325"/>
        <w:spacing w:after="0" w:line="374" w:lineRule="auto"/>
        <w:tabs>
          <w:tab w:leader="none" w:pos="3761" w:val="left"/>
        </w:tabs>
        <w:numPr>
          <w:ilvl w:val="0"/>
          <w:numId w:val="48"/>
        </w:numPr>
        <w:rPr>
          <w:rFonts w:ascii="Arial" w:cs="Arial" w:eastAsia="Arial" w:hAnsi="Arial"/>
          <w:sz w:val="16"/>
          <w:szCs w:val="16"/>
          <w:color w:val="54585A"/>
        </w:rPr>
      </w:pPr>
      <w:r>
        <w:rPr>
          <w:rFonts w:ascii="Arial" w:cs="Arial" w:eastAsia="Arial" w:hAnsi="Arial"/>
          <w:sz w:val="16"/>
          <w:szCs w:val="16"/>
          <w:color w:val="54585A"/>
        </w:rPr>
        <w:t>breach of the duty of care claims brought by the Company itself or derivative claims made by stockholders on behalf of the Company;</w:t>
      </w:r>
    </w:p>
    <w:p>
      <w:pPr>
        <w:spacing w:after="0" w:line="34" w:lineRule="exact"/>
        <w:rPr>
          <w:rFonts w:ascii="Arial" w:cs="Arial" w:eastAsia="Arial" w:hAnsi="Arial"/>
          <w:sz w:val="16"/>
          <w:szCs w:val="16"/>
          <w:color w:val="54585A"/>
        </w:rPr>
      </w:pPr>
    </w:p>
    <w:p>
      <w:pPr>
        <w:ind w:left="3752" w:hanging="305"/>
        <w:spacing w:after="0"/>
        <w:tabs>
          <w:tab w:leader="none" w:pos="3752" w:val="left"/>
        </w:tabs>
        <w:numPr>
          <w:ilvl w:val="0"/>
          <w:numId w:val="48"/>
        </w:numPr>
        <w:rPr>
          <w:rFonts w:ascii="Arial" w:cs="Arial" w:eastAsia="Arial" w:hAnsi="Arial"/>
          <w:sz w:val="16"/>
          <w:szCs w:val="16"/>
          <w:color w:val="54585A"/>
        </w:rPr>
      </w:pPr>
      <w:r>
        <w:rPr>
          <w:rFonts w:ascii="Arial" w:cs="Arial" w:eastAsia="Arial" w:hAnsi="Arial"/>
          <w:sz w:val="16"/>
          <w:szCs w:val="16"/>
          <w:color w:val="54585A"/>
        </w:rPr>
        <w:t>any breach of the duty of loyalty;</w:t>
      </w:r>
    </w:p>
    <w:p>
      <w:pPr>
        <w:spacing w:after="0" w:line="180" w:lineRule="exact"/>
        <w:rPr>
          <w:rFonts w:ascii="Arial" w:cs="Arial" w:eastAsia="Arial" w:hAnsi="Arial"/>
          <w:sz w:val="16"/>
          <w:szCs w:val="16"/>
          <w:color w:val="54585A"/>
        </w:rPr>
      </w:pPr>
    </w:p>
    <w:p>
      <w:pPr>
        <w:ind w:left="3772" w:right="20" w:hanging="325"/>
        <w:spacing w:after="0" w:line="374" w:lineRule="auto"/>
        <w:tabs>
          <w:tab w:leader="none" w:pos="3761" w:val="left"/>
        </w:tabs>
        <w:numPr>
          <w:ilvl w:val="0"/>
          <w:numId w:val="48"/>
        </w:numPr>
        <w:rPr>
          <w:rFonts w:ascii="Arial" w:cs="Arial" w:eastAsia="Arial" w:hAnsi="Arial"/>
          <w:sz w:val="16"/>
          <w:szCs w:val="16"/>
          <w:color w:val="54585A"/>
        </w:rPr>
      </w:pPr>
      <w:r>
        <w:rPr>
          <w:rFonts w:ascii="Arial" w:cs="Arial" w:eastAsia="Arial" w:hAnsi="Arial"/>
          <w:sz w:val="16"/>
          <w:szCs w:val="16"/>
          <w:color w:val="54585A"/>
        </w:rPr>
        <w:t>any acts or omissions not in good faith or which involve intentional misconduct or a knowing violation of the law; or</w:t>
      </w:r>
    </w:p>
    <w:p>
      <w:pPr>
        <w:spacing w:after="0" w:line="34" w:lineRule="exact"/>
        <w:rPr>
          <w:rFonts w:ascii="Arial" w:cs="Arial" w:eastAsia="Arial" w:hAnsi="Arial"/>
          <w:sz w:val="16"/>
          <w:szCs w:val="16"/>
          <w:color w:val="54585A"/>
        </w:rPr>
      </w:pPr>
    </w:p>
    <w:p>
      <w:pPr>
        <w:ind w:left="3752" w:hanging="305"/>
        <w:spacing w:after="0"/>
        <w:tabs>
          <w:tab w:leader="none" w:pos="3752" w:val="left"/>
        </w:tabs>
        <w:numPr>
          <w:ilvl w:val="0"/>
          <w:numId w:val="48"/>
        </w:numPr>
        <w:rPr>
          <w:rFonts w:ascii="Arial" w:cs="Arial" w:eastAsia="Arial" w:hAnsi="Arial"/>
          <w:sz w:val="16"/>
          <w:szCs w:val="16"/>
          <w:color w:val="54585A"/>
        </w:rPr>
      </w:pPr>
      <w:r>
        <w:rPr>
          <w:rFonts w:ascii="Arial" w:cs="Arial" w:eastAsia="Arial" w:hAnsi="Arial"/>
          <w:sz w:val="16"/>
          <w:szCs w:val="16"/>
          <w:color w:val="54585A"/>
        </w:rPr>
        <w:t>any transaction from which the officer derived an improper personal benefit.</w:t>
      </w:r>
    </w:p>
    <w:p>
      <w:pPr>
        <w:spacing w:after="0" w:line="235" w:lineRule="exact"/>
        <w:rPr>
          <w:sz w:val="20"/>
          <w:szCs w:val="20"/>
          <w:color w:val="auto"/>
        </w:rPr>
      </w:pPr>
    </w:p>
    <w:p>
      <w:pPr>
        <w:ind w:left="3132"/>
        <w:spacing w:after="0" w:line="332" w:lineRule="auto"/>
        <w:rPr>
          <w:sz w:val="20"/>
          <w:szCs w:val="20"/>
          <w:color w:val="auto"/>
        </w:rPr>
      </w:pPr>
      <w:r>
        <w:rPr>
          <w:rFonts w:ascii="Arial" w:cs="Arial" w:eastAsia="Arial" w:hAnsi="Arial"/>
          <w:sz w:val="16"/>
          <w:szCs w:val="16"/>
          <w:color w:val="54585A"/>
        </w:rPr>
        <w:t>Our Board believes that the amendment will limit concerns about personal liability, which will empower officers to best exercise their business judgment in furtherance of stockholder interests. The nature of the role of officers often requires them to make difficult judgments and decisions on important and complex matters on a time-sensitive basis, which can create risk of investigations, claims, actions, suits or proceedings seeking to impose personal liability on the basis of hindsight, especially in the current litigious environment and regardless of merit. Our Board believes the amendment better aligns the protections available to our officers with those currently available to our directors and that it would discourage plaintiffs’ lawyers from adding officers to direct claims relating to breaches of the duty of care which, if occurs, can lead to increased litigation and insurance costs.</w:t>
      </w:r>
    </w:p>
    <w:p>
      <w:pPr>
        <w:spacing w:after="0" w:line="137" w:lineRule="exact"/>
        <w:rPr>
          <w:sz w:val="20"/>
          <w:szCs w:val="20"/>
          <w:color w:val="auto"/>
        </w:rPr>
      </w:pPr>
    </w:p>
    <w:p>
      <w:pPr>
        <w:ind w:left="3132"/>
        <w:spacing w:after="0" w:line="332" w:lineRule="auto"/>
        <w:rPr>
          <w:sz w:val="20"/>
          <w:szCs w:val="20"/>
          <w:color w:val="auto"/>
        </w:rPr>
      </w:pPr>
      <w:r>
        <w:rPr>
          <w:rFonts w:ascii="Arial" w:cs="Arial" w:eastAsia="Arial" w:hAnsi="Arial"/>
          <w:sz w:val="16"/>
          <w:szCs w:val="16"/>
          <w:color w:val="54585A"/>
        </w:rPr>
        <w:t>In addition, our Board believes it is important to protect our officers to the fullest extent permitted by the DGCL to continue to attract and retain experienced and highly qualified officers. Other corporations that are incorporated in Delaware have adopted and may continue to adopt amendments to their certificates of incorporation that limit the personal liability of officers. Our failure to adopt the amendment could impact our ability to recruit and retain experienced and highly qualified officers, who may conclude that the potential personal exposure to liabilities, costs of defense and other risks of proceedings outweighs the benefits of serving or continuing to serve as an officer of the Company.</w:t>
      </w:r>
    </w:p>
    <w:p>
      <w:pPr>
        <w:spacing w:after="0" w:line="135" w:lineRule="exact"/>
        <w:rPr>
          <w:sz w:val="20"/>
          <w:szCs w:val="20"/>
          <w:color w:val="auto"/>
        </w:rPr>
      </w:pPr>
    </w:p>
    <w:p>
      <w:pPr>
        <w:ind w:left="3132" w:right="40"/>
        <w:spacing w:after="0" w:line="336" w:lineRule="auto"/>
        <w:rPr>
          <w:sz w:val="20"/>
          <w:szCs w:val="20"/>
          <w:color w:val="auto"/>
        </w:rPr>
      </w:pPr>
      <w:r>
        <w:rPr>
          <w:rFonts w:ascii="Arial" w:cs="Arial" w:eastAsia="Arial" w:hAnsi="Arial"/>
          <w:sz w:val="16"/>
          <w:szCs w:val="16"/>
          <w:color w:val="54585A"/>
        </w:rPr>
        <w:t>For these reasons, upon the recommendation of the Strategic Review Committee, the Board declared the amendment advisable and in the best interests of the Company and its stockholders, authorized and approved the proposed amendment and resolved to submit the amendment to our stockholders for approval at our Annual Meeting and recommends that our stockholders approve the amendment.</w:t>
      </w:r>
    </w:p>
    <w:p>
      <w:pPr>
        <w:spacing w:after="0" w:line="99" w:lineRule="exact"/>
        <w:rPr>
          <w:sz w:val="20"/>
          <w:szCs w:val="20"/>
          <w:color w:val="auto"/>
        </w:rPr>
      </w:pPr>
    </w:p>
    <w:p>
      <w:pPr>
        <w:ind w:left="3132"/>
        <w:spacing w:after="0"/>
        <w:rPr>
          <w:sz w:val="20"/>
          <w:szCs w:val="20"/>
          <w:color w:val="auto"/>
        </w:rPr>
      </w:pPr>
      <w:r>
        <w:rPr>
          <w:rFonts w:ascii="Arial" w:cs="Arial" w:eastAsia="Arial" w:hAnsi="Arial"/>
          <w:sz w:val="18"/>
          <w:szCs w:val="18"/>
          <w:b w:val="1"/>
          <w:bCs w:val="1"/>
          <w:color w:val="54585A"/>
        </w:rPr>
        <w:t>Effects and Timing of the Amendment</w:t>
      </w:r>
    </w:p>
    <w:p>
      <w:pPr>
        <w:spacing w:after="0" w:line="95" w:lineRule="exact"/>
        <w:rPr>
          <w:sz w:val="20"/>
          <w:szCs w:val="20"/>
          <w:color w:val="auto"/>
        </w:rPr>
      </w:pPr>
    </w:p>
    <w:p>
      <w:pPr>
        <w:ind w:left="3132" w:right="80"/>
        <w:spacing w:after="0" w:line="345" w:lineRule="auto"/>
        <w:rPr>
          <w:sz w:val="20"/>
          <w:szCs w:val="20"/>
          <w:color w:val="auto"/>
        </w:rPr>
      </w:pPr>
      <w:r>
        <w:rPr>
          <w:rFonts w:ascii="Arial" w:cs="Arial" w:eastAsia="Arial" w:hAnsi="Arial"/>
          <w:sz w:val="16"/>
          <w:szCs w:val="16"/>
          <w:color w:val="54585A"/>
        </w:rPr>
        <w:t>If adopted, the amendment would only provide for the exculpation of officers in connection with direct claims brought by stockholders for breach of the officers’ fiduciary duty of care. Further, the amendment will not eliminate the liability of officers for any act or omission occurring prior to the date on which it becomes effective.</w:t>
      </w:r>
    </w:p>
    <w:p>
      <w:pPr>
        <w:spacing w:after="0" w:line="125" w:lineRule="exact"/>
        <w:rPr>
          <w:sz w:val="20"/>
          <w:szCs w:val="20"/>
          <w:color w:val="auto"/>
        </w:rPr>
      </w:pPr>
    </w:p>
    <w:p>
      <w:pPr>
        <w:jc w:val="both"/>
        <w:ind w:left="3132" w:right="20"/>
        <w:spacing w:after="0" w:line="342" w:lineRule="auto"/>
        <w:rPr>
          <w:sz w:val="20"/>
          <w:szCs w:val="20"/>
          <w:color w:val="auto"/>
        </w:rPr>
      </w:pPr>
      <w:r>
        <w:rPr>
          <w:rFonts w:ascii="Arial" w:cs="Arial" w:eastAsia="Arial" w:hAnsi="Arial"/>
          <w:sz w:val="16"/>
          <w:szCs w:val="16"/>
          <w:color w:val="54585A"/>
        </w:rPr>
        <w:t>If the proposed amendment is approved by our stockholders, it will become effective immediately upon the filing of a Certificate of Amendment with the Secretary of State of Delaware, which we expect to file promptly after our Annual Meeting. Accordingly, the existing Article EIGHTH would be replaced by the proposed Article EIGHTH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551815</wp:posOffset>
            </wp:positionV>
            <wp:extent cx="257175" cy="2571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2"/>
        <w:spacing w:after="0"/>
        <w:rPr>
          <w:sz w:val="20"/>
          <w:szCs w:val="20"/>
          <w:color w:val="auto"/>
        </w:rPr>
      </w:pPr>
      <w:r>
        <w:rPr>
          <w:rFonts w:ascii="Arial" w:cs="Arial" w:eastAsia="Arial" w:hAnsi="Arial"/>
          <w:sz w:val="14"/>
          <w:szCs w:val="14"/>
          <w:color w:val="54585A"/>
        </w:rPr>
        <w:t xml:space="preserve">26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68" w:right="399" w:bottom="1440" w:gutter="0" w:footer="0" w:header="0"/>
        </w:sectPr>
      </w:pPr>
    </w:p>
    <w:bookmarkStart w:id="30" w:name="page31"/>
    <w:bookmarkEnd w:id="30"/>
    <w:p>
      <w:pPr>
        <w:jc w:val="right"/>
        <w:spacing w:after="0"/>
        <w:rPr>
          <w:sz w:val="20"/>
          <w:szCs w:val="20"/>
          <w:color w:val="auto"/>
        </w:rPr>
      </w:pPr>
      <w:r>
        <w:rPr>
          <w:rFonts w:ascii="Arial" w:cs="Arial" w:eastAsia="Arial" w:hAnsi="Arial"/>
          <w:sz w:val="14"/>
          <w:szCs w:val="14"/>
          <w:color w:val="54585A"/>
        </w:rPr>
        <w:t xml:space="preserve">Other Voting Matters </w:t>
      </w:r>
      <w:r>
        <w:rPr>
          <w:rFonts w:ascii="Arial" w:cs="Arial" w:eastAsia="Arial" w:hAnsi="Arial"/>
          <w:sz w:val="17"/>
          <w:szCs w:val="17"/>
          <w:b w:val="1"/>
          <w:bCs w:val="1"/>
          <w:color w:val="EB6C1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727710</wp:posOffset>
            </wp:positionV>
            <wp:extent cx="1791335" cy="42602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791335" cy="426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20" w:right="260"/>
        <w:spacing w:after="0" w:line="342" w:lineRule="auto"/>
        <w:rPr>
          <w:sz w:val="20"/>
          <w:szCs w:val="20"/>
          <w:color w:val="auto"/>
        </w:rPr>
      </w:pPr>
      <w:r>
        <w:rPr>
          <w:rFonts w:ascii="Arial" w:cs="Arial" w:eastAsia="Arial" w:hAnsi="Arial"/>
          <w:sz w:val="16"/>
          <w:szCs w:val="16"/>
          <w:color w:val="54585A"/>
        </w:rPr>
        <w:t>If the proposed amendment is not approved by our stockholders or, if in accordance with the DGCL and notwithstanding stockholder approval of the proposed amendment, our Board elects to abandon the proposed amendment without further action by the stockholders at any time prior to the effectiveness of the filing of the Certificate of Amendment, then Article EIGHTH of our Certificate of Incorporation will remain unchanged.</w:t>
      </w:r>
    </w:p>
    <w:p>
      <w:pPr>
        <w:spacing w:after="0" w:line="81" w:lineRule="exact"/>
        <w:rPr>
          <w:sz w:val="20"/>
          <w:szCs w:val="20"/>
          <w:color w:val="auto"/>
        </w:rPr>
      </w:pPr>
    </w:p>
    <w:p>
      <w:pPr>
        <w:ind w:left="2020" w:right="320"/>
        <w:spacing w:after="0" w:line="296" w:lineRule="auto"/>
        <w:rPr>
          <w:sz w:val="20"/>
          <w:szCs w:val="20"/>
          <w:color w:val="auto"/>
        </w:rPr>
      </w:pPr>
      <w:r>
        <w:rPr>
          <w:rFonts w:ascii="Arial" w:cs="Arial" w:eastAsia="Arial" w:hAnsi="Arial"/>
          <w:sz w:val="18"/>
          <w:szCs w:val="18"/>
          <w:b w:val="1"/>
          <w:bCs w:val="1"/>
          <w:color w:val="54585A"/>
        </w:rPr>
        <w:t>Vote Required to Approve the Amendment to Our Certificate of Incorporation to Provide for Officer Exculpation</w:t>
      </w:r>
    </w:p>
    <w:p>
      <w:pPr>
        <w:spacing w:after="0" w:line="7" w:lineRule="exact"/>
        <w:rPr>
          <w:sz w:val="20"/>
          <w:szCs w:val="20"/>
          <w:color w:val="auto"/>
        </w:rPr>
      </w:pPr>
    </w:p>
    <w:p>
      <w:pPr>
        <w:ind w:left="2020" w:right="40"/>
        <w:spacing w:after="0" w:line="331" w:lineRule="auto"/>
        <w:rPr>
          <w:sz w:val="20"/>
          <w:szCs w:val="20"/>
          <w:color w:val="auto"/>
        </w:rPr>
      </w:pPr>
      <w:r>
        <w:rPr>
          <w:rFonts w:ascii="Arial" w:cs="Arial" w:eastAsia="Arial" w:hAnsi="Arial"/>
          <w:sz w:val="16"/>
          <w:szCs w:val="16"/>
          <w:color w:val="54585A"/>
        </w:rPr>
        <w:t>Under the DGCL, approval of this Proposal No. 4 requires the affirmative vote of a majority of the outstanding shares of common stock of the Company (the “DGCL Stockholder Approval”). Additionally, because the proposed amendment could benefit certain officers of the Company who are affiliates of Thermo, the Strategic Review Committee has determined that the proposed amendment is a transaction between Thermo, on one hand, and the Company, on the other, that requires a stockholder vote pursuant to the DGCL, such that it is a Related Party Transaction under our Certificate of Incorporation. Under our Certificate of Incorporation, Related Party Transactions must be approved by the affirmative vote of a majority of shares of common stock of the Company owned by stockholders other than Thermo (including its affiliates) and voting affirmatively or negatively (i.e., votes cast) on the matter (the “Majority of the Minority Stockholder Approval”). For the avoidance of doubt, the approval of this Proposal No. 4 requires that the Company obtain both the DGCL Stockholder Approval and the Majority of the Minority Stockholder Approval.</w:t>
      </w:r>
    </w:p>
    <w:p>
      <w:pPr>
        <w:spacing w:after="0" w:line="138" w:lineRule="exact"/>
        <w:rPr>
          <w:sz w:val="20"/>
          <w:szCs w:val="20"/>
          <w:color w:val="auto"/>
        </w:rPr>
      </w:pPr>
    </w:p>
    <w:p>
      <w:pPr>
        <w:ind w:left="2020" w:right="160"/>
        <w:spacing w:after="0" w:line="342" w:lineRule="auto"/>
        <w:rPr>
          <w:sz w:val="20"/>
          <w:szCs w:val="20"/>
          <w:color w:val="auto"/>
        </w:rPr>
      </w:pPr>
      <w:r>
        <w:rPr>
          <w:rFonts w:ascii="Arial" w:cs="Arial" w:eastAsia="Arial" w:hAnsi="Arial"/>
          <w:sz w:val="16"/>
          <w:szCs w:val="16"/>
          <w:color w:val="54585A"/>
        </w:rPr>
        <w:t>Shares represented by proxies that are marked to indicate abstentions and broker non-votes will be treated as votes against this Proposal No. 4 for purposes of calculating the DGCL Stockholder Approval. However, shares represented by proxies that are marked to indicate abstentions and broker non-votes will have no effect for purposes of calculating the Majority of the Minority Stockholder Approval.</w:t>
      </w:r>
    </w:p>
    <w:p>
      <w:pPr>
        <w:spacing w:after="0" w:line="112" w:lineRule="exact"/>
        <w:rPr>
          <w:sz w:val="20"/>
          <w:szCs w:val="20"/>
          <w:color w:val="auto"/>
        </w:rPr>
      </w:pPr>
    </w:p>
    <w:p>
      <w:pPr>
        <w:ind w:left="2020" w:right="40"/>
        <w:spacing w:after="0" w:line="381" w:lineRule="auto"/>
        <w:rPr>
          <w:sz w:val="20"/>
          <w:szCs w:val="20"/>
          <w:color w:val="auto"/>
        </w:rPr>
      </w:pPr>
      <w:r>
        <w:rPr>
          <w:rFonts w:ascii="Arial" w:cs="Arial" w:eastAsia="Arial" w:hAnsi="Arial"/>
          <w:sz w:val="16"/>
          <w:szCs w:val="16"/>
          <w:color w:val="54585A"/>
        </w:rPr>
        <w:t>Thermo and its affiliates will be eligible to vote on Proposal No. 4 for purposes of the DGCL Stockholder Approval but will not be eligible to vote on Proposal No. 4 for purposes of the Majority of the Minority Stockholder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-697230</wp:posOffset>
            </wp:positionH>
            <wp:positionV relativeFrom="paragraph">
              <wp:posOffset>692150</wp:posOffset>
            </wp:positionV>
            <wp:extent cx="257175"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768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234950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1" w:name="page32"/>
    <w:bookmarkEnd w:id="31"/>
    <w:p>
      <w:pPr>
        <w:ind w:left="100" w:hanging="92"/>
        <w:spacing w:after="0"/>
        <w:tabs>
          <w:tab w:leader="none" w:pos="100" w:val="left"/>
        </w:tabs>
        <w:numPr>
          <w:ilvl w:val="0"/>
          <w:numId w:val="49"/>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Georgia" w:cs="Georgia" w:eastAsia="Georgia" w:hAnsi="Georgia"/>
          <w:sz w:val="53"/>
          <w:szCs w:val="53"/>
          <w:color w:val="EB6C10"/>
        </w:rPr>
        <w:t>Executive Officers and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29"/>
          <w:szCs w:val="29"/>
          <w:color w:val="54585A"/>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177165</wp:posOffset>
            </wp:positionV>
            <wp:extent cx="1414145" cy="14147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177165</wp:posOffset>
            </wp:positionV>
            <wp:extent cx="1414145" cy="1414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14145" cy="141478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177165</wp:posOffset>
            </wp:positionV>
            <wp:extent cx="1414780" cy="1414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4780" cy="1414780"/>
                    </a:xfrm>
                    <a:prstGeom prst="rect">
                      <a:avLst/>
                    </a:prstGeom>
                    <a:noFill/>
                  </pic:spPr>
                </pic:pic>
              </a:graphicData>
            </a:graphic>
          </wp:anchor>
        </w:drawing>
      </w:r>
    </w:p>
    <w:p>
      <w:pPr>
        <w:sectPr>
          <w:pgSz w:w="11900" w:h="16838" w:orient="portrait"/>
          <w:cols w:equalWidth="0" w:num="1">
            <w:col w:w="11100"/>
          </w:cols>
          <w:pgMar w:left="320" w:top="168"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020"/>
        <w:spacing w:after="0"/>
        <w:rPr>
          <w:sz w:val="20"/>
          <w:szCs w:val="20"/>
          <w:color w:val="auto"/>
        </w:rPr>
      </w:pPr>
      <w:r>
        <w:rPr>
          <w:rFonts w:ascii="Arial" w:cs="Arial" w:eastAsia="Arial" w:hAnsi="Arial"/>
          <w:sz w:val="17"/>
          <w:szCs w:val="17"/>
          <w:color w:val="54585A"/>
        </w:rPr>
        <w:t>Dr. Paul E. Jacobs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620"/>
        <w:spacing w:after="0"/>
        <w:rPr>
          <w:sz w:val="20"/>
          <w:szCs w:val="20"/>
          <w:color w:val="auto"/>
        </w:rPr>
      </w:pPr>
      <w:r>
        <w:rPr>
          <w:rFonts w:ascii="Arial" w:cs="Arial" w:eastAsia="Arial" w:hAnsi="Arial"/>
          <w:sz w:val="17"/>
          <w:szCs w:val="17"/>
          <w:color w:val="54585A"/>
        </w:rPr>
        <w:t>Rebecca S. Clary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54585A"/>
        </w:rPr>
        <w:t>L. Barbee Ponder IV</w:t>
      </w:r>
    </w:p>
    <w:p>
      <w:pPr>
        <w:spacing w:after="0" w:line="46" w:lineRule="exact"/>
        <w:rPr>
          <w:sz w:val="20"/>
          <w:szCs w:val="20"/>
          <w:color w:val="auto"/>
        </w:rPr>
      </w:pPr>
    </w:p>
    <w:p>
      <w:pPr>
        <w:sectPr>
          <w:pgSz w:w="11900" w:h="16838" w:orient="portrait"/>
          <w:cols w:equalWidth="0" w:num="3">
            <w:col w:w="4200" w:space="720"/>
            <w:col w:w="3020" w:space="720"/>
            <w:col w:w="2440"/>
          </w:cols>
          <w:pgMar w:left="320" w:top="168" w:right="479" w:bottom="1440" w:gutter="0" w:footer="0" w:header="0"/>
          <w:type w:val="continuous"/>
        </w:sectPr>
      </w:pPr>
    </w:p>
    <w:p>
      <w:pPr>
        <w:ind w:left="1020"/>
        <w:spacing w:after="0"/>
        <w:rPr>
          <w:sz w:val="20"/>
          <w:szCs w:val="20"/>
          <w:color w:val="auto"/>
        </w:rPr>
      </w:pPr>
      <w:r>
        <w:rPr>
          <w:rFonts w:ascii="Arial" w:cs="Arial" w:eastAsia="Arial" w:hAnsi="Arial"/>
          <w:sz w:val="14"/>
          <w:szCs w:val="14"/>
          <w:color w:val="54585A"/>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54585A"/>
        </w:rPr>
        <w:t>Vice President and Chief Financial Officer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color w:val="54585A"/>
        </w:rPr>
        <w:t>General Counsel and Vice President of Regulatory</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color w:val="54585A"/>
        </w:rPr>
        <w:t>Affairs</w:t>
      </w:r>
    </w:p>
    <w:p>
      <w:pPr>
        <w:spacing w:after="0" w:line="200" w:lineRule="exact"/>
        <w:rPr>
          <w:sz w:val="20"/>
          <w:szCs w:val="20"/>
          <w:color w:val="auto"/>
        </w:rPr>
      </w:pPr>
    </w:p>
    <w:p>
      <w:pPr>
        <w:sectPr>
          <w:pgSz w:w="11900" w:h="16838" w:orient="portrait"/>
          <w:cols w:equalWidth="0" w:num="3">
            <w:col w:w="3560" w:space="720"/>
            <w:col w:w="2880" w:space="720"/>
            <w:col w:w="3220"/>
          </w:cols>
          <w:pgMar w:left="320" w:top="168" w:right="479" w:bottom="1440" w:gutter="0" w:footer="0" w:header="0"/>
          <w:type w:val="continuous"/>
        </w:sectPr>
      </w:pPr>
    </w:p>
    <w:p>
      <w:pPr>
        <w:spacing w:after="0" w:line="147" w:lineRule="exact"/>
        <w:rPr>
          <w:sz w:val="20"/>
          <w:szCs w:val="20"/>
          <w:color w:val="auto"/>
        </w:rPr>
      </w:pPr>
    </w:p>
    <w:p>
      <w:pPr>
        <w:ind w:right="120"/>
        <w:spacing w:after="0" w:line="345" w:lineRule="auto"/>
        <w:rPr>
          <w:sz w:val="20"/>
          <w:szCs w:val="20"/>
          <w:color w:val="auto"/>
        </w:rPr>
      </w:pPr>
      <w:r>
        <w:rPr>
          <w:rFonts w:ascii="Arial" w:cs="Arial" w:eastAsia="Arial" w:hAnsi="Arial"/>
          <w:sz w:val="16"/>
          <w:szCs w:val="16"/>
          <w:color w:val="54585A"/>
        </w:rPr>
        <w:t>The current executive officers of the Company are James Monroe III, Executive Chairman; Dr. Paul E. Jacobs, Chief Executive Officer; Rebecca S. Clary, Vice President and Chief Financial Officer; and L. Barbee Ponder IV, Vice President of Regulatory Affairs and General Counsel. Information about Mr. Monroe is given above under “Board of Directors and Corporate Governance.”</w:t>
      </w:r>
    </w:p>
    <w:p>
      <w:pPr>
        <w:spacing w:after="0" w:line="125" w:lineRule="exact"/>
        <w:rPr>
          <w:sz w:val="20"/>
          <w:szCs w:val="20"/>
          <w:color w:val="auto"/>
        </w:rPr>
      </w:pPr>
    </w:p>
    <w:p>
      <w:pPr>
        <w:jc w:val="both"/>
        <w:ind w:right="40"/>
        <w:spacing w:after="0" w:line="345" w:lineRule="auto"/>
        <w:rPr>
          <w:sz w:val="20"/>
          <w:szCs w:val="20"/>
          <w:color w:val="auto"/>
        </w:rPr>
      </w:pPr>
      <w:r>
        <w:rPr>
          <w:rFonts w:ascii="Arial" w:cs="Arial" w:eastAsia="Arial" w:hAnsi="Arial"/>
          <w:sz w:val="16"/>
          <w:szCs w:val="16"/>
          <w:b w:val="1"/>
          <w:bCs w:val="1"/>
          <w:color w:val="54585A"/>
        </w:rPr>
        <w:t xml:space="preserve">Dr. Paul E. Jacobs, </w:t>
      </w:r>
      <w:r>
        <w:rPr>
          <w:rFonts w:ascii="Arial" w:cs="Arial" w:eastAsia="Arial" w:hAnsi="Arial"/>
          <w:sz w:val="16"/>
          <w:szCs w:val="16"/>
          <w:color w:val="54585A"/>
        </w:rPr>
        <w:t>age 62, has been our Chief Executive Officer since August 2023. Prior to joining Globalstar, Dr. Jacobs served as Chairman and CEO</w:t>
      </w:r>
      <w:r>
        <w:rPr>
          <w:rFonts w:ascii="Arial" w:cs="Arial" w:eastAsia="Arial" w:hAnsi="Arial"/>
          <w:sz w:val="16"/>
          <w:szCs w:val="16"/>
          <w:b w:val="1"/>
          <w:bCs w:val="1"/>
          <w:color w:val="54585A"/>
        </w:rPr>
        <w:t xml:space="preserve"> </w:t>
      </w:r>
      <w:r>
        <w:rPr>
          <w:rFonts w:ascii="Arial" w:cs="Arial" w:eastAsia="Arial" w:hAnsi="Arial"/>
          <w:sz w:val="16"/>
          <w:szCs w:val="16"/>
          <w:color w:val="54585A"/>
        </w:rPr>
        <w:t>of Virewirx, Inc. (formerly XCOM Labs, Inc.), since founding it in 2018. He served as CEO of Qualcomm from 2005 to 2014 and as a director of Qualcomm from 2005 to 2018, including as Chairman of the board of directors from 2009 to 2018 and as Executive Chairman from 2014 to 2018.</w:t>
      </w:r>
    </w:p>
    <w:p>
      <w:pPr>
        <w:spacing w:after="0" w:line="125" w:lineRule="exact"/>
        <w:rPr>
          <w:sz w:val="20"/>
          <w:szCs w:val="20"/>
          <w:color w:val="auto"/>
        </w:rPr>
      </w:pPr>
    </w:p>
    <w:p>
      <w:pPr>
        <w:ind w:right="180"/>
        <w:spacing w:after="0" w:line="345" w:lineRule="auto"/>
        <w:rPr>
          <w:sz w:val="20"/>
          <w:szCs w:val="20"/>
          <w:color w:val="auto"/>
        </w:rPr>
      </w:pPr>
      <w:r>
        <w:rPr>
          <w:rFonts w:ascii="Arial" w:cs="Arial" w:eastAsia="Arial" w:hAnsi="Arial"/>
          <w:sz w:val="16"/>
          <w:szCs w:val="16"/>
          <w:b w:val="1"/>
          <w:bCs w:val="1"/>
          <w:color w:val="54585A"/>
        </w:rPr>
        <w:t xml:space="preserve">Rebecca S. Clary, </w:t>
      </w:r>
      <w:r>
        <w:rPr>
          <w:rFonts w:ascii="Arial" w:cs="Arial" w:eastAsia="Arial" w:hAnsi="Arial"/>
          <w:sz w:val="16"/>
          <w:szCs w:val="16"/>
          <w:color w:val="54585A"/>
        </w:rPr>
        <w:t>age 46, has been our Vice President and Chief Financial Officer since August 2014. She served as our Chief Accounting Officer from</w:t>
      </w:r>
      <w:r>
        <w:rPr>
          <w:rFonts w:ascii="Arial" w:cs="Arial" w:eastAsia="Arial" w:hAnsi="Arial"/>
          <w:sz w:val="16"/>
          <w:szCs w:val="16"/>
          <w:b w:val="1"/>
          <w:bCs w:val="1"/>
          <w:color w:val="54585A"/>
        </w:rPr>
        <w:t xml:space="preserve"> </w:t>
      </w:r>
      <w:r>
        <w:rPr>
          <w:rFonts w:ascii="Arial" w:cs="Arial" w:eastAsia="Arial" w:hAnsi="Arial"/>
          <w:sz w:val="16"/>
          <w:szCs w:val="16"/>
          <w:color w:val="54585A"/>
        </w:rPr>
        <w:t>January 2013 to August 2014 and as Corporate Controller from June 2011 to January 2013. Prior to joining Globalstar, she was with PricewaterhouseCoopers LLP in its U.S. Audit and Assurance Services Practice. Ms. Clary is a Certified Public Accountant.</w:t>
      </w:r>
    </w:p>
    <w:p>
      <w:pPr>
        <w:spacing w:after="0" w:line="125"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b w:val="1"/>
          <w:bCs w:val="1"/>
          <w:color w:val="54585A"/>
        </w:rPr>
        <w:t xml:space="preserve">L. Barbee Ponder IV, </w:t>
      </w:r>
      <w:r>
        <w:rPr>
          <w:rFonts w:ascii="Arial" w:cs="Arial" w:eastAsia="Arial" w:hAnsi="Arial"/>
          <w:sz w:val="16"/>
          <w:szCs w:val="16"/>
          <w:color w:val="54585A"/>
        </w:rPr>
        <w:t>age 58, has been our General Counsel and Vice President of Regulatory Affairs since July 2010. He owned and operated a private</w:t>
      </w:r>
      <w:r>
        <w:rPr>
          <w:rFonts w:ascii="Arial" w:cs="Arial" w:eastAsia="Arial" w:hAnsi="Arial"/>
          <w:sz w:val="16"/>
          <w:szCs w:val="16"/>
          <w:b w:val="1"/>
          <w:bCs w:val="1"/>
          <w:color w:val="54585A"/>
        </w:rPr>
        <w:t xml:space="preserve"> </w:t>
      </w:r>
      <w:r>
        <w:rPr>
          <w:rFonts w:ascii="Arial" w:cs="Arial" w:eastAsia="Arial" w:hAnsi="Arial"/>
          <w:sz w:val="16"/>
          <w:szCs w:val="16"/>
          <w:color w:val="54585A"/>
        </w:rPr>
        <w:t>company with timber, sand and gravel, and oil and gas interests from 2005 to July 2010. Mr. Ponder served in various regulatory counsel positions for BellSouth Corporation from 1996 to 2005. Prior to joining BellSouth, Mr. Ponder practiced with the Jones Walker law firm in New Orleans, where he specialized in commercial litigation including class action defense.</w:t>
      </w:r>
    </w:p>
    <w:p>
      <w:pPr>
        <w:spacing w:after="0" w:line="131" w:lineRule="exact"/>
        <w:rPr>
          <w:sz w:val="20"/>
          <w:szCs w:val="20"/>
          <w:color w:val="auto"/>
        </w:rPr>
      </w:pPr>
    </w:p>
    <w:p>
      <w:pPr>
        <w:spacing w:after="0" w:line="374" w:lineRule="auto"/>
        <w:rPr>
          <w:sz w:val="20"/>
          <w:szCs w:val="20"/>
          <w:color w:val="auto"/>
        </w:rPr>
      </w:pPr>
      <w:r>
        <w:rPr>
          <w:rFonts w:ascii="Arial" w:cs="Arial" w:eastAsia="Arial" w:hAnsi="Arial"/>
          <w:sz w:val="16"/>
          <w:szCs w:val="16"/>
          <w:color w:val="54585A"/>
        </w:rPr>
        <w:t>The Company does not believe any of its other personnel are “executive officers” as that term is defined in the applicable rules of the SEC. Accordingly, the Company’s discussion of its named executive officers is limited to Messrs. Monroe, Jacobs and Ponder and Ms.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296545</wp:posOffset>
            </wp:positionV>
            <wp:extent cx="257175" cy="2571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28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68" w:right="479" w:bottom="1440" w:gutter="0" w:footer="0" w:header="0"/>
          <w:type w:val="continuous"/>
        </w:sectPr>
      </w:pPr>
    </w:p>
    <w:bookmarkStart w:id="32" w:name="page33"/>
    <w:bookmarkEnd w:id="32"/>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color w:val="54585A"/>
        </w:rPr>
        <w:t>Compensation Discussion and Analysis</w:t>
      </w:r>
    </w:p>
    <w:p>
      <w:pPr>
        <w:spacing w:after="0" w:line="225" w:lineRule="exact"/>
        <w:rPr>
          <w:sz w:val="20"/>
          <w:szCs w:val="20"/>
          <w:color w:val="auto"/>
        </w:rPr>
      </w:pPr>
    </w:p>
    <w:p>
      <w:pPr>
        <w:ind w:right="420"/>
        <w:spacing w:after="0" w:line="356" w:lineRule="auto"/>
        <w:rPr>
          <w:sz w:val="20"/>
          <w:szCs w:val="20"/>
          <w:color w:val="auto"/>
        </w:rPr>
      </w:pPr>
      <w:r>
        <w:rPr>
          <w:rFonts w:ascii="Arial" w:cs="Arial" w:eastAsia="Arial" w:hAnsi="Arial"/>
          <w:sz w:val="16"/>
          <w:szCs w:val="16"/>
          <w:color w:val="54585A"/>
        </w:rPr>
        <w:t>The following Compensation Discussion and Analysis ("CD&amp;A") should be read in conjunction with the compensation tables beginning on page 33. Our named executive officers ("NEOs") for 2024 were:</w:t>
      </w:r>
    </w:p>
    <w:p>
      <w:pPr>
        <w:spacing w:after="0" w:line="116" w:lineRule="exact"/>
        <w:rPr>
          <w:sz w:val="20"/>
          <w:szCs w:val="20"/>
          <w:color w:val="auto"/>
        </w:rPr>
      </w:pPr>
    </w:p>
    <w:p>
      <w:pPr>
        <w:ind w:left="480" w:hanging="148"/>
        <w:spacing w:after="0"/>
        <w:tabs>
          <w:tab w:leader="none" w:pos="480" w:val="left"/>
        </w:tabs>
        <w:numPr>
          <w:ilvl w:val="0"/>
          <w:numId w:val="50"/>
        </w:numPr>
        <w:rPr>
          <w:rFonts w:ascii="Arial" w:cs="Arial" w:eastAsia="Arial" w:hAnsi="Arial"/>
          <w:sz w:val="16"/>
          <w:szCs w:val="16"/>
          <w:color w:val="54585A"/>
        </w:rPr>
      </w:pPr>
      <w:r>
        <w:rPr>
          <w:rFonts w:ascii="Arial" w:cs="Arial" w:eastAsia="Arial" w:hAnsi="Arial"/>
          <w:sz w:val="16"/>
          <w:szCs w:val="16"/>
          <w:color w:val="54585A"/>
        </w:rPr>
        <w:t>James Monroe III, Executive Chairman</w:t>
      </w:r>
    </w:p>
    <w:p>
      <w:pPr>
        <w:spacing w:after="0" w:line="167" w:lineRule="exact"/>
        <w:rPr>
          <w:rFonts w:ascii="Arial" w:cs="Arial" w:eastAsia="Arial" w:hAnsi="Arial"/>
          <w:sz w:val="16"/>
          <w:szCs w:val="16"/>
          <w:color w:val="54585A"/>
        </w:rPr>
      </w:pPr>
    </w:p>
    <w:p>
      <w:pPr>
        <w:ind w:left="480" w:hanging="148"/>
        <w:spacing w:after="0"/>
        <w:tabs>
          <w:tab w:leader="none" w:pos="480" w:val="left"/>
        </w:tabs>
        <w:numPr>
          <w:ilvl w:val="0"/>
          <w:numId w:val="50"/>
        </w:numPr>
        <w:rPr>
          <w:rFonts w:ascii="Arial" w:cs="Arial" w:eastAsia="Arial" w:hAnsi="Arial"/>
          <w:sz w:val="16"/>
          <w:szCs w:val="16"/>
          <w:color w:val="54585A"/>
        </w:rPr>
      </w:pPr>
      <w:r>
        <w:rPr>
          <w:rFonts w:ascii="Arial" w:cs="Arial" w:eastAsia="Arial" w:hAnsi="Arial"/>
          <w:sz w:val="16"/>
          <w:szCs w:val="16"/>
          <w:color w:val="54585A"/>
        </w:rPr>
        <w:t>Dr. Paul E. Jacobs, Chief Executive Officer</w:t>
      </w:r>
    </w:p>
    <w:p>
      <w:pPr>
        <w:spacing w:after="0" w:line="180" w:lineRule="exact"/>
        <w:rPr>
          <w:rFonts w:ascii="Arial" w:cs="Arial" w:eastAsia="Arial" w:hAnsi="Arial"/>
          <w:sz w:val="16"/>
          <w:szCs w:val="16"/>
          <w:color w:val="54585A"/>
        </w:rPr>
      </w:pPr>
    </w:p>
    <w:p>
      <w:pPr>
        <w:ind w:left="480" w:hanging="148"/>
        <w:spacing w:after="0"/>
        <w:tabs>
          <w:tab w:leader="none" w:pos="480" w:val="left"/>
        </w:tabs>
        <w:numPr>
          <w:ilvl w:val="0"/>
          <w:numId w:val="50"/>
        </w:numPr>
        <w:rPr>
          <w:rFonts w:ascii="Arial" w:cs="Arial" w:eastAsia="Arial" w:hAnsi="Arial"/>
          <w:sz w:val="16"/>
          <w:szCs w:val="16"/>
          <w:color w:val="54585A"/>
        </w:rPr>
      </w:pPr>
      <w:r>
        <w:rPr>
          <w:rFonts w:ascii="Arial" w:cs="Arial" w:eastAsia="Arial" w:hAnsi="Arial"/>
          <w:sz w:val="16"/>
          <w:szCs w:val="16"/>
          <w:color w:val="54585A"/>
        </w:rPr>
        <w:t>Rebecca S. Clary, Vice President and Chief Financial Officer</w:t>
      </w:r>
    </w:p>
    <w:p>
      <w:pPr>
        <w:spacing w:after="0" w:line="180" w:lineRule="exact"/>
        <w:rPr>
          <w:rFonts w:ascii="Arial" w:cs="Arial" w:eastAsia="Arial" w:hAnsi="Arial"/>
          <w:sz w:val="16"/>
          <w:szCs w:val="16"/>
          <w:color w:val="54585A"/>
        </w:rPr>
      </w:pPr>
    </w:p>
    <w:p>
      <w:pPr>
        <w:ind w:left="480" w:hanging="148"/>
        <w:spacing w:after="0"/>
        <w:tabs>
          <w:tab w:leader="none" w:pos="480" w:val="left"/>
        </w:tabs>
        <w:numPr>
          <w:ilvl w:val="0"/>
          <w:numId w:val="50"/>
        </w:numPr>
        <w:rPr>
          <w:rFonts w:ascii="Arial" w:cs="Arial" w:eastAsia="Arial" w:hAnsi="Arial"/>
          <w:sz w:val="16"/>
          <w:szCs w:val="16"/>
          <w:color w:val="54585A"/>
        </w:rPr>
      </w:pPr>
      <w:r>
        <w:rPr>
          <w:rFonts w:ascii="Arial" w:cs="Arial" w:eastAsia="Arial" w:hAnsi="Arial"/>
          <w:sz w:val="16"/>
          <w:szCs w:val="16"/>
          <w:color w:val="54585A"/>
        </w:rPr>
        <w:t>L. Barbee Ponder IV, General Counsel and Vice President of Regulatory Affairs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Overview</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54585A"/>
        </w:rPr>
        <w:t>Our compensation program for executive officers is intended to:</w:t>
      </w:r>
    </w:p>
    <w:p>
      <w:pPr>
        <w:spacing w:after="0" w:line="235" w:lineRule="exact"/>
        <w:rPr>
          <w:sz w:val="20"/>
          <w:szCs w:val="20"/>
          <w:color w:val="auto"/>
        </w:rPr>
      </w:pPr>
    </w:p>
    <w:p>
      <w:pPr>
        <w:ind w:left="480" w:hanging="148"/>
        <w:spacing w:after="0"/>
        <w:tabs>
          <w:tab w:leader="none" w:pos="480" w:val="left"/>
        </w:tabs>
        <w:numPr>
          <w:ilvl w:val="0"/>
          <w:numId w:val="51"/>
        </w:numPr>
        <w:rPr>
          <w:rFonts w:ascii="Arial" w:cs="Arial" w:eastAsia="Arial" w:hAnsi="Arial"/>
          <w:sz w:val="16"/>
          <w:szCs w:val="16"/>
          <w:color w:val="54585A"/>
        </w:rPr>
      </w:pPr>
      <w:r>
        <w:rPr>
          <w:rFonts w:ascii="Arial" w:cs="Arial" w:eastAsia="Arial" w:hAnsi="Arial"/>
          <w:sz w:val="16"/>
          <w:szCs w:val="16"/>
          <w:color w:val="54585A"/>
        </w:rPr>
        <w:t>provide each officer with a conservative base salary; and</w:t>
      </w:r>
    </w:p>
    <w:p>
      <w:pPr>
        <w:spacing w:after="0" w:line="167" w:lineRule="exact"/>
        <w:rPr>
          <w:rFonts w:ascii="Arial" w:cs="Arial" w:eastAsia="Arial" w:hAnsi="Arial"/>
          <w:sz w:val="16"/>
          <w:szCs w:val="16"/>
          <w:color w:val="54585A"/>
        </w:rPr>
      </w:pPr>
    </w:p>
    <w:p>
      <w:pPr>
        <w:ind w:left="480" w:hanging="148"/>
        <w:spacing w:after="0"/>
        <w:tabs>
          <w:tab w:leader="none" w:pos="480" w:val="left"/>
        </w:tabs>
        <w:numPr>
          <w:ilvl w:val="0"/>
          <w:numId w:val="51"/>
        </w:numPr>
        <w:rPr>
          <w:rFonts w:ascii="Arial" w:cs="Arial" w:eastAsia="Arial" w:hAnsi="Arial"/>
          <w:sz w:val="16"/>
          <w:szCs w:val="16"/>
          <w:color w:val="54585A"/>
        </w:rPr>
      </w:pPr>
      <w:r>
        <w:rPr>
          <w:rFonts w:ascii="Arial" w:cs="Arial" w:eastAsia="Arial" w:hAnsi="Arial"/>
          <w:sz w:val="16"/>
          <w:szCs w:val="16"/>
          <w:color w:val="54585A"/>
        </w:rPr>
        <w:t>create an incentive for retention and achievement of our long-term business goals using a sizable, multi-year stock or option bonus program.</w:t>
      </w:r>
    </w:p>
    <w:p>
      <w:pPr>
        <w:spacing w:after="0" w:line="235"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54585A"/>
        </w:rPr>
        <w:t>The Compensation Committee is responsible for evaluating the performance of, and reviewing and approving all compensation paid to, our executive officers, all of whom are NEOs for 2024. To preserve the exemption from short swing liability under Section 16(b) of the Securities Exchange Act of 1934, the Board approves equity awards to all executive officers and directors.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Results of Most Recent Say-on-Pay Vote</w:t>
      </w:r>
    </w:p>
    <w:p>
      <w:pPr>
        <w:spacing w:after="0" w:line="95"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54585A"/>
        </w:rPr>
        <w:t>Our stockholders also have the opportunity every three years to cast an advisory say-on-pay vote on our NEOs' compensation. At our 2023 annual meeting, our stockholders expressed support for our executive compensation program, with approximately 99% of the stockholders who voted on the “say-on-pay” proposal voting in support of the proposal. The Compensation Committee believes that the result of the advisory vote is valuable in assessing its compensation decisions and considered the vote in reviewing and evaluating its executive compensation programs. The Compensation Committee also considered numerous other factors in evaluating the Company’s executive compensation programs as discussed in this proxy statement, including the Compensation Committee's desire to continue to enhance the alignment of our NEOs’ interests with those of our stockholders.</w:t>
      </w:r>
    </w:p>
    <w:p>
      <w:pPr>
        <w:spacing w:after="0" w:line="120" w:lineRule="exact"/>
        <w:rPr>
          <w:sz w:val="20"/>
          <w:szCs w:val="20"/>
          <w:color w:val="auto"/>
        </w:rPr>
      </w:pPr>
    </w:p>
    <w:p>
      <w:pPr>
        <w:ind w:right="100"/>
        <w:spacing w:after="0" w:line="345" w:lineRule="auto"/>
        <w:rPr>
          <w:sz w:val="20"/>
          <w:szCs w:val="20"/>
          <w:color w:val="auto"/>
        </w:rPr>
      </w:pPr>
      <w:r>
        <w:rPr>
          <w:rFonts w:ascii="Arial" w:cs="Arial" w:eastAsia="Arial" w:hAnsi="Arial"/>
          <w:sz w:val="16"/>
          <w:szCs w:val="16"/>
          <w:color w:val="54585A"/>
        </w:rPr>
        <w:t>While each of these factors (among other things) informed the Compensation Committee’s decisions regarding the NEOs compensation, the Compensation Committee did not implement any changes to the Company’s executive compensation programs as a result of the stockholder advisory vote. The next stockholder advisory vote on executive compensation will be at our 2026 annual meeting of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Compensation Philosophy</w:t>
      </w:r>
    </w:p>
    <w:p>
      <w:pPr>
        <w:spacing w:after="0" w:line="95"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54585A"/>
        </w:rPr>
        <w:t>Our goal is to create performance-based compensation that motivates management to increase stockholder value. Our Executive Chairman receives compensation described under “Director Compensation,” above for his services as a director and does not receive additional compensation as an executive officer. Our Chief Executive Officer also receives separate compensation for his services as a director, also described under "Director Compensation" above, which is in addition to the compensation he received as an executive officer. We compensate our other executive officers with a conservative base salary and incentivize them to remain with us through stock-based compensation and annual discretionary bonuses (which may be paid in cash or stock). The Compensation Committee periodically reviews peer group or other market data in setting base salaries or incentive compensation for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316230</wp:posOffset>
            </wp:positionV>
            <wp:extent cx="257175"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100" w:hanging="92"/>
        <w:spacing w:after="0"/>
        <w:tabs>
          <w:tab w:leader="none" w:pos="100" w:val="left"/>
        </w:tabs>
        <w:numPr>
          <w:ilvl w:val="0"/>
          <w:numId w:val="52"/>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345" w:lineRule="auto"/>
        <w:rPr>
          <w:sz w:val="20"/>
          <w:szCs w:val="20"/>
          <w:color w:val="auto"/>
        </w:rPr>
      </w:pPr>
      <w:r>
        <w:rPr>
          <w:rFonts w:ascii="Arial" w:cs="Arial" w:eastAsia="Arial" w:hAnsi="Arial"/>
          <w:sz w:val="16"/>
          <w:szCs w:val="16"/>
          <w:color w:val="54585A"/>
        </w:rPr>
        <w:t>We do not believe that risks related to our compensation policies or practices are reasonably likely to have a material effect on us, due in part to the structure of our compensation programs and risk mitigation provided by the Board and, where appropriate, the Strategic Review Committee's oversight of significant business decisions.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Elements of Compensation</w:t>
      </w:r>
    </w:p>
    <w:p>
      <w:pPr>
        <w:spacing w:after="0" w:line="95"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54585A"/>
        </w:rPr>
        <w:t>The principal elements of our compensation for our NEOs are base salary, discretionary annual bonus awards, and the opportunity to receive equity-based compensation pursuant to the Amended and Restated 2006 Equity Incentive Plan through time or incentive based awards, including under our annual bonus plan.</w:t>
      </w:r>
    </w:p>
    <w:p>
      <w:pPr>
        <w:spacing w:after="0" w:line="125" w:lineRule="exact"/>
        <w:rPr>
          <w:sz w:val="20"/>
          <w:szCs w:val="20"/>
          <w:color w:val="auto"/>
        </w:rPr>
      </w:pPr>
    </w:p>
    <w:p>
      <w:pPr>
        <w:ind w:right="60"/>
        <w:spacing w:after="0" w:line="335" w:lineRule="auto"/>
        <w:rPr>
          <w:sz w:val="20"/>
          <w:szCs w:val="20"/>
          <w:color w:val="auto"/>
        </w:rPr>
      </w:pPr>
      <w:r>
        <w:rPr>
          <w:rFonts w:ascii="Arial" w:cs="Arial" w:eastAsia="Arial" w:hAnsi="Arial"/>
          <w:sz w:val="16"/>
          <w:szCs w:val="16"/>
          <w:b w:val="1"/>
          <w:bCs w:val="1"/>
          <w:i w:val="1"/>
          <w:iCs w:val="1"/>
          <w:color w:val="54585A"/>
        </w:rPr>
        <w:t xml:space="preserve">Base Salaries. </w:t>
      </w:r>
      <w:r>
        <w:rPr>
          <w:rFonts w:ascii="Arial" w:cs="Arial" w:eastAsia="Arial" w:hAnsi="Arial"/>
          <w:sz w:val="16"/>
          <w:szCs w:val="16"/>
          <w:color w:val="54585A"/>
        </w:rPr>
        <w:t>We have established base salaries according to each named executive officer’s position, responsibilities and performance with the goal of</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providing a fixed level of compensation necessary to attract and retain the executive officers needed to manage our business successfully. Base salary adjustments, if any, are typically considered and approved during the fourth quarter of each calendar year, with the effective date being the first pay period in the following calendar year. Effective January 2024, the Compensation Committee approved an increase in the base salaries of Ms. Clary and Mr. Ponder of 10% and 5%, respectively. Dr. Jacobs' base salary was not adjusted during 2024. All of our executive officers are at-will employees.</w:t>
      </w:r>
    </w:p>
    <w:p>
      <w:pPr>
        <w:spacing w:after="0" w:line="133" w:lineRule="exact"/>
        <w:rPr>
          <w:sz w:val="20"/>
          <w:szCs w:val="20"/>
          <w:color w:val="auto"/>
        </w:rPr>
      </w:pPr>
    </w:p>
    <w:p>
      <w:pPr>
        <w:ind w:right="20"/>
        <w:spacing w:after="0" w:line="330" w:lineRule="auto"/>
        <w:rPr>
          <w:sz w:val="20"/>
          <w:szCs w:val="20"/>
          <w:color w:val="auto"/>
        </w:rPr>
      </w:pPr>
      <w:r>
        <w:rPr>
          <w:rFonts w:ascii="Arial" w:cs="Arial" w:eastAsia="Arial" w:hAnsi="Arial"/>
          <w:sz w:val="16"/>
          <w:szCs w:val="16"/>
          <w:b w:val="1"/>
          <w:bCs w:val="1"/>
          <w:i w:val="1"/>
          <w:iCs w:val="1"/>
          <w:color w:val="54585A"/>
        </w:rPr>
        <w:t xml:space="preserve">Annual Bonus Plan. </w:t>
      </w:r>
      <w:r>
        <w:rPr>
          <w:rFonts w:ascii="Arial" w:cs="Arial" w:eastAsia="Arial" w:hAnsi="Arial"/>
          <w:sz w:val="16"/>
          <w:szCs w:val="16"/>
          <w:color w:val="54585A"/>
        </w:rPr>
        <w:t>The Company has an annual bonus plan designed to reward designated key employees (including the NEOs) to meet and exceed the</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Company's financial performance goals for the designated calendar year. The bonus pool available for distribution is determined based on the Company's Adjusted EBITDA performance during that year. The bonus may be paid in cash or the Company's common stock, as determined by the Compensation Committee. For the 2024 plan year, the aggregate amount that could have been distributed under the pool was $2.3 million if the Company's Adjusted EBITDA for the plan year had been $104.0 million. For each 1% of Adjusted EBITDA above or below this plan year target Adjusted EBITDA, adjustments are made to either increase or decrease the distribution. The Company's Adjusted EBITDA for purposes of the 2024 bonus plan was $135.3 million, which resulted in a total bonus distribution of approximately $2.7 million. Each participant's award was determined at the discretion of the Compensation Committee. In March 2025, Dr. Jacobs, Ms. Clary, and Mr. Ponder received a combination of shares and cash worth $500,000, $200,000, and $21,000, respectively. A similar plan is in place for 2025.</w:t>
      </w:r>
    </w:p>
    <w:p>
      <w:pPr>
        <w:spacing w:after="0" w:line="140" w:lineRule="exact"/>
        <w:rPr>
          <w:sz w:val="20"/>
          <w:szCs w:val="20"/>
          <w:color w:val="auto"/>
        </w:rPr>
      </w:pPr>
    </w:p>
    <w:p>
      <w:pPr>
        <w:ind w:right="80"/>
        <w:spacing w:after="0" w:line="345" w:lineRule="auto"/>
        <w:rPr>
          <w:sz w:val="20"/>
          <w:szCs w:val="20"/>
          <w:color w:val="auto"/>
        </w:rPr>
      </w:pPr>
      <w:r>
        <w:rPr>
          <w:rFonts w:ascii="Arial" w:cs="Arial" w:eastAsia="Arial" w:hAnsi="Arial"/>
          <w:sz w:val="16"/>
          <w:szCs w:val="16"/>
          <w:color w:val="54585A"/>
        </w:rPr>
        <w:t>In the event the Company's financial statements are restated or otherwise adjusted, resulting in a reduction to Adjusted EBITDA, then participants who have received distributions under the bonus plan in excess of the amounts they would have been entitled to receive, shall be liable to repay such excess to the Company.</w:t>
      </w:r>
    </w:p>
    <w:p>
      <w:pPr>
        <w:spacing w:after="0" w:line="125" w:lineRule="exact"/>
        <w:rPr>
          <w:sz w:val="20"/>
          <w:szCs w:val="20"/>
          <w:color w:val="auto"/>
        </w:rPr>
      </w:pPr>
    </w:p>
    <w:p>
      <w:pPr>
        <w:ind w:right="40"/>
        <w:spacing w:after="0" w:line="345" w:lineRule="auto"/>
        <w:rPr>
          <w:sz w:val="20"/>
          <w:szCs w:val="20"/>
          <w:color w:val="auto"/>
        </w:rPr>
      </w:pPr>
      <w:r>
        <w:rPr>
          <w:rFonts w:ascii="Arial" w:cs="Arial" w:eastAsia="Arial" w:hAnsi="Arial"/>
          <w:sz w:val="16"/>
          <w:szCs w:val="16"/>
          <w:b w:val="1"/>
          <w:bCs w:val="1"/>
          <w:i w:val="1"/>
          <w:iCs w:val="1"/>
          <w:color w:val="54585A"/>
        </w:rPr>
        <w:t xml:space="preserve">Stock Grants. </w:t>
      </w:r>
      <w:r>
        <w:rPr>
          <w:rFonts w:ascii="Arial" w:cs="Arial" w:eastAsia="Arial" w:hAnsi="Arial"/>
          <w:sz w:val="16"/>
          <w:szCs w:val="16"/>
          <w:color w:val="54585A"/>
        </w:rPr>
        <w:t>In December 2024, the Company granted restricted stock awards of 5,426 shares to each of Ms. Clary and Mr. Ponder which vest one-half in</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December 2025 and one-half in December 2026 and are designed to recognize performance and to encourage retention. See the 2024 Grants of Plan-Based Awards table below for additional information.</w:t>
      </w:r>
    </w:p>
    <w:p>
      <w:pPr>
        <w:spacing w:after="0" w:line="111" w:lineRule="exact"/>
        <w:rPr>
          <w:sz w:val="20"/>
          <w:szCs w:val="20"/>
          <w:color w:val="auto"/>
        </w:rPr>
      </w:pPr>
    </w:p>
    <w:p>
      <w:pPr>
        <w:jc w:val="both"/>
        <w:ind w:right="20"/>
        <w:spacing w:after="0" w:line="354" w:lineRule="auto"/>
        <w:rPr>
          <w:sz w:val="20"/>
          <w:szCs w:val="20"/>
          <w:color w:val="auto"/>
        </w:rPr>
      </w:pPr>
      <w:r>
        <w:rPr>
          <w:rFonts w:ascii="Arial" w:cs="Arial" w:eastAsia="Arial" w:hAnsi="Arial"/>
          <w:sz w:val="16"/>
          <w:szCs w:val="16"/>
          <w:b w:val="1"/>
          <w:bCs w:val="1"/>
          <w:i w:val="1"/>
          <w:iCs w:val="1"/>
          <w:color w:val="54585A"/>
        </w:rPr>
        <w:t xml:space="preserve">Performance-Based Stock Grant Program - Terrestrial Spectrum Authority. </w:t>
      </w:r>
      <w:r>
        <w:rPr>
          <w:rFonts w:ascii="Arial" w:cs="Arial" w:eastAsia="Arial" w:hAnsi="Arial"/>
          <w:sz w:val="16"/>
          <w:szCs w:val="16"/>
          <w:color w:val="54585A"/>
        </w:rPr>
        <w:t>Mr. Ponder has the opportunity to receive additional stock awards based on</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the Company's attainment of certain international terrestrial spectrum authorities around the world. In December 2024, Mr. Ponder was granted 5,333 shares under this program upon the Company's receipt of terrestrial spectrum authority in one country.</w:t>
      </w:r>
    </w:p>
    <w:p>
      <w:pPr>
        <w:spacing w:after="0" w:line="104" w:lineRule="exact"/>
        <w:rPr>
          <w:sz w:val="20"/>
          <w:szCs w:val="20"/>
          <w:color w:val="auto"/>
        </w:rPr>
      </w:pPr>
    </w:p>
    <w:p>
      <w:pPr>
        <w:ind w:right="600"/>
        <w:spacing w:after="0" w:line="345" w:lineRule="auto"/>
        <w:rPr>
          <w:sz w:val="20"/>
          <w:szCs w:val="20"/>
          <w:color w:val="auto"/>
        </w:rPr>
      </w:pPr>
      <w:r>
        <w:rPr>
          <w:rFonts w:ascii="Arial" w:cs="Arial" w:eastAsia="Arial" w:hAnsi="Arial"/>
          <w:sz w:val="16"/>
          <w:szCs w:val="16"/>
          <w:b w:val="1"/>
          <w:bCs w:val="1"/>
          <w:i w:val="1"/>
          <w:iCs w:val="1"/>
          <w:color w:val="54585A"/>
        </w:rPr>
        <w:t xml:space="preserve">Prior Market-Based Stock Awards to our CEO. </w:t>
      </w:r>
      <w:r>
        <w:rPr>
          <w:rFonts w:ascii="Arial" w:cs="Arial" w:eastAsia="Arial" w:hAnsi="Arial"/>
          <w:sz w:val="16"/>
          <w:szCs w:val="16"/>
          <w:color w:val="54585A"/>
        </w:rPr>
        <w:t>In connection with his 2023 appointment to Chief Executive Officer, Dr. Jacobs received 2.7 million</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performance-based restricted stock awards which vest at any time during a four-year period from the date of grant, September 2023, based on the achievement of certain sustained stock price targets between $30.00 and $150.00. No portion of this grant vested during 2024.</w:t>
      </w:r>
    </w:p>
    <w:p>
      <w:pPr>
        <w:spacing w:after="0" w:line="125" w:lineRule="exact"/>
        <w:rPr>
          <w:sz w:val="20"/>
          <w:szCs w:val="20"/>
          <w:color w:val="auto"/>
        </w:rPr>
      </w:pPr>
    </w:p>
    <w:p>
      <w:pPr>
        <w:jc w:val="both"/>
        <w:ind w:right="780"/>
        <w:spacing w:after="0" w:line="345" w:lineRule="auto"/>
        <w:rPr>
          <w:sz w:val="20"/>
          <w:szCs w:val="20"/>
          <w:color w:val="auto"/>
        </w:rPr>
      </w:pPr>
      <w:r>
        <w:rPr>
          <w:rFonts w:ascii="Arial" w:cs="Arial" w:eastAsia="Arial" w:hAnsi="Arial"/>
          <w:sz w:val="16"/>
          <w:szCs w:val="16"/>
          <w:b w:val="1"/>
          <w:bCs w:val="1"/>
          <w:i w:val="1"/>
          <w:iCs w:val="1"/>
          <w:color w:val="54585A"/>
        </w:rPr>
        <w:t xml:space="preserve">All Other Compensation. </w:t>
      </w:r>
      <w:r>
        <w:rPr>
          <w:rFonts w:ascii="Arial" w:cs="Arial" w:eastAsia="Arial" w:hAnsi="Arial"/>
          <w:sz w:val="16"/>
          <w:szCs w:val="16"/>
          <w:color w:val="54585A"/>
        </w:rPr>
        <w:t>While we do not have a pension plan or a non-qualified deferred compensation plan, the Company provides benefits to</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employees under a 401(k) plan. Under this plan, we contribute $0.50 for each $1.00 contributed to the plan by all U.S. employees, up to 6% of the employee’s base salary. We also provide limited perquisites to NEOs consisting primarily of premiums for term life insurance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311150</wp:posOffset>
            </wp:positionV>
            <wp:extent cx="257175" cy="2571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30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b w:val="1"/>
          <w:bCs w:val="1"/>
          <w:i w:val="1"/>
          <w:iCs w:val="1"/>
          <w:color w:val="54585A"/>
        </w:rPr>
        <w:t xml:space="preserve">New CFO Compensation for 2025. </w:t>
      </w:r>
      <w:r>
        <w:rPr>
          <w:rFonts w:ascii="Arial" w:cs="Arial" w:eastAsia="Arial" w:hAnsi="Arial"/>
          <w:sz w:val="16"/>
          <w:szCs w:val="16"/>
          <w:color w:val="54585A"/>
        </w:rPr>
        <w:t>On March 27, 2025, after reviewing a market survey conducted by the Committee’s independent compensation</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consultant, the Board and Compensation Committee approved certain changes to Ms. Clary's compensation, including (i) an increase in her base salary to $420,000, to be effective January 1, 2025, and (ii) the grant of a performance-based stock award with a target grant date value of $2 million, which will vest at any time during a four-year period from the date of grant based on the achievement of certain sustained stock price targets between $30 and $75. All other elements of Ms. Clary's compensation remain unchanged, including annual grants of restricted stock awards and annual discretionary bonus plans.</w:t>
      </w:r>
    </w:p>
    <w:p>
      <w:pPr>
        <w:spacing w:after="0" w:line="13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b w:val="1"/>
          <w:bCs w:val="1"/>
          <w:i w:val="1"/>
          <w:iCs w:val="1"/>
          <w:color w:val="54585A"/>
        </w:rPr>
        <w:t xml:space="preserve">Tax Considerations. </w:t>
      </w:r>
      <w:r>
        <w:rPr>
          <w:rFonts w:ascii="Arial" w:cs="Arial" w:eastAsia="Arial" w:hAnsi="Arial"/>
          <w:sz w:val="16"/>
          <w:szCs w:val="16"/>
          <w:color w:val="54585A"/>
        </w:rPr>
        <w:t>The Compensation Committee considers certain tax implications when designing our executive compensation programs and certain</w:t>
      </w:r>
      <w:r>
        <w:rPr>
          <w:rFonts w:ascii="Arial" w:cs="Arial" w:eastAsia="Arial" w:hAnsi="Arial"/>
          <w:sz w:val="16"/>
          <w:szCs w:val="16"/>
          <w:b w:val="1"/>
          <w:bCs w:val="1"/>
          <w:i w:val="1"/>
          <w:iCs w:val="1"/>
          <w:color w:val="54585A"/>
        </w:rPr>
        <w:t xml:space="preserve"> </w:t>
      </w:r>
      <w:r>
        <w:rPr>
          <w:rFonts w:ascii="Arial" w:cs="Arial" w:eastAsia="Arial" w:hAnsi="Arial"/>
          <w:sz w:val="16"/>
          <w:szCs w:val="16"/>
          <w:color w:val="54585A"/>
        </w:rPr>
        <w:t>specific awards. However, the Compensation Committee believes that stockholders’ interests may best be served by offering compensation that is not fully deductible, where appropriate, to attract, retain and motivate talented executives. Accordingly, the Compensation Committee and the Board may approve compensation arrangements that do not qualify for income tax deductibility.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Hedging Policy</w:t>
      </w:r>
    </w:p>
    <w:p>
      <w:pPr>
        <w:spacing w:after="0" w:line="9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54585A"/>
        </w:rPr>
        <w:t>It is the Company’s policy that its directors, officers and employees, as well as certain contractors and consultants, may not engage in hedging activities with respect to the Company’s securities at any time. Such activities include short sales (a sale of securities that are not owned by the seller at the time of the sale), including short sales against the box; buying or selling puts or calls; and frequent trading (for example, daily or weekly) to take advantage of fluctuations in stock prices.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Insider Trading Policy and Timing of Equity Awards</w:t>
      </w:r>
    </w:p>
    <w:p>
      <w:pPr>
        <w:spacing w:after="0" w:line="95" w:lineRule="exact"/>
        <w:rPr>
          <w:sz w:val="20"/>
          <w:szCs w:val="20"/>
          <w:color w:val="auto"/>
        </w:rPr>
      </w:pPr>
    </w:p>
    <w:p>
      <w:pPr>
        <w:spacing w:after="0" w:line="330" w:lineRule="auto"/>
        <w:rPr>
          <w:sz w:val="20"/>
          <w:szCs w:val="20"/>
          <w:color w:val="auto"/>
        </w:rPr>
      </w:pPr>
      <w:r>
        <w:rPr>
          <w:rFonts w:ascii="Arial" w:cs="Arial" w:eastAsia="Arial" w:hAnsi="Arial"/>
          <w:sz w:val="16"/>
          <w:szCs w:val="16"/>
          <w:color w:val="54585A"/>
        </w:rPr>
        <w:t>The Company has an insider trading policy applicable to directors, officers and employees, as well as certain contractors and consultants ("Covered Individuals"). The policy prohibits any Covered Individual, as well as any family member of any Covered Individual, from engaging in transactions involving the purchase or sale of the Company’s securities while having access to material nonpublic information, as well as from trading in the securities of other companies with which the Company does business while in possession of material nonpublic information about such company or its securities. The Company's insider trading policy provides for trading windows and has a pre-clearance process prior to the trade of the Company's securities. Additionally, the policy confirms that the Company will not engage in transactions in its securities in violation of applicable securities laws. Additionally, the policy confirms that the Company will not engage in transactions in its securities in violation of applicable securities laws. The Company believes that its insider trading policy is reasonably designed to promote compliance with insider trading laws, rules and regulations and listing standards applicable to the Company. A copy of the Company's insider trading policy was filed as Exhibit 19.1 to our 2024 annual report on Form 10-K.</w:t>
      </w:r>
    </w:p>
    <w:p>
      <w:pPr>
        <w:spacing w:after="0" w:line="140" w:lineRule="exact"/>
        <w:rPr>
          <w:sz w:val="20"/>
          <w:szCs w:val="20"/>
          <w:color w:val="auto"/>
        </w:rPr>
      </w:pPr>
    </w:p>
    <w:p>
      <w:pPr>
        <w:ind w:right="100"/>
        <w:spacing w:after="0" w:line="335" w:lineRule="auto"/>
        <w:rPr>
          <w:sz w:val="20"/>
          <w:szCs w:val="20"/>
          <w:color w:val="auto"/>
        </w:rPr>
      </w:pPr>
      <w:r>
        <w:rPr>
          <w:rFonts w:ascii="Arial" w:cs="Arial" w:eastAsia="Arial" w:hAnsi="Arial"/>
          <w:sz w:val="16"/>
          <w:szCs w:val="16"/>
          <w:color w:val="54585A"/>
        </w:rPr>
        <w:t>Generally, our Board or Compensation Committee does not approve grants of equity awards during a blackout period and does not take material nonpublic information into account when determining the timing and terms of such an award. Further, we do not have a policy or practice of timing the disclosure of material nonpublic information for the purpose of affecting the value of executive compensation. As noted herein, the Company does not current grant stock options to its executive officers, although it does award stock options to its directors as part of the director compensation program, as discussed in "Director Compensation" above.</w:t>
      </w:r>
    </w:p>
    <w:p>
      <w:pPr>
        <w:spacing w:after="0" w:line="133" w:lineRule="exact"/>
        <w:rPr>
          <w:sz w:val="20"/>
          <w:szCs w:val="20"/>
          <w:color w:val="auto"/>
        </w:rPr>
      </w:pPr>
    </w:p>
    <w:p>
      <w:pPr>
        <w:ind w:right="100"/>
        <w:spacing w:after="0" w:line="374" w:lineRule="auto"/>
        <w:rPr>
          <w:sz w:val="20"/>
          <w:szCs w:val="20"/>
          <w:color w:val="auto"/>
        </w:rPr>
      </w:pPr>
      <w:r>
        <w:rPr>
          <w:rFonts w:ascii="Arial" w:cs="Arial" w:eastAsia="Arial" w:hAnsi="Arial"/>
          <w:sz w:val="16"/>
          <w:szCs w:val="16"/>
          <w:color w:val="54585A"/>
        </w:rPr>
        <w:t>Our Board or Compensation Committee does not grant equity awards in anticipation of the release of material nonpublic information and the timing of filings of material nonpublic information is not based on equity award grant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257175"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00" w:hanging="92"/>
        <w:spacing w:after="0"/>
        <w:tabs>
          <w:tab w:leader="none" w:pos="100" w:val="left"/>
        </w:tabs>
        <w:numPr>
          <w:ilvl w:val="0"/>
          <w:numId w:val="53"/>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Clawback Policy</w:t>
      </w:r>
    </w:p>
    <w:p>
      <w:pPr>
        <w:spacing w:after="0" w:line="95" w:lineRule="exact"/>
        <w:rPr>
          <w:sz w:val="20"/>
          <w:szCs w:val="20"/>
          <w:color w:val="auto"/>
        </w:rPr>
      </w:pPr>
    </w:p>
    <w:p>
      <w:pPr>
        <w:spacing w:after="0" w:line="335" w:lineRule="auto"/>
        <w:rPr>
          <w:sz w:val="20"/>
          <w:szCs w:val="20"/>
          <w:color w:val="auto"/>
        </w:rPr>
      </w:pPr>
      <w:r>
        <w:rPr>
          <w:rFonts w:ascii="Arial" w:cs="Arial" w:eastAsia="Arial" w:hAnsi="Arial"/>
          <w:sz w:val="16"/>
          <w:szCs w:val="16"/>
          <w:color w:val="54585A"/>
        </w:rPr>
        <w:t>In accordance with SEC Rule 10D-1 and Nasdaq rules, the Board adopted a clawback policy (the "Clawback Policy"). The Clawback Policy provides for the recovery of erroneously awarded compensation paid to the Company's executive officers in the event of a restatement of the Company's financial statements. In additional to the recovery required by the SEC rules and Nasdaq, our Clawback Policy also permits our Board to recoup certain incentive compensation paid to an executive officer who has engaged in certain improper misconduct or was awarded compensation, for other than Company performance, achieved without merit, as described in the Clawback Policy.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Compensation Committee Report for 2024</w:t>
      </w:r>
    </w:p>
    <w:p>
      <w:pPr>
        <w:spacing w:after="0" w:line="95" w:lineRule="exact"/>
        <w:rPr>
          <w:sz w:val="20"/>
          <w:szCs w:val="20"/>
          <w:color w:val="auto"/>
        </w:rPr>
      </w:pPr>
    </w:p>
    <w:p>
      <w:pPr>
        <w:ind w:right="280"/>
        <w:spacing w:after="0" w:line="345" w:lineRule="auto"/>
        <w:rPr>
          <w:sz w:val="20"/>
          <w:szCs w:val="20"/>
          <w:color w:val="auto"/>
        </w:rPr>
      </w:pPr>
      <w:r>
        <w:rPr>
          <w:rFonts w:ascii="Arial" w:cs="Arial" w:eastAsia="Arial" w:hAnsi="Arial"/>
          <w:sz w:val="16"/>
          <w:szCs w:val="16"/>
          <w:color w:val="54585A"/>
        </w:rPr>
        <w:t>The undersigned comprise the members of the Compensation Committee of the Board. The Compensation Committee has reviewed and discussed the Compensation Discussion and Analysis presented above with the Company’s management. Based upon that review and those discussions, the Compensation Committee recommended to the Board that the Compensation Discussion and Analysis be included in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 xml:space="preserve">James Monroe III, </w:t>
      </w:r>
      <w:r>
        <w:rPr>
          <w:rFonts w:ascii="Arial" w:cs="Arial" w:eastAsia="Arial" w:hAnsi="Arial"/>
          <w:sz w:val="16"/>
          <w:szCs w:val="16"/>
          <w:i w:val="1"/>
          <w:iCs w:val="1"/>
          <w:color w:val="54585A"/>
        </w:rPr>
        <w:t>Chair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535305</wp:posOffset>
            </wp:positionV>
            <wp:extent cx="257175" cy="2571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32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68" w:right="459" w:bottom="1440" w:gutter="0" w:footer="0" w:header="0"/>
        </w:sectPr>
      </w:pPr>
    </w:p>
    <w:bookmarkStart w:id="36" w:name="page37"/>
    <w:bookmarkEnd w:id="36"/>
    <w:p>
      <w:pPr>
        <w:ind w:left="8740"/>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54585A"/>
        </w:rPr>
        <w:t>2024 Summary Compensation Table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54585A"/>
        </w:rPr>
        <w:t>The table below summarizes for 2024, 2023 and 2022 the compensation of our NEOs.</w:t>
      </w:r>
    </w:p>
    <w:p>
      <w:pPr>
        <w:spacing w:after="0" w:line="221" w:lineRule="exact"/>
        <w:rPr>
          <w:sz w:val="20"/>
          <w:szCs w:val="20"/>
          <w:color w:val="auto"/>
        </w:rPr>
      </w:pPr>
    </w:p>
    <w:p>
      <w:pPr>
        <w:ind w:right="80"/>
        <w:spacing w:after="0" w:line="340" w:lineRule="auto"/>
        <w:rPr>
          <w:sz w:val="20"/>
          <w:szCs w:val="20"/>
          <w:color w:val="auto"/>
        </w:rPr>
      </w:pPr>
      <w:r>
        <w:rPr>
          <w:rFonts w:ascii="Arial" w:cs="Arial" w:eastAsia="Arial" w:hAnsi="Arial"/>
          <w:sz w:val="16"/>
          <w:szCs w:val="16"/>
          <w:color w:val="54585A"/>
        </w:rPr>
        <w:t>Mr. Monroe did not receive any compensation during 2022 through 2024 for his service as an executive officer of the Company; therefore, he is not included in the table below. His compensation is reflected in the Director Compensation table above. In addition, Dr. Jacobs received certain compensation for his service as a director, which is also reflected in the Director Compensation table. During the periods presented, the Company's executive compensation program did not include awards of stock options or non-equity incentive plan compensation to the executives in the table below. The Company does not have a pension plan or non-qualified deferred compensation plan.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460" w:type="dxa"/>
            <w:vAlign w:val="bottom"/>
            <w:shd w:val="clear" w:color="auto" w:fill="EEEDED"/>
          </w:tcPr>
          <w:p>
            <w:pPr>
              <w:spacing w:after="0"/>
              <w:rPr>
                <w:sz w:val="16"/>
                <w:szCs w:val="16"/>
                <w:color w:val="auto"/>
              </w:rPr>
            </w:pPr>
          </w:p>
        </w:tc>
        <w:tc>
          <w:tcPr>
            <w:tcW w:w="1120" w:type="dxa"/>
            <w:vAlign w:val="bottom"/>
            <w:shd w:val="clear" w:color="auto" w:fill="EEEDED"/>
          </w:tcPr>
          <w:p>
            <w:pPr>
              <w:spacing w:after="0"/>
              <w:rPr>
                <w:sz w:val="16"/>
                <w:szCs w:val="16"/>
                <w:color w:val="auto"/>
              </w:rPr>
            </w:pPr>
          </w:p>
        </w:tc>
        <w:tc>
          <w:tcPr>
            <w:tcW w:w="1500" w:type="dxa"/>
            <w:vAlign w:val="bottom"/>
            <w:vMerge w:val="restart"/>
            <w:shd w:val="clear" w:color="auto" w:fill="EEEDED"/>
          </w:tcPr>
          <w:p>
            <w:pPr>
              <w:jc w:val="right"/>
              <w:ind w:right="328"/>
              <w:spacing w:after="0"/>
              <w:rPr>
                <w:sz w:val="20"/>
                <w:szCs w:val="20"/>
                <w:color w:val="auto"/>
              </w:rPr>
            </w:pPr>
            <w:r>
              <w:rPr>
                <w:rFonts w:ascii="Arial" w:cs="Arial" w:eastAsia="Arial" w:hAnsi="Arial"/>
                <w:sz w:val="14"/>
                <w:szCs w:val="14"/>
                <w:b w:val="1"/>
                <w:bCs w:val="1"/>
                <w:color w:val="54585A"/>
              </w:rPr>
              <w:t>Salary</w:t>
            </w:r>
          </w:p>
        </w:tc>
        <w:tc>
          <w:tcPr>
            <w:tcW w:w="1280" w:type="dxa"/>
            <w:vAlign w:val="bottom"/>
            <w:vMerge w:val="restart"/>
            <w:shd w:val="clear" w:color="auto" w:fill="EEEDED"/>
          </w:tcPr>
          <w:p>
            <w:pPr>
              <w:jc w:val="right"/>
              <w:ind w:right="228"/>
              <w:spacing w:after="0"/>
              <w:rPr>
                <w:sz w:val="20"/>
                <w:szCs w:val="20"/>
                <w:color w:val="auto"/>
              </w:rPr>
            </w:pPr>
            <w:r>
              <w:rPr>
                <w:rFonts w:ascii="Arial" w:cs="Arial" w:eastAsia="Arial" w:hAnsi="Arial"/>
                <w:sz w:val="14"/>
                <w:szCs w:val="14"/>
                <w:b w:val="1"/>
                <w:bCs w:val="1"/>
                <w:color w:val="54585A"/>
              </w:rPr>
              <w:t>Bonus</w:t>
            </w:r>
          </w:p>
        </w:tc>
        <w:tc>
          <w:tcPr>
            <w:tcW w:w="1260" w:type="dxa"/>
            <w:vAlign w:val="bottom"/>
            <w:shd w:val="clear" w:color="auto" w:fill="EEEDED"/>
          </w:tcPr>
          <w:p>
            <w:pPr>
              <w:jc w:val="right"/>
              <w:ind w:right="128"/>
              <w:spacing w:after="0"/>
              <w:rPr>
                <w:sz w:val="20"/>
                <w:szCs w:val="20"/>
                <w:color w:val="auto"/>
              </w:rPr>
            </w:pPr>
            <w:r>
              <w:rPr>
                <w:rFonts w:ascii="Arial" w:cs="Arial" w:eastAsia="Arial" w:hAnsi="Arial"/>
                <w:sz w:val="14"/>
                <w:szCs w:val="14"/>
                <w:b w:val="1"/>
                <w:bCs w:val="1"/>
                <w:color w:val="54585A"/>
              </w:rPr>
              <w:t>Stock</w:t>
            </w:r>
          </w:p>
        </w:tc>
        <w:tc>
          <w:tcPr>
            <w:tcW w:w="1440" w:type="dxa"/>
            <w:vAlign w:val="bottom"/>
            <w:shd w:val="clear" w:color="auto" w:fill="EEEDED"/>
          </w:tcPr>
          <w:p>
            <w:pPr>
              <w:jc w:val="right"/>
              <w:ind w:right="188"/>
              <w:spacing w:after="0"/>
              <w:rPr>
                <w:sz w:val="20"/>
                <w:szCs w:val="20"/>
                <w:color w:val="auto"/>
              </w:rPr>
            </w:pPr>
            <w:r>
              <w:rPr>
                <w:rFonts w:ascii="Arial" w:cs="Arial" w:eastAsia="Arial" w:hAnsi="Arial"/>
                <w:sz w:val="14"/>
                <w:szCs w:val="14"/>
                <w:b w:val="1"/>
                <w:bCs w:val="1"/>
                <w:color w:val="54585A"/>
              </w:rPr>
              <w:t>All Other</w:t>
            </w:r>
          </w:p>
        </w:tc>
        <w:tc>
          <w:tcPr>
            <w:tcW w:w="1180" w:type="dxa"/>
            <w:vAlign w:val="bottom"/>
            <w:vMerge w:val="restart"/>
            <w:shd w:val="clear" w:color="auto" w:fill="EEEDED"/>
          </w:tcPr>
          <w:p>
            <w:pPr>
              <w:jc w:val="right"/>
              <w:ind w:right="128"/>
              <w:spacing w:after="0"/>
              <w:rPr>
                <w:sz w:val="20"/>
                <w:szCs w:val="20"/>
                <w:color w:val="auto"/>
              </w:rPr>
            </w:pPr>
            <w:r>
              <w:rPr>
                <w:rFonts w:ascii="Arial" w:cs="Arial" w:eastAsia="Arial" w:hAnsi="Arial"/>
                <w:sz w:val="14"/>
                <w:szCs w:val="14"/>
                <w:b w:val="1"/>
                <w:bCs w:val="1"/>
                <w:color w:val="54585A"/>
              </w:rPr>
              <w:t>Total</w:t>
            </w:r>
          </w:p>
        </w:tc>
        <w:tc>
          <w:tcPr>
            <w:tcW w:w="0" w:type="dxa"/>
            <w:vAlign w:val="bottom"/>
          </w:tcPr>
          <w:p>
            <w:pPr>
              <w:spacing w:after="0"/>
              <w:rPr>
                <w:sz w:val="1"/>
                <w:szCs w:val="1"/>
                <w:color w:val="auto"/>
              </w:rPr>
            </w:pPr>
          </w:p>
        </w:tc>
      </w:tr>
      <w:tr>
        <w:trPr>
          <w:trHeight w:val="162"/>
        </w:trPr>
        <w:tc>
          <w:tcPr>
            <w:tcW w:w="3460" w:type="dxa"/>
            <w:vAlign w:val="bottom"/>
            <w:shd w:val="clear" w:color="auto" w:fill="EEEDED"/>
          </w:tcPr>
          <w:p>
            <w:pPr>
              <w:spacing w:after="0"/>
              <w:rPr>
                <w:sz w:val="14"/>
                <w:szCs w:val="14"/>
                <w:color w:val="auto"/>
              </w:rPr>
            </w:pPr>
          </w:p>
        </w:tc>
        <w:tc>
          <w:tcPr>
            <w:tcW w:w="1120" w:type="dxa"/>
            <w:vAlign w:val="bottom"/>
            <w:shd w:val="clear" w:color="auto" w:fill="EEEDED"/>
          </w:tcPr>
          <w:p>
            <w:pPr>
              <w:spacing w:after="0"/>
              <w:rPr>
                <w:sz w:val="14"/>
                <w:szCs w:val="14"/>
                <w:color w:val="auto"/>
              </w:rPr>
            </w:pPr>
          </w:p>
        </w:tc>
        <w:tc>
          <w:tcPr>
            <w:tcW w:w="1500" w:type="dxa"/>
            <w:vAlign w:val="bottom"/>
            <w:vMerge w:val="continue"/>
            <w:shd w:val="clear" w:color="auto" w:fill="EEEDED"/>
          </w:tcPr>
          <w:p>
            <w:pPr>
              <w:spacing w:after="0"/>
              <w:rPr>
                <w:sz w:val="14"/>
                <w:szCs w:val="14"/>
                <w:color w:val="auto"/>
              </w:rPr>
            </w:pPr>
          </w:p>
        </w:tc>
        <w:tc>
          <w:tcPr>
            <w:tcW w:w="1280" w:type="dxa"/>
            <w:vAlign w:val="bottom"/>
            <w:vMerge w:val="continue"/>
            <w:shd w:val="clear" w:color="auto" w:fill="EEEDED"/>
          </w:tcPr>
          <w:p>
            <w:pPr>
              <w:spacing w:after="0"/>
              <w:rPr>
                <w:sz w:val="14"/>
                <w:szCs w:val="14"/>
                <w:color w:val="auto"/>
              </w:rPr>
            </w:pPr>
          </w:p>
        </w:tc>
        <w:tc>
          <w:tcPr>
            <w:tcW w:w="1260" w:type="dxa"/>
            <w:vAlign w:val="bottom"/>
            <w:shd w:val="clear" w:color="auto" w:fill="EEEDED"/>
          </w:tcPr>
          <w:p>
            <w:pPr>
              <w:jc w:val="right"/>
              <w:ind w:right="128"/>
              <w:spacing w:after="0"/>
              <w:rPr>
                <w:sz w:val="20"/>
                <w:szCs w:val="20"/>
                <w:color w:val="auto"/>
              </w:rPr>
            </w:pPr>
            <w:r>
              <w:rPr>
                <w:rFonts w:ascii="Arial" w:cs="Arial" w:eastAsia="Arial" w:hAnsi="Arial"/>
                <w:sz w:val="14"/>
                <w:szCs w:val="14"/>
                <w:b w:val="1"/>
                <w:bCs w:val="1"/>
                <w:color w:val="54585A"/>
              </w:rPr>
              <w:t>Awards</w:t>
            </w:r>
          </w:p>
        </w:tc>
        <w:tc>
          <w:tcPr>
            <w:tcW w:w="1440" w:type="dxa"/>
            <w:vAlign w:val="bottom"/>
            <w:shd w:val="clear" w:color="auto" w:fill="EEEDED"/>
          </w:tcPr>
          <w:p>
            <w:pPr>
              <w:jc w:val="right"/>
              <w:ind w:right="188"/>
              <w:spacing w:after="0"/>
              <w:rPr>
                <w:sz w:val="20"/>
                <w:szCs w:val="20"/>
                <w:color w:val="auto"/>
              </w:rPr>
            </w:pPr>
            <w:r>
              <w:rPr>
                <w:rFonts w:ascii="Arial" w:cs="Arial" w:eastAsia="Arial" w:hAnsi="Arial"/>
                <w:sz w:val="14"/>
                <w:szCs w:val="14"/>
                <w:b w:val="1"/>
                <w:bCs w:val="1"/>
                <w:color w:val="54585A"/>
              </w:rPr>
              <w:t>Compensation</w:t>
            </w:r>
          </w:p>
        </w:tc>
        <w:tc>
          <w:tcPr>
            <w:tcW w:w="1180" w:type="dxa"/>
            <w:vAlign w:val="bottom"/>
            <w:vMerge w:val="continue"/>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Name and Principal Position</w:t>
            </w:r>
          </w:p>
        </w:tc>
        <w:tc>
          <w:tcPr>
            <w:tcW w:w="1120" w:type="dxa"/>
            <w:vAlign w:val="bottom"/>
            <w:shd w:val="clear" w:color="auto" w:fill="EEEDED"/>
          </w:tcPr>
          <w:p>
            <w:pPr>
              <w:ind w:left="280"/>
              <w:spacing w:after="0"/>
              <w:rPr>
                <w:sz w:val="20"/>
                <w:szCs w:val="20"/>
                <w:color w:val="auto"/>
              </w:rPr>
            </w:pPr>
            <w:r>
              <w:rPr>
                <w:rFonts w:ascii="Arial" w:cs="Arial" w:eastAsia="Arial" w:hAnsi="Arial"/>
                <w:sz w:val="14"/>
                <w:szCs w:val="14"/>
                <w:b w:val="1"/>
                <w:bCs w:val="1"/>
                <w:color w:val="54585A"/>
              </w:rPr>
              <w:t>Year</w:t>
            </w:r>
          </w:p>
        </w:tc>
        <w:tc>
          <w:tcPr>
            <w:tcW w:w="1500" w:type="dxa"/>
            <w:vAlign w:val="bottom"/>
            <w:shd w:val="clear" w:color="auto" w:fill="EEEDED"/>
          </w:tcPr>
          <w:p>
            <w:pPr>
              <w:jc w:val="right"/>
              <w:ind w:right="328"/>
              <w:spacing w:after="0"/>
              <w:rPr>
                <w:sz w:val="20"/>
                <w:szCs w:val="20"/>
                <w:color w:val="auto"/>
              </w:rPr>
            </w:pPr>
            <w:r>
              <w:rPr>
                <w:rFonts w:ascii="Arial" w:cs="Arial" w:eastAsia="Arial" w:hAnsi="Arial"/>
                <w:sz w:val="14"/>
                <w:szCs w:val="14"/>
                <w:b w:val="1"/>
                <w:bCs w:val="1"/>
                <w:color w:val="54585A"/>
              </w:rPr>
              <w:t>($)</w:t>
            </w:r>
          </w:p>
        </w:tc>
        <w:tc>
          <w:tcPr>
            <w:tcW w:w="1280" w:type="dxa"/>
            <w:vAlign w:val="bottom"/>
            <w:shd w:val="clear" w:color="auto" w:fill="EEEDED"/>
          </w:tcPr>
          <w:p>
            <w:pPr>
              <w:jc w:val="right"/>
              <w:ind w:right="228"/>
              <w:spacing w:after="0"/>
              <w:rPr>
                <w:sz w:val="20"/>
                <w:szCs w:val="20"/>
                <w:color w:val="auto"/>
              </w:rPr>
            </w:pPr>
            <w:r>
              <w:rPr>
                <w:rFonts w:ascii="Arial" w:cs="Arial" w:eastAsia="Arial" w:hAnsi="Arial"/>
                <w:sz w:val="14"/>
                <w:szCs w:val="14"/>
                <w:b w:val="1"/>
                <w:bCs w:val="1"/>
                <w:color w:val="54585A"/>
              </w:rPr>
              <w:t>($)</w:t>
            </w:r>
          </w:p>
        </w:tc>
        <w:tc>
          <w:tcPr>
            <w:tcW w:w="1260" w:type="dxa"/>
            <w:vAlign w:val="bottom"/>
            <w:shd w:val="clear" w:color="auto" w:fill="EEEDED"/>
          </w:tcPr>
          <w:p>
            <w:pPr>
              <w:jc w:val="right"/>
              <w:ind w:right="128"/>
              <w:spacing w:after="0"/>
              <w:rPr>
                <w:sz w:val="20"/>
                <w:szCs w:val="20"/>
                <w:color w:val="auto"/>
              </w:rPr>
            </w:pPr>
            <w:r>
              <w:rPr>
                <w:rFonts w:ascii="Arial" w:cs="Arial" w:eastAsia="Arial" w:hAnsi="Arial"/>
                <w:sz w:val="14"/>
                <w:szCs w:val="14"/>
                <w:b w:val="1"/>
                <w:bCs w:val="1"/>
                <w:color w:val="54585A"/>
              </w:rPr>
              <w:t>($)</w:t>
            </w:r>
            <w:r>
              <w:rPr>
                <w:rFonts w:ascii="Arial" w:cs="Arial" w:eastAsia="Arial" w:hAnsi="Arial"/>
                <w:sz w:val="18"/>
                <w:szCs w:val="18"/>
                <w:b w:val="1"/>
                <w:bCs w:val="1"/>
                <w:color w:val="54585A"/>
                <w:vertAlign w:val="superscript"/>
              </w:rPr>
              <w:t>(1)</w:t>
            </w:r>
          </w:p>
        </w:tc>
        <w:tc>
          <w:tcPr>
            <w:tcW w:w="1440" w:type="dxa"/>
            <w:vAlign w:val="bottom"/>
            <w:shd w:val="clear" w:color="auto" w:fill="EEEDED"/>
          </w:tcPr>
          <w:p>
            <w:pPr>
              <w:jc w:val="right"/>
              <w:ind w:right="188"/>
              <w:spacing w:after="0"/>
              <w:rPr>
                <w:sz w:val="20"/>
                <w:szCs w:val="20"/>
                <w:color w:val="auto"/>
              </w:rPr>
            </w:pPr>
            <w:r>
              <w:rPr>
                <w:rFonts w:ascii="Arial" w:cs="Arial" w:eastAsia="Arial" w:hAnsi="Arial"/>
                <w:sz w:val="14"/>
                <w:szCs w:val="14"/>
                <w:b w:val="1"/>
                <w:bCs w:val="1"/>
                <w:color w:val="54585A"/>
              </w:rPr>
              <w:t>($)</w:t>
            </w:r>
            <w:r>
              <w:rPr>
                <w:rFonts w:ascii="Arial" w:cs="Arial" w:eastAsia="Arial" w:hAnsi="Arial"/>
                <w:sz w:val="18"/>
                <w:szCs w:val="18"/>
                <w:b w:val="1"/>
                <w:bCs w:val="1"/>
                <w:color w:val="54585A"/>
                <w:vertAlign w:val="superscript"/>
              </w:rPr>
              <w:t>(2)</w:t>
            </w:r>
          </w:p>
        </w:tc>
        <w:tc>
          <w:tcPr>
            <w:tcW w:w="118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c>
          <w:tcPr>
            <w:tcW w:w="0" w:type="dxa"/>
            <w:vAlign w:val="bottom"/>
          </w:tcPr>
          <w:p>
            <w:pPr>
              <w:spacing w:after="0"/>
              <w:rPr>
                <w:sz w:val="1"/>
                <w:szCs w:val="1"/>
                <w:color w:val="auto"/>
              </w:rPr>
            </w:pPr>
          </w:p>
        </w:tc>
      </w:tr>
      <w:tr>
        <w:trPr>
          <w:trHeight w:val="95"/>
        </w:trPr>
        <w:tc>
          <w:tcPr>
            <w:tcW w:w="3460" w:type="dxa"/>
            <w:vAlign w:val="bottom"/>
            <w:shd w:val="clear" w:color="auto" w:fill="EEEDED"/>
          </w:tcPr>
          <w:p>
            <w:pPr>
              <w:spacing w:after="0"/>
              <w:rPr>
                <w:sz w:val="8"/>
                <w:szCs w:val="8"/>
                <w:color w:val="auto"/>
              </w:rPr>
            </w:pPr>
          </w:p>
        </w:tc>
        <w:tc>
          <w:tcPr>
            <w:tcW w:w="1120" w:type="dxa"/>
            <w:vAlign w:val="bottom"/>
            <w:shd w:val="clear" w:color="auto" w:fill="EEEDED"/>
          </w:tcPr>
          <w:p>
            <w:pPr>
              <w:spacing w:after="0"/>
              <w:rPr>
                <w:sz w:val="8"/>
                <w:szCs w:val="8"/>
                <w:color w:val="auto"/>
              </w:rPr>
            </w:pPr>
          </w:p>
        </w:tc>
        <w:tc>
          <w:tcPr>
            <w:tcW w:w="1500" w:type="dxa"/>
            <w:vAlign w:val="bottom"/>
            <w:shd w:val="clear" w:color="auto" w:fill="EEEDED"/>
          </w:tcPr>
          <w:p>
            <w:pPr>
              <w:spacing w:after="0"/>
              <w:rPr>
                <w:sz w:val="8"/>
                <w:szCs w:val="8"/>
                <w:color w:val="auto"/>
              </w:rPr>
            </w:pPr>
          </w:p>
        </w:tc>
        <w:tc>
          <w:tcPr>
            <w:tcW w:w="1280" w:type="dxa"/>
            <w:vAlign w:val="bottom"/>
            <w:shd w:val="clear" w:color="auto" w:fill="EEEDED"/>
          </w:tcPr>
          <w:p>
            <w:pPr>
              <w:spacing w:after="0"/>
              <w:rPr>
                <w:sz w:val="8"/>
                <w:szCs w:val="8"/>
                <w:color w:val="auto"/>
              </w:rPr>
            </w:pPr>
          </w:p>
        </w:tc>
        <w:tc>
          <w:tcPr>
            <w:tcW w:w="1260" w:type="dxa"/>
            <w:vAlign w:val="bottom"/>
            <w:shd w:val="clear" w:color="auto" w:fill="EEEDED"/>
          </w:tcPr>
          <w:p>
            <w:pPr>
              <w:spacing w:after="0"/>
              <w:rPr>
                <w:sz w:val="8"/>
                <w:szCs w:val="8"/>
                <w:color w:val="auto"/>
              </w:rPr>
            </w:pPr>
          </w:p>
        </w:tc>
        <w:tc>
          <w:tcPr>
            <w:tcW w:w="1440" w:type="dxa"/>
            <w:vAlign w:val="bottom"/>
            <w:shd w:val="clear" w:color="auto" w:fill="EEEDED"/>
          </w:tcPr>
          <w:p>
            <w:pPr>
              <w:spacing w:after="0"/>
              <w:rPr>
                <w:sz w:val="8"/>
                <w:szCs w:val="8"/>
                <w:color w:val="auto"/>
              </w:rPr>
            </w:pPr>
          </w:p>
        </w:tc>
        <w:tc>
          <w:tcPr>
            <w:tcW w:w="1180" w:type="dxa"/>
            <w:vAlign w:val="bottom"/>
            <w:shd w:val="clear" w:color="auto" w:fill="EEEDED"/>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3460" w:type="dxa"/>
            <w:vAlign w:val="bottom"/>
            <w:vMerge w:val="restart"/>
          </w:tcPr>
          <w:p>
            <w:pPr>
              <w:ind w:left="100"/>
              <w:spacing w:after="0"/>
              <w:rPr>
                <w:sz w:val="20"/>
                <w:szCs w:val="20"/>
                <w:color w:val="auto"/>
              </w:rPr>
            </w:pPr>
            <w:r>
              <w:rPr>
                <w:rFonts w:ascii="Arial" w:cs="Arial" w:eastAsia="Arial" w:hAnsi="Arial"/>
                <w:sz w:val="14"/>
                <w:szCs w:val="14"/>
                <w:b w:val="1"/>
                <w:bCs w:val="1"/>
                <w:color w:val="EB6C10"/>
              </w:rPr>
              <w:t>Dr. Paul E. Jacobs</w:t>
            </w:r>
            <w:r>
              <w:rPr>
                <w:rFonts w:ascii="Arial" w:cs="Arial" w:eastAsia="Arial" w:hAnsi="Arial"/>
                <w:sz w:val="18"/>
                <w:szCs w:val="18"/>
                <w:b w:val="1"/>
                <w:bCs w:val="1"/>
                <w:color w:val="EB6C10"/>
                <w:vertAlign w:val="superscript"/>
              </w:rPr>
              <w:t>(3)</w:t>
            </w:r>
          </w:p>
        </w:tc>
        <w:tc>
          <w:tcPr>
            <w:tcW w:w="1120" w:type="dxa"/>
            <w:vAlign w:val="bottom"/>
          </w:tcPr>
          <w:p>
            <w:pPr>
              <w:ind w:left="260"/>
              <w:spacing w:after="0"/>
              <w:rPr>
                <w:sz w:val="20"/>
                <w:szCs w:val="20"/>
                <w:color w:val="auto"/>
              </w:rPr>
            </w:pPr>
            <w:r>
              <w:rPr>
                <w:rFonts w:ascii="Arial" w:cs="Arial" w:eastAsia="Arial" w:hAnsi="Arial"/>
                <w:sz w:val="14"/>
                <w:szCs w:val="14"/>
                <w:color w:val="54585A"/>
              </w:rPr>
              <w:t>2024</w:t>
            </w:r>
          </w:p>
        </w:tc>
        <w:tc>
          <w:tcPr>
            <w:tcW w:w="1500" w:type="dxa"/>
            <w:vAlign w:val="bottom"/>
          </w:tcPr>
          <w:p>
            <w:pPr>
              <w:jc w:val="right"/>
              <w:ind w:right="388"/>
              <w:spacing w:after="0"/>
              <w:rPr>
                <w:sz w:val="20"/>
                <w:szCs w:val="20"/>
                <w:color w:val="auto"/>
              </w:rPr>
            </w:pPr>
            <w:r>
              <w:rPr>
                <w:rFonts w:ascii="Arial" w:cs="Arial" w:eastAsia="Arial" w:hAnsi="Arial"/>
                <w:sz w:val="14"/>
                <w:szCs w:val="14"/>
                <w:color w:val="54585A"/>
              </w:rPr>
              <w:t>500,000</w:t>
            </w:r>
          </w:p>
        </w:tc>
        <w:tc>
          <w:tcPr>
            <w:tcW w:w="1280" w:type="dxa"/>
            <w:vAlign w:val="bottom"/>
          </w:tcPr>
          <w:p>
            <w:pPr>
              <w:jc w:val="right"/>
              <w:ind w:right="288"/>
              <w:spacing w:after="0"/>
              <w:rPr>
                <w:sz w:val="20"/>
                <w:szCs w:val="20"/>
                <w:color w:val="auto"/>
              </w:rPr>
            </w:pPr>
            <w:r>
              <w:rPr>
                <w:rFonts w:ascii="Arial" w:cs="Arial" w:eastAsia="Arial" w:hAnsi="Arial"/>
                <w:sz w:val="14"/>
                <w:szCs w:val="14"/>
                <w:color w:val="54585A"/>
              </w:rPr>
              <w:t>200,000</w:t>
            </w:r>
          </w:p>
        </w:tc>
        <w:tc>
          <w:tcPr>
            <w:tcW w:w="1260" w:type="dxa"/>
            <w:vAlign w:val="bottom"/>
          </w:tcPr>
          <w:p>
            <w:pPr>
              <w:jc w:val="right"/>
              <w:ind w:right="168"/>
              <w:spacing w:after="0"/>
              <w:rPr>
                <w:sz w:val="20"/>
                <w:szCs w:val="20"/>
                <w:color w:val="auto"/>
              </w:rPr>
            </w:pPr>
            <w:r>
              <w:rPr>
                <w:rFonts w:ascii="Arial" w:cs="Arial" w:eastAsia="Arial" w:hAnsi="Arial"/>
                <w:sz w:val="14"/>
                <w:szCs w:val="14"/>
                <w:color w:val="54585A"/>
              </w:rPr>
              <w:t>300,000</w:t>
            </w:r>
          </w:p>
        </w:tc>
        <w:tc>
          <w:tcPr>
            <w:tcW w:w="1440" w:type="dxa"/>
            <w:vAlign w:val="bottom"/>
          </w:tcPr>
          <w:p>
            <w:pPr>
              <w:jc w:val="right"/>
              <w:ind w:right="228"/>
              <w:spacing w:after="0"/>
              <w:rPr>
                <w:sz w:val="20"/>
                <w:szCs w:val="20"/>
                <w:color w:val="auto"/>
              </w:rPr>
            </w:pPr>
            <w:r>
              <w:rPr>
                <w:rFonts w:ascii="Arial" w:cs="Arial" w:eastAsia="Arial" w:hAnsi="Arial"/>
                <w:sz w:val="14"/>
                <w:szCs w:val="14"/>
                <w:color w:val="54585A"/>
              </w:rPr>
              <w:t>9,445</w:t>
            </w:r>
          </w:p>
        </w:tc>
        <w:tc>
          <w:tcPr>
            <w:tcW w:w="1180" w:type="dxa"/>
            <w:vAlign w:val="bottom"/>
          </w:tcPr>
          <w:p>
            <w:pPr>
              <w:jc w:val="right"/>
              <w:ind w:right="128"/>
              <w:spacing w:after="0"/>
              <w:rPr>
                <w:sz w:val="20"/>
                <w:szCs w:val="20"/>
                <w:color w:val="auto"/>
              </w:rPr>
            </w:pPr>
            <w:r>
              <w:rPr>
                <w:rFonts w:ascii="Arial" w:cs="Arial" w:eastAsia="Arial" w:hAnsi="Arial"/>
                <w:sz w:val="14"/>
                <w:szCs w:val="14"/>
                <w:color w:val="54585A"/>
              </w:rPr>
              <w:t>1,009,445</w:t>
            </w:r>
          </w:p>
        </w:tc>
        <w:tc>
          <w:tcPr>
            <w:tcW w:w="0" w:type="dxa"/>
            <w:vAlign w:val="bottom"/>
          </w:tcPr>
          <w:p>
            <w:pPr>
              <w:spacing w:after="0"/>
              <w:rPr>
                <w:sz w:val="1"/>
                <w:szCs w:val="1"/>
                <w:color w:val="auto"/>
              </w:rPr>
            </w:pPr>
          </w:p>
        </w:tc>
      </w:tr>
      <w:tr>
        <w:trPr>
          <w:trHeight w:val="129"/>
        </w:trPr>
        <w:tc>
          <w:tcPr>
            <w:tcW w:w="3460" w:type="dxa"/>
            <w:vAlign w:val="bottom"/>
            <w:vMerge w:val="continue"/>
          </w:tcPr>
          <w:p>
            <w:pPr>
              <w:spacing w:after="0"/>
              <w:rPr>
                <w:sz w:val="11"/>
                <w:szCs w:val="11"/>
                <w:color w:val="auto"/>
              </w:rPr>
            </w:pPr>
          </w:p>
        </w:tc>
        <w:tc>
          <w:tcPr>
            <w:tcW w:w="1120" w:type="dxa"/>
            <w:vAlign w:val="bottom"/>
            <w:tcBorders>
              <w:bottom w:val="single" w:sz="8" w:color="54585A"/>
            </w:tcBorders>
          </w:tcPr>
          <w:p>
            <w:pPr>
              <w:spacing w:after="0"/>
              <w:rPr>
                <w:sz w:val="11"/>
                <w:szCs w:val="11"/>
                <w:color w:val="auto"/>
              </w:rPr>
            </w:pPr>
          </w:p>
        </w:tc>
        <w:tc>
          <w:tcPr>
            <w:tcW w:w="1500" w:type="dxa"/>
            <w:vAlign w:val="bottom"/>
            <w:tcBorders>
              <w:bottom w:val="single" w:sz="8" w:color="54585A"/>
            </w:tcBorders>
          </w:tcPr>
          <w:p>
            <w:pPr>
              <w:spacing w:after="0"/>
              <w:rPr>
                <w:sz w:val="11"/>
                <w:szCs w:val="11"/>
                <w:color w:val="auto"/>
              </w:rPr>
            </w:pPr>
          </w:p>
        </w:tc>
        <w:tc>
          <w:tcPr>
            <w:tcW w:w="1280" w:type="dxa"/>
            <w:vAlign w:val="bottom"/>
            <w:tcBorders>
              <w:bottom w:val="single" w:sz="8" w:color="54585A"/>
            </w:tcBorders>
          </w:tcPr>
          <w:p>
            <w:pPr>
              <w:spacing w:after="0"/>
              <w:rPr>
                <w:sz w:val="11"/>
                <w:szCs w:val="11"/>
                <w:color w:val="auto"/>
              </w:rPr>
            </w:pPr>
          </w:p>
        </w:tc>
        <w:tc>
          <w:tcPr>
            <w:tcW w:w="1260" w:type="dxa"/>
            <w:vAlign w:val="bottom"/>
            <w:tcBorders>
              <w:bottom w:val="single" w:sz="8" w:color="54585A"/>
            </w:tcBorders>
          </w:tcPr>
          <w:p>
            <w:pPr>
              <w:spacing w:after="0"/>
              <w:rPr>
                <w:sz w:val="11"/>
                <w:szCs w:val="11"/>
                <w:color w:val="auto"/>
              </w:rPr>
            </w:pPr>
          </w:p>
        </w:tc>
        <w:tc>
          <w:tcPr>
            <w:tcW w:w="1440" w:type="dxa"/>
            <w:vAlign w:val="bottom"/>
            <w:tcBorders>
              <w:bottom w:val="single" w:sz="8" w:color="54585A"/>
            </w:tcBorders>
          </w:tcPr>
          <w:p>
            <w:pPr>
              <w:spacing w:after="0"/>
              <w:rPr>
                <w:sz w:val="11"/>
                <w:szCs w:val="11"/>
                <w:color w:val="auto"/>
              </w:rPr>
            </w:pPr>
          </w:p>
        </w:tc>
        <w:tc>
          <w:tcPr>
            <w:tcW w:w="1180" w:type="dxa"/>
            <w:vAlign w:val="bottom"/>
            <w:tcBorders>
              <w:bottom w:val="single" w:sz="8" w:color="54585A"/>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460" w:type="dxa"/>
            <w:vAlign w:val="bottom"/>
          </w:tcPr>
          <w:p>
            <w:pPr>
              <w:ind w:left="100"/>
              <w:spacing w:after="0"/>
              <w:rPr>
                <w:sz w:val="20"/>
                <w:szCs w:val="20"/>
                <w:color w:val="auto"/>
              </w:rPr>
            </w:pPr>
            <w:r>
              <w:rPr>
                <w:rFonts w:ascii="Arial" w:cs="Arial" w:eastAsia="Arial" w:hAnsi="Arial"/>
                <w:sz w:val="14"/>
                <w:szCs w:val="14"/>
                <w:i w:val="1"/>
                <w:iCs w:val="1"/>
                <w:color w:val="54585A"/>
              </w:rPr>
              <w:t>Chief Executive Officer</w:t>
            </w:r>
          </w:p>
        </w:tc>
        <w:tc>
          <w:tcPr>
            <w:tcW w:w="1120" w:type="dxa"/>
            <w:vAlign w:val="bottom"/>
            <w:vMerge w:val="restart"/>
          </w:tcPr>
          <w:p>
            <w:pPr>
              <w:ind w:left="260"/>
              <w:spacing w:after="0"/>
              <w:rPr>
                <w:sz w:val="20"/>
                <w:szCs w:val="20"/>
                <w:color w:val="auto"/>
              </w:rPr>
            </w:pPr>
            <w:r>
              <w:rPr>
                <w:rFonts w:ascii="Arial" w:cs="Arial" w:eastAsia="Arial" w:hAnsi="Arial"/>
                <w:sz w:val="14"/>
                <w:szCs w:val="14"/>
                <w:color w:val="54585A"/>
              </w:rPr>
              <w:t>2023</w:t>
            </w:r>
          </w:p>
        </w:tc>
        <w:tc>
          <w:tcPr>
            <w:tcW w:w="1500" w:type="dxa"/>
            <w:vAlign w:val="bottom"/>
            <w:vMerge w:val="restart"/>
          </w:tcPr>
          <w:p>
            <w:pPr>
              <w:jc w:val="right"/>
              <w:ind w:right="388"/>
              <w:spacing w:after="0"/>
              <w:rPr>
                <w:sz w:val="20"/>
                <w:szCs w:val="20"/>
                <w:color w:val="auto"/>
              </w:rPr>
            </w:pPr>
            <w:r>
              <w:rPr>
                <w:rFonts w:ascii="Arial" w:cs="Arial" w:eastAsia="Arial" w:hAnsi="Arial"/>
                <w:sz w:val="14"/>
                <w:szCs w:val="14"/>
                <w:color w:val="54585A"/>
              </w:rPr>
              <w:t>142,308</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color w:val="54585A"/>
              </w:rPr>
              <w:t>—</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54585A"/>
              </w:rPr>
              <w:t>36,075,405</w:t>
            </w:r>
          </w:p>
        </w:tc>
        <w:tc>
          <w:tcPr>
            <w:tcW w:w="1440" w:type="dxa"/>
            <w:vAlign w:val="bottom"/>
            <w:vMerge w:val="restart"/>
          </w:tcPr>
          <w:p>
            <w:pPr>
              <w:jc w:val="right"/>
              <w:ind w:right="228"/>
              <w:spacing w:after="0"/>
              <w:rPr>
                <w:sz w:val="20"/>
                <w:szCs w:val="20"/>
                <w:color w:val="auto"/>
              </w:rPr>
            </w:pPr>
            <w:r>
              <w:rPr>
                <w:rFonts w:ascii="Arial" w:cs="Arial" w:eastAsia="Arial" w:hAnsi="Arial"/>
                <w:sz w:val="14"/>
                <w:szCs w:val="14"/>
                <w:color w:val="54585A"/>
              </w:rPr>
              <w:t>3,749</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54585A"/>
              </w:rPr>
              <w:t>36,221,462</w:t>
            </w:r>
          </w:p>
        </w:tc>
        <w:tc>
          <w:tcPr>
            <w:tcW w:w="0" w:type="dxa"/>
            <w:vAlign w:val="bottom"/>
          </w:tcPr>
          <w:p>
            <w:pPr>
              <w:spacing w:after="0"/>
              <w:rPr>
                <w:sz w:val="1"/>
                <w:szCs w:val="1"/>
                <w:color w:val="auto"/>
              </w:rPr>
            </w:pPr>
          </w:p>
        </w:tc>
      </w:tr>
      <w:tr>
        <w:trPr>
          <w:trHeight w:val="128"/>
        </w:trPr>
        <w:tc>
          <w:tcPr>
            <w:tcW w:w="346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4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500" w:type="dxa"/>
            <w:vAlign w:val="bottom"/>
            <w:tcBorders>
              <w:bottom w:val="single" w:sz="8" w:color="54585A"/>
            </w:tcBorders>
          </w:tcPr>
          <w:p>
            <w:pPr>
              <w:spacing w:after="0"/>
              <w:rPr>
                <w:sz w:val="10"/>
                <w:szCs w:val="10"/>
                <w:color w:val="auto"/>
              </w:rPr>
            </w:pPr>
          </w:p>
        </w:tc>
        <w:tc>
          <w:tcPr>
            <w:tcW w:w="1280" w:type="dxa"/>
            <w:vAlign w:val="bottom"/>
            <w:tcBorders>
              <w:bottom w:val="single" w:sz="8" w:color="54585A"/>
            </w:tcBorders>
          </w:tcPr>
          <w:p>
            <w:pPr>
              <w:spacing w:after="0"/>
              <w:rPr>
                <w:sz w:val="10"/>
                <w:szCs w:val="10"/>
                <w:color w:val="auto"/>
              </w:rPr>
            </w:pPr>
          </w:p>
        </w:tc>
        <w:tc>
          <w:tcPr>
            <w:tcW w:w="126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8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46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4"/>
                <w:szCs w:val="14"/>
                <w:color w:val="54585A"/>
              </w:rPr>
              <w:t>2024</w:t>
            </w:r>
          </w:p>
        </w:tc>
        <w:tc>
          <w:tcPr>
            <w:tcW w:w="1500" w:type="dxa"/>
            <w:vAlign w:val="bottom"/>
          </w:tcPr>
          <w:p>
            <w:pPr>
              <w:jc w:val="right"/>
              <w:ind w:right="388"/>
              <w:spacing w:after="0"/>
              <w:rPr>
                <w:sz w:val="20"/>
                <w:szCs w:val="20"/>
                <w:color w:val="auto"/>
              </w:rPr>
            </w:pPr>
            <w:r>
              <w:rPr>
                <w:rFonts w:ascii="Arial" w:cs="Arial" w:eastAsia="Arial" w:hAnsi="Arial"/>
                <w:sz w:val="14"/>
                <w:szCs w:val="14"/>
                <w:color w:val="54585A"/>
              </w:rPr>
              <w:t>330,414</w:t>
            </w:r>
          </w:p>
        </w:tc>
        <w:tc>
          <w:tcPr>
            <w:tcW w:w="1280" w:type="dxa"/>
            <w:vAlign w:val="bottom"/>
          </w:tcPr>
          <w:p>
            <w:pPr>
              <w:jc w:val="right"/>
              <w:ind w:right="288"/>
              <w:spacing w:after="0"/>
              <w:rPr>
                <w:sz w:val="20"/>
                <w:szCs w:val="20"/>
                <w:color w:val="auto"/>
              </w:rPr>
            </w:pPr>
            <w:r>
              <w:rPr>
                <w:rFonts w:ascii="Arial" w:cs="Arial" w:eastAsia="Arial" w:hAnsi="Arial"/>
                <w:sz w:val="14"/>
                <w:szCs w:val="14"/>
                <w:color w:val="54585A"/>
              </w:rPr>
              <w:t>95,000</w:t>
            </w:r>
          </w:p>
        </w:tc>
        <w:tc>
          <w:tcPr>
            <w:tcW w:w="1260" w:type="dxa"/>
            <w:vAlign w:val="bottom"/>
          </w:tcPr>
          <w:p>
            <w:pPr>
              <w:jc w:val="right"/>
              <w:ind w:right="168"/>
              <w:spacing w:after="0"/>
              <w:rPr>
                <w:sz w:val="20"/>
                <w:szCs w:val="20"/>
                <w:color w:val="auto"/>
              </w:rPr>
            </w:pPr>
            <w:r>
              <w:rPr>
                <w:rFonts w:ascii="Arial" w:cs="Arial" w:eastAsia="Arial" w:hAnsi="Arial"/>
                <w:sz w:val="14"/>
                <w:szCs w:val="14"/>
                <w:color w:val="54585A"/>
              </w:rPr>
              <w:t>280,000</w:t>
            </w:r>
          </w:p>
        </w:tc>
        <w:tc>
          <w:tcPr>
            <w:tcW w:w="1440" w:type="dxa"/>
            <w:vAlign w:val="bottom"/>
          </w:tcPr>
          <w:p>
            <w:pPr>
              <w:jc w:val="right"/>
              <w:ind w:right="228"/>
              <w:spacing w:after="0"/>
              <w:rPr>
                <w:sz w:val="20"/>
                <w:szCs w:val="20"/>
                <w:color w:val="auto"/>
              </w:rPr>
            </w:pPr>
            <w:r>
              <w:rPr>
                <w:rFonts w:ascii="Arial" w:cs="Arial" w:eastAsia="Arial" w:hAnsi="Arial"/>
                <w:sz w:val="14"/>
                <w:szCs w:val="14"/>
                <w:color w:val="54585A"/>
              </w:rPr>
              <w:t>10,766</w:t>
            </w:r>
          </w:p>
        </w:tc>
        <w:tc>
          <w:tcPr>
            <w:tcW w:w="1180" w:type="dxa"/>
            <w:vAlign w:val="bottom"/>
          </w:tcPr>
          <w:p>
            <w:pPr>
              <w:jc w:val="right"/>
              <w:ind w:right="128"/>
              <w:spacing w:after="0"/>
              <w:rPr>
                <w:sz w:val="20"/>
                <w:szCs w:val="20"/>
                <w:color w:val="auto"/>
              </w:rPr>
            </w:pPr>
            <w:r>
              <w:rPr>
                <w:rFonts w:ascii="Arial" w:cs="Arial" w:eastAsia="Arial" w:hAnsi="Arial"/>
                <w:sz w:val="14"/>
                <w:szCs w:val="14"/>
                <w:color w:val="54585A"/>
              </w:rPr>
              <w:t>716,180</w:t>
            </w:r>
          </w:p>
        </w:tc>
        <w:tc>
          <w:tcPr>
            <w:tcW w:w="0" w:type="dxa"/>
            <w:vAlign w:val="bottom"/>
          </w:tcPr>
          <w:p>
            <w:pPr>
              <w:spacing w:after="0"/>
              <w:rPr>
                <w:sz w:val="1"/>
                <w:szCs w:val="1"/>
                <w:color w:val="auto"/>
              </w:rPr>
            </w:pPr>
          </w:p>
        </w:tc>
      </w:tr>
      <w:tr>
        <w:trPr>
          <w:trHeight w:val="116"/>
        </w:trPr>
        <w:tc>
          <w:tcPr>
            <w:tcW w:w="3460" w:type="dxa"/>
            <w:vAlign w:val="bottom"/>
            <w:vMerge w:val="restart"/>
          </w:tcPr>
          <w:p>
            <w:pPr>
              <w:ind w:left="100"/>
              <w:spacing w:after="0"/>
              <w:rPr>
                <w:sz w:val="20"/>
                <w:szCs w:val="20"/>
                <w:color w:val="auto"/>
              </w:rPr>
            </w:pPr>
            <w:r>
              <w:rPr>
                <w:rFonts w:ascii="Arial" w:cs="Arial" w:eastAsia="Arial" w:hAnsi="Arial"/>
                <w:sz w:val="14"/>
                <w:szCs w:val="14"/>
                <w:b w:val="1"/>
                <w:bCs w:val="1"/>
                <w:color w:val="EB6C10"/>
              </w:rPr>
              <w:t>Rebecca S. Clary</w:t>
            </w:r>
          </w:p>
        </w:tc>
        <w:tc>
          <w:tcPr>
            <w:tcW w:w="1120" w:type="dxa"/>
            <w:vAlign w:val="bottom"/>
            <w:tcBorders>
              <w:bottom w:val="single" w:sz="8" w:color="54585A"/>
            </w:tcBorders>
          </w:tcPr>
          <w:p>
            <w:pPr>
              <w:spacing w:after="0"/>
              <w:rPr>
                <w:sz w:val="10"/>
                <w:szCs w:val="10"/>
                <w:color w:val="auto"/>
              </w:rPr>
            </w:pPr>
          </w:p>
        </w:tc>
        <w:tc>
          <w:tcPr>
            <w:tcW w:w="1500" w:type="dxa"/>
            <w:vAlign w:val="bottom"/>
            <w:tcBorders>
              <w:bottom w:val="single" w:sz="8" w:color="54585A"/>
            </w:tcBorders>
          </w:tcPr>
          <w:p>
            <w:pPr>
              <w:spacing w:after="0"/>
              <w:rPr>
                <w:sz w:val="10"/>
                <w:szCs w:val="10"/>
                <w:color w:val="auto"/>
              </w:rPr>
            </w:pPr>
          </w:p>
        </w:tc>
        <w:tc>
          <w:tcPr>
            <w:tcW w:w="1280" w:type="dxa"/>
            <w:vAlign w:val="bottom"/>
            <w:tcBorders>
              <w:bottom w:val="single" w:sz="8" w:color="54585A"/>
            </w:tcBorders>
          </w:tcPr>
          <w:p>
            <w:pPr>
              <w:spacing w:after="0"/>
              <w:rPr>
                <w:sz w:val="10"/>
                <w:szCs w:val="10"/>
                <w:color w:val="auto"/>
              </w:rPr>
            </w:pPr>
          </w:p>
        </w:tc>
        <w:tc>
          <w:tcPr>
            <w:tcW w:w="126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8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60" w:type="dxa"/>
            <w:vAlign w:val="bottom"/>
            <w:vMerge w:val="continue"/>
          </w:tcPr>
          <w:p>
            <w:pPr>
              <w:spacing w:after="0"/>
              <w:rPr>
                <w:sz w:val="9"/>
                <w:szCs w:val="9"/>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color w:val="54585A"/>
              </w:rPr>
              <w:t>2023</w:t>
            </w:r>
          </w:p>
        </w:tc>
        <w:tc>
          <w:tcPr>
            <w:tcW w:w="1500" w:type="dxa"/>
            <w:vAlign w:val="bottom"/>
            <w:vMerge w:val="restart"/>
          </w:tcPr>
          <w:p>
            <w:pPr>
              <w:jc w:val="right"/>
              <w:ind w:right="388"/>
              <w:spacing w:after="0"/>
              <w:rPr>
                <w:sz w:val="20"/>
                <w:szCs w:val="20"/>
                <w:color w:val="auto"/>
              </w:rPr>
            </w:pPr>
            <w:r>
              <w:rPr>
                <w:rFonts w:ascii="Arial" w:cs="Arial" w:eastAsia="Arial" w:hAnsi="Arial"/>
                <w:sz w:val="14"/>
                <w:szCs w:val="14"/>
                <w:color w:val="54585A"/>
              </w:rPr>
              <w:t>314,155</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color w:val="54585A"/>
              </w:rPr>
              <w:t>—</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54585A"/>
              </w:rPr>
              <w:t>321,401</w:t>
            </w:r>
          </w:p>
        </w:tc>
        <w:tc>
          <w:tcPr>
            <w:tcW w:w="1440" w:type="dxa"/>
            <w:vAlign w:val="bottom"/>
            <w:vMerge w:val="restart"/>
          </w:tcPr>
          <w:p>
            <w:pPr>
              <w:jc w:val="right"/>
              <w:ind w:right="228"/>
              <w:spacing w:after="0"/>
              <w:rPr>
                <w:sz w:val="20"/>
                <w:szCs w:val="20"/>
                <w:color w:val="auto"/>
              </w:rPr>
            </w:pPr>
            <w:r>
              <w:rPr>
                <w:rFonts w:ascii="Arial" w:cs="Arial" w:eastAsia="Arial" w:hAnsi="Arial"/>
                <w:sz w:val="14"/>
                <w:szCs w:val="14"/>
                <w:color w:val="54585A"/>
              </w:rPr>
              <w:t>56,909</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54585A"/>
              </w:rPr>
              <w:t>692,465</w:t>
            </w:r>
          </w:p>
        </w:tc>
        <w:tc>
          <w:tcPr>
            <w:tcW w:w="0" w:type="dxa"/>
            <w:vAlign w:val="bottom"/>
          </w:tcPr>
          <w:p>
            <w:pPr>
              <w:spacing w:after="0"/>
              <w:rPr>
                <w:sz w:val="1"/>
                <w:szCs w:val="1"/>
                <w:color w:val="auto"/>
              </w:rPr>
            </w:pPr>
          </w:p>
        </w:tc>
      </w:tr>
      <w:tr>
        <w:trPr>
          <w:trHeight w:val="176"/>
        </w:trPr>
        <w:tc>
          <w:tcPr>
            <w:tcW w:w="3460" w:type="dxa"/>
            <w:vAlign w:val="bottom"/>
          </w:tcPr>
          <w:p>
            <w:pPr>
              <w:ind w:left="100"/>
              <w:spacing w:after="0"/>
              <w:rPr>
                <w:sz w:val="20"/>
                <w:szCs w:val="20"/>
                <w:color w:val="auto"/>
              </w:rPr>
            </w:pPr>
            <w:r>
              <w:rPr>
                <w:rFonts w:ascii="Arial" w:cs="Arial" w:eastAsia="Arial" w:hAnsi="Arial"/>
                <w:sz w:val="14"/>
                <w:szCs w:val="14"/>
                <w:i w:val="1"/>
                <w:iCs w:val="1"/>
                <w:color w:val="54585A"/>
              </w:rPr>
              <w:t>Vice President and</w:t>
            </w:r>
          </w:p>
        </w:tc>
        <w:tc>
          <w:tcPr>
            <w:tcW w:w="11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60" w:type="dxa"/>
            <w:vAlign w:val="bottom"/>
          </w:tcPr>
          <w:p>
            <w:pPr>
              <w:ind w:left="100"/>
              <w:spacing w:after="0" w:line="123" w:lineRule="exact"/>
              <w:rPr>
                <w:sz w:val="20"/>
                <w:szCs w:val="20"/>
                <w:color w:val="auto"/>
              </w:rPr>
            </w:pPr>
            <w:r>
              <w:rPr>
                <w:rFonts w:ascii="Arial" w:cs="Arial" w:eastAsia="Arial" w:hAnsi="Arial"/>
                <w:sz w:val="14"/>
                <w:szCs w:val="14"/>
                <w:i w:val="1"/>
                <w:iCs w:val="1"/>
                <w:color w:val="54585A"/>
              </w:rPr>
              <w:t>Chief Financial Officer</w:t>
            </w:r>
          </w:p>
        </w:tc>
        <w:tc>
          <w:tcPr>
            <w:tcW w:w="1120" w:type="dxa"/>
            <w:vAlign w:val="bottom"/>
            <w:tcBorders>
              <w:bottom w:val="single" w:sz="8" w:color="54585A"/>
            </w:tcBorders>
          </w:tcPr>
          <w:p>
            <w:pPr>
              <w:spacing w:after="0"/>
              <w:rPr>
                <w:sz w:val="11"/>
                <w:szCs w:val="11"/>
                <w:color w:val="auto"/>
              </w:rPr>
            </w:pPr>
          </w:p>
        </w:tc>
        <w:tc>
          <w:tcPr>
            <w:tcW w:w="1500" w:type="dxa"/>
            <w:vAlign w:val="bottom"/>
            <w:tcBorders>
              <w:bottom w:val="single" w:sz="8" w:color="54585A"/>
            </w:tcBorders>
          </w:tcPr>
          <w:p>
            <w:pPr>
              <w:spacing w:after="0"/>
              <w:rPr>
                <w:sz w:val="11"/>
                <w:szCs w:val="11"/>
                <w:color w:val="auto"/>
              </w:rPr>
            </w:pPr>
          </w:p>
        </w:tc>
        <w:tc>
          <w:tcPr>
            <w:tcW w:w="1280" w:type="dxa"/>
            <w:vAlign w:val="bottom"/>
            <w:tcBorders>
              <w:bottom w:val="single" w:sz="8" w:color="54585A"/>
            </w:tcBorders>
          </w:tcPr>
          <w:p>
            <w:pPr>
              <w:spacing w:after="0"/>
              <w:rPr>
                <w:sz w:val="11"/>
                <w:szCs w:val="11"/>
                <w:color w:val="auto"/>
              </w:rPr>
            </w:pPr>
          </w:p>
        </w:tc>
        <w:tc>
          <w:tcPr>
            <w:tcW w:w="1260" w:type="dxa"/>
            <w:vAlign w:val="bottom"/>
            <w:tcBorders>
              <w:bottom w:val="single" w:sz="8" w:color="54585A"/>
            </w:tcBorders>
          </w:tcPr>
          <w:p>
            <w:pPr>
              <w:spacing w:after="0"/>
              <w:rPr>
                <w:sz w:val="11"/>
                <w:szCs w:val="11"/>
                <w:color w:val="auto"/>
              </w:rPr>
            </w:pPr>
          </w:p>
        </w:tc>
        <w:tc>
          <w:tcPr>
            <w:tcW w:w="1440" w:type="dxa"/>
            <w:vAlign w:val="bottom"/>
            <w:tcBorders>
              <w:bottom w:val="single" w:sz="8" w:color="54585A"/>
            </w:tcBorders>
          </w:tcPr>
          <w:p>
            <w:pPr>
              <w:spacing w:after="0"/>
              <w:rPr>
                <w:sz w:val="11"/>
                <w:szCs w:val="11"/>
                <w:color w:val="auto"/>
              </w:rPr>
            </w:pPr>
          </w:p>
        </w:tc>
        <w:tc>
          <w:tcPr>
            <w:tcW w:w="1180" w:type="dxa"/>
            <w:vAlign w:val="bottom"/>
            <w:tcBorders>
              <w:bottom w:val="single" w:sz="8" w:color="54585A"/>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46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4"/>
                <w:szCs w:val="14"/>
                <w:color w:val="54585A"/>
              </w:rPr>
              <w:t>2022</w:t>
            </w:r>
          </w:p>
        </w:tc>
        <w:tc>
          <w:tcPr>
            <w:tcW w:w="1500" w:type="dxa"/>
            <w:vAlign w:val="bottom"/>
          </w:tcPr>
          <w:p>
            <w:pPr>
              <w:jc w:val="right"/>
              <w:ind w:right="388"/>
              <w:spacing w:after="0"/>
              <w:rPr>
                <w:sz w:val="20"/>
                <w:szCs w:val="20"/>
                <w:color w:val="auto"/>
              </w:rPr>
            </w:pPr>
            <w:r>
              <w:rPr>
                <w:rFonts w:ascii="Arial" w:cs="Arial" w:eastAsia="Arial" w:hAnsi="Arial"/>
                <w:sz w:val="14"/>
                <w:szCs w:val="14"/>
                <w:color w:val="54585A"/>
              </w:rPr>
              <w:t>330,690</w:t>
            </w:r>
          </w:p>
        </w:tc>
        <w:tc>
          <w:tcPr>
            <w:tcW w:w="1280" w:type="dxa"/>
            <w:vAlign w:val="bottom"/>
          </w:tcPr>
          <w:p>
            <w:pPr>
              <w:jc w:val="right"/>
              <w:ind w:right="288"/>
              <w:spacing w:after="0"/>
              <w:rPr>
                <w:sz w:val="20"/>
                <w:szCs w:val="20"/>
                <w:color w:val="auto"/>
              </w:rPr>
            </w:pPr>
            <w:r>
              <w:rPr>
                <w:rFonts w:ascii="Arial" w:cs="Arial" w:eastAsia="Arial" w:hAnsi="Arial"/>
                <w:sz w:val="14"/>
                <w:szCs w:val="14"/>
                <w:color w:val="54585A"/>
              </w:rPr>
              <w:t>7,000</w:t>
            </w:r>
          </w:p>
        </w:tc>
        <w:tc>
          <w:tcPr>
            <w:tcW w:w="1260" w:type="dxa"/>
            <w:vAlign w:val="bottom"/>
          </w:tcPr>
          <w:p>
            <w:pPr>
              <w:jc w:val="right"/>
              <w:ind w:right="168"/>
              <w:spacing w:after="0"/>
              <w:rPr>
                <w:sz w:val="20"/>
                <w:szCs w:val="20"/>
                <w:color w:val="auto"/>
              </w:rPr>
            </w:pPr>
            <w:r>
              <w:rPr>
                <w:rFonts w:ascii="Arial" w:cs="Arial" w:eastAsia="Arial" w:hAnsi="Arial"/>
                <w:sz w:val="14"/>
                <w:szCs w:val="14"/>
                <w:color w:val="54585A"/>
              </w:rPr>
              <w:t>1,565,401</w:t>
            </w:r>
          </w:p>
        </w:tc>
        <w:tc>
          <w:tcPr>
            <w:tcW w:w="1440" w:type="dxa"/>
            <w:vAlign w:val="bottom"/>
          </w:tcPr>
          <w:p>
            <w:pPr>
              <w:jc w:val="right"/>
              <w:ind w:right="228"/>
              <w:spacing w:after="0"/>
              <w:rPr>
                <w:sz w:val="20"/>
                <w:szCs w:val="20"/>
                <w:color w:val="auto"/>
              </w:rPr>
            </w:pPr>
            <w:r>
              <w:rPr>
                <w:rFonts w:ascii="Arial" w:cs="Arial" w:eastAsia="Arial" w:hAnsi="Arial"/>
                <w:sz w:val="14"/>
                <w:szCs w:val="14"/>
                <w:color w:val="54585A"/>
              </w:rPr>
              <w:t>7,971</w:t>
            </w:r>
          </w:p>
        </w:tc>
        <w:tc>
          <w:tcPr>
            <w:tcW w:w="1180" w:type="dxa"/>
            <w:vAlign w:val="bottom"/>
          </w:tcPr>
          <w:p>
            <w:pPr>
              <w:jc w:val="right"/>
              <w:ind w:right="128"/>
              <w:spacing w:after="0"/>
              <w:rPr>
                <w:sz w:val="20"/>
                <w:szCs w:val="20"/>
                <w:color w:val="auto"/>
              </w:rPr>
            </w:pPr>
            <w:r>
              <w:rPr>
                <w:rFonts w:ascii="Arial" w:cs="Arial" w:eastAsia="Arial" w:hAnsi="Arial"/>
                <w:sz w:val="14"/>
                <w:szCs w:val="14"/>
                <w:color w:val="54585A"/>
              </w:rPr>
              <w:t>1,911,062</w:t>
            </w:r>
          </w:p>
        </w:tc>
        <w:tc>
          <w:tcPr>
            <w:tcW w:w="0" w:type="dxa"/>
            <w:vAlign w:val="bottom"/>
          </w:tcPr>
          <w:p>
            <w:pPr>
              <w:spacing w:after="0"/>
              <w:rPr>
                <w:sz w:val="1"/>
                <w:szCs w:val="1"/>
                <w:color w:val="auto"/>
              </w:rPr>
            </w:pPr>
          </w:p>
        </w:tc>
      </w:tr>
      <w:tr>
        <w:trPr>
          <w:trHeight w:val="116"/>
        </w:trPr>
        <w:tc>
          <w:tcPr>
            <w:tcW w:w="34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500" w:type="dxa"/>
            <w:vAlign w:val="bottom"/>
            <w:tcBorders>
              <w:bottom w:val="single" w:sz="8" w:color="54585A"/>
            </w:tcBorders>
          </w:tcPr>
          <w:p>
            <w:pPr>
              <w:spacing w:after="0"/>
              <w:rPr>
                <w:sz w:val="10"/>
                <w:szCs w:val="10"/>
                <w:color w:val="auto"/>
              </w:rPr>
            </w:pPr>
          </w:p>
        </w:tc>
        <w:tc>
          <w:tcPr>
            <w:tcW w:w="1280" w:type="dxa"/>
            <w:vAlign w:val="bottom"/>
            <w:tcBorders>
              <w:bottom w:val="single" w:sz="8" w:color="54585A"/>
            </w:tcBorders>
          </w:tcPr>
          <w:p>
            <w:pPr>
              <w:spacing w:after="0"/>
              <w:rPr>
                <w:sz w:val="10"/>
                <w:szCs w:val="10"/>
                <w:color w:val="auto"/>
              </w:rPr>
            </w:pPr>
          </w:p>
        </w:tc>
        <w:tc>
          <w:tcPr>
            <w:tcW w:w="126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8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346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4"/>
                <w:szCs w:val="14"/>
                <w:color w:val="54585A"/>
              </w:rPr>
              <w:t>2024</w:t>
            </w:r>
          </w:p>
        </w:tc>
        <w:tc>
          <w:tcPr>
            <w:tcW w:w="1500" w:type="dxa"/>
            <w:vAlign w:val="bottom"/>
          </w:tcPr>
          <w:p>
            <w:pPr>
              <w:jc w:val="right"/>
              <w:ind w:right="388"/>
              <w:spacing w:after="0"/>
              <w:rPr>
                <w:sz w:val="20"/>
                <w:szCs w:val="20"/>
                <w:color w:val="auto"/>
              </w:rPr>
            </w:pPr>
            <w:r>
              <w:rPr>
                <w:rFonts w:ascii="Arial" w:cs="Arial" w:eastAsia="Arial" w:hAnsi="Arial"/>
                <w:sz w:val="14"/>
                <w:szCs w:val="14"/>
                <w:color w:val="54585A"/>
              </w:rPr>
              <w:t>326,641</w:t>
            </w:r>
          </w:p>
        </w:tc>
        <w:tc>
          <w:tcPr>
            <w:tcW w:w="1280" w:type="dxa"/>
            <w:vAlign w:val="bottom"/>
          </w:tcPr>
          <w:p>
            <w:pPr>
              <w:jc w:val="right"/>
              <w:ind w:right="288"/>
              <w:spacing w:after="0"/>
              <w:rPr>
                <w:sz w:val="20"/>
                <w:szCs w:val="20"/>
                <w:color w:val="auto"/>
              </w:rPr>
            </w:pPr>
            <w:r>
              <w:rPr>
                <w:rFonts w:ascii="Arial" w:cs="Arial" w:eastAsia="Arial" w:hAnsi="Arial"/>
                <w:sz w:val="14"/>
                <w:szCs w:val="14"/>
                <w:color w:val="54585A"/>
              </w:rPr>
              <w:t>10,000</w:t>
            </w:r>
          </w:p>
        </w:tc>
        <w:tc>
          <w:tcPr>
            <w:tcW w:w="1260" w:type="dxa"/>
            <w:vAlign w:val="bottom"/>
          </w:tcPr>
          <w:p>
            <w:pPr>
              <w:jc w:val="right"/>
              <w:ind w:right="168"/>
              <w:spacing w:after="0"/>
              <w:rPr>
                <w:sz w:val="20"/>
                <w:szCs w:val="20"/>
                <w:color w:val="auto"/>
              </w:rPr>
            </w:pPr>
            <w:r>
              <w:rPr>
                <w:rFonts w:ascii="Arial" w:cs="Arial" w:eastAsia="Arial" w:hAnsi="Arial"/>
                <w:sz w:val="14"/>
                <w:szCs w:val="14"/>
                <w:color w:val="54585A"/>
              </w:rPr>
              <w:t>362,789</w:t>
            </w:r>
          </w:p>
        </w:tc>
        <w:tc>
          <w:tcPr>
            <w:tcW w:w="1440" w:type="dxa"/>
            <w:vAlign w:val="bottom"/>
          </w:tcPr>
          <w:p>
            <w:pPr>
              <w:jc w:val="right"/>
              <w:ind w:right="228"/>
              <w:spacing w:after="0"/>
              <w:rPr>
                <w:sz w:val="20"/>
                <w:szCs w:val="20"/>
                <w:color w:val="auto"/>
              </w:rPr>
            </w:pPr>
            <w:r>
              <w:rPr>
                <w:rFonts w:ascii="Arial" w:cs="Arial" w:eastAsia="Arial" w:hAnsi="Arial"/>
                <w:sz w:val="14"/>
                <w:szCs w:val="14"/>
                <w:color w:val="54585A"/>
              </w:rPr>
              <w:t>5,663</w:t>
            </w:r>
          </w:p>
        </w:tc>
        <w:tc>
          <w:tcPr>
            <w:tcW w:w="1180" w:type="dxa"/>
            <w:vAlign w:val="bottom"/>
          </w:tcPr>
          <w:p>
            <w:pPr>
              <w:jc w:val="right"/>
              <w:ind w:right="128"/>
              <w:spacing w:after="0"/>
              <w:rPr>
                <w:sz w:val="20"/>
                <w:szCs w:val="20"/>
                <w:color w:val="auto"/>
              </w:rPr>
            </w:pPr>
            <w:r>
              <w:rPr>
                <w:rFonts w:ascii="Arial" w:cs="Arial" w:eastAsia="Arial" w:hAnsi="Arial"/>
                <w:sz w:val="14"/>
                <w:szCs w:val="14"/>
                <w:color w:val="54585A"/>
              </w:rPr>
              <w:t>705,093</w:t>
            </w:r>
          </w:p>
        </w:tc>
        <w:tc>
          <w:tcPr>
            <w:tcW w:w="0" w:type="dxa"/>
            <w:vAlign w:val="bottom"/>
          </w:tcPr>
          <w:p>
            <w:pPr>
              <w:spacing w:after="0"/>
              <w:rPr>
                <w:sz w:val="1"/>
                <w:szCs w:val="1"/>
                <w:color w:val="auto"/>
              </w:rPr>
            </w:pPr>
          </w:p>
        </w:tc>
      </w:tr>
      <w:tr>
        <w:trPr>
          <w:trHeight w:val="116"/>
        </w:trPr>
        <w:tc>
          <w:tcPr>
            <w:tcW w:w="3460" w:type="dxa"/>
            <w:vAlign w:val="bottom"/>
            <w:vMerge w:val="restart"/>
          </w:tcPr>
          <w:p>
            <w:pPr>
              <w:ind w:left="100"/>
              <w:spacing w:after="0"/>
              <w:rPr>
                <w:sz w:val="20"/>
                <w:szCs w:val="20"/>
                <w:color w:val="auto"/>
              </w:rPr>
            </w:pPr>
            <w:r>
              <w:rPr>
                <w:rFonts w:ascii="Arial" w:cs="Arial" w:eastAsia="Arial" w:hAnsi="Arial"/>
                <w:sz w:val="14"/>
                <w:szCs w:val="14"/>
                <w:b w:val="1"/>
                <w:bCs w:val="1"/>
                <w:color w:val="EB6C10"/>
              </w:rPr>
              <w:t>L. Barbee Ponder IV</w:t>
            </w:r>
          </w:p>
        </w:tc>
        <w:tc>
          <w:tcPr>
            <w:tcW w:w="1120" w:type="dxa"/>
            <w:vAlign w:val="bottom"/>
            <w:tcBorders>
              <w:bottom w:val="single" w:sz="8" w:color="54585A"/>
            </w:tcBorders>
          </w:tcPr>
          <w:p>
            <w:pPr>
              <w:spacing w:after="0"/>
              <w:rPr>
                <w:sz w:val="10"/>
                <w:szCs w:val="10"/>
                <w:color w:val="auto"/>
              </w:rPr>
            </w:pPr>
          </w:p>
        </w:tc>
        <w:tc>
          <w:tcPr>
            <w:tcW w:w="1500" w:type="dxa"/>
            <w:vAlign w:val="bottom"/>
            <w:tcBorders>
              <w:bottom w:val="single" w:sz="8" w:color="54585A"/>
            </w:tcBorders>
          </w:tcPr>
          <w:p>
            <w:pPr>
              <w:spacing w:after="0"/>
              <w:rPr>
                <w:sz w:val="10"/>
                <w:szCs w:val="10"/>
                <w:color w:val="auto"/>
              </w:rPr>
            </w:pPr>
          </w:p>
        </w:tc>
        <w:tc>
          <w:tcPr>
            <w:tcW w:w="1280" w:type="dxa"/>
            <w:vAlign w:val="bottom"/>
            <w:tcBorders>
              <w:bottom w:val="single" w:sz="8" w:color="54585A"/>
            </w:tcBorders>
          </w:tcPr>
          <w:p>
            <w:pPr>
              <w:spacing w:after="0"/>
              <w:rPr>
                <w:sz w:val="10"/>
                <w:szCs w:val="10"/>
                <w:color w:val="auto"/>
              </w:rPr>
            </w:pPr>
          </w:p>
        </w:tc>
        <w:tc>
          <w:tcPr>
            <w:tcW w:w="126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8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60" w:type="dxa"/>
            <w:vAlign w:val="bottom"/>
            <w:vMerge w:val="continue"/>
          </w:tcPr>
          <w:p>
            <w:pPr>
              <w:spacing w:after="0"/>
              <w:rPr>
                <w:sz w:val="9"/>
                <w:szCs w:val="9"/>
                <w:color w:val="auto"/>
              </w:rPr>
            </w:pPr>
          </w:p>
        </w:tc>
        <w:tc>
          <w:tcPr>
            <w:tcW w:w="1120" w:type="dxa"/>
            <w:vAlign w:val="bottom"/>
            <w:vMerge w:val="restart"/>
          </w:tcPr>
          <w:p>
            <w:pPr>
              <w:ind w:left="260"/>
              <w:spacing w:after="0"/>
              <w:rPr>
                <w:sz w:val="20"/>
                <w:szCs w:val="20"/>
                <w:color w:val="auto"/>
              </w:rPr>
            </w:pPr>
            <w:r>
              <w:rPr>
                <w:rFonts w:ascii="Arial" w:cs="Arial" w:eastAsia="Arial" w:hAnsi="Arial"/>
                <w:sz w:val="14"/>
                <w:szCs w:val="14"/>
                <w:color w:val="54585A"/>
              </w:rPr>
              <w:t>2023</w:t>
            </w:r>
          </w:p>
        </w:tc>
        <w:tc>
          <w:tcPr>
            <w:tcW w:w="1500" w:type="dxa"/>
            <w:vAlign w:val="bottom"/>
            <w:vMerge w:val="restart"/>
          </w:tcPr>
          <w:p>
            <w:pPr>
              <w:jc w:val="right"/>
              <w:ind w:right="388"/>
              <w:spacing w:after="0"/>
              <w:rPr>
                <w:sz w:val="20"/>
                <w:szCs w:val="20"/>
                <w:color w:val="auto"/>
              </w:rPr>
            </w:pPr>
            <w:r>
              <w:rPr>
                <w:rFonts w:ascii="Arial" w:cs="Arial" w:eastAsia="Arial" w:hAnsi="Arial"/>
                <w:sz w:val="14"/>
                <w:szCs w:val="14"/>
                <w:color w:val="54585A"/>
              </w:rPr>
              <w:t>311,086</w:t>
            </w: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color w:val="54585A"/>
              </w:rPr>
              <w:t>—</w:t>
            </w:r>
          </w:p>
        </w:tc>
        <w:tc>
          <w:tcPr>
            <w:tcW w:w="1260" w:type="dxa"/>
            <w:vAlign w:val="bottom"/>
            <w:vMerge w:val="restart"/>
          </w:tcPr>
          <w:p>
            <w:pPr>
              <w:jc w:val="right"/>
              <w:ind w:right="168"/>
              <w:spacing w:after="0"/>
              <w:rPr>
                <w:sz w:val="20"/>
                <w:szCs w:val="20"/>
                <w:color w:val="auto"/>
              </w:rPr>
            </w:pPr>
            <w:r>
              <w:rPr>
                <w:rFonts w:ascii="Arial" w:cs="Arial" w:eastAsia="Arial" w:hAnsi="Arial"/>
                <w:sz w:val="14"/>
                <w:szCs w:val="14"/>
                <w:color w:val="54585A"/>
              </w:rPr>
              <w:t>369,200</w:t>
            </w:r>
          </w:p>
        </w:tc>
        <w:tc>
          <w:tcPr>
            <w:tcW w:w="1440" w:type="dxa"/>
            <w:vAlign w:val="bottom"/>
            <w:vMerge w:val="restart"/>
          </w:tcPr>
          <w:p>
            <w:pPr>
              <w:jc w:val="right"/>
              <w:ind w:right="228"/>
              <w:spacing w:after="0"/>
              <w:rPr>
                <w:sz w:val="20"/>
                <w:szCs w:val="20"/>
                <w:color w:val="auto"/>
              </w:rPr>
            </w:pPr>
            <w:r>
              <w:rPr>
                <w:rFonts w:ascii="Arial" w:cs="Arial" w:eastAsia="Arial" w:hAnsi="Arial"/>
                <w:sz w:val="14"/>
                <w:szCs w:val="14"/>
                <w:color w:val="54585A"/>
              </w:rPr>
              <w:t>54,414</w:t>
            </w: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54585A"/>
              </w:rPr>
              <w:t>734,700</w:t>
            </w:r>
          </w:p>
        </w:tc>
        <w:tc>
          <w:tcPr>
            <w:tcW w:w="0" w:type="dxa"/>
            <w:vAlign w:val="bottom"/>
          </w:tcPr>
          <w:p>
            <w:pPr>
              <w:spacing w:after="0"/>
              <w:rPr>
                <w:sz w:val="1"/>
                <w:szCs w:val="1"/>
                <w:color w:val="auto"/>
              </w:rPr>
            </w:pPr>
          </w:p>
        </w:tc>
      </w:tr>
      <w:tr>
        <w:trPr>
          <w:trHeight w:val="175"/>
        </w:trPr>
        <w:tc>
          <w:tcPr>
            <w:tcW w:w="3460" w:type="dxa"/>
            <w:vAlign w:val="bottom"/>
          </w:tcPr>
          <w:p>
            <w:pPr>
              <w:ind w:left="100"/>
              <w:spacing w:after="0"/>
              <w:rPr>
                <w:sz w:val="20"/>
                <w:szCs w:val="20"/>
                <w:color w:val="auto"/>
              </w:rPr>
            </w:pPr>
            <w:r>
              <w:rPr>
                <w:rFonts w:ascii="Arial" w:cs="Arial" w:eastAsia="Arial" w:hAnsi="Arial"/>
                <w:sz w:val="14"/>
                <w:szCs w:val="14"/>
                <w:i w:val="1"/>
                <w:iCs w:val="1"/>
                <w:color w:val="54585A"/>
              </w:rPr>
              <w:t>General Counsel and Vice President of Regulatory</w:t>
            </w:r>
          </w:p>
        </w:tc>
        <w:tc>
          <w:tcPr>
            <w:tcW w:w="11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460" w:type="dxa"/>
            <w:vAlign w:val="bottom"/>
          </w:tcPr>
          <w:p>
            <w:pPr>
              <w:ind w:left="100"/>
              <w:spacing w:after="0" w:line="123" w:lineRule="exact"/>
              <w:rPr>
                <w:sz w:val="20"/>
                <w:szCs w:val="20"/>
                <w:color w:val="auto"/>
              </w:rPr>
            </w:pPr>
            <w:r>
              <w:rPr>
                <w:rFonts w:ascii="Arial" w:cs="Arial" w:eastAsia="Arial" w:hAnsi="Arial"/>
                <w:sz w:val="14"/>
                <w:szCs w:val="14"/>
                <w:i w:val="1"/>
                <w:iCs w:val="1"/>
                <w:color w:val="54585A"/>
              </w:rPr>
              <w:t>Affairs</w:t>
            </w:r>
          </w:p>
        </w:tc>
        <w:tc>
          <w:tcPr>
            <w:tcW w:w="1120" w:type="dxa"/>
            <w:vAlign w:val="bottom"/>
            <w:tcBorders>
              <w:bottom w:val="single" w:sz="8" w:color="54585A"/>
            </w:tcBorders>
          </w:tcPr>
          <w:p>
            <w:pPr>
              <w:spacing w:after="0"/>
              <w:rPr>
                <w:sz w:val="11"/>
                <w:szCs w:val="11"/>
                <w:color w:val="auto"/>
              </w:rPr>
            </w:pPr>
          </w:p>
        </w:tc>
        <w:tc>
          <w:tcPr>
            <w:tcW w:w="1500" w:type="dxa"/>
            <w:vAlign w:val="bottom"/>
            <w:tcBorders>
              <w:bottom w:val="single" w:sz="8" w:color="54585A"/>
            </w:tcBorders>
          </w:tcPr>
          <w:p>
            <w:pPr>
              <w:spacing w:after="0"/>
              <w:rPr>
                <w:sz w:val="11"/>
                <w:szCs w:val="11"/>
                <w:color w:val="auto"/>
              </w:rPr>
            </w:pPr>
          </w:p>
        </w:tc>
        <w:tc>
          <w:tcPr>
            <w:tcW w:w="1280" w:type="dxa"/>
            <w:vAlign w:val="bottom"/>
            <w:tcBorders>
              <w:bottom w:val="single" w:sz="8" w:color="54585A"/>
            </w:tcBorders>
          </w:tcPr>
          <w:p>
            <w:pPr>
              <w:spacing w:after="0"/>
              <w:rPr>
                <w:sz w:val="11"/>
                <w:szCs w:val="11"/>
                <w:color w:val="auto"/>
              </w:rPr>
            </w:pPr>
          </w:p>
        </w:tc>
        <w:tc>
          <w:tcPr>
            <w:tcW w:w="1260" w:type="dxa"/>
            <w:vAlign w:val="bottom"/>
            <w:tcBorders>
              <w:bottom w:val="single" w:sz="8" w:color="54585A"/>
            </w:tcBorders>
          </w:tcPr>
          <w:p>
            <w:pPr>
              <w:spacing w:after="0"/>
              <w:rPr>
                <w:sz w:val="11"/>
                <w:szCs w:val="11"/>
                <w:color w:val="auto"/>
              </w:rPr>
            </w:pPr>
          </w:p>
        </w:tc>
        <w:tc>
          <w:tcPr>
            <w:tcW w:w="1440" w:type="dxa"/>
            <w:vAlign w:val="bottom"/>
            <w:tcBorders>
              <w:bottom w:val="single" w:sz="8" w:color="54585A"/>
            </w:tcBorders>
          </w:tcPr>
          <w:p>
            <w:pPr>
              <w:spacing w:after="0"/>
              <w:rPr>
                <w:sz w:val="11"/>
                <w:szCs w:val="11"/>
                <w:color w:val="auto"/>
              </w:rPr>
            </w:pPr>
          </w:p>
        </w:tc>
        <w:tc>
          <w:tcPr>
            <w:tcW w:w="1180" w:type="dxa"/>
            <w:vAlign w:val="bottom"/>
            <w:tcBorders>
              <w:bottom w:val="single" w:sz="8" w:color="54585A"/>
            </w:tcBorders>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3460" w:type="dxa"/>
            <w:vAlign w:val="bottom"/>
          </w:tcPr>
          <w:p>
            <w:pPr>
              <w:spacing w:after="0"/>
              <w:rPr>
                <w:sz w:val="24"/>
                <w:szCs w:val="24"/>
                <w:color w:val="auto"/>
              </w:rPr>
            </w:pPr>
          </w:p>
        </w:tc>
        <w:tc>
          <w:tcPr>
            <w:tcW w:w="1120" w:type="dxa"/>
            <w:vAlign w:val="bottom"/>
          </w:tcPr>
          <w:p>
            <w:pPr>
              <w:ind w:left="260"/>
              <w:spacing w:after="0"/>
              <w:rPr>
                <w:sz w:val="20"/>
                <w:szCs w:val="20"/>
                <w:color w:val="auto"/>
              </w:rPr>
            </w:pPr>
            <w:r>
              <w:rPr>
                <w:rFonts w:ascii="Arial" w:cs="Arial" w:eastAsia="Arial" w:hAnsi="Arial"/>
                <w:sz w:val="14"/>
                <w:szCs w:val="14"/>
                <w:color w:val="54585A"/>
              </w:rPr>
              <w:t>2022</w:t>
            </w:r>
          </w:p>
        </w:tc>
        <w:tc>
          <w:tcPr>
            <w:tcW w:w="1500" w:type="dxa"/>
            <w:vAlign w:val="bottom"/>
          </w:tcPr>
          <w:p>
            <w:pPr>
              <w:jc w:val="right"/>
              <w:ind w:right="388"/>
              <w:spacing w:after="0"/>
              <w:rPr>
                <w:sz w:val="20"/>
                <w:szCs w:val="20"/>
                <w:color w:val="auto"/>
              </w:rPr>
            </w:pPr>
            <w:r>
              <w:rPr>
                <w:rFonts w:ascii="Arial" w:cs="Arial" w:eastAsia="Arial" w:hAnsi="Arial"/>
                <w:sz w:val="14"/>
                <w:szCs w:val="14"/>
                <w:color w:val="54585A"/>
              </w:rPr>
              <w:t>342,481</w:t>
            </w:r>
          </w:p>
        </w:tc>
        <w:tc>
          <w:tcPr>
            <w:tcW w:w="1280" w:type="dxa"/>
            <w:vAlign w:val="bottom"/>
          </w:tcPr>
          <w:p>
            <w:pPr>
              <w:jc w:val="right"/>
              <w:ind w:right="288"/>
              <w:spacing w:after="0"/>
              <w:rPr>
                <w:sz w:val="20"/>
                <w:szCs w:val="20"/>
                <w:color w:val="auto"/>
              </w:rPr>
            </w:pPr>
            <w:r>
              <w:rPr>
                <w:rFonts w:ascii="Arial" w:cs="Arial" w:eastAsia="Arial" w:hAnsi="Arial"/>
                <w:sz w:val="14"/>
                <w:szCs w:val="14"/>
                <w:color w:val="54585A"/>
              </w:rPr>
              <w:t>7,000</w:t>
            </w:r>
          </w:p>
        </w:tc>
        <w:tc>
          <w:tcPr>
            <w:tcW w:w="1260" w:type="dxa"/>
            <w:vAlign w:val="bottom"/>
          </w:tcPr>
          <w:p>
            <w:pPr>
              <w:jc w:val="right"/>
              <w:ind w:right="168"/>
              <w:spacing w:after="0"/>
              <w:rPr>
                <w:sz w:val="20"/>
                <w:szCs w:val="20"/>
                <w:color w:val="auto"/>
              </w:rPr>
            </w:pPr>
            <w:r>
              <w:rPr>
                <w:rFonts w:ascii="Arial" w:cs="Arial" w:eastAsia="Arial" w:hAnsi="Arial"/>
                <w:sz w:val="14"/>
                <w:szCs w:val="14"/>
                <w:color w:val="54585A"/>
              </w:rPr>
              <w:t>1,264,400</w:t>
            </w:r>
          </w:p>
        </w:tc>
        <w:tc>
          <w:tcPr>
            <w:tcW w:w="1440" w:type="dxa"/>
            <w:vAlign w:val="bottom"/>
          </w:tcPr>
          <w:p>
            <w:pPr>
              <w:jc w:val="right"/>
              <w:ind w:right="228"/>
              <w:spacing w:after="0"/>
              <w:rPr>
                <w:sz w:val="20"/>
                <w:szCs w:val="20"/>
                <w:color w:val="auto"/>
              </w:rPr>
            </w:pPr>
            <w:r>
              <w:rPr>
                <w:rFonts w:ascii="Arial" w:cs="Arial" w:eastAsia="Arial" w:hAnsi="Arial"/>
                <w:sz w:val="14"/>
                <w:szCs w:val="14"/>
                <w:color w:val="54585A"/>
              </w:rPr>
              <w:t>4,133</w:t>
            </w:r>
          </w:p>
        </w:tc>
        <w:tc>
          <w:tcPr>
            <w:tcW w:w="1180" w:type="dxa"/>
            <w:vAlign w:val="bottom"/>
          </w:tcPr>
          <w:p>
            <w:pPr>
              <w:jc w:val="right"/>
              <w:ind w:right="128"/>
              <w:spacing w:after="0"/>
              <w:rPr>
                <w:sz w:val="20"/>
                <w:szCs w:val="20"/>
                <w:color w:val="auto"/>
              </w:rPr>
            </w:pPr>
            <w:r>
              <w:rPr>
                <w:rFonts w:ascii="Arial" w:cs="Arial" w:eastAsia="Arial" w:hAnsi="Arial"/>
                <w:sz w:val="14"/>
                <w:szCs w:val="14"/>
                <w:color w:val="54585A"/>
              </w:rPr>
              <w:t>1,618,014</w:t>
            </w:r>
          </w:p>
        </w:tc>
        <w:tc>
          <w:tcPr>
            <w:tcW w:w="0" w:type="dxa"/>
            <w:vAlign w:val="bottom"/>
          </w:tcPr>
          <w:p>
            <w:pPr>
              <w:spacing w:after="0"/>
              <w:rPr>
                <w:sz w:val="1"/>
                <w:szCs w:val="1"/>
                <w:color w:val="auto"/>
              </w:rPr>
            </w:pPr>
          </w:p>
        </w:tc>
      </w:tr>
      <w:tr>
        <w:trPr>
          <w:trHeight w:val="116"/>
        </w:trPr>
        <w:tc>
          <w:tcPr>
            <w:tcW w:w="3460" w:type="dxa"/>
            <w:vAlign w:val="bottom"/>
            <w:tcBorders>
              <w:bottom w:val="single" w:sz="8" w:color="54585A"/>
            </w:tcBorders>
          </w:tcPr>
          <w:p>
            <w:pPr>
              <w:spacing w:after="0"/>
              <w:rPr>
                <w:sz w:val="10"/>
                <w:szCs w:val="10"/>
                <w:color w:val="auto"/>
              </w:rPr>
            </w:pPr>
          </w:p>
        </w:tc>
        <w:tc>
          <w:tcPr>
            <w:tcW w:w="1120" w:type="dxa"/>
            <w:vAlign w:val="bottom"/>
            <w:tcBorders>
              <w:bottom w:val="single" w:sz="8" w:color="54585A"/>
            </w:tcBorders>
          </w:tcPr>
          <w:p>
            <w:pPr>
              <w:spacing w:after="0"/>
              <w:rPr>
                <w:sz w:val="10"/>
                <w:szCs w:val="10"/>
                <w:color w:val="auto"/>
              </w:rPr>
            </w:pPr>
          </w:p>
        </w:tc>
        <w:tc>
          <w:tcPr>
            <w:tcW w:w="1500" w:type="dxa"/>
            <w:vAlign w:val="bottom"/>
            <w:tcBorders>
              <w:bottom w:val="single" w:sz="8" w:color="54585A"/>
            </w:tcBorders>
          </w:tcPr>
          <w:p>
            <w:pPr>
              <w:spacing w:after="0"/>
              <w:rPr>
                <w:sz w:val="10"/>
                <w:szCs w:val="10"/>
                <w:color w:val="auto"/>
              </w:rPr>
            </w:pPr>
          </w:p>
        </w:tc>
        <w:tc>
          <w:tcPr>
            <w:tcW w:w="1280" w:type="dxa"/>
            <w:vAlign w:val="bottom"/>
            <w:tcBorders>
              <w:bottom w:val="single" w:sz="8" w:color="54585A"/>
            </w:tcBorders>
          </w:tcPr>
          <w:p>
            <w:pPr>
              <w:spacing w:after="0"/>
              <w:rPr>
                <w:sz w:val="10"/>
                <w:szCs w:val="10"/>
                <w:color w:val="auto"/>
              </w:rPr>
            </w:pPr>
          </w:p>
        </w:tc>
        <w:tc>
          <w:tcPr>
            <w:tcW w:w="1260" w:type="dxa"/>
            <w:vAlign w:val="bottom"/>
            <w:tcBorders>
              <w:bottom w:val="single" w:sz="8" w:color="54585A"/>
            </w:tcBorders>
          </w:tcPr>
          <w:p>
            <w:pPr>
              <w:spacing w:after="0"/>
              <w:rPr>
                <w:sz w:val="10"/>
                <w:szCs w:val="10"/>
                <w:color w:val="auto"/>
              </w:rPr>
            </w:pPr>
          </w:p>
        </w:tc>
        <w:tc>
          <w:tcPr>
            <w:tcW w:w="1440" w:type="dxa"/>
            <w:vAlign w:val="bottom"/>
            <w:tcBorders>
              <w:bottom w:val="single" w:sz="8" w:color="54585A"/>
            </w:tcBorders>
          </w:tcPr>
          <w:p>
            <w:pPr>
              <w:spacing w:after="0"/>
              <w:rPr>
                <w:sz w:val="10"/>
                <w:szCs w:val="10"/>
                <w:color w:val="auto"/>
              </w:rPr>
            </w:pPr>
          </w:p>
        </w:tc>
        <w:tc>
          <w:tcPr>
            <w:tcW w:w="118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 w:hanging="332"/>
        <w:spacing w:after="0" w:line="269" w:lineRule="auto"/>
        <w:tabs>
          <w:tab w:leader="none" w:pos="338" w:val="left"/>
        </w:tabs>
        <w:numPr>
          <w:ilvl w:val="0"/>
          <w:numId w:val="54"/>
        </w:numPr>
        <w:rPr>
          <w:rFonts w:ascii="Arial" w:cs="Arial" w:eastAsia="Arial" w:hAnsi="Arial"/>
          <w:sz w:val="14"/>
          <w:szCs w:val="14"/>
          <w:color w:val="54585A"/>
        </w:rPr>
      </w:pPr>
      <w:r>
        <w:rPr>
          <w:rFonts w:ascii="Arial" w:cs="Arial" w:eastAsia="Arial" w:hAnsi="Arial"/>
          <w:sz w:val="14"/>
          <w:szCs w:val="14"/>
          <w:color w:val="54585A"/>
        </w:rPr>
        <w:t>Represents the aggregate grant date fair value computed consistent with FASB ASC Topic 718. The fair value of performance-based vesting conditions reflects the fair value of the award at the grant date based on the probable outcome of the performance condition. For further discussion of our accounting policies for stock-based compensation and assumptions used in calculating the grant date fair value of stock-based compensation awards, see Note 15 to the Consolidated Financial Statements in our 2024 Annual Report on Form 10-K. The actual amount of compensation realized, if any, for option awards may differ from the amounts presented in the table.</w:t>
      </w:r>
    </w:p>
    <w:p>
      <w:pPr>
        <w:spacing w:after="0" w:line="74" w:lineRule="exact"/>
        <w:rPr>
          <w:rFonts w:ascii="Arial" w:cs="Arial" w:eastAsia="Arial" w:hAnsi="Arial"/>
          <w:sz w:val="14"/>
          <w:szCs w:val="14"/>
          <w:color w:val="54585A"/>
        </w:rPr>
      </w:pPr>
    </w:p>
    <w:p>
      <w:pPr>
        <w:ind w:left="340" w:right="320"/>
        <w:spacing w:after="0" w:line="305" w:lineRule="auto"/>
        <w:rPr>
          <w:rFonts w:ascii="Arial" w:cs="Arial" w:eastAsia="Arial" w:hAnsi="Arial"/>
          <w:sz w:val="14"/>
          <w:szCs w:val="14"/>
          <w:color w:val="54585A"/>
        </w:rPr>
      </w:pPr>
      <w:r>
        <w:rPr>
          <w:rFonts w:ascii="Arial" w:cs="Arial" w:eastAsia="Arial" w:hAnsi="Arial"/>
          <w:sz w:val="14"/>
          <w:szCs w:val="14"/>
          <w:color w:val="54585A"/>
        </w:rPr>
        <w:t>Each NEO, excluding Mr. Monroe, earned a bonus related to the 2024 financial performance of Globalstar. As disclosed in the Compensation, Discussion and Analysis section above, these bonuses were paid in the form of Globalstar stock in March 2025 and are included in the Stock Awards columns above.</w:t>
      </w:r>
    </w:p>
    <w:p>
      <w:pPr>
        <w:spacing w:after="0" w:line="49" w:lineRule="exact"/>
        <w:rPr>
          <w:rFonts w:ascii="Arial" w:cs="Arial" w:eastAsia="Arial" w:hAnsi="Arial"/>
          <w:sz w:val="14"/>
          <w:szCs w:val="14"/>
          <w:color w:val="54585A"/>
        </w:rPr>
      </w:pPr>
    </w:p>
    <w:p>
      <w:pPr>
        <w:ind w:left="340" w:hanging="332"/>
        <w:spacing w:after="0"/>
        <w:tabs>
          <w:tab w:leader="none" w:pos="340" w:val="left"/>
        </w:tabs>
        <w:numPr>
          <w:ilvl w:val="0"/>
          <w:numId w:val="54"/>
        </w:numPr>
        <w:rPr>
          <w:rFonts w:ascii="Arial" w:cs="Arial" w:eastAsia="Arial" w:hAnsi="Arial"/>
          <w:sz w:val="14"/>
          <w:szCs w:val="14"/>
          <w:color w:val="54585A"/>
        </w:rPr>
      </w:pPr>
      <w:r>
        <w:rPr>
          <w:rFonts w:ascii="Arial" w:cs="Arial" w:eastAsia="Arial" w:hAnsi="Arial"/>
          <w:sz w:val="14"/>
          <w:szCs w:val="14"/>
          <w:color w:val="54585A"/>
        </w:rPr>
        <w:t>Consists of matching contributions to 401(k) Plan and life insurance premiums.</w:t>
      </w:r>
    </w:p>
    <w:p>
      <w:pPr>
        <w:spacing w:after="0" w:line="109" w:lineRule="exact"/>
        <w:rPr>
          <w:rFonts w:ascii="Arial" w:cs="Arial" w:eastAsia="Arial" w:hAnsi="Arial"/>
          <w:sz w:val="14"/>
          <w:szCs w:val="14"/>
          <w:color w:val="54585A"/>
        </w:rPr>
      </w:pPr>
    </w:p>
    <w:p>
      <w:pPr>
        <w:ind w:left="340" w:hanging="332"/>
        <w:spacing w:after="0"/>
        <w:tabs>
          <w:tab w:leader="none" w:pos="340" w:val="left"/>
        </w:tabs>
        <w:numPr>
          <w:ilvl w:val="0"/>
          <w:numId w:val="54"/>
        </w:numPr>
        <w:rPr>
          <w:rFonts w:ascii="Arial" w:cs="Arial" w:eastAsia="Arial" w:hAnsi="Arial"/>
          <w:sz w:val="14"/>
          <w:szCs w:val="14"/>
          <w:color w:val="54585A"/>
        </w:rPr>
      </w:pPr>
      <w:r>
        <w:rPr>
          <w:rFonts w:ascii="Arial" w:cs="Arial" w:eastAsia="Arial" w:hAnsi="Arial"/>
          <w:sz w:val="14"/>
          <w:szCs w:val="14"/>
          <w:color w:val="54585A"/>
        </w:rPr>
        <w:t>Dr. Jacobs joined the Company as its Chief Executive Officer in August 2023. Accordingly, no compensation is reported for him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332105</wp:posOffset>
            </wp:positionV>
            <wp:extent cx="257175" cy="2571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100" w:hanging="92"/>
        <w:spacing w:after="0"/>
        <w:tabs>
          <w:tab w:leader="none" w:pos="100" w:val="left"/>
        </w:tabs>
        <w:numPr>
          <w:ilvl w:val="0"/>
          <w:numId w:val="55"/>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color w:val="54585A"/>
        </w:rPr>
        <w:t>Equity Compensation</w:t>
      </w:r>
    </w:p>
    <w:p>
      <w:pPr>
        <w:spacing w:after="0" w:line="225" w:lineRule="exact"/>
        <w:rPr>
          <w:sz w:val="20"/>
          <w:szCs w:val="20"/>
          <w:color w:val="auto"/>
        </w:rPr>
      </w:pPr>
    </w:p>
    <w:p>
      <w:pPr>
        <w:ind w:right="80"/>
        <w:spacing w:after="0" w:line="335" w:lineRule="auto"/>
        <w:rPr>
          <w:sz w:val="20"/>
          <w:szCs w:val="20"/>
          <w:color w:val="auto"/>
        </w:rPr>
      </w:pPr>
      <w:r>
        <w:rPr>
          <w:rFonts w:ascii="Arial" w:cs="Arial" w:eastAsia="Arial" w:hAnsi="Arial"/>
          <w:sz w:val="16"/>
          <w:szCs w:val="16"/>
          <w:color w:val="54585A"/>
        </w:rPr>
        <w:t>The following table sets forth certain information with respect to each equity award and award opportunity issued to the NEOs during 2024 as compensation for services as an executive. All equity awards are granted pursuant to our 2006 Equity Incentive Plan. See “Compensation, Discussion and Analysis - Elements of Compensation” for an explanation of the terms of these awards. In connection with his service as an executive officer of the Company, Mr. Monroe did not receive equity awards during 2024 and is not included in the table below, although the equity awards he received in connection with his service as a director are reflected in the Director Compensation table above. In addition, Dr. Jacobs received certain equity awards in connection with his service as a director, which are also reflected in the Director Compensation table. None of the NEOs had grants of non-equity incentive plan awards.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2024 Grants of Plan-Based Awards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60" w:type="dxa"/>
            <w:vAlign w:val="bottom"/>
            <w:shd w:val="clear" w:color="auto" w:fill="EEEDED"/>
          </w:tcPr>
          <w:p>
            <w:pPr>
              <w:spacing w:after="0"/>
              <w:rPr>
                <w:sz w:val="16"/>
                <w:szCs w:val="16"/>
                <w:color w:val="auto"/>
              </w:rPr>
            </w:pPr>
          </w:p>
        </w:tc>
        <w:tc>
          <w:tcPr>
            <w:tcW w:w="1100" w:type="dxa"/>
            <w:vAlign w:val="bottom"/>
            <w:shd w:val="clear" w:color="auto" w:fill="EEEDED"/>
          </w:tcPr>
          <w:p>
            <w:pPr>
              <w:spacing w:after="0"/>
              <w:rPr>
                <w:sz w:val="16"/>
                <w:szCs w:val="16"/>
                <w:color w:val="auto"/>
              </w:rPr>
            </w:pPr>
          </w:p>
        </w:tc>
        <w:tc>
          <w:tcPr>
            <w:tcW w:w="162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All Other Stock</w:t>
            </w:r>
          </w:p>
        </w:tc>
        <w:tc>
          <w:tcPr>
            <w:tcW w:w="1560" w:type="dxa"/>
            <w:vAlign w:val="bottom"/>
            <w:shd w:val="clear" w:color="auto" w:fill="EEEDED"/>
          </w:tcPr>
          <w:p>
            <w:pPr>
              <w:spacing w:after="0"/>
              <w:rPr>
                <w:sz w:val="16"/>
                <w:szCs w:val="16"/>
                <w:color w:val="auto"/>
              </w:rPr>
            </w:pPr>
          </w:p>
        </w:tc>
        <w:tc>
          <w:tcPr>
            <w:tcW w:w="400" w:type="dxa"/>
            <w:vAlign w:val="bottom"/>
            <w:shd w:val="clear" w:color="auto" w:fill="EEEDED"/>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560" w:type="dxa"/>
            <w:vAlign w:val="bottom"/>
            <w:shd w:val="clear" w:color="auto" w:fill="EEEDED"/>
          </w:tcPr>
          <w:p>
            <w:pPr>
              <w:spacing w:after="0"/>
              <w:rPr>
                <w:sz w:val="15"/>
                <w:szCs w:val="15"/>
                <w:color w:val="auto"/>
              </w:rPr>
            </w:pPr>
          </w:p>
        </w:tc>
        <w:tc>
          <w:tcPr>
            <w:tcW w:w="1100" w:type="dxa"/>
            <w:vAlign w:val="bottom"/>
            <w:shd w:val="clear" w:color="auto" w:fill="EEEDED"/>
          </w:tcPr>
          <w:p>
            <w:pPr>
              <w:spacing w:after="0"/>
              <w:rPr>
                <w:sz w:val="15"/>
                <w:szCs w:val="15"/>
                <w:color w:val="auto"/>
              </w:rPr>
            </w:pPr>
          </w:p>
        </w:tc>
        <w:tc>
          <w:tcPr>
            <w:tcW w:w="162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Awards: Number of</w:t>
            </w:r>
          </w:p>
        </w:tc>
        <w:tc>
          <w:tcPr>
            <w:tcW w:w="15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Grant Date Fair Value</w:t>
            </w:r>
          </w:p>
        </w:tc>
        <w:tc>
          <w:tcPr>
            <w:tcW w:w="40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60" w:type="dxa"/>
            <w:vAlign w:val="bottom"/>
            <w:shd w:val="clear" w:color="auto" w:fill="EEEDED"/>
          </w:tcPr>
          <w:p>
            <w:pPr>
              <w:spacing w:after="0"/>
              <w:rPr>
                <w:sz w:val="15"/>
                <w:szCs w:val="15"/>
                <w:color w:val="auto"/>
              </w:rPr>
            </w:pPr>
          </w:p>
        </w:tc>
        <w:tc>
          <w:tcPr>
            <w:tcW w:w="1100" w:type="dxa"/>
            <w:vAlign w:val="bottom"/>
            <w:vMerge w:val="restart"/>
            <w:shd w:val="clear" w:color="auto" w:fill="EEEDED"/>
          </w:tcPr>
          <w:p>
            <w:pPr>
              <w:jc w:val="center"/>
              <w:spacing w:after="0"/>
              <w:rPr>
                <w:sz w:val="20"/>
                <w:szCs w:val="20"/>
                <w:color w:val="auto"/>
              </w:rPr>
            </w:pPr>
            <w:r>
              <w:rPr>
                <w:rFonts w:ascii="Arial" w:cs="Arial" w:eastAsia="Arial" w:hAnsi="Arial"/>
                <w:sz w:val="14"/>
                <w:szCs w:val="14"/>
                <w:b w:val="1"/>
                <w:bCs w:val="1"/>
                <w:color w:val="54585A"/>
              </w:rPr>
              <w:t>Grant</w:t>
            </w:r>
          </w:p>
        </w:tc>
        <w:tc>
          <w:tcPr>
            <w:tcW w:w="162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Shares of Stock Or</w:t>
            </w:r>
          </w:p>
        </w:tc>
        <w:tc>
          <w:tcPr>
            <w:tcW w:w="15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of Stock and Option</w:t>
            </w:r>
          </w:p>
        </w:tc>
        <w:tc>
          <w:tcPr>
            <w:tcW w:w="40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60" w:type="dxa"/>
            <w:vAlign w:val="bottom"/>
            <w:shd w:val="clear" w:color="auto" w:fill="EEEDED"/>
          </w:tcPr>
          <w:p>
            <w:pPr>
              <w:spacing w:after="0"/>
              <w:rPr>
                <w:sz w:val="14"/>
                <w:szCs w:val="14"/>
                <w:color w:val="auto"/>
              </w:rPr>
            </w:pPr>
          </w:p>
        </w:tc>
        <w:tc>
          <w:tcPr>
            <w:tcW w:w="1100" w:type="dxa"/>
            <w:vAlign w:val="bottom"/>
            <w:vMerge w:val="continue"/>
            <w:shd w:val="clear" w:color="auto" w:fill="EEEDED"/>
          </w:tcPr>
          <w:p>
            <w:pPr>
              <w:spacing w:after="0"/>
              <w:rPr>
                <w:sz w:val="14"/>
                <w:szCs w:val="14"/>
                <w:color w:val="auto"/>
              </w:rPr>
            </w:pPr>
          </w:p>
        </w:tc>
        <w:tc>
          <w:tcPr>
            <w:tcW w:w="162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Units</w:t>
            </w:r>
          </w:p>
        </w:tc>
        <w:tc>
          <w:tcPr>
            <w:tcW w:w="15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Awards</w:t>
            </w:r>
          </w:p>
        </w:tc>
        <w:tc>
          <w:tcPr>
            <w:tcW w:w="400" w:type="dxa"/>
            <w:vAlign w:val="bottom"/>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Name</w:t>
            </w:r>
          </w:p>
        </w:tc>
        <w:tc>
          <w:tcPr>
            <w:tcW w:w="1100" w:type="dxa"/>
            <w:vAlign w:val="bottom"/>
            <w:shd w:val="clear" w:color="auto" w:fill="EEEDED"/>
          </w:tcPr>
          <w:p>
            <w:pPr>
              <w:jc w:val="center"/>
              <w:spacing w:after="0"/>
              <w:rPr>
                <w:sz w:val="20"/>
                <w:szCs w:val="20"/>
                <w:color w:val="auto"/>
              </w:rPr>
            </w:pPr>
            <w:r>
              <w:rPr>
                <w:rFonts w:ascii="Arial" w:cs="Arial" w:eastAsia="Arial" w:hAnsi="Arial"/>
                <w:sz w:val="14"/>
                <w:szCs w:val="14"/>
                <w:b w:val="1"/>
                <w:bCs w:val="1"/>
                <w:color w:val="54585A"/>
              </w:rPr>
              <w:t>Date</w:t>
            </w:r>
          </w:p>
        </w:tc>
        <w:tc>
          <w:tcPr>
            <w:tcW w:w="162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w:t>
            </w:r>
          </w:p>
        </w:tc>
        <w:tc>
          <w:tcPr>
            <w:tcW w:w="15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400" w:type="dxa"/>
            <w:vAlign w:val="bottom"/>
            <w:shd w:val="clear" w:color="auto" w:fill="EEEDED"/>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6560" w:type="dxa"/>
            <w:vAlign w:val="bottom"/>
            <w:shd w:val="clear" w:color="auto" w:fill="EEEDED"/>
          </w:tcPr>
          <w:p>
            <w:pPr>
              <w:spacing w:after="0"/>
              <w:rPr>
                <w:sz w:val="8"/>
                <w:szCs w:val="8"/>
                <w:color w:val="auto"/>
              </w:rPr>
            </w:pPr>
          </w:p>
        </w:tc>
        <w:tc>
          <w:tcPr>
            <w:tcW w:w="1100" w:type="dxa"/>
            <w:vAlign w:val="bottom"/>
            <w:shd w:val="clear" w:color="auto" w:fill="EEEDED"/>
          </w:tcPr>
          <w:p>
            <w:pPr>
              <w:spacing w:after="0"/>
              <w:rPr>
                <w:sz w:val="8"/>
                <w:szCs w:val="8"/>
                <w:color w:val="auto"/>
              </w:rPr>
            </w:pPr>
          </w:p>
        </w:tc>
        <w:tc>
          <w:tcPr>
            <w:tcW w:w="1620" w:type="dxa"/>
            <w:vAlign w:val="bottom"/>
            <w:shd w:val="clear" w:color="auto" w:fill="EEEDED"/>
          </w:tcPr>
          <w:p>
            <w:pPr>
              <w:spacing w:after="0"/>
              <w:rPr>
                <w:sz w:val="8"/>
                <w:szCs w:val="8"/>
                <w:color w:val="auto"/>
              </w:rPr>
            </w:pPr>
          </w:p>
        </w:tc>
        <w:tc>
          <w:tcPr>
            <w:tcW w:w="1560" w:type="dxa"/>
            <w:vAlign w:val="bottom"/>
            <w:shd w:val="clear" w:color="auto" w:fill="EEEDED"/>
          </w:tcPr>
          <w:p>
            <w:pPr>
              <w:spacing w:after="0"/>
              <w:rPr>
                <w:sz w:val="8"/>
                <w:szCs w:val="8"/>
                <w:color w:val="auto"/>
              </w:rPr>
            </w:pPr>
          </w:p>
        </w:tc>
        <w:tc>
          <w:tcPr>
            <w:tcW w:w="400" w:type="dxa"/>
            <w:vAlign w:val="bottom"/>
            <w:shd w:val="clear" w:color="auto" w:fill="EEEDED"/>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56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Dr. Paul E. Jacobs</w:t>
            </w:r>
          </w:p>
        </w:tc>
        <w:tc>
          <w:tcPr>
            <w:tcW w:w="110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3/5/2024</w:t>
            </w:r>
          </w:p>
        </w:tc>
        <w:tc>
          <w:tcPr>
            <w:tcW w:w="1620" w:type="dxa"/>
            <w:vAlign w:val="bottom"/>
            <w:tcBorders>
              <w:bottom w:val="single" w:sz="8" w:color="54585A"/>
            </w:tcBorders>
          </w:tcPr>
          <w:p>
            <w:pPr>
              <w:jc w:val="right"/>
              <w:ind w:right="68"/>
              <w:spacing w:after="0"/>
              <w:rPr>
                <w:sz w:val="20"/>
                <w:szCs w:val="20"/>
                <w:color w:val="auto"/>
              </w:rPr>
            </w:pPr>
            <w:r>
              <w:rPr>
                <w:rFonts w:ascii="Arial" w:cs="Arial" w:eastAsia="Arial" w:hAnsi="Arial"/>
                <w:sz w:val="14"/>
                <w:szCs w:val="14"/>
                <w:color w:val="54585A"/>
              </w:rPr>
              <w:t>8,521</w:t>
            </w:r>
          </w:p>
        </w:tc>
        <w:tc>
          <w:tcPr>
            <w:tcW w:w="1560" w:type="dxa"/>
            <w:vAlign w:val="bottom"/>
            <w:tcBorders>
              <w:bottom w:val="single" w:sz="8" w:color="54585A"/>
            </w:tcBorders>
          </w:tcPr>
          <w:p>
            <w:pPr>
              <w:jc w:val="right"/>
              <w:ind w:right="8"/>
              <w:spacing w:after="0"/>
              <w:rPr>
                <w:sz w:val="20"/>
                <w:szCs w:val="20"/>
                <w:color w:val="auto"/>
              </w:rPr>
            </w:pPr>
            <w:r>
              <w:rPr>
                <w:rFonts w:ascii="Arial" w:cs="Arial" w:eastAsia="Arial" w:hAnsi="Arial"/>
                <w:sz w:val="14"/>
                <w:szCs w:val="14"/>
                <w:color w:val="54585A"/>
              </w:rPr>
              <w:t>170,000</w:t>
            </w:r>
          </w:p>
        </w:tc>
        <w:tc>
          <w:tcPr>
            <w:tcW w:w="400" w:type="dxa"/>
            <w:vAlign w:val="bottom"/>
            <w:tcBorders>
              <w:bottom w:val="single" w:sz="8" w:color="54585A"/>
            </w:tcBorders>
          </w:tcPr>
          <w:p>
            <w:pPr>
              <w:jc w:val="right"/>
              <w:ind w:right="148"/>
              <w:spacing w:after="0"/>
              <w:rPr>
                <w:sz w:val="20"/>
                <w:szCs w:val="20"/>
                <w:color w:val="auto"/>
              </w:rPr>
            </w:pPr>
            <w:r>
              <w:rPr>
                <w:rFonts w:ascii="Arial" w:cs="Arial" w:eastAsia="Arial" w:hAnsi="Arial"/>
                <w:sz w:val="14"/>
                <w:szCs w:val="14"/>
                <w:color w:val="54585A"/>
                <w:w w:val="93"/>
              </w:rPr>
              <w:t>(1)</w:t>
            </w:r>
          </w:p>
        </w:tc>
        <w:tc>
          <w:tcPr>
            <w:tcW w:w="0" w:type="dxa"/>
            <w:vAlign w:val="bottom"/>
          </w:tcPr>
          <w:p>
            <w:pPr>
              <w:spacing w:after="0"/>
              <w:rPr>
                <w:sz w:val="1"/>
                <w:szCs w:val="1"/>
                <w:color w:val="auto"/>
              </w:rPr>
            </w:pPr>
          </w:p>
        </w:tc>
      </w:tr>
      <w:tr>
        <w:trPr>
          <w:trHeight w:val="302"/>
        </w:trPr>
        <w:tc>
          <w:tcPr>
            <w:tcW w:w="65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54585A"/>
              </w:rPr>
              <w:t>3/5/2024</w:t>
            </w:r>
          </w:p>
        </w:tc>
        <w:tc>
          <w:tcPr>
            <w:tcW w:w="1620" w:type="dxa"/>
            <w:vAlign w:val="bottom"/>
          </w:tcPr>
          <w:p>
            <w:pPr>
              <w:jc w:val="right"/>
              <w:ind w:right="8"/>
              <w:spacing w:after="0"/>
              <w:rPr>
                <w:sz w:val="20"/>
                <w:szCs w:val="20"/>
                <w:color w:val="auto"/>
              </w:rPr>
            </w:pPr>
            <w:r>
              <w:rPr>
                <w:rFonts w:ascii="Arial" w:cs="Arial" w:eastAsia="Arial" w:hAnsi="Arial"/>
                <w:sz w:val="14"/>
                <w:szCs w:val="14"/>
                <w:color w:val="54585A"/>
              </w:rPr>
              <w:t>7,268</w:t>
            </w:r>
          </w:p>
        </w:tc>
        <w:tc>
          <w:tcPr>
            <w:tcW w:w="1560" w:type="dxa"/>
            <w:vAlign w:val="bottom"/>
          </w:tcPr>
          <w:p>
            <w:pPr>
              <w:jc w:val="right"/>
              <w:ind w:right="8"/>
              <w:spacing w:after="0"/>
              <w:rPr>
                <w:sz w:val="20"/>
                <w:szCs w:val="20"/>
                <w:color w:val="auto"/>
              </w:rPr>
            </w:pPr>
            <w:r>
              <w:rPr>
                <w:rFonts w:ascii="Arial" w:cs="Arial" w:eastAsia="Arial" w:hAnsi="Arial"/>
                <w:sz w:val="14"/>
                <w:szCs w:val="14"/>
                <w:color w:val="54585A"/>
              </w:rPr>
              <w:t>145,000</w:t>
            </w:r>
          </w:p>
        </w:tc>
        <w:tc>
          <w:tcPr>
            <w:tcW w:w="400" w:type="dxa"/>
            <w:vAlign w:val="bottom"/>
          </w:tcPr>
          <w:p>
            <w:pPr>
              <w:jc w:val="right"/>
              <w:ind w:right="148"/>
              <w:spacing w:after="0"/>
              <w:rPr>
                <w:sz w:val="20"/>
                <w:szCs w:val="20"/>
                <w:color w:val="auto"/>
              </w:rPr>
            </w:pPr>
            <w:r>
              <w:rPr>
                <w:rFonts w:ascii="Arial" w:cs="Arial" w:eastAsia="Arial" w:hAnsi="Arial"/>
                <w:sz w:val="14"/>
                <w:szCs w:val="14"/>
                <w:color w:val="54585A"/>
                <w:w w:val="93"/>
              </w:rPr>
              <w:t>(1)</w:t>
            </w:r>
          </w:p>
        </w:tc>
        <w:tc>
          <w:tcPr>
            <w:tcW w:w="0" w:type="dxa"/>
            <w:vAlign w:val="bottom"/>
          </w:tcPr>
          <w:p>
            <w:pPr>
              <w:spacing w:after="0"/>
              <w:rPr>
                <w:sz w:val="1"/>
                <w:szCs w:val="1"/>
                <w:color w:val="auto"/>
              </w:rPr>
            </w:pPr>
          </w:p>
        </w:tc>
      </w:tr>
      <w:tr>
        <w:trPr>
          <w:trHeight w:val="116"/>
        </w:trPr>
        <w:tc>
          <w:tcPr>
            <w:tcW w:w="6560" w:type="dxa"/>
            <w:vAlign w:val="bottom"/>
            <w:vMerge w:val="restart"/>
          </w:tcPr>
          <w:p>
            <w:pPr>
              <w:ind w:left="100"/>
              <w:spacing w:after="0"/>
              <w:rPr>
                <w:sz w:val="20"/>
                <w:szCs w:val="20"/>
                <w:color w:val="auto"/>
              </w:rPr>
            </w:pPr>
            <w:r>
              <w:rPr>
                <w:rFonts w:ascii="Arial" w:cs="Arial" w:eastAsia="Arial" w:hAnsi="Arial"/>
                <w:sz w:val="14"/>
                <w:szCs w:val="14"/>
                <w:b w:val="1"/>
                <w:bCs w:val="1"/>
                <w:color w:val="EB6C10"/>
              </w:rPr>
              <w:t>Rebecca S. Clary</w:t>
            </w:r>
          </w:p>
        </w:tc>
        <w:tc>
          <w:tcPr>
            <w:tcW w:w="1100" w:type="dxa"/>
            <w:vAlign w:val="bottom"/>
            <w:tcBorders>
              <w:bottom w:val="single" w:sz="8" w:color="54585A"/>
            </w:tcBorders>
          </w:tcPr>
          <w:p>
            <w:pPr>
              <w:spacing w:after="0"/>
              <w:rPr>
                <w:sz w:val="10"/>
                <w:szCs w:val="10"/>
                <w:color w:val="auto"/>
              </w:rPr>
            </w:pPr>
          </w:p>
        </w:tc>
        <w:tc>
          <w:tcPr>
            <w:tcW w:w="1620" w:type="dxa"/>
            <w:vAlign w:val="bottom"/>
            <w:tcBorders>
              <w:bottom w:val="single" w:sz="8" w:color="54585A"/>
            </w:tcBorders>
          </w:tcPr>
          <w:p>
            <w:pPr>
              <w:spacing w:after="0"/>
              <w:rPr>
                <w:sz w:val="10"/>
                <w:szCs w:val="10"/>
                <w:color w:val="auto"/>
              </w:rPr>
            </w:pPr>
          </w:p>
        </w:tc>
        <w:tc>
          <w:tcPr>
            <w:tcW w:w="1560" w:type="dxa"/>
            <w:vAlign w:val="bottom"/>
            <w:tcBorders>
              <w:bottom w:val="single" w:sz="8" w:color="54585A"/>
            </w:tcBorders>
          </w:tcPr>
          <w:p>
            <w:pPr>
              <w:spacing w:after="0"/>
              <w:rPr>
                <w:sz w:val="10"/>
                <w:szCs w:val="10"/>
                <w:color w:val="auto"/>
              </w:rPr>
            </w:pPr>
          </w:p>
        </w:tc>
        <w:tc>
          <w:tcPr>
            <w:tcW w:w="40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6560" w:type="dxa"/>
            <w:vAlign w:val="bottom"/>
            <w:vMerge w:val="continue"/>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54585A"/>
              </w:rPr>
              <w:t>12/27/2024</w:t>
            </w:r>
          </w:p>
        </w:tc>
        <w:tc>
          <w:tcPr>
            <w:tcW w:w="1620" w:type="dxa"/>
            <w:vAlign w:val="bottom"/>
            <w:vMerge w:val="restart"/>
          </w:tcPr>
          <w:p>
            <w:pPr>
              <w:jc w:val="right"/>
              <w:ind w:right="8"/>
              <w:spacing w:after="0"/>
              <w:rPr>
                <w:sz w:val="20"/>
                <w:szCs w:val="20"/>
                <w:color w:val="auto"/>
              </w:rPr>
            </w:pPr>
            <w:r>
              <w:rPr>
                <w:rFonts w:ascii="Arial" w:cs="Arial" w:eastAsia="Arial" w:hAnsi="Arial"/>
                <w:sz w:val="14"/>
                <w:szCs w:val="14"/>
                <w:color w:val="54585A"/>
              </w:rPr>
              <w:t>5,426</w:t>
            </w:r>
          </w:p>
        </w:tc>
        <w:tc>
          <w:tcPr>
            <w:tcW w:w="1560" w:type="dxa"/>
            <w:vAlign w:val="bottom"/>
            <w:vMerge w:val="restart"/>
          </w:tcPr>
          <w:p>
            <w:pPr>
              <w:jc w:val="right"/>
              <w:ind w:right="8"/>
              <w:spacing w:after="0"/>
              <w:rPr>
                <w:sz w:val="20"/>
                <w:szCs w:val="20"/>
                <w:color w:val="auto"/>
              </w:rPr>
            </w:pPr>
            <w:r>
              <w:rPr>
                <w:rFonts w:ascii="Arial" w:cs="Arial" w:eastAsia="Arial" w:hAnsi="Arial"/>
                <w:sz w:val="14"/>
                <w:szCs w:val="14"/>
                <w:color w:val="54585A"/>
              </w:rPr>
              <w:t>175,000</w:t>
            </w:r>
          </w:p>
        </w:tc>
        <w:tc>
          <w:tcPr>
            <w:tcW w:w="400" w:type="dxa"/>
            <w:vAlign w:val="bottom"/>
            <w:vMerge w:val="restart"/>
          </w:tcPr>
          <w:p>
            <w:pPr>
              <w:jc w:val="right"/>
              <w:ind w:right="148"/>
              <w:spacing w:after="0"/>
              <w:rPr>
                <w:sz w:val="20"/>
                <w:szCs w:val="20"/>
                <w:color w:val="auto"/>
              </w:rPr>
            </w:pPr>
            <w:r>
              <w:rPr>
                <w:rFonts w:ascii="Arial" w:cs="Arial" w:eastAsia="Arial" w:hAnsi="Arial"/>
                <w:sz w:val="14"/>
                <w:szCs w:val="14"/>
                <w:color w:val="54585A"/>
                <w:w w:val="93"/>
              </w:rPr>
              <w:t>(2)</w:t>
            </w: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62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6560" w:type="dxa"/>
            <w:vAlign w:val="bottom"/>
            <w:tcBorders>
              <w:bottom w:val="single" w:sz="8" w:color="54585A"/>
            </w:tcBorders>
          </w:tcPr>
          <w:p>
            <w:pPr>
              <w:spacing w:after="0"/>
              <w:rPr>
                <w:sz w:val="10"/>
                <w:szCs w:val="10"/>
                <w:color w:val="auto"/>
              </w:rPr>
            </w:pPr>
          </w:p>
        </w:tc>
        <w:tc>
          <w:tcPr>
            <w:tcW w:w="1100" w:type="dxa"/>
            <w:vAlign w:val="bottom"/>
            <w:tcBorders>
              <w:bottom w:val="single" w:sz="8" w:color="54585A"/>
            </w:tcBorders>
          </w:tcPr>
          <w:p>
            <w:pPr>
              <w:spacing w:after="0"/>
              <w:rPr>
                <w:sz w:val="10"/>
                <w:szCs w:val="10"/>
                <w:color w:val="auto"/>
              </w:rPr>
            </w:pPr>
          </w:p>
        </w:tc>
        <w:tc>
          <w:tcPr>
            <w:tcW w:w="1620" w:type="dxa"/>
            <w:vAlign w:val="bottom"/>
            <w:tcBorders>
              <w:bottom w:val="single" w:sz="8" w:color="54585A"/>
            </w:tcBorders>
          </w:tcPr>
          <w:p>
            <w:pPr>
              <w:spacing w:after="0"/>
              <w:rPr>
                <w:sz w:val="10"/>
                <w:szCs w:val="10"/>
                <w:color w:val="auto"/>
              </w:rPr>
            </w:pPr>
          </w:p>
        </w:tc>
        <w:tc>
          <w:tcPr>
            <w:tcW w:w="1560" w:type="dxa"/>
            <w:vAlign w:val="bottom"/>
            <w:tcBorders>
              <w:bottom w:val="single" w:sz="8" w:color="54585A"/>
            </w:tcBorders>
          </w:tcPr>
          <w:p>
            <w:pPr>
              <w:spacing w:after="0"/>
              <w:rPr>
                <w:sz w:val="10"/>
                <w:szCs w:val="10"/>
                <w:color w:val="auto"/>
              </w:rPr>
            </w:pPr>
          </w:p>
        </w:tc>
        <w:tc>
          <w:tcPr>
            <w:tcW w:w="40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296"/>
        </w:trPr>
        <w:tc>
          <w:tcPr>
            <w:tcW w:w="65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54585A"/>
              </w:rPr>
              <w:t>3/5/2024</w:t>
            </w:r>
          </w:p>
        </w:tc>
        <w:tc>
          <w:tcPr>
            <w:tcW w:w="1620" w:type="dxa"/>
            <w:vAlign w:val="bottom"/>
          </w:tcPr>
          <w:p>
            <w:pPr>
              <w:jc w:val="right"/>
              <w:ind w:right="8"/>
              <w:spacing w:after="0"/>
              <w:rPr>
                <w:sz w:val="20"/>
                <w:szCs w:val="20"/>
                <w:color w:val="auto"/>
              </w:rPr>
            </w:pPr>
            <w:r>
              <w:rPr>
                <w:rFonts w:ascii="Arial" w:cs="Arial" w:eastAsia="Arial" w:hAnsi="Arial"/>
                <w:sz w:val="14"/>
                <w:szCs w:val="14"/>
                <w:color w:val="54585A"/>
              </w:rPr>
              <w:t>5,012</w:t>
            </w:r>
          </w:p>
        </w:tc>
        <w:tc>
          <w:tcPr>
            <w:tcW w:w="1560" w:type="dxa"/>
            <w:vAlign w:val="bottom"/>
          </w:tcPr>
          <w:p>
            <w:pPr>
              <w:jc w:val="right"/>
              <w:ind w:right="8"/>
              <w:spacing w:after="0"/>
              <w:rPr>
                <w:sz w:val="20"/>
                <w:szCs w:val="20"/>
                <w:color w:val="auto"/>
              </w:rPr>
            </w:pPr>
            <w:r>
              <w:rPr>
                <w:rFonts w:ascii="Arial" w:cs="Arial" w:eastAsia="Arial" w:hAnsi="Arial"/>
                <w:sz w:val="14"/>
                <w:szCs w:val="14"/>
                <w:color w:val="54585A"/>
              </w:rPr>
              <w:t>100,000</w:t>
            </w:r>
          </w:p>
        </w:tc>
        <w:tc>
          <w:tcPr>
            <w:tcW w:w="400" w:type="dxa"/>
            <w:vAlign w:val="bottom"/>
          </w:tcPr>
          <w:p>
            <w:pPr>
              <w:jc w:val="right"/>
              <w:ind w:right="148"/>
              <w:spacing w:after="0"/>
              <w:rPr>
                <w:sz w:val="20"/>
                <w:szCs w:val="20"/>
                <w:color w:val="auto"/>
              </w:rPr>
            </w:pPr>
            <w:r>
              <w:rPr>
                <w:rFonts w:ascii="Arial" w:cs="Arial" w:eastAsia="Arial" w:hAnsi="Arial"/>
                <w:sz w:val="14"/>
                <w:szCs w:val="14"/>
                <w:color w:val="54585A"/>
                <w:w w:val="93"/>
              </w:rPr>
              <w:t>(1)</w:t>
            </w:r>
          </w:p>
        </w:tc>
        <w:tc>
          <w:tcPr>
            <w:tcW w:w="0" w:type="dxa"/>
            <w:vAlign w:val="bottom"/>
          </w:tcPr>
          <w:p>
            <w:pPr>
              <w:spacing w:after="0"/>
              <w:rPr>
                <w:sz w:val="1"/>
                <w:szCs w:val="1"/>
                <w:color w:val="auto"/>
              </w:rPr>
            </w:pPr>
          </w:p>
        </w:tc>
      </w:tr>
      <w:tr>
        <w:trPr>
          <w:trHeight w:val="116"/>
        </w:trPr>
        <w:tc>
          <w:tcPr>
            <w:tcW w:w="6560" w:type="dxa"/>
            <w:vAlign w:val="bottom"/>
          </w:tcPr>
          <w:p>
            <w:pPr>
              <w:spacing w:after="0"/>
              <w:rPr>
                <w:sz w:val="10"/>
                <w:szCs w:val="10"/>
                <w:color w:val="auto"/>
              </w:rPr>
            </w:pPr>
          </w:p>
        </w:tc>
        <w:tc>
          <w:tcPr>
            <w:tcW w:w="1100" w:type="dxa"/>
            <w:vAlign w:val="bottom"/>
            <w:tcBorders>
              <w:bottom w:val="single" w:sz="8" w:color="54585A"/>
            </w:tcBorders>
          </w:tcPr>
          <w:p>
            <w:pPr>
              <w:spacing w:after="0"/>
              <w:rPr>
                <w:sz w:val="10"/>
                <w:szCs w:val="10"/>
                <w:color w:val="auto"/>
              </w:rPr>
            </w:pPr>
          </w:p>
        </w:tc>
        <w:tc>
          <w:tcPr>
            <w:tcW w:w="1620" w:type="dxa"/>
            <w:vAlign w:val="bottom"/>
            <w:tcBorders>
              <w:bottom w:val="single" w:sz="8" w:color="54585A"/>
            </w:tcBorders>
          </w:tcPr>
          <w:p>
            <w:pPr>
              <w:spacing w:after="0"/>
              <w:rPr>
                <w:sz w:val="10"/>
                <w:szCs w:val="10"/>
                <w:color w:val="auto"/>
              </w:rPr>
            </w:pPr>
          </w:p>
        </w:tc>
        <w:tc>
          <w:tcPr>
            <w:tcW w:w="1560" w:type="dxa"/>
            <w:vAlign w:val="bottom"/>
            <w:tcBorders>
              <w:bottom w:val="single" w:sz="8" w:color="54585A"/>
            </w:tcBorders>
          </w:tcPr>
          <w:p>
            <w:pPr>
              <w:spacing w:after="0"/>
              <w:rPr>
                <w:sz w:val="10"/>
                <w:szCs w:val="10"/>
                <w:color w:val="auto"/>
              </w:rPr>
            </w:pPr>
          </w:p>
        </w:tc>
        <w:tc>
          <w:tcPr>
            <w:tcW w:w="40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6560" w:type="dxa"/>
            <w:vAlign w:val="bottom"/>
          </w:tcPr>
          <w:p>
            <w:pPr>
              <w:ind w:left="100"/>
              <w:spacing w:after="0"/>
              <w:rPr>
                <w:sz w:val="20"/>
                <w:szCs w:val="20"/>
                <w:color w:val="auto"/>
              </w:rPr>
            </w:pPr>
            <w:r>
              <w:rPr>
                <w:rFonts w:ascii="Arial" w:cs="Arial" w:eastAsia="Arial" w:hAnsi="Arial"/>
                <w:sz w:val="14"/>
                <w:szCs w:val="14"/>
                <w:b w:val="1"/>
                <w:bCs w:val="1"/>
                <w:color w:val="EB6C10"/>
              </w:rPr>
              <w:t>L. Barbee Ponder IV</w:t>
            </w:r>
          </w:p>
        </w:tc>
        <w:tc>
          <w:tcPr>
            <w:tcW w:w="1100" w:type="dxa"/>
            <w:vAlign w:val="bottom"/>
          </w:tcPr>
          <w:p>
            <w:pPr>
              <w:jc w:val="center"/>
              <w:spacing w:after="0"/>
              <w:rPr>
                <w:sz w:val="20"/>
                <w:szCs w:val="20"/>
                <w:color w:val="auto"/>
              </w:rPr>
            </w:pPr>
            <w:r>
              <w:rPr>
                <w:rFonts w:ascii="Arial" w:cs="Arial" w:eastAsia="Arial" w:hAnsi="Arial"/>
                <w:sz w:val="14"/>
                <w:szCs w:val="14"/>
                <w:color w:val="54585A"/>
              </w:rPr>
              <w:t>12/6/2024</w:t>
            </w:r>
          </w:p>
        </w:tc>
        <w:tc>
          <w:tcPr>
            <w:tcW w:w="1620" w:type="dxa"/>
            <w:vAlign w:val="bottom"/>
          </w:tcPr>
          <w:p>
            <w:pPr>
              <w:jc w:val="right"/>
              <w:ind w:right="8"/>
              <w:spacing w:after="0"/>
              <w:rPr>
                <w:sz w:val="20"/>
                <w:szCs w:val="20"/>
                <w:color w:val="auto"/>
              </w:rPr>
            </w:pPr>
            <w:r>
              <w:rPr>
                <w:rFonts w:ascii="Arial" w:cs="Arial" w:eastAsia="Arial" w:hAnsi="Arial"/>
                <w:sz w:val="14"/>
                <w:szCs w:val="14"/>
                <w:color w:val="54585A"/>
              </w:rPr>
              <w:t>5,333</w:t>
            </w:r>
          </w:p>
        </w:tc>
        <w:tc>
          <w:tcPr>
            <w:tcW w:w="1560" w:type="dxa"/>
            <w:vAlign w:val="bottom"/>
          </w:tcPr>
          <w:p>
            <w:pPr>
              <w:jc w:val="right"/>
              <w:ind w:right="8"/>
              <w:spacing w:after="0"/>
              <w:rPr>
                <w:sz w:val="20"/>
                <w:szCs w:val="20"/>
                <w:color w:val="auto"/>
              </w:rPr>
            </w:pPr>
            <w:r>
              <w:rPr>
                <w:rFonts w:ascii="Arial" w:cs="Arial" w:eastAsia="Arial" w:hAnsi="Arial"/>
                <w:sz w:val="14"/>
                <w:szCs w:val="14"/>
                <w:color w:val="54585A"/>
              </w:rPr>
              <w:t>176,789</w:t>
            </w:r>
          </w:p>
        </w:tc>
        <w:tc>
          <w:tcPr>
            <w:tcW w:w="400" w:type="dxa"/>
            <w:vAlign w:val="bottom"/>
          </w:tcPr>
          <w:p>
            <w:pPr>
              <w:jc w:val="right"/>
              <w:ind w:right="148"/>
              <w:spacing w:after="0"/>
              <w:rPr>
                <w:sz w:val="20"/>
                <w:szCs w:val="20"/>
                <w:color w:val="auto"/>
              </w:rPr>
            </w:pPr>
            <w:r>
              <w:rPr>
                <w:rFonts w:ascii="Arial" w:cs="Arial" w:eastAsia="Arial" w:hAnsi="Arial"/>
                <w:sz w:val="14"/>
                <w:szCs w:val="14"/>
                <w:color w:val="54585A"/>
                <w:w w:val="93"/>
              </w:rPr>
              <w:t>(3)</w:t>
            </w:r>
          </w:p>
        </w:tc>
        <w:tc>
          <w:tcPr>
            <w:tcW w:w="0" w:type="dxa"/>
            <w:vAlign w:val="bottom"/>
          </w:tcPr>
          <w:p>
            <w:pPr>
              <w:spacing w:after="0"/>
              <w:rPr>
                <w:sz w:val="1"/>
                <w:szCs w:val="1"/>
                <w:color w:val="auto"/>
              </w:rPr>
            </w:pPr>
          </w:p>
        </w:tc>
      </w:tr>
      <w:tr>
        <w:trPr>
          <w:trHeight w:val="110"/>
        </w:trPr>
        <w:tc>
          <w:tcPr>
            <w:tcW w:w="6560" w:type="dxa"/>
            <w:vAlign w:val="bottom"/>
          </w:tcPr>
          <w:p>
            <w:pPr>
              <w:spacing w:after="0"/>
              <w:rPr>
                <w:sz w:val="9"/>
                <w:szCs w:val="9"/>
                <w:color w:val="auto"/>
              </w:rPr>
            </w:pPr>
          </w:p>
        </w:tc>
        <w:tc>
          <w:tcPr>
            <w:tcW w:w="1100" w:type="dxa"/>
            <w:vAlign w:val="bottom"/>
            <w:tcBorders>
              <w:bottom w:val="single" w:sz="8" w:color="54585A"/>
            </w:tcBorders>
          </w:tcPr>
          <w:p>
            <w:pPr>
              <w:spacing w:after="0"/>
              <w:rPr>
                <w:sz w:val="9"/>
                <w:szCs w:val="9"/>
                <w:color w:val="auto"/>
              </w:rPr>
            </w:pPr>
          </w:p>
        </w:tc>
        <w:tc>
          <w:tcPr>
            <w:tcW w:w="1620" w:type="dxa"/>
            <w:vAlign w:val="bottom"/>
            <w:tcBorders>
              <w:bottom w:val="single" w:sz="8" w:color="54585A"/>
            </w:tcBorders>
          </w:tcPr>
          <w:p>
            <w:pPr>
              <w:spacing w:after="0"/>
              <w:rPr>
                <w:sz w:val="9"/>
                <w:szCs w:val="9"/>
                <w:color w:val="auto"/>
              </w:rPr>
            </w:pPr>
          </w:p>
        </w:tc>
        <w:tc>
          <w:tcPr>
            <w:tcW w:w="1560" w:type="dxa"/>
            <w:vAlign w:val="bottom"/>
            <w:tcBorders>
              <w:bottom w:val="single" w:sz="8" w:color="54585A"/>
            </w:tcBorders>
          </w:tcPr>
          <w:p>
            <w:pPr>
              <w:spacing w:after="0"/>
              <w:rPr>
                <w:sz w:val="9"/>
                <w:szCs w:val="9"/>
                <w:color w:val="auto"/>
              </w:rPr>
            </w:pPr>
          </w:p>
        </w:tc>
        <w:tc>
          <w:tcPr>
            <w:tcW w:w="400" w:type="dxa"/>
            <w:vAlign w:val="bottom"/>
            <w:tcBorders>
              <w:bottom w:val="single" w:sz="8" w:color="54585A"/>
            </w:tcBorders>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656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54585A"/>
              </w:rPr>
              <w:t>12/27/2024</w:t>
            </w:r>
          </w:p>
        </w:tc>
        <w:tc>
          <w:tcPr>
            <w:tcW w:w="1620" w:type="dxa"/>
            <w:vAlign w:val="bottom"/>
          </w:tcPr>
          <w:p>
            <w:pPr>
              <w:jc w:val="right"/>
              <w:ind w:right="8"/>
              <w:spacing w:after="0"/>
              <w:rPr>
                <w:sz w:val="20"/>
                <w:szCs w:val="20"/>
                <w:color w:val="auto"/>
              </w:rPr>
            </w:pPr>
            <w:r>
              <w:rPr>
                <w:rFonts w:ascii="Arial" w:cs="Arial" w:eastAsia="Arial" w:hAnsi="Arial"/>
                <w:sz w:val="14"/>
                <w:szCs w:val="14"/>
                <w:color w:val="54585A"/>
              </w:rPr>
              <w:t>5,426</w:t>
            </w:r>
          </w:p>
        </w:tc>
        <w:tc>
          <w:tcPr>
            <w:tcW w:w="1560" w:type="dxa"/>
            <w:vAlign w:val="bottom"/>
          </w:tcPr>
          <w:p>
            <w:pPr>
              <w:jc w:val="right"/>
              <w:ind w:right="8"/>
              <w:spacing w:after="0"/>
              <w:rPr>
                <w:sz w:val="20"/>
                <w:szCs w:val="20"/>
                <w:color w:val="auto"/>
              </w:rPr>
            </w:pPr>
            <w:r>
              <w:rPr>
                <w:rFonts w:ascii="Arial" w:cs="Arial" w:eastAsia="Arial" w:hAnsi="Arial"/>
                <w:sz w:val="14"/>
                <w:szCs w:val="14"/>
                <w:color w:val="54585A"/>
              </w:rPr>
              <w:t>175,000</w:t>
            </w:r>
          </w:p>
        </w:tc>
        <w:tc>
          <w:tcPr>
            <w:tcW w:w="400" w:type="dxa"/>
            <w:vAlign w:val="bottom"/>
          </w:tcPr>
          <w:p>
            <w:pPr>
              <w:jc w:val="right"/>
              <w:ind w:right="148"/>
              <w:spacing w:after="0"/>
              <w:rPr>
                <w:sz w:val="20"/>
                <w:szCs w:val="20"/>
                <w:color w:val="auto"/>
              </w:rPr>
            </w:pPr>
            <w:r>
              <w:rPr>
                <w:rFonts w:ascii="Arial" w:cs="Arial" w:eastAsia="Arial" w:hAnsi="Arial"/>
                <w:sz w:val="14"/>
                <w:szCs w:val="14"/>
                <w:color w:val="54585A"/>
                <w:w w:val="93"/>
              </w:rPr>
              <w:t>(2)</w:t>
            </w:r>
          </w:p>
        </w:tc>
        <w:tc>
          <w:tcPr>
            <w:tcW w:w="0" w:type="dxa"/>
            <w:vAlign w:val="bottom"/>
          </w:tcPr>
          <w:p>
            <w:pPr>
              <w:spacing w:after="0"/>
              <w:rPr>
                <w:sz w:val="1"/>
                <w:szCs w:val="1"/>
                <w:color w:val="auto"/>
              </w:rPr>
            </w:pPr>
          </w:p>
        </w:tc>
      </w:tr>
      <w:tr>
        <w:trPr>
          <w:trHeight w:val="116"/>
        </w:trPr>
        <w:tc>
          <w:tcPr>
            <w:tcW w:w="6560" w:type="dxa"/>
            <w:vAlign w:val="bottom"/>
            <w:tcBorders>
              <w:bottom w:val="single" w:sz="8" w:color="54585A"/>
            </w:tcBorders>
          </w:tcPr>
          <w:p>
            <w:pPr>
              <w:spacing w:after="0"/>
              <w:rPr>
                <w:sz w:val="10"/>
                <w:szCs w:val="10"/>
                <w:color w:val="auto"/>
              </w:rPr>
            </w:pPr>
          </w:p>
        </w:tc>
        <w:tc>
          <w:tcPr>
            <w:tcW w:w="1100" w:type="dxa"/>
            <w:vAlign w:val="bottom"/>
            <w:tcBorders>
              <w:bottom w:val="single" w:sz="8" w:color="54585A"/>
            </w:tcBorders>
          </w:tcPr>
          <w:p>
            <w:pPr>
              <w:spacing w:after="0"/>
              <w:rPr>
                <w:sz w:val="10"/>
                <w:szCs w:val="10"/>
                <w:color w:val="auto"/>
              </w:rPr>
            </w:pPr>
          </w:p>
        </w:tc>
        <w:tc>
          <w:tcPr>
            <w:tcW w:w="1620" w:type="dxa"/>
            <w:vAlign w:val="bottom"/>
            <w:tcBorders>
              <w:bottom w:val="single" w:sz="8" w:color="54585A"/>
            </w:tcBorders>
          </w:tcPr>
          <w:p>
            <w:pPr>
              <w:spacing w:after="0"/>
              <w:rPr>
                <w:sz w:val="10"/>
                <w:szCs w:val="10"/>
                <w:color w:val="auto"/>
              </w:rPr>
            </w:pPr>
          </w:p>
        </w:tc>
        <w:tc>
          <w:tcPr>
            <w:tcW w:w="1560" w:type="dxa"/>
            <w:vAlign w:val="bottom"/>
            <w:tcBorders>
              <w:bottom w:val="single" w:sz="8" w:color="54585A"/>
            </w:tcBorders>
          </w:tcPr>
          <w:p>
            <w:pPr>
              <w:spacing w:after="0"/>
              <w:rPr>
                <w:sz w:val="10"/>
                <w:szCs w:val="10"/>
                <w:color w:val="auto"/>
              </w:rPr>
            </w:pPr>
          </w:p>
        </w:tc>
        <w:tc>
          <w:tcPr>
            <w:tcW w:w="400" w:type="dxa"/>
            <w:vAlign w:val="bottom"/>
            <w:tcBorders>
              <w:bottom w:val="single" w:sz="8" w:color="54585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right="320" w:hanging="332"/>
        <w:spacing w:after="0" w:line="305" w:lineRule="auto"/>
        <w:tabs>
          <w:tab w:leader="none" w:pos="338" w:val="left"/>
        </w:tabs>
        <w:numPr>
          <w:ilvl w:val="0"/>
          <w:numId w:val="56"/>
        </w:numPr>
        <w:rPr>
          <w:rFonts w:ascii="Arial" w:cs="Arial" w:eastAsia="Arial" w:hAnsi="Arial"/>
          <w:sz w:val="14"/>
          <w:szCs w:val="14"/>
          <w:color w:val="54585A"/>
        </w:rPr>
      </w:pPr>
      <w:r>
        <w:rPr>
          <w:rFonts w:ascii="Arial" w:cs="Arial" w:eastAsia="Arial" w:hAnsi="Arial"/>
          <w:sz w:val="14"/>
          <w:szCs w:val="14"/>
          <w:color w:val="54585A"/>
        </w:rPr>
        <w:t>The Company's stock price on the date of the grant was $19.95. Represents bonus payments earned related to 2023 performance and granted in the form of restricted stock awards in March 2024. These awards vested immediately.</w:t>
      </w:r>
    </w:p>
    <w:p>
      <w:pPr>
        <w:spacing w:after="0" w:line="36" w:lineRule="exact"/>
        <w:rPr>
          <w:rFonts w:ascii="Arial" w:cs="Arial" w:eastAsia="Arial" w:hAnsi="Arial"/>
          <w:sz w:val="14"/>
          <w:szCs w:val="14"/>
          <w:color w:val="54585A"/>
        </w:rPr>
      </w:pPr>
    </w:p>
    <w:p>
      <w:pPr>
        <w:ind w:left="340" w:right="160" w:hanging="332"/>
        <w:spacing w:after="0" w:line="293" w:lineRule="auto"/>
        <w:tabs>
          <w:tab w:leader="none" w:pos="338" w:val="left"/>
        </w:tabs>
        <w:numPr>
          <w:ilvl w:val="0"/>
          <w:numId w:val="56"/>
        </w:numPr>
        <w:rPr>
          <w:rFonts w:ascii="Arial" w:cs="Arial" w:eastAsia="Arial" w:hAnsi="Arial"/>
          <w:sz w:val="14"/>
          <w:szCs w:val="14"/>
          <w:color w:val="54585A"/>
        </w:rPr>
      </w:pPr>
      <w:r>
        <w:rPr>
          <w:rFonts w:ascii="Arial" w:cs="Arial" w:eastAsia="Arial" w:hAnsi="Arial"/>
          <w:sz w:val="14"/>
          <w:szCs w:val="14"/>
          <w:color w:val="54585A"/>
        </w:rPr>
        <w:t>Represents restricted stock award granted pursuant to our 2006 Equity Incentive Plan. The Company's stock price on the date of the grant was $32.25. Awards vest one-half in December 2025 and one-half in December 2026</w:t>
      </w:r>
      <w:r>
        <w:rPr>
          <w:rFonts w:ascii="Times New Roman" w:cs="Times New Roman" w:eastAsia="Times New Roman" w:hAnsi="Times New Roman"/>
          <w:sz w:val="17"/>
          <w:szCs w:val="17"/>
          <w:color w:val="FF0090"/>
        </w:rPr>
        <w:t>.</w:t>
      </w:r>
    </w:p>
    <w:p>
      <w:pPr>
        <w:spacing w:after="0" w:line="63" w:lineRule="exact"/>
        <w:rPr>
          <w:rFonts w:ascii="Arial" w:cs="Arial" w:eastAsia="Arial" w:hAnsi="Arial"/>
          <w:sz w:val="14"/>
          <w:szCs w:val="14"/>
          <w:color w:val="54585A"/>
        </w:rPr>
      </w:pPr>
    </w:p>
    <w:p>
      <w:pPr>
        <w:ind w:left="340" w:right="40" w:hanging="332"/>
        <w:spacing w:after="0" w:line="305" w:lineRule="auto"/>
        <w:tabs>
          <w:tab w:leader="none" w:pos="338" w:val="left"/>
        </w:tabs>
        <w:numPr>
          <w:ilvl w:val="0"/>
          <w:numId w:val="56"/>
        </w:numPr>
        <w:rPr>
          <w:rFonts w:ascii="Arial" w:cs="Arial" w:eastAsia="Arial" w:hAnsi="Arial"/>
          <w:sz w:val="14"/>
          <w:szCs w:val="14"/>
          <w:color w:val="54585A"/>
        </w:rPr>
      </w:pPr>
      <w:r>
        <w:rPr>
          <w:rFonts w:ascii="Arial" w:cs="Arial" w:eastAsia="Arial" w:hAnsi="Arial"/>
          <w:sz w:val="14"/>
          <w:szCs w:val="14"/>
          <w:color w:val="54585A"/>
        </w:rPr>
        <w:t>Represents restricted stock award granted pursuant to our 2006 Equity Incentive Plan in connection with the Terrestrial Spectrum Authority Stock Grant program discussed in the CD&amp;A. The Company's stock price on the date of the grant was $33.15 and the award vested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277495</wp:posOffset>
            </wp:positionV>
            <wp:extent cx="257175"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34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38" w:name="page39"/>
    <w:bookmarkEnd w:id="38"/>
    <w:p>
      <w:pPr>
        <w:ind w:left="8740"/>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Outstanding Equity Awards at 2024 Fiscal Year-End</w:t>
      </w:r>
    </w:p>
    <w:p>
      <w:pPr>
        <w:spacing w:after="0" w:line="9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54585A"/>
        </w:rPr>
        <w:t>The following table reports, on an award-by-award basis, each outstanding equity award held by NEOs on December 31, 2024. In connection with his service as an executive officer of the Company, Mr. Monroe does not have any outstanding equity awards at 2024 fiscal year-end and is not included in the table below. In addition, the outstanding equity awards received by Mr. Monroe and Dr. Jacobs for their service as directors are reflected in the Director Compensation section above.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bottom w:val="single" w:sz="8" w:color="EEEDED"/>
            </w:tcBorders>
            <w:shd w:val="clear" w:color="auto" w:fill="EEEDED"/>
          </w:tcPr>
          <w:p>
            <w:pPr>
              <w:spacing w:after="0"/>
              <w:rPr>
                <w:sz w:val="19"/>
                <w:szCs w:val="19"/>
                <w:color w:val="auto"/>
              </w:rPr>
            </w:pPr>
          </w:p>
        </w:tc>
        <w:tc>
          <w:tcPr>
            <w:tcW w:w="1020" w:type="dxa"/>
            <w:vAlign w:val="bottom"/>
            <w:tcBorders>
              <w:bottom w:val="single" w:sz="8" w:color="EEEDED"/>
            </w:tcBorders>
            <w:shd w:val="clear" w:color="auto" w:fill="EEEDED"/>
          </w:tcPr>
          <w:p>
            <w:pPr>
              <w:spacing w:after="0"/>
              <w:rPr>
                <w:sz w:val="19"/>
                <w:szCs w:val="19"/>
                <w:color w:val="auto"/>
              </w:rPr>
            </w:pPr>
          </w:p>
        </w:tc>
        <w:tc>
          <w:tcPr>
            <w:tcW w:w="2060" w:type="dxa"/>
            <w:vAlign w:val="bottom"/>
            <w:tcBorders>
              <w:bottom w:val="single" w:sz="8" w:color="54585A"/>
            </w:tcBorders>
            <w:shd w:val="clear" w:color="auto" w:fill="EEEDED"/>
          </w:tcPr>
          <w:p>
            <w:pPr>
              <w:spacing w:after="0"/>
              <w:rPr>
                <w:sz w:val="19"/>
                <w:szCs w:val="19"/>
                <w:color w:val="auto"/>
              </w:rPr>
            </w:pPr>
          </w:p>
        </w:tc>
        <w:tc>
          <w:tcPr>
            <w:tcW w:w="3940" w:type="dxa"/>
            <w:vAlign w:val="bottom"/>
            <w:tcBorders>
              <w:bottom w:val="single" w:sz="8" w:color="54585A"/>
            </w:tcBorders>
            <w:gridSpan w:val="2"/>
            <w:shd w:val="clear" w:color="auto" w:fill="EEEDED"/>
          </w:tcPr>
          <w:p>
            <w:pPr>
              <w:jc w:val="right"/>
              <w:ind w:right="1488"/>
              <w:spacing w:after="0"/>
              <w:rPr>
                <w:sz w:val="20"/>
                <w:szCs w:val="20"/>
                <w:color w:val="auto"/>
              </w:rPr>
            </w:pPr>
            <w:r>
              <w:rPr>
                <w:rFonts w:ascii="Arial" w:cs="Arial" w:eastAsia="Arial" w:hAnsi="Arial"/>
                <w:sz w:val="14"/>
                <w:szCs w:val="14"/>
                <w:b w:val="1"/>
                <w:bCs w:val="1"/>
                <w:color w:val="54585A"/>
              </w:rPr>
              <w:t>Stock Awards</w:t>
            </w:r>
          </w:p>
        </w:tc>
        <w:tc>
          <w:tcPr>
            <w:tcW w:w="2060" w:type="dxa"/>
            <w:vAlign w:val="bottom"/>
            <w:tcBorders>
              <w:bottom w:val="single" w:sz="8" w:color="54585A"/>
            </w:tcBorders>
            <w:shd w:val="clear" w:color="auto" w:fill="EEEDED"/>
          </w:tcPr>
          <w:p>
            <w:pPr>
              <w:spacing w:after="0"/>
              <w:rPr>
                <w:sz w:val="19"/>
                <w:szCs w:val="19"/>
                <w:color w:val="auto"/>
              </w:rPr>
            </w:pPr>
          </w:p>
        </w:tc>
      </w:tr>
      <w:tr>
        <w:trPr>
          <w:trHeight w:val="193"/>
        </w:trPr>
        <w:tc>
          <w:tcPr>
            <w:tcW w:w="2160" w:type="dxa"/>
            <w:vAlign w:val="bottom"/>
            <w:shd w:val="clear" w:color="auto" w:fill="EEEDED"/>
          </w:tcPr>
          <w:p>
            <w:pPr>
              <w:spacing w:after="0"/>
              <w:rPr>
                <w:sz w:val="16"/>
                <w:szCs w:val="16"/>
                <w:color w:val="auto"/>
              </w:rPr>
            </w:pPr>
          </w:p>
        </w:tc>
        <w:tc>
          <w:tcPr>
            <w:tcW w:w="1020" w:type="dxa"/>
            <w:vAlign w:val="bottom"/>
            <w:shd w:val="clear" w:color="auto" w:fill="EEEDED"/>
          </w:tcPr>
          <w:p>
            <w:pPr>
              <w:spacing w:after="0"/>
              <w:rPr>
                <w:sz w:val="16"/>
                <w:szCs w:val="16"/>
                <w:color w:val="auto"/>
              </w:rPr>
            </w:pPr>
          </w:p>
        </w:tc>
        <w:tc>
          <w:tcPr>
            <w:tcW w:w="2060" w:type="dxa"/>
            <w:vAlign w:val="bottom"/>
            <w:shd w:val="clear" w:color="auto" w:fill="EEEDED"/>
          </w:tcPr>
          <w:p>
            <w:pPr>
              <w:spacing w:after="0"/>
              <w:rPr>
                <w:sz w:val="16"/>
                <w:szCs w:val="16"/>
                <w:color w:val="auto"/>
              </w:rPr>
            </w:pPr>
          </w:p>
        </w:tc>
        <w:tc>
          <w:tcPr>
            <w:tcW w:w="1940" w:type="dxa"/>
            <w:vAlign w:val="bottom"/>
            <w:shd w:val="clear" w:color="auto" w:fill="EEEDED"/>
          </w:tcPr>
          <w:p>
            <w:pPr>
              <w:spacing w:after="0"/>
              <w:rPr>
                <w:sz w:val="16"/>
                <w:szCs w:val="16"/>
                <w:color w:val="auto"/>
              </w:rPr>
            </w:pPr>
          </w:p>
        </w:tc>
        <w:tc>
          <w:tcPr>
            <w:tcW w:w="200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Equity Incentive Plan</w:t>
            </w:r>
          </w:p>
        </w:tc>
        <w:tc>
          <w:tcPr>
            <w:tcW w:w="20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Equity Incentive Plan</w:t>
            </w:r>
          </w:p>
        </w:tc>
      </w:tr>
      <w:tr>
        <w:trPr>
          <w:trHeight w:val="176"/>
        </w:trPr>
        <w:tc>
          <w:tcPr>
            <w:tcW w:w="2160" w:type="dxa"/>
            <w:vAlign w:val="bottom"/>
            <w:shd w:val="clear" w:color="auto" w:fill="EEEDED"/>
          </w:tcPr>
          <w:p>
            <w:pPr>
              <w:spacing w:after="0"/>
              <w:rPr>
                <w:sz w:val="15"/>
                <w:szCs w:val="15"/>
                <w:color w:val="auto"/>
              </w:rPr>
            </w:pPr>
          </w:p>
        </w:tc>
        <w:tc>
          <w:tcPr>
            <w:tcW w:w="1020" w:type="dxa"/>
            <w:vAlign w:val="bottom"/>
            <w:shd w:val="clear" w:color="auto" w:fill="EEEDED"/>
          </w:tcPr>
          <w:p>
            <w:pPr>
              <w:spacing w:after="0"/>
              <w:rPr>
                <w:sz w:val="15"/>
                <w:szCs w:val="15"/>
                <w:color w:val="auto"/>
              </w:rPr>
            </w:pPr>
          </w:p>
        </w:tc>
        <w:tc>
          <w:tcPr>
            <w:tcW w:w="2060" w:type="dxa"/>
            <w:vAlign w:val="bottom"/>
            <w:shd w:val="clear" w:color="auto" w:fill="EEEDED"/>
          </w:tcPr>
          <w:p>
            <w:pPr>
              <w:spacing w:after="0"/>
              <w:rPr>
                <w:sz w:val="15"/>
                <w:szCs w:val="15"/>
                <w:color w:val="auto"/>
              </w:rPr>
            </w:pPr>
          </w:p>
        </w:tc>
        <w:tc>
          <w:tcPr>
            <w:tcW w:w="1940" w:type="dxa"/>
            <w:vAlign w:val="bottom"/>
            <w:shd w:val="clear" w:color="auto" w:fill="EEEDED"/>
          </w:tcPr>
          <w:p>
            <w:pPr>
              <w:spacing w:after="0"/>
              <w:rPr>
                <w:sz w:val="15"/>
                <w:szCs w:val="15"/>
                <w:color w:val="auto"/>
              </w:rPr>
            </w:pPr>
          </w:p>
        </w:tc>
        <w:tc>
          <w:tcPr>
            <w:tcW w:w="200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Awards: Number of</w:t>
            </w:r>
          </w:p>
        </w:tc>
        <w:tc>
          <w:tcPr>
            <w:tcW w:w="20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Awards: Market or Payout</w:t>
            </w:r>
          </w:p>
        </w:tc>
      </w:tr>
      <w:tr>
        <w:trPr>
          <w:trHeight w:val="175"/>
        </w:trPr>
        <w:tc>
          <w:tcPr>
            <w:tcW w:w="2160" w:type="dxa"/>
            <w:vAlign w:val="bottom"/>
            <w:shd w:val="clear" w:color="auto" w:fill="EEEDED"/>
          </w:tcPr>
          <w:p>
            <w:pPr>
              <w:spacing w:after="0"/>
              <w:rPr>
                <w:sz w:val="15"/>
                <w:szCs w:val="15"/>
                <w:color w:val="auto"/>
              </w:rPr>
            </w:pPr>
          </w:p>
        </w:tc>
        <w:tc>
          <w:tcPr>
            <w:tcW w:w="1020" w:type="dxa"/>
            <w:vAlign w:val="bottom"/>
            <w:shd w:val="clear" w:color="auto" w:fill="EEEDED"/>
          </w:tcPr>
          <w:p>
            <w:pPr>
              <w:spacing w:after="0"/>
              <w:rPr>
                <w:sz w:val="15"/>
                <w:szCs w:val="15"/>
                <w:color w:val="auto"/>
              </w:rPr>
            </w:pPr>
          </w:p>
        </w:tc>
        <w:tc>
          <w:tcPr>
            <w:tcW w:w="2060" w:type="dxa"/>
            <w:vAlign w:val="bottom"/>
            <w:shd w:val="clear" w:color="auto" w:fill="EEEDED"/>
          </w:tcPr>
          <w:p>
            <w:pPr>
              <w:jc w:val="right"/>
              <w:ind w:right="31"/>
              <w:spacing w:after="0"/>
              <w:rPr>
                <w:sz w:val="20"/>
                <w:szCs w:val="20"/>
                <w:color w:val="auto"/>
              </w:rPr>
            </w:pPr>
            <w:r>
              <w:rPr>
                <w:rFonts w:ascii="Arial" w:cs="Arial" w:eastAsia="Arial" w:hAnsi="Arial"/>
                <w:sz w:val="14"/>
                <w:szCs w:val="14"/>
                <w:b w:val="1"/>
                <w:bCs w:val="1"/>
                <w:color w:val="54585A"/>
              </w:rPr>
              <w:t>Number of Shares or Units</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Market Value of Shares or</w:t>
            </w:r>
          </w:p>
        </w:tc>
        <w:tc>
          <w:tcPr>
            <w:tcW w:w="200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Unearned Shares, Units or</w:t>
            </w:r>
          </w:p>
        </w:tc>
        <w:tc>
          <w:tcPr>
            <w:tcW w:w="20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Value of Unearned Shares,</w:t>
            </w:r>
          </w:p>
        </w:tc>
      </w:tr>
      <w:tr>
        <w:trPr>
          <w:trHeight w:val="176"/>
        </w:trPr>
        <w:tc>
          <w:tcPr>
            <w:tcW w:w="2160" w:type="dxa"/>
            <w:vAlign w:val="bottom"/>
            <w:shd w:val="clear" w:color="auto" w:fill="EEEDED"/>
          </w:tcPr>
          <w:p>
            <w:pPr>
              <w:spacing w:after="0"/>
              <w:rPr>
                <w:sz w:val="15"/>
                <w:szCs w:val="15"/>
                <w:color w:val="auto"/>
              </w:rPr>
            </w:pPr>
          </w:p>
        </w:tc>
        <w:tc>
          <w:tcPr>
            <w:tcW w:w="1020" w:type="dxa"/>
            <w:vAlign w:val="bottom"/>
            <w:shd w:val="clear" w:color="auto" w:fill="EEEDED"/>
          </w:tcPr>
          <w:p>
            <w:pPr>
              <w:spacing w:after="0"/>
              <w:rPr>
                <w:sz w:val="15"/>
                <w:szCs w:val="15"/>
                <w:color w:val="auto"/>
              </w:rPr>
            </w:pPr>
          </w:p>
        </w:tc>
        <w:tc>
          <w:tcPr>
            <w:tcW w:w="2060" w:type="dxa"/>
            <w:vAlign w:val="bottom"/>
            <w:shd w:val="clear" w:color="auto" w:fill="EEEDED"/>
          </w:tcPr>
          <w:p>
            <w:pPr>
              <w:jc w:val="right"/>
              <w:ind w:right="31"/>
              <w:spacing w:after="0"/>
              <w:rPr>
                <w:sz w:val="20"/>
                <w:szCs w:val="20"/>
                <w:color w:val="auto"/>
              </w:rPr>
            </w:pPr>
            <w:r>
              <w:rPr>
                <w:rFonts w:ascii="Arial" w:cs="Arial" w:eastAsia="Arial" w:hAnsi="Arial"/>
                <w:sz w:val="14"/>
                <w:szCs w:val="14"/>
                <w:b w:val="1"/>
                <w:bCs w:val="1"/>
                <w:color w:val="54585A"/>
              </w:rPr>
              <w:t>of Stock That Have Not</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Units of Stock That Have</w:t>
            </w:r>
          </w:p>
        </w:tc>
        <w:tc>
          <w:tcPr>
            <w:tcW w:w="200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Other Rights That Have Not</w:t>
            </w:r>
          </w:p>
        </w:tc>
        <w:tc>
          <w:tcPr>
            <w:tcW w:w="20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Units or Other Rights That</w:t>
            </w:r>
          </w:p>
        </w:tc>
      </w:tr>
      <w:tr>
        <w:trPr>
          <w:trHeight w:val="162"/>
        </w:trPr>
        <w:tc>
          <w:tcPr>
            <w:tcW w:w="2160" w:type="dxa"/>
            <w:vAlign w:val="bottom"/>
            <w:shd w:val="clear" w:color="auto" w:fill="EEEDED"/>
          </w:tcPr>
          <w:p>
            <w:pPr>
              <w:spacing w:after="0"/>
              <w:rPr>
                <w:sz w:val="14"/>
                <w:szCs w:val="14"/>
                <w:color w:val="auto"/>
              </w:rPr>
            </w:pPr>
          </w:p>
        </w:tc>
        <w:tc>
          <w:tcPr>
            <w:tcW w:w="1020" w:type="dxa"/>
            <w:vAlign w:val="bottom"/>
            <w:shd w:val="clear" w:color="auto" w:fill="EEEDED"/>
          </w:tcPr>
          <w:p>
            <w:pPr>
              <w:spacing w:after="0"/>
              <w:rPr>
                <w:sz w:val="14"/>
                <w:szCs w:val="14"/>
                <w:color w:val="auto"/>
              </w:rPr>
            </w:pPr>
          </w:p>
        </w:tc>
        <w:tc>
          <w:tcPr>
            <w:tcW w:w="2060" w:type="dxa"/>
            <w:vAlign w:val="bottom"/>
            <w:shd w:val="clear" w:color="auto" w:fill="EEEDED"/>
          </w:tcPr>
          <w:p>
            <w:pPr>
              <w:jc w:val="right"/>
              <w:ind w:right="31"/>
              <w:spacing w:after="0"/>
              <w:rPr>
                <w:sz w:val="20"/>
                <w:szCs w:val="20"/>
                <w:color w:val="auto"/>
              </w:rPr>
            </w:pPr>
            <w:r>
              <w:rPr>
                <w:rFonts w:ascii="Arial" w:cs="Arial" w:eastAsia="Arial" w:hAnsi="Arial"/>
                <w:sz w:val="14"/>
                <w:szCs w:val="14"/>
                <w:b w:val="1"/>
                <w:bCs w:val="1"/>
                <w:color w:val="54585A"/>
              </w:rPr>
              <w:t>Vested</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Not Vested</w:t>
            </w:r>
          </w:p>
        </w:tc>
        <w:tc>
          <w:tcPr>
            <w:tcW w:w="200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Vested</w:t>
            </w:r>
          </w:p>
        </w:tc>
        <w:tc>
          <w:tcPr>
            <w:tcW w:w="20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Have Not Vested</w:t>
            </w:r>
          </w:p>
        </w:tc>
      </w:tr>
      <w:tr>
        <w:trPr>
          <w:trHeight w:val="212"/>
        </w:trPr>
        <w:tc>
          <w:tcPr>
            <w:tcW w:w="216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Name</w:t>
            </w:r>
          </w:p>
        </w:tc>
        <w:tc>
          <w:tcPr>
            <w:tcW w:w="1020" w:type="dxa"/>
            <w:vAlign w:val="bottom"/>
            <w:shd w:val="clear" w:color="auto" w:fill="EEEDED"/>
          </w:tcPr>
          <w:p>
            <w:pPr>
              <w:ind w:left="140"/>
              <w:spacing w:after="0"/>
              <w:rPr>
                <w:sz w:val="20"/>
                <w:szCs w:val="20"/>
                <w:color w:val="auto"/>
              </w:rPr>
            </w:pPr>
            <w:r>
              <w:rPr>
                <w:rFonts w:ascii="Arial" w:cs="Arial" w:eastAsia="Arial" w:hAnsi="Arial"/>
                <w:sz w:val="14"/>
                <w:szCs w:val="14"/>
                <w:b w:val="1"/>
                <w:bCs w:val="1"/>
                <w:color w:val="54585A"/>
              </w:rPr>
              <w:t>Grant Date</w:t>
            </w:r>
          </w:p>
        </w:tc>
        <w:tc>
          <w:tcPr>
            <w:tcW w:w="2060" w:type="dxa"/>
            <w:vAlign w:val="bottom"/>
            <w:shd w:val="clear" w:color="auto" w:fill="EEEDED"/>
          </w:tcPr>
          <w:p>
            <w:pPr>
              <w:jc w:val="right"/>
              <w:ind w:right="31"/>
              <w:spacing w:after="0" w:line="212"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9"/>
                <w:szCs w:val="9"/>
                <w:b w:val="1"/>
                <w:bCs w:val="1"/>
                <w:color w:val="54585A"/>
              </w:rPr>
              <w:t xml:space="preserve"> (2)</w:t>
            </w:r>
          </w:p>
        </w:tc>
        <w:tc>
          <w:tcPr>
            <w:tcW w:w="1940" w:type="dxa"/>
            <w:vAlign w:val="bottom"/>
            <w:shd w:val="clear" w:color="auto" w:fill="EEEDED"/>
          </w:tcPr>
          <w:p>
            <w:pPr>
              <w:jc w:val="right"/>
              <w:spacing w:after="0" w:line="212"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9"/>
                <w:szCs w:val="9"/>
                <w:b w:val="1"/>
                <w:bCs w:val="1"/>
                <w:color w:val="54585A"/>
              </w:rPr>
              <w:t xml:space="preserve"> (1)</w:t>
            </w:r>
          </w:p>
        </w:tc>
        <w:tc>
          <w:tcPr>
            <w:tcW w:w="200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w:t>
            </w:r>
          </w:p>
        </w:tc>
        <w:tc>
          <w:tcPr>
            <w:tcW w:w="20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 xml:space="preserve">($) </w:t>
            </w:r>
            <w:r>
              <w:rPr>
                <w:rFonts w:ascii="Arial" w:cs="Arial" w:eastAsia="Arial" w:hAnsi="Arial"/>
                <w:sz w:val="9"/>
                <w:szCs w:val="9"/>
                <w:b w:val="1"/>
                <w:bCs w:val="1"/>
                <w:color w:val="54585A"/>
              </w:rPr>
              <w:t>(1)</w:t>
            </w:r>
          </w:p>
        </w:tc>
      </w:tr>
      <w:tr>
        <w:trPr>
          <w:trHeight w:val="94"/>
        </w:trPr>
        <w:tc>
          <w:tcPr>
            <w:tcW w:w="2160" w:type="dxa"/>
            <w:vAlign w:val="bottom"/>
            <w:shd w:val="clear" w:color="auto" w:fill="EEEDED"/>
          </w:tcPr>
          <w:p>
            <w:pPr>
              <w:spacing w:after="0"/>
              <w:rPr>
                <w:sz w:val="8"/>
                <w:szCs w:val="8"/>
                <w:color w:val="auto"/>
              </w:rPr>
            </w:pPr>
          </w:p>
        </w:tc>
        <w:tc>
          <w:tcPr>
            <w:tcW w:w="1020" w:type="dxa"/>
            <w:vAlign w:val="bottom"/>
            <w:shd w:val="clear" w:color="auto" w:fill="EEEDED"/>
          </w:tcPr>
          <w:p>
            <w:pPr>
              <w:spacing w:after="0"/>
              <w:rPr>
                <w:sz w:val="8"/>
                <w:szCs w:val="8"/>
                <w:color w:val="auto"/>
              </w:rPr>
            </w:pPr>
          </w:p>
        </w:tc>
        <w:tc>
          <w:tcPr>
            <w:tcW w:w="2060" w:type="dxa"/>
            <w:vAlign w:val="bottom"/>
            <w:shd w:val="clear" w:color="auto" w:fill="EEEDED"/>
          </w:tcPr>
          <w:p>
            <w:pPr>
              <w:spacing w:after="0"/>
              <w:rPr>
                <w:sz w:val="8"/>
                <w:szCs w:val="8"/>
                <w:color w:val="auto"/>
              </w:rPr>
            </w:pPr>
          </w:p>
        </w:tc>
        <w:tc>
          <w:tcPr>
            <w:tcW w:w="1940" w:type="dxa"/>
            <w:vAlign w:val="bottom"/>
            <w:shd w:val="clear" w:color="auto" w:fill="EEEDED"/>
          </w:tcPr>
          <w:p>
            <w:pPr>
              <w:spacing w:after="0"/>
              <w:rPr>
                <w:sz w:val="8"/>
                <w:szCs w:val="8"/>
                <w:color w:val="auto"/>
              </w:rPr>
            </w:pPr>
          </w:p>
        </w:tc>
        <w:tc>
          <w:tcPr>
            <w:tcW w:w="2000" w:type="dxa"/>
            <w:vAlign w:val="bottom"/>
            <w:shd w:val="clear" w:color="auto" w:fill="EEEDED"/>
          </w:tcPr>
          <w:p>
            <w:pPr>
              <w:spacing w:after="0"/>
              <w:rPr>
                <w:sz w:val="8"/>
                <w:szCs w:val="8"/>
                <w:color w:val="auto"/>
              </w:rPr>
            </w:pPr>
          </w:p>
        </w:tc>
        <w:tc>
          <w:tcPr>
            <w:tcW w:w="2060" w:type="dxa"/>
            <w:vAlign w:val="bottom"/>
            <w:shd w:val="clear" w:color="auto" w:fill="EEEDED"/>
          </w:tcPr>
          <w:p>
            <w:pPr>
              <w:spacing w:after="0"/>
              <w:rPr>
                <w:sz w:val="8"/>
                <w:szCs w:val="8"/>
                <w:color w:val="auto"/>
              </w:rPr>
            </w:pPr>
          </w:p>
        </w:tc>
      </w:tr>
      <w:tr>
        <w:trPr>
          <w:trHeight w:val="223"/>
        </w:trPr>
        <w:tc>
          <w:tcPr>
            <w:tcW w:w="216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Dr. Paul E. Jacobs</w:t>
            </w:r>
            <w:r>
              <w:rPr>
                <w:rFonts w:ascii="Arial" w:cs="Arial" w:eastAsia="Arial" w:hAnsi="Arial"/>
                <w:sz w:val="9"/>
                <w:szCs w:val="9"/>
                <w:b w:val="1"/>
                <w:bCs w:val="1"/>
                <w:color w:val="EB6C10"/>
              </w:rPr>
              <w:t>(3)</w:t>
            </w:r>
          </w:p>
        </w:tc>
        <w:tc>
          <w:tcPr>
            <w:tcW w:w="1020" w:type="dxa"/>
            <w:vAlign w:val="bottom"/>
            <w:tcBorders>
              <w:bottom w:val="single" w:sz="8" w:color="54585A"/>
            </w:tcBorders>
          </w:tcPr>
          <w:p>
            <w:pPr>
              <w:jc w:val="center"/>
              <w:spacing w:after="0"/>
              <w:rPr>
                <w:sz w:val="20"/>
                <w:szCs w:val="20"/>
                <w:color w:val="auto"/>
              </w:rPr>
            </w:pPr>
            <w:r>
              <w:rPr>
                <w:rFonts w:ascii="Arial" w:cs="Arial" w:eastAsia="Arial" w:hAnsi="Arial"/>
                <w:sz w:val="14"/>
                <w:szCs w:val="14"/>
                <w:color w:val="54585A"/>
              </w:rPr>
              <w:t>9/25/2023</w:t>
            </w:r>
          </w:p>
        </w:tc>
        <w:tc>
          <w:tcPr>
            <w:tcW w:w="2060" w:type="dxa"/>
            <w:vAlign w:val="bottom"/>
            <w:tcBorders>
              <w:bottom w:val="single" w:sz="8" w:color="54585A"/>
            </w:tcBorders>
          </w:tcPr>
          <w:p>
            <w:pPr>
              <w:jc w:val="right"/>
              <w:ind w:right="91"/>
              <w:spacing w:after="0"/>
              <w:rPr>
                <w:sz w:val="20"/>
                <w:szCs w:val="20"/>
                <w:color w:val="auto"/>
              </w:rPr>
            </w:pPr>
            <w:r>
              <w:rPr>
                <w:rFonts w:ascii="Arial" w:cs="Arial" w:eastAsia="Arial" w:hAnsi="Arial"/>
                <w:sz w:val="14"/>
                <w:szCs w:val="14"/>
                <w:color w:val="54585A"/>
              </w:rPr>
              <w:t>—</w:t>
            </w:r>
          </w:p>
        </w:tc>
        <w:tc>
          <w:tcPr>
            <w:tcW w:w="1940" w:type="dxa"/>
            <w:vAlign w:val="bottom"/>
            <w:tcBorders>
              <w:bottom w:val="single" w:sz="8" w:color="54585A"/>
            </w:tcBorders>
          </w:tcPr>
          <w:p>
            <w:pPr>
              <w:jc w:val="right"/>
              <w:ind w:right="50"/>
              <w:spacing w:after="0"/>
              <w:rPr>
                <w:sz w:val="20"/>
                <w:szCs w:val="20"/>
                <w:color w:val="auto"/>
              </w:rPr>
            </w:pPr>
            <w:r>
              <w:rPr>
                <w:rFonts w:ascii="Arial" w:cs="Arial" w:eastAsia="Arial" w:hAnsi="Arial"/>
                <w:sz w:val="14"/>
                <w:szCs w:val="14"/>
                <w:color w:val="54585A"/>
              </w:rPr>
              <w:t>—</w:t>
            </w:r>
          </w:p>
        </w:tc>
        <w:tc>
          <w:tcPr>
            <w:tcW w:w="2000" w:type="dxa"/>
            <w:vAlign w:val="bottom"/>
            <w:tcBorders>
              <w:bottom w:val="single" w:sz="8" w:color="54585A"/>
            </w:tcBorders>
          </w:tcPr>
          <w:p>
            <w:pPr>
              <w:jc w:val="right"/>
              <w:ind w:right="48"/>
              <w:spacing w:after="0"/>
              <w:rPr>
                <w:sz w:val="20"/>
                <w:szCs w:val="20"/>
                <w:color w:val="auto"/>
              </w:rPr>
            </w:pPr>
            <w:r>
              <w:rPr>
                <w:rFonts w:ascii="Arial" w:cs="Arial" w:eastAsia="Arial" w:hAnsi="Arial"/>
                <w:sz w:val="14"/>
                <w:szCs w:val="14"/>
                <w:color w:val="54585A"/>
              </w:rPr>
              <w:t>2,694,599</w:t>
            </w:r>
          </w:p>
        </w:tc>
        <w:tc>
          <w:tcPr>
            <w:tcW w:w="206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83,667,299</w:t>
            </w:r>
          </w:p>
        </w:tc>
      </w:tr>
      <w:tr>
        <w:trPr>
          <w:trHeight w:val="303"/>
        </w:trPr>
        <w:tc>
          <w:tcPr>
            <w:tcW w:w="2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54585A"/>
                <w:w w:val="99"/>
              </w:rPr>
              <w:t>11/15/2022</w:t>
            </w:r>
          </w:p>
        </w:tc>
        <w:tc>
          <w:tcPr>
            <w:tcW w:w="2060" w:type="dxa"/>
            <w:vAlign w:val="bottom"/>
          </w:tcPr>
          <w:p>
            <w:pPr>
              <w:jc w:val="right"/>
              <w:ind w:right="91"/>
              <w:spacing w:after="0"/>
              <w:rPr>
                <w:sz w:val="20"/>
                <w:szCs w:val="20"/>
                <w:color w:val="auto"/>
              </w:rPr>
            </w:pPr>
            <w:r>
              <w:rPr>
                <w:rFonts w:ascii="Arial" w:cs="Arial" w:eastAsia="Arial" w:hAnsi="Arial"/>
                <w:sz w:val="14"/>
                <w:szCs w:val="14"/>
                <w:color w:val="54585A"/>
              </w:rPr>
              <w:t>33,333</w:t>
            </w:r>
          </w:p>
        </w:tc>
        <w:tc>
          <w:tcPr>
            <w:tcW w:w="1940" w:type="dxa"/>
            <w:vAlign w:val="bottom"/>
          </w:tcPr>
          <w:p>
            <w:pPr>
              <w:jc w:val="right"/>
              <w:spacing w:after="0"/>
              <w:rPr>
                <w:sz w:val="20"/>
                <w:szCs w:val="20"/>
                <w:color w:val="auto"/>
              </w:rPr>
            </w:pPr>
            <w:r>
              <w:rPr>
                <w:rFonts w:ascii="Arial" w:cs="Arial" w:eastAsia="Arial" w:hAnsi="Arial"/>
                <w:sz w:val="14"/>
                <w:szCs w:val="14"/>
                <w:color w:val="54585A"/>
              </w:rPr>
              <w:t>1,034,990</w:t>
            </w:r>
          </w:p>
        </w:tc>
        <w:tc>
          <w:tcPr>
            <w:tcW w:w="200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2060" w:type="dxa"/>
            <w:vAlign w:val="bottom"/>
          </w:tcPr>
          <w:p>
            <w:pPr>
              <w:jc w:val="right"/>
              <w:ind w:right="128"/>
              <w:spacing w:after="0"/>
              <w:rPr>
                <w:sz w:val="20"/>
                <w:szCs w:val="20"/>
                <w:color w:val="auto"/>
              </w:rPr>
            </w:pPr>
            <w:r>
              <w:rPr>
                <w:rFonts w:ascii="Arial" w:cs="Arial" w:eastAsia="Arial" w:hAnsi="Arial"/>
                <w:sz w:val="14"/>
                <w:szCs w:val="14"/>
                <w:color w:val="54585A"/>
              </w:rPr>
              <w:t>—</w:t>
            </w:r>
          </w:p>
        </w:tc>
      </w:tr>
      <w:tr>
        <w:trPr>
          <w:trHeight w:val="116"/>
        </w:trPr>
        <w:tc>
          <w:tcPr>
            <w:tcW w:w="2160" w:type="dxa"/>
            <w:vAlign w:val="bottom"/>
          </w:tcPr>
          <w:p>
            <w:pPr>
              <w:spacing w:after="0"/>
              <w:rPr>
                <w:sz w:val="10"/>
                <w:szCs w:val="10"/>
                <w:color w:val="auto"/>
              </w:rPr>
            </w:pPr>
          </w:p>
        </w:tc>
        <w:tc>
          <w:tcPr>
            <w:tcW w:w="102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c>
          <w:tcPr>
            <w:tcW w:w="1940" w:type="dxa"/>
            <w:vAlign w:val="bottom"/>
            <w:tcBorders>
              <w:bottom w:val="single" w:sz="8" w:color="54585A"/>
            </w:tcBorders>
          </w:tcPr>
          <w:p>
            <w:pPr>
              <w:spacing w:after="0"/>
              <w:rPr>
                <w:sz w:val="10"/>
                <w:szCs w:val="10"/>
                <w:color w:val="auto"/>
              </w:rPr>
            </w:pPr>
          </w:p>
        </w:tc>
        <w:tc>
          <w:tcPr>
            <w:tcW w:w="200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r>
      <w:tr>
        <w:trPr>
          <w:trHeight w:val="302"/>
        </w:trPr>
        <w:tc>
          <w:tcPr>
            <w:tcW w:w="2160" w:type="dxa"/>
            <w:vAlign w:val="bottom"/>
          </w:tcPr>
          <w:p>
            <w:pPr>
              <w:ind w:left="100"/>
              <w:spacing w:after="0"/>
              <w:rPr>
                <w:sz w:val="20"/>
                <w:szCs w:val="20"/>
                <w:color w:val="auto"/>
              </w:rPr>
            </w:pPr>
            <w:r>
              <w:rPr>
                <w:rFonts w:ascii="Arial" w:cs="Arial" w:eastAsia="Arial" w:hAnsi="Arial"/>
                <w:sz w:val="14"/>
                <w:szCs w:val="14"/>
                <w:b w:val="1"/>
                <w:bCs w:val="1"/>
                <w:color w:val="EB6C10"/>
              </w:rPr>
              <w:t>Rebecca S. Clary</w:t>
            </w:r>
          </w:p>
        </w:tc>
        <w:tc>
          <w:tcPr>
            <w:tcW w:w="1020" w:type="dxa"/>
            <w:vAlign w:val="bottom"/>
          </w:tcPr>
          <w:p>
            <w:pPr>
              <w:jc w:val="center"/>
              <w:spacing w:after="0"/>
              <w:rPr>
                <w:sz w:val="20"/>
                <w:szCs w:val="20"/>
                <w:color w:val="auto"/>
              </w:rPr>
            </w:pPr>
            <w:r>
              <w:rPr>
                <w:rFonts w:ascii="Arial" w:cs="Arial" w:eastAsia="Arial" w:hAnsi="Arial"/>
                <w:sz w:val="14"/>
                <w:szCs w:val="14"/>
                <w:color w:val="54585A"/>
              </w:rPr>
              <w:t>12/7/2023</w:t>
            </w:r>
          </w:p>
        </w:tc>
        <w:tc>
          <w:tcPr>
            <w:tcW w:w="2060" w:type="dxa"/>
            <w:vAlign w:val="bottom"/>
          </w:tcPr>
          <w:p>
            <w:pPr>
              <w:jc w:val="right"/>
              <w:ind w:right="91"/>
              <w:spacing w:after="0"/>
              <w:rPr>
                <w:sz w:val="20"/>
                <w:szCs w:val="20"/>
                <w:color w:val="auto"/>
              </w:rPr>
            </w:pPr>
            <w:r>
              <w:rPr>
                <w:rFonts w:ascii="Arial" w:cs="Arial" w:eastAsia="Arial" w:hAnsi="Arial"/>
                <w:sz w:val="14"/>
                <w:szCs w:val="14"/>
                <w:color w:val="54585A"/>
              </w:rPr>
              <w:t>2,668</w:t>
            </w:r>
          </w:p>
        </w:tc>
        <w:tc>
          <w:tcPr>
            <w:tcW w:w="1940" w:type="dxa"/>
            <w:vAlign w:val="bottom"/>
          </w:tcPr>
          <w:p>
            <w:pPr>
              <w:jc w:val="right"/>
              <w:spacing w:after="0"/>
              <w:rPr>
                <w:sz w:val="20"/>
                <w:szCs w:val="20"/>
                <w:color w:val="auto"/>
              </w:rPr>
            </w:pPr>
            <w:r>
              <w:rPr>
                <w:rFonts w:ascii="Arial" w:cs="Arial" w:eastAsia="Arial" w:hAnsi="Arial"/>
                <w:sz w:val="14"/>
                <w:szCs w:val="14"/>
                <w:color w:val="54585A"/>
              </w:rPr>
              <w:t>82,841</w:t>
            </w:r>
          </w:p>
        </w:tc>
        <w:tc>
          <w:tcPr>
            <w:tcW w:w="200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2060" w:type="dxa"/>
            <w:vAlign w:val="bottom"/>
          </w:tcPr>
          <w:p>
            <w:pPr>
              <w:jc w:val="right"/>
              <w:ind w:right="128"/>
              <w:spacing w:after="0"/>
              <w:rPr>
                <w:sz w:val="20"/>
                <w:szCs w:val="20"/>
                <w:color w:val="auto"/>
              </w:rPr>
            </w:pPr>
            <w:r>
              <w:rPr>
                <w:rFonts w:ascii="Arial" w:cs="Arial" w:eastAsia="Arial" w:hAnsi="Arial"/>
                <w:sz w:val="14"/>
                <w:szCs w:val="14"/>
                <w:color w:val="54585A"/>
              </w:rPr>
              <w:t>—</w:t>
            </w:r>
          </w:p>
        </w:tc>
      </w:tr>
      <w:tr>
        <w:trPr>
          <w:trHeight w:val="110"/>
        </w:trPr>
        <w:tc>
          <w:tcPr>
            <w:tcW w:w="2160" w:type="dxa"/>
            <w:vAlign w:val="bottom"/>
          </w:tcPr>
          <w:p>
            <w:pPr>
              <w:spacing w:after="0"/>
              <w:rPr>
                <w:sz w:val="9"/>
                <w:szCs w:val="9"/>
                <w:color w:val="auto"/>
              </w:rPr>
            </w:pPr>
          </w:p>
        </w:tc>
        <w:tc>
          <w:tcPr>
            <w:tcW w:w="1020" w:type="dxa"/>
            <w:vAlign w:val="bottom"/>
            <w:tcBorders>
              <w:bottom w:val="single" w:sz="8" w:color="54585A"/>
            </w:tcBorders>
          </w:tcPr>
          <w:p>
            <w:pPr>
              <w:spacing w:after="0"/>
              <w:rPr>
                <w:sz w:val="9"/>
                <w:szCs w:val="9"/>
                <w:color w:val="auto"/>
              </w:rPr>
            </w:pPr>
          </w:p>
        </w:tc>
        <w:tc>
          <w:tcPr>
            <w:tcW w:w="2060" w:type="dxa"/>
            <w:vAlign w:val="bottom"/>
            <w:tcBorders>
              <w:bottom w:val="single" w:sz="8" w:color="54585A"/>
            </w:tcBorders>
          </w:tcPr>
          <w:p>
            <w:pPr>
              <w:spacing w:after="0"/>
              <w:rPr>
                <w:sz w:val="9"/>
                <w:szCs w:val="9"/>
                <w:color w:val="auto"/>
              </w:rPr>
            </w:pPr>
          </w:p>
        </w:tc>
        <w:tc>
          <w:tcPr>
            <w:tcW w:w="1940" w:type="dxa"/>
            <w:vAlign w:val="bottom"/>
            <w:tcBorders>
              <w:bottom w:val="single" w:sz="8" w:color="54585A"/>
            </w:tcBorders>
          </w:tcPr>
          <w:p>
            <w:pPr>
              <w:spacing w:after="0"/>
              <w:rPr>
                <w:sz w:val="9"/>
                <w:szCs w:val="9"/>
                <w:color w:val="auto"/>
              </w:rPr>
            </w:pPr>
          </w:p>
        </w:tc>
        <w:tc>
          <w:tcPr>
            <w:tcW w:w="2000" w:type="dxa"/>
            <w:vAlign w:val="bottom"/>
            <w:tcBorders>
              <w:bottom w:val="single" w:sz="8" w:color="54585A"/>
            </w:tcBorders>
          </w:tcPr>
          <w:p>
            <w:pPr>
              <w:spacing w:after="0"/>
              <w:rPr>
                <w:sz w:val="9"/>
                <w:szCs w:val="9"/>
                <w:color w:val="auto"/>
              </w:rPr>
            </w:pPr>
          </w:p>
        </w:tc>
        <w:tc>
          <w:tcPr>
            <w:tcW w:w="2060" w:type="dxa"/>
            <w:vAlign w:val="bottom"/>
            <w:tcBorders>
              <w:bottom w:val="single" w:sz="8" w:color="54585A"/>
            </w:tcBorders>
          </w:tcPr>
          <w:p>
            <w:pPr>
              <w:spacing w:after="0"/>
              <w:rPr>
                <w:sz w:val="9"/>
                <w:szCs w:val="9"/>
                <w:color w:val="auto"/>
              </w:rPr>
            </w:pPr>
          </w:p>
        </w:tc>
      </w:tr>
      <w:tr>
        <w:trPr>
          <w:trHeight w:val="296"/>
        </w:trPr>
        <w:tc>
          <w:tcPr>
            <w:tcW w:w="2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54585A"/>
              </w:rPr>
              <w:t>12/27/2024</w:t>
            </w:r>
          </w:p>
        </w:tc>
        <w:tc>
          <w:tcPr>
            <w:tcW w:w="2060" w:type="dxa"/>
            <w:vAlign w:val="bottom"/>
          </w:tcPr>
          <w:p>
            <w:pPr>
              <w:jc w:val="right"/>
              <w:ind w:right="91"/>
              <w:spacing w:after="0"/>
              <w:rPr>
                <w:sz w:val="20"/>
                <w:szCs w:val="20"/>
                <w:color w:val="auto"/>
              </w:rPr>
            </w:pPr>
            <w:r>
              <w:rPr>
                <w:rFonts w:ascii="Arial" w:cs="Arial" w:eastAsia="Arial" w:hAnsi="Arial"/>
                <w:sz w:val="14"/>
                <w:szCs w:val="14"/>
                <w:color w:val="54585A"/>
              </w:rPr>
              <w:t>5,426</w:t>
            </w:r>
          </w:p>
        </w:tc>
        <w:tc>
          <w:tcPr>
            <w:tcW w:w="1940" w:type="dxa"/>
            <w:vAlign w:val="bottom"/>
          </w:tcPr>
          <w:p>
            <w:pPr>
              <w:jc w:val="right"/>
              <w:spacing w:after="0"/>
              <w:rPr>
                <w:sz w:val="20"/>
                <w:szCs w:val="20"/>
                <w:color w:val="auto"/>
              </w:rPr>
            </w:pPr>
            <w:r>
              <w:rPr>
                <w:rFonts w:ascii="Arial" w:cs="Arial" w:eastAsia="Arial" w:hAnsi="Arial"/>
                <w:sz w:val="14"/>
                <w:szCs w:val="14"/>
                <w:color w:val="54585A"/>
              </w:rPr>
              <w:t>168,477</w:t>
            </w:r>
          </w:p>
        </w:tc>
        <w:tc>
          <w:tcPr>
            <w:tcW w:w="200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2060" w:type="dxa"/>
            <w:vAlign w:val="bottom"/>
          </w:tcPr>
          <w:p>
            <w:pPr>
              <w:jc w:val="right"/>
              <w:ind w:right="128"/>
              <w:spacing w:after="0"/>
              <w:rPr>
                <w:sz w:val="20"/>
                <w:szCs w:val="20"/>
                <w:color w:val="auto"/>
              </w:rPr>
            </w:pPr>
            <w:r>
              <w:rPr>
                <w:rFonts w:ascii="Arial" w:cs="Arial" w:eastAsia="Arial" w:hAnsi="Arial"/>
                <w:sz w:val="14"/>
                <w:szCs w:val="14"/>
                <w:color w:val="54585A"/>
              </w:rPr>
              <w:t>—</w:t>
            </w:r>
          </w:p>
        </w:tc>
      </w:tr>
      <w:tr>
        <w:trPr>
          <w:trHeight w:val="116"/>
        </w:trPr>
        <w:tc>
          <w:tcPr>
            <w:tcW w:w="2160" w:type="dxa"/>
            <w:vAlign w:val="bottom"/>
            <w:tcBorders>
              <w:bottom w:val="single" w:sz="8" w:color="54585A"/>
            </w:tcBorders>
          </w:tcPr>
          <w:p>
            <w:pPr>
              <w:spacing w:after="0"/>
              <w:rPr>
                <w:sz w:val="10"/>
                <w:szCs w:val="10"/>
                <w:color w:val="auto"/>
              </w:rPr>
            </w:pPr>
          </w:p>
        </w:tc>
        <w:tc>
          <w:tcPr>
            <w:tcW w:w="102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c>
          <w:tcPr>
            <w:tcW w:w="1940" w:type="dxa"/>
            <w:vAlign w:val="bottom"/>
            <w:tcBorders>
              <w:bottom w:val="single" w:sz="8" w:color="54585A"/>
            </w:tcBorders>
          </w:tcPr>
          <w:p>
            <w:pPr>
              <w:spacing w:after="0"/>
              <w:rPr>
                <w:sz w:val="10"/>
                <w:szCs w:val="10"/>
                <w:color w:val="auto"/>
              </w:rPr>
            </w:pPr>
          </w:p>
        </w:tc>
        <w:tc>
          <w:tcPr>
            <w:tcW w:w="200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r>
      <w:tr>
        <w:trPr>
          <w:trHeight w:val="296"/>
        </w:trPr>
        <w:tc>
          <w:tcPr>
            <w:tcW w:w="2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54585A"/>
                <w:w w:val="99"/>
              </w:rPr>
              <w:t>11/15/2022</w:t>
            </w:r>
          </w:p>
        </w:tc>
        <w:tc>
          <w:tcPr>
            <w:tcW w:w="2060" w:type="dxa"/>
            <w:vAlign w:val="bottom"/>
          </w:tcPr>
          <w:p>
            <w:pPr>
              <w:jc w:val="right"/>
              <w:ind w:right="91"/>
              <w:spacing w:after="0"/>
              <w:rPr>
                <w:sz w:val="20"/>
                <w:szCs w:val="20"/>
                <w:color w:val="auto"/>
              </w:rPr>
            </w:pPr>
            <w:r>
              <w:rPr>
                <w:rFonts w:ascii="Arial" w:cs="Arial" w:eastAsia="Arial" w:hAnsi="Arial"/>
                <w:sz w:val="14"/>
                <w:szCs w:val="14"/>
                <w:color w:val="54585A"/>
              </w:rPr>
              <w:t>20,000</w:t>
            </w:r>
          </w:p>
        </w:tc>
        <w:tc>
          <w:tcPr>
            <w:tcW w:w="1940" w:type="dxa"/>
            <w:vAlign w:val="bottom"/>
          </w:tcPr>
          <w:p>
            <w:pPr>
              <w:jc w:val="right"/>
              <w:spacing w:after="0"/>
              <w:rPr>
                <w:sz w:val="20"/>
                <w:szCs w:val="20"/>
                <w:color w:val="auto"/>
              </w:rPr>
            </w:pPr>
            <w:r>
              <w:rPr>
                <w:rFonts w:ascii="Arial" w:cs="Arial" w:eastAsia="Arial" w:hAnsi="Arial"/>
                <w:sz w:val="14"/>
                <w:szCs w:val="14"/>
                <w:color w:val="54585A"/>
              </w:rPr>
              <w:t>621,000</w:t>
            </w:r>
          </w:p>
        </w:tc>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16"/>
        </w:trPr>
        <w:tc>
          <w:tcPr>
            <w:tcW w:w="2160" w:type="dxa"/>
            <w:vAlign w:val="bottom"/>
          </w:tcPr>
          <w:p>
            <w:pPr>
              <w:spacing w:after="0"/>
              <w:rPr>
                <w:sz w:val="10"/>
                <w:szCs w:val="10"/>
                <w:color w:val="auto"/>
              </w:rPr>
            </w:pPr>
          </w:p>
        </w:tc>
        <w:tc>
          <w:tcPr>
            <w:tcW w:w="102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c>
          <w:tcPr>
            <w:tcW w:w="1940" w:type="dxa"/>
            <w:vAlign w:val="bottom"/>
            <w:tcBorders>
              <w:bottom w:val="single" w:sz="8" w:color="54585A"/>
            </w:tcBorders>
          </w:tcPr>
          <w:p>
            <w:pPr>
              <w:spacing w:after="0"/>
              <w:rPr>
                <w:sz w:val="10"/>
                <w:szCs w:val="10"/>
                <w:color w:val="auto"/>
              </w:rPr>
            </w:pPr>
          </w:p>
        </w:tc>
        <w:tc>
          <w:tcPr>
            <w:tcW w:w="200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r>
      <w:tr>
        <w:trPr>
          <w:trHeight w:val="302"/>
        </w:trPr>
        <w:tc>
          <w:tcPr>
            <w:tcW w:w="2160" w:type="dxa"/>
            <w:vAlign w:val="bottom"/>
          </w:tcPr>
          <w:p>
            <w:pPr>
              <w:ind w:left="100"/>
              <w:spacing w:after="0"/>
              <w:rPr>
                <w:sz w:val="20"/>
                <w:szCs w:val="20"/>
                <w:color w:val="auto"/>
              </w:rPr>
            </w:pPr>
            <w:r>
              <w:rPr>
                <w:rFonts w:ascii="Arial" w:cs="Arial" w:eastAsia="Arial" w:hAnsi="Arial"/>
                <w:sz w:val="14"/>
                <w:szCs w:val="14"/>
                <w:b w:val="1"/>
                <w:bCs w:val="1"/>
                <w:color w:val="EB6C10"/>
              </w:rPr>
              <w:t>L. Barbee Ponder IV</w:t>
            </w:r>
          </w:p>
        </w:tc>
        <w:tc>
          <w:tcPr>
            <w:tcW w:w="1020" w:type="dxa"/>
            <w:vAlign w:val="bottom"/>
          </w:tcPr>
          <w:p>
            <w:pPr>
              <w:jc w:val="center"/>
              <w:spacing w:after="0"/>
              <w:rPr>
                <w:sz w:val="20"/>
                <w:szCs w:val="20"/>
                <w:color w:val="auto"/>
              </w:rPr>
            </w:pPr>
            <w:r>
              <w:rPr>
                <w:rFonts w:ascii="Arial" w:cs="Arial" w:eastAsia="Arial" w:hAnsi="Arial"/>
                <w:sz w:val="14"/>
                <w:szCs w:val="14"/>
                <w:color w:val="54585A"/>
              </w:rPr>
              <w:t>12/7/2023</w:t>
            </w:r>
          </w:p>
        </w:tc>
        <w:tc>
          <w:tcPr>
            <w:tcW w:w="2060" w:type="dxa"/>
            <w:vAlign w:val="bottom"/>
          </w:tcPr>
          <w:p>
            <w:pPr>
              <w:jc w:val="right"/>
              <w:ind w:right="91"/>
              <w:spacing w:after="0"/>
              <w:rPr>
                <w:sz w:val="20"/>
                <w:szCs w:val="20"/>
                <w:color w:val="auto"/>
              </w:rPr>
            </w:pPr>
            <w:r>
              <w:rPr>
                <w:rFonts w:ascii="Arial" w:cs="Arial" w:eastAsia="Arial" w:hAnsi="Arial"/>
                <w:sz w:val="14"/>
                <w:szCs w:val="14"/>
                <w:color w:val="54585A"/>
              </w:rPr>
              <w:t>2,668</w:t>
            </w:r>
          </w:p>
        </w:tc>
        <w:tc>
          <w:tcPr>
            <w:tcW w:w="1940" w:type="dxa"/>
            <w:vAlign w:val="bottom"/>
          </w:tcPr>
          <w:p>
            <w:pPr>
              <w:jc w:val="right"/>
              <w:spacing w:after="0"/>
              <w:rPr>
                <w:sz w:val="20"/>
                <w:szCs w:val="20"/>
                <w:color w:val="auto"/>
              </w:rPr>
            </w:pPr>
            <w:r>
              <w:rPr>
                <w:rFonts w:ascii="Arial" w:cs="Arial" w:eastAsia="Arial" w:hAnsi="Arial"/>
                <w:sz w:val="14"/>
                <w:szCs w:val="14"/>
                <w:color w:val="54585A"/>
              </w:rPr>
              <w:t>82,841</w:t>
            </w:r>
          </w:p>
        </w:tc>
        <w:tc>
          <w:tcPr>
            <w:tcW w:w="200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2060" w:type="dxa"/>
            <w:vAlign w:val="bottom"/>
          </w:tcPr>
          <w:p>
            <w:pPr>
              <w:jc w:val="right"/>
              <w:ind w:right="128"/>
              <w:spacing w:after="0"/>
              <w:rPr>
                <w:sz w:val="20"/>
                <w:szCs w:val="20"/>
                <w:color w:val="auto"/>
              </w:rPr>
            </w:pPr>
            <w:r>
              <w:rPr>
                <w:rFonts w:ascii="Arial" w:cs="Arial" w:eastAsia="Arial" w:hAnsi="Arial"/>
                <w:sz w:val="14"/>
                <w:szCs w:val="14"/>
                <w:color w:val="54585A"/>
              </w:rPr>
              <w:t>—</w:t>
            </w:r>
          </w:p>
        </w:tc>
      </w:tr>
      <w:tr>
        <w:trPr>
          <w:trHeight w:val="110"/>
        </w:trPr>
        <w:tc>
          <w:tcPr>
            <w:tcW w:w="2160" w:type="dxa"/>
            <w:vAlign w:val="bottom"/>
          </w:tcPr>
          <w:p>
            <w:pPr>
              <w:spacing w:after="0"/>
              <w:rPr>
                <w:sz w:val="9"/>
                <w:szCs w:val="9"/>
                <w:color w:val="auto"/>
              </w:rPr>
            </w:pPr>
          </w:p>
        </w:tc>
        <w:tc>
          <w:tcPr>
            <w:tcW w:w="1020" w:type="dxa"/>
            <w:vAlign w:val="bottom"/>
            <w:tcBorders>
              <w:bottom w:val="single" w:sz="8" w:color="54585A"/>
            </w:tcBorders>
          </w:tcPr>
          <w:p>
            <w:pPr>
              <w:spacing w:after="0"/>
              <w:rPr>
                <w:sz w:val="9"/>
                <w:szCs w:val="9"/>
                <w:color w:val="auto"/>
              </w:rPr>
            </w:pPr>
          </w:p>
        </w:tc>
        <w:tc>
          <w:tcPr>
            <w:tcW w:w="2060" w:type="dxa"/>
            <w:vAlign w:val="bottom"/>
            <w:tcBorders>
              <w:bottom w:val="single" w:sz="8" w:color="54585A"/>
            </w:tcBorders>
          </w:tcPr>
          <w:p>
            <w:pPr>
              <w:spacing w:after="0"/>
              <w:rPr>
                <w:sz w:val="9"/>
                <w:szCs w:val="9"/>
                <w:color w:val="auto"/>
              </w:rPr>
            </w:pPr>
          </w:p>
        </w:tc>
        <w:tc>
          <w:tcPr>
            <w:tcW w:w="1940" w:type="dxa"/>
            <w:vAlign w:val="bottom"/>
            <w:tcBorders>
              <w:bottom w:val="single" w:sz="8" w:color="54585A"/>
            </w:tcBorders>
          </w:tcPr>
          <w:p>
            <w:pPr>
              <w:spacing w:after="0"/>
              <w:rPr>
                <w:sz w:val="9"/>
                <w:szCs w:val="9"/>
                <w:color w:val="auto"/>
              </w:rPr>
            </w:pPr>
          </w:p>
        </w:tc>
        <w:tc>
          <w:tcPr>
            <w:tcW w:w="2000" w:type="dxa"/>
            <w:vAlign w:val="bottom"/>
            <w:tcBorders>
              <w:bottom w:val="single" w:sz="8" w:color="54585A"/>
            </w:tcBorders>
          </w:tcPr>
          <w:p>
            <w:pPr>
              <w:spacing w:after="0"/>
              <w:rPr>
                <w:sz w:val="9"/>
                <w:szCs w:val="9"/>
                <w:color w:val="auto"/>
              </w:rPr>
            </w:pPr>
          </w:p>
        </w:tc>
        <w:tc>
          <w:tcPr>
            <w:tcW w:w="2060" w:type="dxa"/>
            <w:vAlign w:val="bottom"/>
            <w:tcBorders>
              <w:bottom w:val="single" w:sz="8" w:color="54585A"/>
            </w:tcBorders>
          </w:tcPr>
          <w:p>
            <w:pPr>
              <w:spacing w:after="0"/>
              <w:rPr>
                <w:sz w:val="9"/>
                <w:szCs w:val="9"/>
                <w:color w:val="auto"/>
              </w:rPr>
            </w:pPr>
          </w:p>
        </w:tc>
      </w:tr>
      <w:tr>
        <w:trPr>
          <w:trHeight w:val="296"/>
        </w:trPr>
        <w:tc>
          <w:tcPr>
            <w:tcW w:w="2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54585A"/>
              </w:rPr>
              <w:t>12/27/2024</w:t>
            </w:r>
          </w:p>
        </w:tc>
        <w:tc>
          <w:tcPr>
            <w:tcW w:w="2060" w:type="dxa"/>
            <w:vAlign w:val="bottom"/>
          </w:tcPr>
          <w:p>
            <w:pPr>
              <w:jc w:val="right"/>
              <w:ind w:right="91"/>
              <w:spacing w:after="0"/>
              <w:rPr>
                <w:sz w:val="20"/>
                <w:szCs w:val="20"/>
                <w:color w:val="auto"/>
              </w:rPr>
            </w:pPr>
            <w:r>
              <w:rPr>
                <w:rFonts w:ascii="Arial" w:cs="Arial" w:eastAsia="Arial" w:hAnsi="Arial"/>
                <w:sz w:val="14"/>
                <w:szCs w:val="14"/>
                <w:color w:val="54585A"/>
              </w:rPr>
              <w:t>5,426</w:t>
            </w:r>
          </w:p>
        </w:tc>
        <w:tc>
          <w:tcPr>
            <w:tcW w:w="1940" w:type="dxa"/>
            <w:vAlign w:val="bottom"/>
          </w:tcPr>
          <w:p>
            <w:pPr>
              <w:jc w:val="right"/>
              <w:spacing w:after="0"/>
              <w:rPr>
                <w:sz w:val="20"/>
                <w:szCs w:val="20"/>
                <w:color w:val="auto"/>
              </w:rPr>
            </w:pPr>
            <w:r>
              <w:rPr>
                <w:rFonts w:ascii="Arial" w:cs="Arial" w:eastAsia="Arial" w:hAnsi="Arial"/>
                <w:sz w:val="14"/>
                <w:szCs w:val="14"/>
                <w:color w:val="54585A"/>
              </w:rPr>
              <w:t>168,477</w:t>
            </w:r>
          </w:p>
        </w:tc>
        <w:tc>
          <w:tcPr>
            <w:tcW w:w="200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2060" w:type="dxa"/>
            <w:vAlign w:val="bottom"/>
          </w:tcPr>
          <w:p>
            <w:pPr>
              <w:jc w:val="right"/>
              <w:ind w:right="128"/>
              <w:spacing w:after="0"/>
              <w:rPr>
                <w:sz w:val="20"/>
                <w:szCs w:val="20"/>
                <w:color w:val="auto"/>
              </w:rPr>
            </w:pPr>
            <w:r>
              <w:rPr>
                <w:rFonts w:ascii="Arial" w:cs="Arial" w:eastAsia="Arial" w:hAnsi="Arial"/>
                <w:sz w:val="14"/>
                <w:szCs w:val="14"/>
                <w:color w:val="54585A"/>
              </w:rPr>
              <w:t>—</w:t>
            </w:r>
          </w:p>
        </w:tc>
      </w:tr>
      <w:tr>
        <w:trPr>
          <w:trHeight w:val="116"/>
        </w:trPr>
        <w:tc>
          <w:tcPr>
            <w:tcW w:w="2160" w:type="dxa"/>
            <w:vAlign w:val="bottom"/>
            <w:tcBorders>
              <w:bottom w:val="single" w:sz="8" w:color="54585A"/>
            </w:tcBorders>
          </w:tcPr>
          <w:p>
            <w:pPr>
              <w:spacing w:after="0"/>
              <w:rPr>
                <w:sz w:val="10"/>
                <w:szCs w:val="10"/>
                <w:color w:val="auto"/>
              </w:rPr>
            </w:pPr>
          </w:p>
        </w:tc>
        <w:tc>
          <w:tcPr>
            <w:tcW w:w="102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c>
          <w:tcPr>
            <w:tcW w:w="1940" w:type="dxa"/>
            <w:vAlign w:val="bottom"/>
            <w:tcBorders>
              <w:bottom w:val="single" w:sz="8" w:color="54585A"/>
            </w:tcBorders>
          </w:tcPr>
          <w:p>
            <w:pPr>
              <w:spacing w:after="0"/>
              <w:rPr>
                <w:sz w:val="10"/>
                <w:szCs w:val="10"/>
                <w:color w:val="auto"/>
              </w:rPr>
            </w:pPr>
          </w:p>
        </w:tc>
        <w:tc>
          <w:tcPr>
            <w:tcW w:w="2000" w:type="dxa"/>
            <w:vAlign w:val="bottom"/>
            <w:tcBorders>
              <w:bottom w:val="single" w:sz="8" w:color="54585A"/>
            </w:tcBorders>
          </w:tcPr>
          <w:p>
            <w:pPr>
              <w:spacing w:after="0"/>
              <w:rPr>
                <w:sz w:val="10"/>
                <w:szCs w:val="10"/>
                <w:color w:val="auto"/>
              </w:rPr>
            </w:pPr>
          </w:p>
        </w:tc>
        <w:tc>
          <w:tcPr>
            <w:tcW w:w="2060" w:type="dxa"/>
            <w:vAlign w:val="bottom"/>
            <w:tcBorders>
              <w:bottom w:val="single" w:sz="8" w:color="54585A"/>
            </w:tcBorders>
          </w:tcPr>
          <w:p>
            <w:pPr>
              <w:spacing w:after="0"/>
              <w:rPr>
                <w:sz w:val="10"/>
                <w:szCs w:val="10"/>
                <w:color w:val="auto"/>
              </w:rPr>
            </w:pPr>
          </w:p>
        </w:tc>
      </w:tr>
    </w:tbl>
    <w:p>
      <w:pPr>
        <w:spacing w:after="0" w:line="193" w:lineRule="exact"/>
        <w:rPr>
          <w:sz w:val="20"/>
          <w:szCs w:val="20"/>
          <w:color w:val="auto"/>
        </w:rPr>
      </w:pPr>
    </w:p>
    <w:p>
      <w:pPr>
        <w:ind w:left="340" w:right="100" w:hanging="332"/>
        <w:spacing w:after="0" w:line="297" w:lineRule="auto"/>
        <w:tabs>
          <w:tab w:leader="none" w:pos="338" w:val="left"/>
        </w:tabs>
        <w:numPr>
          <w:ilvl w:val="0"/>
          <w:numId w:val="57"/>
        </w:numPr>
        <w:rPr>
          <w:rFonts w:ascii="Arial" w:cs="Arial" w:eastAsia="Arial" w:hAnsi="Arial"/>
          <w:sz w:val="14"/>
          <w:szCs w:val="14"/>
          <w:color w:val="54585A"/>
        </w:rPr>
      </w:pPr>
      <w:r>
        <w:rPr>
          <w:rFonts w:ascii="Arial" w:cs="Arial" w:eastAsia="Arial" w:hAnsi="Arial"/>
          <w:sz w:val="14"/>
          <w:szCs w:val="14"/>
          <w:color w:val="54585A"/>
        </w:rPr>
        <w:t>Market value for shares of unvested restricted stock and unearned equity-based incentive plan holdings is equal to the product of the closing price of the Company’s stock at December 31, 2024 of $31.05 and the number of unvested restricted shares or units of stock or the number of unearned equity-based incentive plan awards, as applicable.</w:t>
      </w:r>
    </w:p>
    <w:p>
      <w:pPr>
        <w:spacing w:after="0" w:line="222" w:lineRule="exact"/>
        <w:rPr>
          <w:rFonts w:ascii="Arial" w:cs="Arial" w:eastAsia="Arial" w:hAnsi="Arial"/>
          <w:sz w:val="14"/>
          <w:szCs w:val="14"/>
          <w:color w:val="54585A"/>
        </w:rPr>
      </w:pPr>
    </w:p>
    <w:p>
      <w:pPr>
        <w:ind w:left="340" w:right="60" w:hanging="332"/>
        <w:spacing w:after="0" w:line="305" w:lineRule="auto"/>
        <w:tabs>
          <w:tab w:leader="none" w:pos="338" w:val="left"/>
        </w:tabs>
        <w:numPr>
          <w:ilvl w:val="0"/>
          <w:numId w:val="57"/>
        </w:numPr>
        <w:rPr>
          <w:rFonts w:ascii="Arial" w:cs="Arial" w:eastAsia="Arial" w:hAnsi="Arial"/>
          <w:sz w:val="14"/>
          <w:szCs w:val="14"/>
          <w:color w:val="54585A"/>
        </w:rPr>
      </w:pPr>
      <w:r>
        <w:rPr>
          <w:rFonts w:ascii="Arial" w:cs="Arial" w:eastAsia="Arial" w:hAnsi="Arial"/>
          <w:sz w:val="14"/>
          <w:szCs w:val="14"/>
          <w:color w:val="54585A"/>
        </w:rPr>
        <w:t>Awards are granted pursuant to our 2006 Equity Incentive Plan and vest over different periods. Refer to table above "2024 Grants of Plan-Based Awards" for vesting terms of all options and stock awards granted during 2024.</w:t>
      </w:r>
    </w:p>
    <w:p>
      <w:pPr>
        <w:spacing w:after="0" w:line="49" w:lineRule="exact"/>
        <w:rPr>
          <w:rFonts w:ascii="Arial" w:cs="Arial" w:eastAsia="Arial" w:hAnsi="Arial"/>
          <w:sz w:val="14"/>
          <w:szCs w:val="14"/>
          <w:color w:val="54585A"/>
        </w:rPr>
      </w:pPr>
    </w:p>
    <w:p>
      <w:pPr>
        <w:ind w:left="340" w:right="300" w:hanging="332"/>
        <w:spacing w:after="0" w:line="305" w:lineRule="auto"/>
        <w:tabs>
          <w:tab w:leader="none" w:pos="338" w:val="left"/>
        </w:tabs>
        <w:numPr>
          <w:ilvl w:val="0"/>
          <w:numId w:val="57"/>
        </w:numPr>
        <w:rPr>
          <w:rFonts w:ascii="Arial" w:cs="Arial" w:eastAsia="Arial" w:hAnsi="Arial"/>
          <w:sz w:val="14"/>
          <w:szCs w:val="14"/>
          <w:color w:val="54585A"/>
        </w:rPr>
      </w:pPr>
      <w:r>
        <w:rPr>
          <w:rFonts w:ascii="Arial" w:cs="Arial" w:eastAsia="Arial" w:hAnsi="Arial"/>
          <w:sz w:val="14"/>
          <w:szCs w:val="14"/>
          <w:color w:val="54585A"/>
        </w:rPr>
        <w:t>All amounts in the table above consist of restricted stock units which may vest at any time during a four-year period from the date of grant based on the achievement of certain sustained stock price targets between $30.00 and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500380</wp:posOffset>
            </wp:positionV>
            <wp:extent cx="257175"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ind w:left="100" w:hanging="92"/>
        <w:spacing w:after="0"/>
        <w:tabs>
          <w:tab w:leader="none" w:pos="100" w:val="left"/>
        </w:tabs>
        <w:numPr>
          <w:ilvl w:val="0"/>
          <w:numId w:val="58"/>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2024 Option Exercises and Stock Vested</w:t>
      </w:r>
    </w:p>
    <w:p>
      <w:pPr>
        <w:spacing w:after="0" w:line="95"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54585A"/>
        </w:rPr>
        <w:t>The following table sets forth certain information regarding stock awards that vested during 2024 for the NEOs. In connection with his service as an executive officer of the Company, Mr. Monroe did not exercise any options or have any restricted stock vest during 2024; therefore, he is not included in the table below. In his capacity as a director, Dr. Jacobs was granted restricted stock awards and options to purchase shares of the Company's common stock; certain of these restricted stock awards vested during 2024 and Dr. Jacobs did not exercise any of these options during 2024. Refer to the Director Compensation table above for more discussion of equity compensation granted to Mr. Monroe and Dr. Jacobs.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00" w:type="dxa"/>
            <w:vAlign w:val="bottom"/>
            <w:tcBorders>
              <w:bottom w:val="single" w:sz="8" w:color="EEEDED"/>
            </w:tcBorders>
            <w:shd w:val="clear" w:color="auto" w:fill="EEEDED"/>
          </w:tcPr>
          <w:p>
            <w:pPr>
              <w:spacing w:after="0"/>
              <w:rPr>
                <w:sz w:val="19"/>
                <w:szCs w:val="19"/>
                <w:color w:val="auto"/>
              </w:rPr>
            </w:pPr>
          </w:p>
        </w:tc>
        <w:tc>
          <w:tcPr>
            <w:tcW w:w="3600" w:type="dxa"/>
            <w:vAlign w:val="bottom"/>
            <w:tcBorders>
              <w:bottom w:val="single" w:sz="8" w:color="54585A"/>
              <w:right w:val="single" w:sz="8" w:color="54585A"/>
            </w:tcBorders>
            <w:gridSpan w:val="2"/>
            <w:shd w:val="clear" w:color="auto" w:fill="EEEDED"/>
          </w:tcPr>
          <w:p>
            <w:pPr>
              <w:jc w:val="right"/>
              <w:ind w:right="1293"/>
              <w:spacing w:after="0"/>
              <w:rPr>
                <w:sz w:val="20"/>
                <w:szCs w:val="20"/>
                <w:color w:val="auto"/>
              </w:rPr>
            </w:pPr>
            <w:r>
              <w:rPr>
                <w:rFonts w:ascii="Arial" w:cs="Arial" w:eastAsia="Arial" w:hAnsi="Arial"/>
                <w:sz w:val="14"/>
                <w:szCs w:val="14"/>
                <w:b w:val="1"/>
                <w:bCs w:val="1"/>
                <w:color w:val="54585A"/>
              </w:rPr>
              <w:t>Option Awards</w:t>
            </w:r>
          </w:p>
        </w:tc>
        <w:tc>
          <w:tcPr>
            <w:tcW w:w="3540" w:type="dxa"/>
            <w:vAlign w:val="bottom"/>
            <w:tcBorders>
              <w:bottom w:val="single" w:sz="8" w:color="54585A"/>
            </w:tcBorders>
            <w:gridSpan w:val="2"/>
            <w:shd w:val="clear" w:color="auto" w:fill="EEEDED"/>
          </w:tcPr>
          <w:p>
            <w:pPr>
              <w:jc w:val="right"/>
              <w:ind w:right="1233"/>
              <w:spacing w:after="0"/>
              <w:rPr>
                <w:sz w:val="20"/>
                <w:szCs w:val="20"/>
                <w:color w:val="auto"/>
              </w:rPr>
            </w:pPr>
            <w:r>
              <w:rPr>
                <w:rFonts w:ascii="Arial" w:cs="Arial" w:eastAsia="Arial" w:hAnsi="Arial"/>
                <w:sz w:val="14"/>
                <w:szCs w:val="14"/>
                <w:b w:val="1"/>
                <w:bCs w:val="1"/>
                <w:color w:val="54585A"/>
              </w:rPr>
              <w:t>Stock Awards</w:t>
            </w:r>
          </w:p>
        </w:tc>
        <w:tc>
          <w:tcPr>
            <w:tcW w:w="0" w:type="dxa"/>
            <w:vAlign w:val="bottom"/>
          </w:tcPr>
          <w:p>
            <w:pPr>
              <w:spacing w:after="0"/>
              <w:rPr>
                <w:sz w:val="1"/>
                <w:szCs w:val="1"/>
                <w:color w:val="auto"/>
              </w:rPr>
            </w:pPr>
          </w:p>
        </w:tc>
      </w:tr>
      <w:tr>
        <w:trPr>
          <w:trHeight w:val="193"/>
        </w:trPr>
        <w:tc>
          <w:tcPr>
            <w:tcW w:w="4100" w:type="dxa"/>
            <w:vAlign w:val="bottom"/>
            <w:shd w:val="clear" w:color="auto" w:fill="EEEDED"/>
          </w:tcPr>
          <w:p>
            <w:pPr>
              <w:spacing w:after="0"/>
              <w:rPr>
                <w:sz w:val="16"/>
                <w:szCs w:val="16"/>
                <w:color w:val="auto"/>
              </w:rPr>
            </w:pPr>
          </w:p>
        </w:tc>
        <w:tc>
          <w:tcPr>
            <w:tcW w:w="192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Number of Shares</w:t>
            </w:r>
          </w:p>
        </w:tc>
        <w:tc>
          <w:tcPr>
            <w:tcW w:w="1680" w:type="dxa"/>
            <w:vAlign w:val="bottom"/>
            <w:tcBorders>
              <w:right w:val="single" w:sz="8" w:color="54585A"/>
            </w:tcBorders>
            <w:shd w:val="clear" w:color="auto" w:fill="EEEDED"/>
          </w:tcPr>
          <w:p>
            <w:pPr>
              <w:jc w:val="right"/>
              <w:ind w:right="113"/>
              <w:spacing w:after="0"/>
              <w:rPr>
                <w:sz w:val="20"/>
                <w:szCs w:val="20"/>
                <w:color w:val="auto"/>
              </w:rPr>
            </w:pPr>
            <w:r>
              <w:rPr>
                <w:rFonts w:ascii="Arial" w:cs="Arial" w:eastAsia="Arial" w:hAnsi="Arial"/>
                <w:sz w:val="14"/>
                <w:szCs w:val="14"/>
                <w:b w:val="1"/>
                <w:bCs w:val="1"/>
                <w:color w:val="54585A"/>
              </w:rPr>
              <w:t>Value Realized on</w:t>
            </w:r>
          </w:p>
        </w:tc>
        <w:tc>
          <w:tcPr>
            <w:tcW w:w="20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Number of Shares</w:t>
            </w:r>
          </w:p>
        </w:tc>
        <w:tc>
          <w:tcPr>
            <w:tcW w:w="1500" w:type="dxa"/>
            <w:vAlign w:val="bottom"/>
            <w:shd w:val="clear" w:color="auto" w:fill="EEEDED"/>
          </w:tcPr>
          <w:p>
            <w:pPr>
              <w:jc w:val="right"/>
              <w:ind w:right="73"/>
              <w:spacing w:after="0"/>
              <w:rPr>
                <w:sz w:val="20"/>
                <w:szCs w:val="20"/>
                <w:color w:val="auto"/>
              </w:rPr>
            </w:pPr>
            <w:r>
              <w:rPr>
                <w:rFonts w:ascii="Arial" w:cs="Arial" w:eastAsia="Arial" w:hAnsi="Arial"/>
                <w:sz w:val="14"/>
                <w:szCs w:val="14"/>
                <w:b w:val="1"/>
                <w:bCs w:val="1"/>
                <w:color w:val="54585A"/>
              </w:rPr>
              <w:t>Value Realized on</w:t>
            </w:r>
          </w:p>
        </w:tc>
        <w:tc>
          <w:tcPr>
            <w:tcW w:w="0" w:type="dxa"/>
            <w:vAlign w:val="bottom"/>
          </w:tcPr>
          <w:p>
            <w:pPr>
              <w:spacing w:after="0"/>
              <w:rPr>
                <w:sz w:val="1"/>
                <w:szCs w:val="1"/>
                <w:color w:val="auto"/>
              </w:rPr>
            </w:pPr>
          </w:p>
        </w:tc>
      </w:tr>
      <w:tr>
        <w:trPr>
          <w:trHeight w:val="173"/>
        </w:trPr>
        <w:tc>
          <w:tcPr>
            <w:tcW w:w="4100" w:type="dxa"/>
            <w:vAlign w:val="bottom"/>
            <w:vMerge w:val="restart"/>
            <w:shd w:val="clear" w:color="auto" w:fill="EEEDED"/>
          </w:tcPr>
          <w:p>
            <w:pPr>
              <w:ind w:left="100"/>
              <w:spacing w:after="0"/>
              <w:rPr>
                <w:sz w:val="20"/>
                <w:szCs w:val="20"/>
                <w:color w:val="auto"/>
              </w:rPr>
            </w:pPr>
            <w:r>
              <w:rPr>
                <w:rFonts w:ascii="Arial" w:cs="Arial" w:eastAsia="Arial" w:hAnsi="Arial"/>
                <w:sz w:val="14"/>
                <w:szCs w:val="14"/>
                <w:b w:val="1"/>
                <w:bCs w:val="1"/>
                <w:color w:val="54585A"/>
              </w:rPr>
              <w:t>Name</w:t>
            </w:r>
          </w:p>
        </w:tc>
        <w:tc>
          <w:tcPr>
            <w:tcW w:w="192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Acquired on Exercise</w:t>
            </w:r>
          </w:p>
        </w:tc>
        <w:tc>
          <w:tcPr>
            <w:tcW w:w="1680" w:type="dxa"/>
            <w:vAlign w:val="bottom"/>
            <w:tcBorders>
              <w:right w:val="single" w:sz="8" w:color="54585A"/>
            </w:tcBorders>
            <w:shd w:val="clear" w:color="auto" w:fill="EEEDED"/>
          </w:tcPr>
          <w:p>
            <w:pPr>
              <w:jc w:val="right"/>
              <w:ind w:right="113"/>
              <w:spacing w:after="0"/>
              <w:rPr>
                <w:sz w:val="20"/>
                <w:szCs w:val="20"/>
                <w:color w:val="auto"/>
              </w:rPr>
            </w:pPr>
            <w:r>
              <w:rPr>
                <w:rFonts w:ascii="Arial" w:cs="Arial" w:eastAsia="Arial" w:hAnsi="Arial"/>
                <w:sz w:val="14"/>
                <w:szCs w:val="14"/>
                <w:b w:val="1"/>
                <w:bCs w:val="1"/>
                <w:color w:val="54585A"/>
              </w:rPr>
              <w:t>Exercise</w:t>
            </w:r>
          </w:p>
        </w:tc>
        <w:tc>
          <w:tcPr>
            <w:tcW w:w="20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Acquired on Vesting</w:t>
            </w:r>
          </w:p>
        </w:tc>
        <w:tc>
          <w:tcPr>
            <w:tcW w:w="1500" w:type="dxa"/>
            <w:vAlign w:val="bottom"/>
            <w:shd w:val="clear" w:color="auto" w:fill="EEEDED"/>
          </w:tcPr>
          <w:p>
            <w:pPr>
              <w:jc w:val="right"/>
              <w:ind w:right="73"/>
              <w:spacing w:after="0"/>
              <w:rPr>
                <w:sz w:val="20"/>
                <w:szCs w:val="20"/>
                <w:color w:val="auto"/>
              </w:rPr>
            </w:pPr>
            <w:r>
              <w:rPr>
                <w:rFonts w:ascii="Arial" w:cs="Arial" w:eastAsia="Arial" w:hAnsi="Arial"/>
                <w:sz w:val="14"/>
                <w:szCs w:val="14"/>
                <w:b w:val="1"/>
                <w:bCs w:val="1"/>
                <w:color w:val="54585A"/>
              </w:rPr>
              <w:t>Vesting</w:t>
            </w:r>
          </w:p>
        </w:tc>
        <w:tc>
          <w:tcPr>
            <w:tcW w:w="0" w:type="dxa"/>
            <w:vAlign w:val="bottom"/>
          </w:tcPr>
          <w:p>
            <w:pPr>
              <w:spacing w:after="0"/>
              <w:rPr>
                <w:sz w:val="1"/>
                <w:szCs w:val="1"/>
                <w:color w:val="auto"/>
              </w:rPr>
            </w:pPr>
          </w:p>
        </w:tc>
      </w:tr>
      <w:tr>
        <w:trPr>
          <w:trHeight w:val="201"/>
        </w:trPr>
        <w:tc>
          <w:tcPr>
            <w:tcW w:w="4100" w:type="dxa"/>
            <w:vAlign w:val="bottom"/>
            <w:vMerge w:val="continue"/>
            <w:shd w:val="clear" w:color="auto" w:fill="EEEDED"/>
          </w:tcPr>
          <w:p>
            <w:pPr>
              <w:spacing w:after="0"/>
              <w:rPr>
                <w:sz w:val="17"/>
                <w:szCs w:val="17"/>
                <w:color w:val="auto"/>
              </w:rPr>
            </w:pPr>
          </w:p>
        </w:tc>
        <w:tc>
          <w:tcPr>
            <w:tcW w:w="1920" w:type="dxa"/>
            <w:vAlign w:val="bottom"/>
            <w:shd w:val="clear" w:color="auto" w:fill="EEEDED"/>
          </w:tcPr>
          <w:p>
            <w:pPr>
              <w:ind w:left="1740"/>
              <w:spacing w:after="0"/>
              <w:rPr>
                <w:sz w:val="20"/>
                <w:szCs w:val="20"/>
                <w:color w:val="auto"/>
              </w:rPr>
            </w:pPr>
            <w:r>
              <w:rPr>
                <w:rFonts w:ascii="Arial" w:cs="Arial" w:eastAsia="Arial" w:hAnsi="Arial"/>
                <w:sz w:val="14"/>
                <w:szCs w:val="14"/>
                <w:b w:val="1"/>
                <w:bCs w:val="1"/>
                <w:color w:val="54585A"/>
                <w:w w:val="93"/>
              </w:rPr>
              <w:t>(#)</w:t>
            </w:r>
          </w:p>
        </w:tc>
        <w:tc>
          <w:tcPr>
            <w:tcW w:w="1680" w:type="dxa"/>
            <w:vAlign w:val="bottom"/>
            <w:tcBorders>
              <w:right w:val="single" w:sz="8" w:color="54585A"/>
            </w:tcBorders>
            <w:shd w:val="clear" w:color="auto" w:fill="EEEDED"/>
          </w:tcPr>
          <w:p>
            <w:pPr>
              <w:jc w:val="right"/>
              <w:ind w:right="113"/>
              <w:spacing w:after="0" w:line="201" w:lineRule="exact"/>
              <w:rPr>
                <w:sz w:val="20"/>
                <w:szCs w:val="20"/>
                <w:color w:val="auto"/>
              </w:rPr>
            </w:pPr>
            <w:r>
              <w:rPr>
                <w:rFonts w:ascii="Arial" w:cs="Arial" w:eastAsia="Arial" w:hAnsi="Arial"/>
                <w:sz w:val="23"/>
                <w:szCs w:val="23"/>
                <w:b w:val="1"/>
                <w:bCs w:val="1"/>
                <w:color w:val="54585A"/>
                <w:vertAlign w:val="subscript"/>
              </w:rPr>
              <w:t>($)</w:t>
            </w:r>
            <w:r>
              <w:rPr>
                <w:rFonts w:ascii="Arial" w:cs="Arial" w:eastAsia="Arial" w:hAnsi="Arial"/>
                <w:sz w:val="8"/>
                <w:szCs w:val="8"/>
                <w:b w:val="1"/>
                <w:bCs w:val="1"/>
                <w:color w:val="54585A"/>
              </w:rPr>
              <w:t xml:space="preserve"> (1)</w:t>
            </w:r>
          </w:p>
        </w:tc>
        <w:tc>
          <w:tcPr>
            <w:tcW w:w="20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c>
          <w:tcPr>
            <w:tcW w:w="1500" w:type="dxa"/>
            <w:vAlign w:val="bottom"/>
            <w:shd w:val="clear" w:color="auto" w:fill="EEEDED"/>
          </w:tcPr>
          <w:p>
            <w:pPr>
              <w:jc w:val="right"/>
              <w:ind w:right="73"/>
              <w:spacing w:after="0" w:line="201" w:lineRule="exact"/>
              <w:rPr>
                <w:sz w:val="20"/>
                <w:szCs w:val="20"/>
                <w:color w:val="auto"/>
              </w:rPr>
            </w:pPr>
            <w:r>
              <w:rPr>
                <w:rFonts w:ascii="Arial" w:cs="Arial" w:eastAsia="Arial" w:hAnsi="Arial"/>
                <w:sz w:val="23"/>
                <w:szCs w:val="23"/>
                <w:b w:val="1"/>
                <w:bCs w:val="1"/>
                <w:color w:val="54585A"/>
                <w:vertAlign w:val="subscript"/>
              </w:rPr>
              <w:t>($)</w:t>
            </w:r>
            <w:r>
              <w:rPr>
                <w:rFonts w:ascii="Arial" w:cs="Arial" w:eastAsia="Arial" w:hAnsi="Arial"/>
                <w:sz w:val="8"/>
                <w:szCs w:val="8"/>
                <w:b w:val="1"/>
                <w:bCs w:val="1"/>
                <w:color w:val="54585A"/>
              </w:rPr>
              <w:t xml:space="preserve"> (2)</w:t>
            </w:r>
          </w:p>
        </w:tc>
        <w:tc>
          <w:tcPr>
            <w:tcW w:w="0" w:type="dxa"/>
            <w:vAlign w:val="bottom"/>
          </w:tcPr>
          <w:p>
            <w:pPr>
              <w:spacing w:after="0"/>
              <w:rPr>
                <w:sz w:val="1"/>
                <w:szCs w:val="1"/>
                <w:color w:val="auto"/>
              </w:rPr>
            </w:pPr>
          </w:p>
        </w:tc>
      </w:tr>
      <w:tr>
        <w:trPr>
          <w:trHeight w:val="94"/>
        </w:trPr>
        <w:tc>
          <w:tcPr>
            <w:tcW w:w="4100" w:type="dxa"/>
            <w:vAlign w:val="bottom"/>
            <w:shd w:val="clear" w:color="auto" w:fill="EEEDED"/>
          </w:tcPr>
          <w:p>
            <w:pPr>
              <w:spacing w:after="0"/>
              <w:rPr>
                <w:sz w:val="8"/>
                <w:szCs w:val="8"/>
                <w:color w:val="auto"/>
              </w:rPr>
            </w:pPr>
          </w:p>
        </w:tc>
        <w:tc>
          <w:tcPr>
            <w:tcW w:w="1920" w:type="dxa"/>
            <w:vAlign w:val="bottom"/>
            <w:shd w:val="clear" w:color="auto" w:fill="EEEDED"/>
          </w:tcPr>
          <w:p>
            <w:pPr>
              <w:spacing w:after="0"/>
              <w:rPr>
                <w:sz w:val="8"/>
                <w:szCs w:val="8"/>
                <w:color w:val="auto"/>
              </w:rPr>
            </w:pPr>
          </w:p>
        </w:tc>
        <w:tc>
          <w:tcPr>
            <w:tcW w:w="1680" w:type="dxa"/>
            <w:vAlign w:val="bottom"/>
            <w:tcBorders>
              <w:right w:val="single" w:sz="8" w:color="54585A"/>
            </w:tcBorders>
            <w:shd w:val="clear" w:color="auto" w:fill="EEEDED"/>
          </w:tcPr>
          <w:p>
            <w:pPr>
              <w:spacing w:after="0"/>
              <w:rPr>
                <w:sz w:val="8"/>
                <w:szCs w:val="8"/>
                <w:color w:val="auto"/>
              </w:rPr>
            </w:pPr>
          </w:p>
        </w:tc>
        <w:tc>
          <w:tcPr>
            <w:tcW w:w="2040" w:type="dxa"/>
            <w:vAlign w:val="bottom"/>
            <w:shd w:val="clear" w:color="auto" w:fill="EEEDED"/>
          </w:tcPr>
          <w:p>
            <w:pPr>
              <w:spacing w:after="0"/>
              <w:rPr>
                <w:sz w:val="8"/>
                <w:szCs w:val="8"/>
                <w:color w:val="auto"/>
              </w:rPr>
            </w:pPr>
          </w:p>
        </w:tc>
        <w:tc>
          <w:tcPr>
            <w:tcW w:w="1500" w:type="dxa"/>
            <w:vAlign w:val="bottom"/>
            <w:shd w:val="clear" w:color="auto" w:fill="EEEDED"/>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Dr. Paul E. Jacobs</w:t>
            </w:r>
          </w:p>
        </w:tc>
        <w:tc>
          <w:tcPr>
            <w:tcW w:w="1920" w:type="dxa"/>
            <w:vAlign w:val="bottom"/>
            <w:tcBorders>
              <w:bottom w:val="single" w:sz="8" w:color="54585A"/>
            </w:tcBorders>
          </w:tcPr>
          <w:p>
            <w:pPr>
              <w:ind w:left="1720"/>
              <w:spacing w:after="0"/>
              <w:rPr>
                <w:sz w:val="20"/>
                <w:szCs w:val="20"/>
                <w:color w:val="auto"/>
              </w:rPr>
            </w:pPr>
            <w:r>
              <w:rPr>
                <w:rFonts w:ascii="Arial" w:cs="Arial" w:eastAsia="Arial" w:hAnsi="Arial"/>
                <w:sz w:val="14"/>
                <w:szCs w:val="14"/>
                <w:color w:val="54585A"/>
              </w:rPr>
              <w:t>—</w:t>
            </w:r>
          </w:p>
        </w:tc>
        <w:tc>
          <w:tcPr>
            <w:tcW w:w="1680" w:type="dxa"/>
            <w:vAlign w:val="bottom"/>
            <w:tcBorders>
              <w:bottom w:val="single" w:sz="8" w:color="54585A"/>
              <w:right w:val="single" w:sz="8" w:color="54585A"/>
            </w:tcBorders>
          </w:tcPr>
          <w:p>
            <w:pPr>
              <w:jc w:val="right"/>
              <w:ind w:right="153"/>
              <w:spacing w:after="0"/>
              <w:rPr>
                <w:sz w:val="20"/>
                <w:szCs w:val="20"/>
                <w:color w:val="auto"/>
              </w:rPr>
            </w:pPr>
            <w:r>
              <w:rPr>
                <w:rFonts w:ascii="Arial" w:cs="Arial" w:eastAsia="Arial" w:hAnsi="Arial"/>
                <w:sz w:val="14"/>
                <w:szCs w:val="14"/>
                <w:color w:val="54585A"/>
              </w:rPr>
              <w:t>—</w:t>
            </w:r>
          </w:p>
        </w:tc>
        <w:tc>
          <w:tcPr>
            <w:tcW w:w="204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8,521</w:t>
            </w:r>
          </w:p>
        </w:tc>
        <w:tc>
          <w:tcPr>
            <w:tcW w:w="1500" w:type="dxa"/>
            <w:vAlign w:val="bottom"/>
            <w:tcBorders>
              <w:bottom w:val="single" w:sz="8" w:color="54585A"/>
            </w:tcBorders>
          </w:tcPr>
          <w:p>
            <w:pPr>
              <w:jc w:val="right"/>
              <w:ind w:right="113"/>
              <w:spacing w:after="0"/>
              <w:rPr>
                <w:sz w:val="20"/>
                <w:szCs w:val="20"/>
                <w:color w:val="auto"/>
              </w:rPr>
            </w:pPr>
            <w:r>
              <w:rPr>
                <w:rFonts w:ascii="Arial" w:cs="Arial" w:eastAsia="Arial" w:hAnsi="Arial"/>
                <w:sz w:val="14"/>
                <w:szCs w:val="14"/>
                <w:color w:val="54585A"/>
              </w:rPr>
              <w:t>170,000</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Rebecca S. Clary</w:t>
            </w:r>
          </w:p>
        </w:tc>
        <w:tc>
          <w:tcPr>
            <w:tcW w:w="1920" w:type="dxa"/>
            <w:vAlign w:val="bottom"/>
            <w:tcBorders>
              <w:bottom w:val="single" w:sz="8" w:color="54585A"/>
            </w:tcBorders>
          </w:tcPr>
          <w:p>
            <w:pPr>
              <w:ind w:left="1720"/>
              <w:spacing w:after="0"/>
              <w:rPr>
                <w:sz w:val="20"/>
                <w:szCs w:val="20"/>
                <w:color w:val="auto"/>
              </w:rPr>
            </w:pPr>
            <w:r>
              <w:rPr>
                <w:rFonts w:ascii="Arial" w:cs="Arial" w:eastAsia="Arial" w:hAnsi="Arial"/>
                <w:sz w:val="14"/>
                <w:szCs w:val="14"/>
                <w:color w:val="54585A"/>
              </w:rPr>
              <w:t>—</w:t>
            </w:r>
          </w:p>
        </w:tc>
        <w:tc>
          <w:tcPr>
            <w:tcW w:w="1680" w:type="dxa"/>
            <w:vAlign w:val="bottom"/>
            <w:tcBorders>
              <w:bottom w:val="single" w:sz="8" w:color="54585A"/>
              <w:right w:val="single" w:sz="8" w:color="54585A"/>
            </w:tcBorders>
          </w:tcPr>
          <w:p>
            <w:pPr>
              <w:jc w:val="right"/>
              <w:ind w:right="153"/>
              <w:spacing w:after="0"/>
              <w:rPr>
                <w:sz w:val="20"/>
                <w:szCs w:val="20"/>
                <w:color w:val="auto"/>
              </w:rPr>
            </w:pPr>
            <w:r>
              <w:rPr>
                <w:rFonts w:ascii="Arial" w:cs="Arial" w:eastAsia="Arial" w:hAnsi="Arial"/>
                <w:sz w:val="14"/>
                <w:szCs w:val="14"/>
                <w:color w:val="54585A"/>
              </w:rPr>
              <w:t>—</w:t>
            </w:r>
          </w:p>
        </w:tc>
        <w:tc>
          <w:tcPr>
            <w:tcW w:w="204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12,602</w:t>
            </w:r>
          </w:p>
        </w:tc>
        <w:tc>
          <w:tcPr>
            <w:tcW w:w="1500" w:type="dxa"/>
            <w:vAlign w:val="bottom"/>
            <w:tcBorders>
              <w:bottom w:val="single" w:sz="8" w:color="54585A"/>
            </w:tcBorders>
          </w:tcPr>
          <w:p>
            <w:pPr>
              <w:jc w:val="right"/>
              <w:ind w:right="113"/>
              <w:spacing w:after="0"/>
              <w:rPr>
                <w:sz w:val="20"/>
                <w:szCs w:val="20"/>
                <w:color w:val="auto"/>
              </w:rPr>
            </w:pPr>
            <w:r>
              <w:rPr>
                <w:rFonts w:ascii="Arial" w:cs="Arial" w:eastAsia="Arial" w:hAnsi="Arial"/>
                <w:sz w:val="14"/>
                <w:szCs w:val="14"/>
                <w:color w:val="54585A"/>
              </w:rPr>
              <w:t>321,822</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L. Barbee Ponder IV</w:t>
            </w:r>
          </w:p>
        </w:tc>
        <w:tc>
          <w:tcPr>
            <w:tcW w:w="1920" w:type="dxa"/>
            <w:vAlign w:val="bottom"/>
            <w:tcBorders>
              <w:bottom w:val="single" w:sz="8" w:color="54585A"/>
            </w:tcBorders>
          </w:tcPr>
          <w:p>
            <w:pPr>
              <w:ind w:left="1720"/>
              <w:spacing w:after="0"/>
              <w:rPr>
                <w:sz w:val="20"/>
                <w:szCs w:val="20"/>
                <w:color w:val="auto"/>
              </w:rPr>
            </w:pPr>
            <w:r>
              <w:rPr>
                <w:rFonts w:ascii="Arial" w:cs="Arial" w:eastAsia="Arial" w:hAnsi="Arial"/>
                <w:sz w:val="14"/>
                <w:szCs w:val="14"/>
                <w:color w:val="54585A"/>
              </w:rPr>
              <w:t>—</w:t>
            </w:r>
          </w:p>
        </w:tc>
        <w:tc>
          <w:tcPr>
            <w:tcW w:w="1680" w:type="dxa"/>
            <w:vAlign w:val="bottom"/>
            <w:tcBorders>
              <w:bottom w:val="single" w:sz="8" w:color="54585A"/>
              <w:right w:val="single" w:sz="8" w:color="54585A"/>
            </w:tcBorders>
          </w:tcPr>
          <w:p>
            <w:pPr>
              <w:jc w:val="right"/>
              <w:ind w:right="153"/>
              <w:spacing w:after="0"/>
              <w:rPr>
                <w:sz w:val="20"/>
                <w:szCs w:val="20"/>
                <w:color w:val="auto"/>
              </w:rPr>
            </w:pPr>
            <w:r>
              <w:rPr>
                <w:rFonts w:ascii="Arial" w:cs="Arial" w:eastAsia="Arial" w:hAnsi="Arial"/>
                <w:sz w:val="14"/>
                <w:szCs w:val="14"/>
                <w:color w:val="54585A"/>
              </w:rPr>
              <w:t>—</w:t>
            </w:r>
          </w:p>
        </w:tc>
        <w:tc>
          <w:tcPr>
            <w:tcW w:w="2040" w:type="dxa"/>
            <w:vAlign w:val="bottom"/>
            <w:tcBorders>
              <w:bottom w:val="single" w:sz="8" w:color="54585A"/>
            </w:tcBorders>
          </w:tcPr>
          <w:p>
            <w:pPr>
              <w:jc w:val="right"/>
              <w:ind w:right="128"/>
              <w:spacing w:after="0"/>
              <w:rPr>
                <w:sz w:val="20"/>
                <w:szCs w:val="20"/>
                <w:color w:val="auto"/>
              </w:rPr>
            </w:pPr>
            <w:r>
              <w:rPr>
                <w:rFonts w:ascii="Arial" w:cs="Arial" w:eastAsia="Arial" w:hAnsi="Arial"/>
                <w:sz w:val="14"/>
                <w:szCs w:val="14"/>
                <w:color w:val="54585A"/>
              </w:rPr>
              <w:t>15,679</w:t>
            </w:r>
          </w:p>
        </w:tc>
        <w:tc>
          <w:tcPr>
            <w:tcW w:w="1500" w:type="dxa"/>
            <w:vAlign w:val="bottom"/>
            <w:tcBorders>
              <w:bottom w:val="single" w:sz="8" w:color="54585A"/>
            </w:tcBorders>
          </w:tcPr>
          <w:p>
            <w:pPr>
              <w:jc w:val="right"/>
              <w:ind w:right="113"/>
              <w:spacing w:after="0"/>
              <w:rPr>
                <w:sz w:val="20"/>
                <w:szCs w:val="20"/>
                <w:color w:val="auto"/>
              </w:rPr>
            </w:pPr>
            <w:r>
              <w:rPr>
                <w:rFonts w:ascii="Arial" w:cs="Arial" w:eastAsia="Arial" w:hAnsi="Arial"/>
                <w:sz w:val="14"/>
                <w:szCs w:val="14"/>
                <w:color w:val="54585A"/>
              </w:rPr>
              <w:t>453,611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4"/>
          <w:szCs w:val="14"/>
          <w:color w:val="54585A"/>
        </w:rPr>
      </w:pPr>
      <w:r>
        <w:rPr>
          <w:rFonts w:ascii="Arial" w:cs="Arial" w:eastAsia="Arial" w:hAnsi="Arial"/>
          <w:sz w:val="14"/>
          <w:szCs w:val="14"/>
          <w:color w:val="54585A"/>
        </w:rPr>
        <w:t>The value realized upon exercise represents the excess of the market price of the underlying securities on the date of exercise and the exercise price of the options.</w:t>
      </w:r>
    </w:p>
    <w:p>
      <w:pPr>
        <w:spacing w:after="0" w:line="109" w:lineRule="exact"/>
        <w:rPr>
          <w:rFonts w:ascii="Arial" w:cs="Arial" w:eastAsia="Arial" w:hAnsi="Arial"/>
          <w:sz w:val="14"/>
          <w:szCs w:val="14"/>
          <w:color w:val="54585A"/>
        </w:rPr>
      </w:pPr>
    </w:p>
    <w:p>
      <w:pPr>
        <w:ind w:left="340" w:right="180" w:hanging="332"/>
        <w:spacing w:after="0" w:line="305" w:lineRule="auto"/>
        <w:tabs>
          <w:tab w:leader="none" w:pos="338" w:val="left"/>
        </w:tabs>
        <w:numPr>
          <w:ilvl w:val="0"/>
          <w:numId w:val="59"/>
        </w:numPr>
        <w:rPr>
          <w:rFonts w:ascii="Arial" w:cs="Arial" w:eastAsia="Arial" w:hAnsi="Arial"/>
          <w:sz w:val="14"/>
          <w:szCs w:val="14"/>
          <w:color w:val="54585A"/>
        </w:rPr>
      </w:pPr>
      <w:r>
        <w:rPr>
          <w:rFonts w:ascii="Arial" w:cs="Arial" w:eastAsia="Arial" w:hAnsi="Arial"/>
          <w:sz w:val="14"/>
          <w:szCs w:val="14"/>
          <w:color w:val="54585A"/>
        </w:rPr>
        <w:t>The aggregate market value realized upon the vesting of restricted stock awards represents the aggregate market value of Globalstar common stock on the vesting date, which was determined using the closing price on the vesting date, or if such day is a weekend or holiday, on the immediately preceding trading day.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Payments Upon Termination or Change in Control</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54585A"/>
        </w:rPr>
        <w:t>Jacobs Employment Agreement</w:t>
      </w:r>
    </w:p>
    <w:p>
      <w:pPr>
        <w:spacing w:after="0" w:line="125"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54585A"/>
        </w:rPr>
        <w:t>Dr. Jacobs is employed under an amended and restated employment agreement between Globalstar and Dr. Jacobs. There is no termination date in the agreement, and employment may be terminated by the Company or Dr. Jacobs under customary circumstances. The employment agreement provides for payment of base salary and an initial equity grant (as discussed in Compensation, Discussion and Analysis above) as well as the ability to earn an annual bonus. Dr. Jacobs is also entitled to participate in the Company's benefit plans. Upon termination of employment, Dr. Jacobs shall be entitled to receive all earned but unpaid base salary, vested benefits, and any unpaid business expenses. Upon certain termination conditions, not including a change of control, unvested restricted stock units may continue to vest for a period of two years. Upon termination in connection with a change of control, Dr. Jacobs will receive a final measurement treatment of any vested restricted stock units, meaning that the vesting of Dr. Jacobs’ restricted stock units will be measured based on the stock price vesting requirements at the time of the change of control, and all restricted stock units that remain unvested after this measurement will be forfeited.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i w:val="1"/>
          <w:iCs w:val="1"/>
          <w:color w:val="54585A"/>
        </w:rPr>
        <w:t>Payments Upon Termination or Change of Control: Dr. Jacobs, Ms. Clary and Mr. Ponder</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54585A"/>
        </w:rPr>
        <w:t>Other than agreements with respect to compensation, we have not entered into employment agreements with our executive officers, other than Dr.</w:t>
      </w:r>
    </w:p>
    <w:p>
      <w:pPr>
        <w:spacing w:after="0" w:line="59" w:lineRule="exact"/>
        <w:rPr>
          <w:sz w:val="20"/>
          <w:szCs w:val="20"/>
          <w:color w:val="auto"/>
        </w:rPr>
      </w:pPr>
    </w:p>
    <w:p>
      <w:pPr>
        <w:jc w:val="both"/>
        <w:ind w:right="20"/>
        <w:spacing w:after="0" w:line="345" w:lineRule="auto"/>
        <w:rPr>
          <w:sz w:val="20"/>
          <w:szCs w:val="20"/>
          <w:color w:val="auto"/>
        </w:rPr>
      </w:pPr>
      <w:r>
        <w:rPr>
          <w:rFonts w:ascii="Arial" w:cs="Arial" w:eastAsia="Arial" w:hAnsi="Arial"/>
          <w:sz w:val="16"/>
          <w:szCs w:val="16"/>
          <w:color w:val="54585A"/>
        </w:rPr>
        <w:t>Jacobs. Voluntary termination of employment or retirement would not result in any payments to Ms. Clary or Mr. Ponder beyond the amounts each would be entitled to receive under our retirement plan. We pay life insurance premiums for all U.S.-based employees that will be paid (based on a multiple of salary) to the employee’s beneficiary upon death.</w:t>
      </w:r>
    </w:p>
    <w:p>
      <w:pPr>
        <w:spacing w:after="0" w:line="125" w:lineRule="exact"/>
        <w:rPr>
          <w:sz w:val="20"/>
          <w:szCs w:val="20"/>
          <w:color w:val="auto"/>
        </w:rPr>
      </w:pPr>
    </w:p>
    <w:p>
      <w:pPr>
        <w:ind w:right="180"/>
        <w:spacing w:after="0" w:line="325" w:lineRule="auto"/>
        <w:rPr>
          <w:sz w:val="20"/>
          <w:szCs w:val="20"/>
          <w:color w:val="auto"/>
        </w:rPr>
      </w:pPr>
      <w:r>
        <w:rPr>
          <w:rFonts w:ascii="Arial" w:cs="Arial" w:eastAsia="Arial" w:hAnsi="Arial"/>
          <w:sz w:val="16"/>
          <w:szCs w:val="16"/>
          <w:color w:val="54585A"/>
        </w:rPr>
        <w:t>Severance payments may be paid to eligible U.S.-based employees if an employee is terminated due to a reduction in workforce and upon the employee’s execution of a release of claims. Under this plan, Ms. Clary and Mr. Ponder would receive a lump sum payment equal to six to eight weeks' base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54585A"/>
        </w:rPr>
        <w:t>salary. Other severance, if any, is determined at the time of dismissal and is subject to negotiation.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381000</wp:posOffset>
            </wp:positionV>
            <wp:extent cx="257175" cy="2571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36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54585A"/>
        </w:rPr>
        <w:t>Under the Plan, if a participant dies, becomes disabled or is terminated for cause, unvested awards are forfeited. For vested option awards, the participant or his survivor generally has 12 months to exercise. If a participant is terminated for cause, all unexercised vested options also are forfeited. If a change in control occurs, any unvested options or restricted shares outstanding would vest immediately. A change in control occurs upon: (1) a person or group (other than us, an existing controlling stockholder, or a trustee for an employee benefit plan) acquiring beneficial ownership of 50% or more of the voting power in the election of directors; (2) upon merger or consolidation; (3) a sale of all or substantially all of our assets; or (4) the sale or exchange by the stockholders of more than 50% of our voting stock; provided however, that a change in control is not deemed to have occurred if the majority of the board of directors of the surviving company is comprised of our directors. The Compensation Committee, in its discretion, also may take other actions to provide for the acceleration of the exercisability or vesting of other awards under the Plan prior to, upon or following a change in control.</w:t>
      </w:r>
    </w:p>
    <w:p>
      <w:pPr>
        <w:spacing w:after="0" w:line="13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54585A"/>
        </w:rPr>
        <w:t>The following table shows the amount of potential payments to the NEOs under the listed events, based on the assumption that the triggering event took place on December 31, 2024. In connection with his service as an executive officer of the Company, Mr. Monroe did not receive any compensation nor does Mr. Monroe have any outstanding equity awards at 2024 fiscal year-end, and therefore he is not reflected in the table below. There are no unvested stock options for Messrs. Jacobs and Ponder or Ms. Clary, and therefore amounts are not reflected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shd w:val="clear" w:color="auto" w:fill="EEEDED"/>
          </w:tcPr>
          <w:p>
            <w:pPr>
              <w:spacing w:after="0"/>
              <w:rPr>
                <w:sz w:val="16"/>
                <w:szCs w:val="16"/>
                <w:color w:val="auto"/>
              </w:rPr>
            </w:pPr>
          </w:p>
        </w:tc>
        <w:tc>
          <w:tcPr>
            <w:tcW w:w="2060" w:type="dxa"/>
            <w:vAlign w:val="bottom"/>
            <w:shd w:val="clear" w:color="auto" w:fill="EEEDED"/>
          </w:tcPr>
          <w:p>
            <w:pPr>
              <w:jc w:val="right"/>
              <w:ind w:right="388"/>
              <w:spacing w:after="0"/>
              <w:rPr>
                <w:sz w:val="20"/>
                <w:szCs w:val="20"/>
                <w:color w:val="auto"/>
              </w:rPr>
            </w:pPr>
            <w:r>
              <w:rPr>
                <w:rFonts w:ascii="Arial" w:cs="Arial" w:eastAsia="Arial" w:hAnsi="Arial"/>
                <w:sz w:val="14"/>
                <w:szCs w:val="14"/>
                <w:b w:val="1"/>
                <w:bCs w:val="1"/>
                <w:color w:val="54585A"/>
              </w:rPr>
              <w:t>Dr. Jacobs</w:t>
            </w:r>
          </w:p>
        </w:tc>
        <w:tc>
          <w:tcPr>
            <w:tcW w:w="1580" w:type="dxa"/>
            <w:vAlign w:val="bottom"/>
            <w:shd w:val="clear" w:color="auto" w:fill="EEEDED"/>
          </w:tcPr>
          <w:p>
            <w:pPr>
              <w:jc w:val="right"/>
              <w:ind w:right="368"/>
              <w:spacing w:after="0"/>
              <w:rPr>
                <w:sz w:val="20"/>
                <w:szCs w:val="20"/>
                <w:color w:val="auto"/>
              </w:rPr>
            </w:pPr>
            <w:r>
              <w:rPr>
                <w:rFonts w:ascii="Arial" w:cs="Arial" w:eastAsia="Arial" w:hAnsi="Arial"/>
                <w:sz w:val="14"/>
                <w:szCs w:val="14"/>
                <w:b w:val="1"/>
                <w:bCs w:val="1"/>
                <w:color w:val="54585A"/>
              </w:rPr>
              <w:t>Ms. Clary</w:t>
            </w:r>
          </w:p>
        </w:tc>
        <w:tc>
          <w:tcPr>
            <w:tcW w:w="132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Mr. Ponder</w:t>
            </w:r>
          </w:p>
        </w:tc>
      </w:tr>
      <w:tr>
        <w:trPr>
          <w:trHeight w:val="196"/>
        </w:trPr>
        <w:tc>
          <w:tcPr>
            <w:tcW w:w="6280" w:type="dxa"/>
            <w:vAlign w:val="bottom"/>
            <w:shd w:val="clear" w:color="auto" w:fill="EEEDED"/>
          </w:tcPr>
          <w:p>
            <w:pPr>
              <w:spacing w:after="0"/>
              <w:rPr>
                <w:sz w:val="17"/>
                <w:szCs w:val="17"/>
                <w:color w:val="auto"/>
              </w:rPr>
            </w:pPr>
          </w:p>
        </w:tc>
        <w:tc>
          <w:tcPr>
            <w:tcW w:w="2060" w:type="dxa"/>
            <w:vAlign w:val="bottom"/>
            <w:shd w:val="clear" w:color="auto" w:fill="EEEDED"/>
          </w:tcPr>
          <w:p>
            <w:pPr>
              <w:jc w:val="right"/>
              <w:ind w:right="388"/>
              <w:spacing w:after="0"/>
              <w:rPr>
                <w:sz w:val="20"/>
                <w:szCs w:val="20"/>
                <w:color w:val="auto"/>
              </w:rPr>
            </w:pPr>
            <w:r>
              <w:rPr>
                <w:rFonts w:ascii="Arial" w:cs="Arial" w:eastAsia="Arial" w:hAnsi="Arial"/>
                <w:sz w:val="14"/>
                <w:szCs w:val="14"/>
                <w:b w:val="1"/>
                <w:bCs w:val="1"/>
                <w:color w:val="54585A"/>
              </w:rPr>
              <w:t>($)</w:t>
            </w:r>
          </w:p>
        </w:tc>
        <w:tc>
          <w:tcPr>
            <w:tcW w:w="1580" w:type="dxa"/>
            <w:vAlign w:val="bottom"/>
            <w:shd w:val="clear" w:color="auto" w:fill="EEEDED"/>
          </w:tcPr>
          <w:p>
            <w:pPr>
              <w:jc w:val="right"/>
              <w:ind w:right="368"/>
              <w:spacing w:after="0"/>
              <w:rPr>
                <w:sz w:val="20"/>
                <w:szCs w:val="20"/>
                <w:color w:val="auto"/>
              </w:rPr>
            </w:pPr>
            <w:r>
              <w:rPr>
                <w:rFonts w:ascii="Arial" w:cs="Arial" w:eastAsia="Arial" w:hAnsi="Arial"/>
                <w:sz w:val="14"/>
                <w:szCs w:val="14"/>
                <w:b w:val="1"/>
                <w:bCs w:val="1"/>
                <w:color w:val="54585A"/>
              </w:rPr>
              <w:t>($)</w:t>
            </w:r>
          </w:p>
        </w:tc>
        <w:tc>
          <w:tcPr>
            <w:tcW w:w="132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110"/>
        </w:trPr>
        <w:tc>
          <w:tcPr>
            <w:tcW w:w="6280" w:type="dxa"/>
            <w:vAlign w:val="bottom"/>
            <w:shd w:val="clear" w:color="auto" w:fill="EEEDED"/>
          </w:tcPr>
          <w:p>
            <w:pPr>
              <w:spacing w:after="0"/>
              <w:rPr>
                <w:sz w:val="9"/>
                <w:szCs w:val="9"/>
                <w:color w:val="auto"/>
              </w:rPr>
            </w:pPr>
          </w:p>
        </w:tc>
        <w:tc>
          <w:tcPr>
            <w:tcW w:w="2060" w:type="dxa"/>
            <w:vAlign w:val="bottom"/>
            <w:shd w:val="clear" w:color="auto" w:fill="EEEDED"/>
          </w:tcPr>
          <w:p>
            <w:pPr>
              <w:spacing w:after="0"/>
              <w:rPr>
                <w:sz w:val="9"/>
                <w:szCs w:val="9"/>
                <w:color w:val="auto"/>
              </w:rPr>
            </w:pPr>
          </w:p>
        </w:tc>
        <w:tc>
          <w:tcPr>
            <w:tcW w:w="1580" w:type="dxa"/>
            <w:vAlign w:val="bottom"/>
            <w:shd w:val="clear" w:color="auto" w:fill="EEEDED"/>
          </w:tcPr>
          <w:p>
            <w:pPr>
              <w:spacing w:after="0"/>
              <w:rPr>
                <w:sz w:val="9"/>
                <w:szCs w:val="9"/>
                <w:color w:val="auto"/>
              </w:rPr>
            </w:pPr>
          </w:p>
        </w:tc>
        <w:tc>
          <w:tcPr>
            <w:tcW w:w="1320" w:type="dxa"/>
            <w:vAlign w:val="bottom"/>
            <w:shd w:val="clear" w:color="auto" w:fill="EEEDED"/>
          </w:tcPr>
          <w:p>
            <w:pPr>
              <w:spacing w:after="0"/>
              <w:rPr>
                <w:sz w:val="9"/>
                <w:szCs w:val="9"/>
                <w:color w:val="auto"/>
              </w:rPr>
            </w:pPr>
          </w:p>
        </w:tc>
      </w:tr>
      <w:tr>
        <w:trPr>
          <w:trHeight w:val="223"/>
        </w:trPr>
        <w:tc>
          <w:tcPr>
            <w:tcW w:w="628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Death</w:t>
            </w:r>
          </w:p>
        </w:tc>
        <w:tc>
          <w:tcPr>
            <w:tcW w:w="2060" w:type="dxa"/>
            <w:vAlign w:val="bottom"/>
            <w:tcBorders>
              <w:bottom w:val="single" w:sz="8" w:color="54585A"/>
            </w:tcBorders>
          </w:tcPr>
          <w:p>
            <w:pPr>
              <w:spacing w:after="0"/>
              <w:rPr>
                <w:sz w:val="19"/>
                <w:szCs w:val="19"/>
                <w:color w:val="auto"/>
              </w:rPr>
            </w:pPr>
          </w:p>
        </w:tc>
        <w:tc>
          <w:tcPr>
            <w:tcW w:w="1580" w:type="dxa"/>
            <w:vAlign w:val="bottom"/>
            <w:tcBorders>
              <w:bottom w:val="single" w:sz="8" w:color="54585A"/>
            </w:tcBorders>
          </w:tcPr>
          <w:p>
            <w:pPr>
              <w:spacing w:after="0"/>
              <w:rPr>
                <w:sz w:val="19"/>
                <w:szCs w:val="19"/>
                <w:color w:val="auto"/>
              </w:rPr>
            </w:pPr>
          </w:p>
        </w:tc>
        <w:tc>
          <w:tcPr>
            <w:tcW w:w="1320" w:type="dxa"/>
            <w:vAlign w:val="bottom"/>
            <w:tcBorders>
              <w:bottom w:val="single" w:sz="8" w:color="54585A"/>
            </w:tcBorders>
          </w:tcPr>
          <w:p>
            <w:pPr>
              <w:spacing w:after="0"/>
              <w:rPr>
                <w:sz w:val="19"/>
                <w:szCs w:val="19"/>
                <w:color w:val="auto"/>
              </w:rPr>
            </w:pPr>
          </w:p>
        </w:tc>
      </w:tr>
      <w:tr>
        <w:trPr>
          <w:trHeight w:val="208"/>
        </w:trPr>
        <w:tc>
          <w:tcPr>
            <w:tcW w:w="6280" w:type="dxa"/>
            <w:vAlign w:val="bottom"/>
          </w:tcPr>
          <w:p>
            <w:pPr>
              <w:ind w:left="260"/>
              <w:spacing w:after="0"/>
              <w:rPr>
                <w:sz w:val="20"/>
                <w:szCs w:val="20"/>
                <w:color w:val="auto"/>
              </w:rPr>
            </w:pPr>
            <w:r>
              <w:rPr>
                <w:rFonts w:ascii="Arial" w:cs="Arial" w:eastAsia="Arial" w:hAnsi="Arial"/>
                <w:sz w:val="14"/>
                <w:szCs w:val="14"/>
                <w:color w:val="54585A"/>
              </w:rPr>
              <w:t>Insurance proceeds</w:t>
            </w:r>
          </w:p>
        </w:tc>
        <w:tc>
          <w:tcPr>
            <w:tcW w:w="2060" w:type="dxa"/>
            <w:vAlign w:val="bottom"/>
          </w:tcPr>
          <w:p>
            <w:pPr>
              <w:jc w:val="right"/>
              <w:ind w:right="448"/>
              <w:spacing w:after="0"/>
              <w:rPr>
                <w:sz w:val="20"/>
                <w:szCs w:val="20"/>
                <w:color w:val="auto"/>
              </w:rPr>
            </w:pPr>
            <w:r>
              <w:rPr>
                <w:rFonts w:ascii="Arial" w:cs="Arial" w:eastAsia="Arial" w:hAnsi="Arial"/>
                <w:sz w:val="14"/>
                <w:szCs w:val="14"/>
                <w:color w:val="54585A"/>
              </w:rPr>
              <w:t>700,000</w:t>
            </w:r>
          </w:p>
        </w:tc>
        <w:tc>
          <w:tcPr>
            <w:tcW w:w="1580" w:type="dxa"/>
            <w:vAlign w:val="bottom"/>
          </w:tcPr>
          <w:p>
            <w:pPr>
              <w:jc w:val="right"/>
              <w:ind w:right="408"/>
              <w:spacing w:after="0"/>
              <w:rPr>
                <w:sz w:val="20"/>
                <w:szCs w:val="20"/>
                <w:color w:val="auto"/>
              </w:rPr>
            </w:pPr>
            <w:r>
              <w:rPr>
                <w:rFonts w:ascii="Arial" w:cs="Arial" w:eastAsia="Arial" w:hAnsi="Arial"/>
                <w:sz w:val="14"/>
                <w:szCs w:val="14"/>
                <w:color w:val="54585A"/>
              </w:rPr>
              <w:t>663,000</w:t>
            </w:r>
          </w:p>
        </w:tc>
        <w:tc>
          <w:tcPr>
            <w:tcW w:w="1320" w:type="dxa"/>
            <w:vAlign w:val="bottom"/>
          </w:tcPr>
          <w:p>
            <w:pPr>
              <w:jc w:val="right"/>
              <w:ind w:right="128"/>
              <w:spacing w:after="0"/>
              <w:rPr>
                <w:sz w:val="20"/>
                <w:szCs w:val="20"/>
                <w:color w:val="auto"/>
              </w:rPr>
            </w:pPr>
            <w:r>
              <w:rPr>
                <w:rFonts w:ascii="Arial" w:cs="Arial" w:eastAsia="Arial" w:hAnsi="Arial"/>
                <w:sz w:val="14"/>
                <w:szCs w:val="14"/>
                <w:color w:val="54585A"/>
              </w:rPr>
              <w:t>655,000</w:t>
            </w:r>
          </w:p>
        </w:tc>
      </w:tr>
      <w:tr>
        <w:trPr>
          <w:trHeight w:val="22"/>
        </w:trPr>
        <w:tc>
          <w:tcPr>
            <w:tcW w:w="6280" w:type="dxa"/>
            <w:vAlign w:val="bottom"/>
            <w:tcBorders>
              <w:bottom w:val="single" w:sz="8" w:color="54585A"/>
            </w:tcBorders>
          </w:tcPr>
          <w:p>
            <w:pPr>
              <w:spacing w:after="0" w:line="20" w:lineRule="exact"/>
              <w:rPr>
                <w:sz w:val="1"/>
                <w:szCs w:val="1"/>
                <w:color w:val="auto"/>
              </w:rPr>
            </w:pPr>
          </w:p>
        </w:tc>
        <w:tc>
          <w:tcPr>
            <w:tcW w:w="2060" w:type="dxa"/>
            <w:vAlign w:val="bottom"/>
            <w:tcBorders>
              <w:bottom w:val="single" w:sz="8" w:color="54585A"/>
            </w:tcBorders>
          </w:tcPr>
          <w:p>
            <w:pPr>
              <w:spacing w:after="0" w:line="20" w:lineRule="exact"/>
              <w:rPr>
                <w:sz w:val="1"/>
                <w:szCs w:val="1"/>
                <w:color w:val="auto"/>
              </w:rPr>
            </w:pPr>
          </w:p>
        </w:tc>
        <w:tc>
          <w:tcPr>
            <w:tcW w:w="1580" w:type="dxa"/>
            <w:vAlign w:val="bottom"/>
            <w:tcBorders>
              <w:bottom w:val="single" w:sz="8" w:color="54585A"/>
            </w:tcBorders>
          </w:tcPr>
          <w:p>
            <w:pPr>
              <w:spacing w:after="0" w:line="20" w:lineRule="exact"/>
              <w:rPr>
                <w:sz w:val="1"/>
                <w:szCs w:val="1"/>
                <w:color w:val="auto"/>
              </w:rPr>
            </w:pPr>
          </w:p>
        </w:tc>
        <w:tc>
          <w:tcPr>
            <w:tcW w:w="1320" w:type="dxa"/>
            <w:vAlign w:val="bottom"/>
            <w:tcBorders>
              <w:bottom w:val="single" w:sz="8" w:color="54585A"/>
            </w:tcBorders>
          </w:tcPr>
          <w:p>
            <w:pPr>
              <w:spacing w:after="0" w:line="20" w:lineRule="exact"/>
              <w:rPr>
                <w:sz w:val="1"/>
                <w:szCs w:val="1"/>
                <w:color w:val="auto"/>
              </w:rPr>
            </w:pPr>
          </w:p>
        </w:tc>
      </w:tr>
      <w:tr>
        <w:trPr>
          <w:trHeight w:val="217"/>
        </w:trPr>
        <w:tc>
          <w:tcPr>
            <w:tcW w:w="628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Termination – Reduction in Workforce</w:t>
            </w:r>
          </w:p>
        </w:tc>
        <w:tc>
          <w:tcPr>
            <w:tcW w:w="2060" w:type="dxa"/>
            <w:vAlign w:val="bottom"/>
            <w:tcBorders>
              <w:bottom w:val="single" w:sz="8" w:color="54585A"/>
            </w:tcBorders>
          </w:tcPr>
          <w:p>
            <w:pPr>
              <w:spacing w:after="0"/>
              <w:rPr>
                <w:sz w:val="18"/>
                <w:szCs w:val="18"/>
                <w:color w:val="auto"/>
              </w:rPr>
            </w:pPr>
          </w:p>
        </w:tc>
        <w:tc>
          <w:tcPr>
            <w:tcW w:w="1580" w:type="dxa"/>
            <w:vAlign w:val="bottom"/>
            <w:tcBorders>
              <w:bottom w:val="single" w:sz="8" w:color="54585A"/>
            </w:tcBorders>
          </w:tcPr>
          <w:p>
            <w:pPr>
              <w:spacing w:after="0"/>
              <w:rPr>
                <w:sz w:val="18"/>
                <w:szCs w:val="18"/>
                <w:color w:val="auto"/>
              </w:rPr>
            </w:pPr>
          </w:p>
        </w:tc>
        <w:tc>
          <w:tcPr>
            <w:tcW w:w="1320" w:type="dxa"/>
            <w:vAlign w:val="bottom"/>
            <w:tcBorders>
              <w:bottom w:val="single" w:sz="8" w:color="54585A"/>
            </w:tcBorders>
          </w:tcPr>
          <w:p>
            <w:pPr>
              <w:spacing w:after="0"/>
              <w:rPr>
                <w:sz w:val="18"/>
                <w:szCs w:val="18"/>
                <w:color w:val="auto"/>
              </w:rPr>
            </w:pPr>
          </w:p>
        </w:tc>
      </w:tr>
      <w:tr>
        <w:trPr>
          <w:trHeight w:val="208"/>
        </w:trPr>
        <w:tc>
          <w:tcPr>
            <w:tcW w:w="6280" w:type="dxa"/>
            <w:vAlign w:val="bottom"/>
          </w:tcPr>
          <w:p>
            <w:pPr>
              <w:ind w:left="260"/>
              <w:spacing w:after="0"/>
              <w:rPr>
                <w:sz w:val="20"/>
                <w:szCs w:val="20"/>
                <w:color w:val="auto"/>
              </w:rPr>
            </w:pPr>
            <w:r>
              <w:rPr>
                <w:rFonts w:ascii="Arial" w:cs="Arial" w:eastAsia="Arial" w:hAnsi="Arial"/>
                <w:sz w:val="14"/>
                <w:szCs w:val="14"/>
                <w:color w:val="54585A"/>
              </w:rPr>
              <w:t>Severance</w:t>
            </w:r>
          </w:p>
        </w:tc>
        <w:tc>
          <w:tcPr>
            <w:tcW w:w="2060" w:type="dxa"/>
            <w:vAlign w:val="bottom"/>
          </w:tcPr>
          <w:p>
            <w:pPr>
              <w:jc w:val="right"/>
              <w:ind w:right="448"/>
              <w:spacing w:after="0"/>
              <w:rPr>
                <w:sz w:val="20"/>
                <w:szCs w:val="20"/>
                <w:color w:val="auto"/>
              </w:rPr>
            </w:pPr>
            <w:r>
              <w:rPr>
                <w:rFonts w:ascii="Arial" w:cs="Arial" w:eastAsia="Arial" w:hAnsi="Arial"/>
                <w:sz w:val="14"/>
                <w:szCs w:val="14"/>
                <w:color w:val="54585A"/>
              </w:rPr>
              <w:t>57,692</w:t>
            </w:r>
          </w:p>
        </w:tc>
        <w:tc>
          <w:tcPr>
            <w:tcW w:w="1580" w:type="dxa"/>
            <w:vAlign w:val="bottom"/>
          </w:tcPr>
          <w:p>
            <w:pPr>
              <w:jc w:val="right"/>
              <w:ind w:right="408"/>
              <w:spacing w:after="0"/>
              <w:rPr>
                <w:sz w:val="20"/>
                <w:szCs w:val="20"/>
                <w:color w:val="auto"/>
              </w:rPr>
            </w:pPr>
            <w:r>
              <w:rPr>
                <w:rFonts w:ascii="Arial" w:cs="Arial" w:eastAsia="Arial" w:hAnsi="Arial"/>
                <w:sz w:val="14"/>
                <w:szCs w:val="14"/>
                <w:color w:val="54585A"/>
              </w:rPr>
              <w:t>50,833</w:t>
            </w:r>
          </w:p>
        </w:tc>
        <w:tc>
          <w:tcPr>
            <w:tcW w:w="1320" w:type="dxa"/>
            <w:vAlign w:val="bottom"/>
          </w:tcPr>
          <w:p>
            <w:pPr>
              <w:jc w:val="right"/>
              <w:ind w:right="128"/>
              <w:spacing w:after="0"/>
              <w:rPr>
                <w:sz w:val="20"/>
                <w:szCs w:val="20"/>
                <w:color w:val="auto"/>
              </w:rPr>
            </w:pPr>
            <w:r>
              <w:rPr>
                <w:rFonts w:ascii="Arial" w:cs="Arial" w:eastAsia="Arial" w:hAnsi="Arial"/>
                <w:sz w:val="14"/>
                <w:szCs w:val="14"/>
                <w:color w:val="54585A"/>
              </w:rPr>
              <w:t>50,252</w:t>
            </w:r>
          </w:p>
        </w:tc>
      </w:tr>
      <w:tr>
        <w:trPr>
          <w:trHeight w:val="22"/>
        </w:trPr>
        <w:tc>
          <w:tcPr>
            <w:tcW w:w="6280" w:type="dxa"/>
            <w:vAlign w:val="bottom"/>
            <w:tcBorders>
              <w:bottom w:val="single" w:sz="8" w:color="54585A"/>
            </w:tcBorders>
          </w:tcPr>
          <w:p>
            <w:pPr>
              <w:spacing w:after="0" w:line="20" w:lineRule="exact"/>
              <w:rPr>
                <w:sz w:val="1"/>
                <w:szCs w:val="1"/>
                <w:color w:val="auto"/>
              </w:rPr>
            </w:pPr>
          </w:p>
        </w:tc>
        <w:tc>
          <w:tcPr>
            <w:tcW w:w="2060" w:type="dxa"/>
            <w:vAlign w:val="bottom"/>
            <w:tcBorders>
              <w:bottom w:val="single" w:sz="8" w:color="54585A"/>
            </w:tcBorders>
          </w:tcPr>
          <w:p>
            <w:pPr>
              <w:spacing w:after="0" w:line="20" w:lineRule="exact"/>
              <w:rPr>
                <w:sz w:val="1"/>
                <w:szCs w:val="1"/>
                <w:color w:val="auto"/>
              </w:rPr>
            </w:pPr>
          </w:p>
        </w:tc>
        <w:tc>
          <w:tcPr>
            <w:tcW w:w="1580" w:type="dxa"/>
            <w:vAlign w:val="bottom"/>
            <w:tcBorders>
              <w:bottom w:val="single" w:sz="8" w:color="54585A"/>
            </w:tcBorders>
          </w:tcPr>
          <w:p>
            <w:pPr>
              <w:spacing w:after="0" w:line="20" w:lineRule="exact"/>
              <w:rPr>
                <w:sz w:val="1"/>
                <w:szCs w:val="1"/>
                <w:color w:val="auto"/>
              </w:rPr>
            </w:pPr>
          </w:p>
        </w:tc>
        <w:tc>
          <w:tcPr>
            <w:tcW w:w="1320" w:type="dxa"/>
            <w:vAlign w:val="bottom"/>
            <w:tcBorders>
              <w:bottom w:val="single" w:sz="8" w:color="54585A"/>
            </w:tcBorders>
          </w:tcPr>
          <w:p>
            <w:pPr>
              <w:spacing w:after="0" w:line="20" w:lineRule="exact"/>
              <w:rPr>
                <w:sz w:val="1"/>
                <w:szCs w:val="1"/>
                <w:color w:val="auto"/>
              </w:rPr>
            </w:pPr>
          </w:p>
        </w:tc>
      </w:tr>
      <w:tr>
        <w:trPr>
          <w:trHeight w:val="217"/>
        </w:trPr>
        <w:tc>
          <w:tcPr>
            <w:tcW w:w="628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Change in Control</w:t>
            </w:r>
          </w:p>
        </w:tc>
        <w:tc>
          <w:tcPr>
            <w:tcW w:w="2060" w:type="dxa"/>
            <w:vAlign w:val="bottom"/>
            <w:tcBorders>
              <w:bottom w:val="single" w:sz="8" w:color="54585A"/>
            </w:tcBorders>
          </w:tcPr>
          <w:p>
            <w:pPr>
              <w:spacing w:after="0"/>
              <w:rPr>
                <w:sz w:val="18"/>
                <w:szCs w:val="18"/>
                <w:color w:val="auto"/>
              </w:rPr>
            </w:pPr>
          </w:p>
        </w:tc>
        <w:tc>
          <w:tcPr>
            <w:tcW w:w="1580" w:type="dxa"/>
            <w:vAlign w:val="bottom"/>
            <w:tcBorders>
              <w:bottom w:val="single" w:sz="8" w:color="54585A"/>
            </w:tcBorders>
          </w:tcPr>
          <w:p>
            <w:pPr>
              <w:spacing w:after="0"/>
              <w:rPr>
                <w:sz w:val="18"/>
                <w:szCs w:val="18"/>
                <w:color w:val="auto"/>
              </w:rPr>
            </w:pPr>
          </w:p>
        </w:tc>
        <w:tc>
          <w:tcPr>
            <w:tcW w:w="1320" w:type="dxa"/>
            <w:vAlign w:val="bottom"/>
            <w:tcBorders>
              <w:bottom w:val="single" w:sz="8" w:color="54585A"/>
            </w:tcBorders>
          </w:tcPr>
          <w:p>
            <w:pPr>
              <w:spacing w:after="0"/>
              <w:rPr>
                <w:sz w:val="18"/>
                <w:szCs w:val="18"/>
                <w:color w:val="auto"/>
              </w:rPr>
            </w:pPr>
          </w:p>
        </w:tc>
      </w:tr>
      <w:tr>
        <w:trPr>
          <w:trHeight w:val="208"/>
        </w:trPr>
        <w:tc>
          <w:tcPr>
            <w:tcW w:w="6280" w:type="dxa"/>
            <w:vAlign w:val="bottom"/>
          </w:tcPr>
          <w:p>
            <w:pPr>
              <w:ind w:left="260"/>
              <w:spacing w:after="0"/>
              <w:rPr>
                <w:sz w:val="20"/>
                <w:szCs w:val="20"/>
                <w:color w:val="auto"/>
              </w:rPr>
            </w:pPr>
            <w:r>
              <w:rPr>
                <w:rFonts w:ascii="Arial" w:cs="Arial" w:eastAsia="Arial" w:hAnsi="Arial"/>
                <w:sz w:val="14"/>
                <w:szCs w:val="14"/>
                <w:color w:val="54585A"/>
              </w:rPr>
              <w:t>Immediate Vesting of Unvested Restricted Stock Awards</w:t>
            </w:r>
          </w:p>
        </w:tc>
        <w:tc>
          <w:tcPr>
            <w:tcW w:w="2060" w:type="dxa"/>
            <w:vAlign w:val="bottom"/>
          </w:tcPr>
          <w:p>
            <w:pPr>
              <w:jc w:val="right"/>
              <w:ind w:right="448"/>
              <w:spacing w:after="0"/>
              <w:rPr>
                <w:sz w:val="20"/>
                <w:szCs w:val="20"/>
                <w:color w:val="auto"/>
              </w:rPr>
            </w:pPr>
            <w:r>
              <w:rPr>
                <w:rFonts w:ascii="Arial" w:cs="Arial" w:eastAsia="Arial" w:hAnsi="Arial"/>
                <w:sz w:val="14"/>
                <w:szCs w:val="14"/>
                <w:color w:val="54585A"/>
              </w:rPr>
              <w:t>83,667,299</w:t>
            </w:r>
          </w:p>
        </w:tc>
        <w:tc>
          <w:tcPr>
            <w:tcW w:w="1580" w:type="dxa"/>
            <w:vAlign w:val="bottom"/>
          </w:tcPr>
          <w:p>
            <w:pPr>
              <w:jc w:val="right"/>
              <w:ind w:right="408"/>
              <w:spacing w:after="0"/>
              <w:rPr>
                <w:sz w:val="20"/>
                <w:szCs w:val="20"/>
                <w:color w:val="auto"/>
              </w:rPr>
            </w:pPr>
            <w:r>
              <w:rPr>
                <w:rFonts w:ascii="Arial" w:cs="Arial" w:eastAsia="Arial" w:hAnsi="Arial"/>
                <w:sz w:val="14"/>
                <w:szCs w:val="14"/>
                <w:color w:val="54585A"/>
              </w:rPr>
              <w:t>1,286,319</w:t>
            </w:r>
          </w:p>
        </w:tc>
        <w:tc>
          <w:tcPr>
            <w:tcW w:w="1320" w:type="dxa"/>
            <w:vAlign w:val="bottom"/>
          </w:tcPr>
          <w:p>
            <w:pPr>
              <w:jc w:val="right"/>
              <w:ind w:right="128"/>
              <w:spacing w:after="0"/>
              <w:rPr>
                <w:sz w:val="20"/>
                <w:szCs w:val="20"/>
                <w:color w:val="auto"/>
              </w:rPr>
            </w:pPr>
            <w:r>
              <w:rPr>
                <w:rFonts w:ascii="Arial" w:cs="Arial" w:eastAsia="Arial" w:hAnsi="Arial"/>
                <w:sz w:val="14"/>
                <w:szCs w:val="14"/>
                <w:color w:val="54585A"/>
              </w:rPr>
              <w:t>872,319</w:t>
            </w:r>
          </w:p>
        </w:tc>
      </w:tr>
      <w:tr>
        <w:trPr>
          <w:trHeight w:val="22"/>
        </w:trPr>
        <w:tc>
          <w:tcPr>
            <w:tcW w:w="6280" w:type="dxa"/>
            <w:vAlign w:val="bottom"/>
            <w:tcBorders>
              <w:bottom w:val="single" w:sz="8" w:color="54585A"/>
            </w:tcBorders>
          </w:tcPr>
          <w:p>
            <w:pPr>
              <w:spacing w:after="0" w:line="20" w:lineRule="exact"/>
              <w:rPr>
                <w:sz w:val="1"/>
                <w:szCs w:val="1"/>
                <w:color w:val="auto"/>
              </w:rPr>
            </w:pPr>
          </w:p>
        </w:tc>
        <w:tc>
          <w:tcPr>
            <w:tcW w:w="2060" w:type="dxa"/>
            <w:vAlign w:val="bottom"/>
            <w:tcBorders>
              <w:bottom w:val="single" w:sz="8" w:color="54585A"/>
            </w:tcBorders>
          </w:tcPr>
          <w:p>
            <w:pPr>
              <w:spacing w:after="0" w:line="20" w:lineRule="exact"/>
              <w:rPr>
                <w:sz w:val="1"/>
                <w:szCs w:val="1"/>
                <w:color w:val="auto"/>
              </w:rPr>
            </w:pPr>
          </w:p>
        </w:tc>
        <w:tc>
          <w:tcPr>
            <w:tcW w:w="1580" w:type="dxa"/>
            <w:vAlign w:val="bottom"/>
            <w:tcBorders>
              <w:bottom w:val="single" w:sz="8" w:color="54585A"/>
            </w:tcBorders>
          </w:tcPr>
          <w:p>
            <w:pPr>
              <w:spacing w:after="0" w:line="20" w:lineRule="exact"/>
              <w:rPr>
                <w:sz w:val="1"/>
                <w:szCs w:val="1"/>
                <w:color w:val="auto"/>
              </w:rPr>
            </w:pPr>
          </w:p>
        </w:tc>
        <w:tc>
          <w:tcPr>
            <w:tcW w:w="1320" w:type="dxa"/>
            <w:vAlign w:val="bottom"/>
            <w:tcBorders>
              <w:bottom w:val="single" w:sz="8" w:color="54585A"/>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565785</wp:posOffset>
            </wp:positionV>
            <wp:extent cx="257175" cy="2571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ind w:left="100" w:hanging="92"/>
        <w:spacing w:after="0"/>
        <w:tabs>
          <w:tab w:leader="none" w:pos="100" w:val="left"/>
        </w:tabs>
        <w:numPr>
          <w:ilvl w:val="0"/>
          <w:numId w:val="60"/>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color w:val="54585A"/>
        </w:rPr>
        <w:t>Equity Compensation Plan Information</w:t>
      </w:r>
    </w:p>
    <w:p>
      <w:pPr>
        <w:spacing w:after="0" w:line="225" w:lineRule="exact"/>
        <w:rPr>
          <w:sz w:val="20"/>
          <w:szCs w:val="20"/>
          <w:color w:val="auto"/>
        </w:rPr>
      </w:pPr>
    </w:p>
    <w:p>
      <w:pPr>
        <w:ind w:right="40"/>
        <w:spacing w:after="0" w:line="356" w:lineRule="auto"/>
        <w:rPr>
          <w:sz w:val="20"/>
          <w:szCs w:val="20"/>
          <w:color w:val="auto"/>
        </w:rPr>
      </w:pPr>
      <w:r>
        <w:rPr>
          <w:rFonts w:ascii="Arial" w:cs="Arial" w:eastAsia="Arial" w:hAnsi="Arial"/>
          <w:sz w:val="16"/>
          <w:szCs w:val="16"/>
          <w:color w:val="54585A"/>
        </w:rPr>
        <w:t>The following table provides information as of December 31, 2024 regarding the number of shares of our common stock that may be issued under our equity compensation plans.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60" w:type="dxa"/>
            <w:vAlign w:val="bottom"/>
            <w:shd w:val="clear" w:color="auto" w:fill="EEEDED"/>
          </w:tcPr>
          <w:p>
            <w:pPr>
              <w:spacing w:after="0"/>
              <w:rPr>
                <w:sz w:val="16"/>
                <w:szCs w:val="16"/>
                <w:color w:val="auto"/>
              </w:rPr>
            </w:pPr>
          </w:p>
        </w:tc>
        <w:tc>
          <w:tcPr>
            <w:tcW w:w="2180" w:type="dxa"/>
            <w:vAlign w:val="bottom"/>
            <w:shd w:val="clear" w:color="auto" w:fill="EEEDED"/>
          </w:tcPr>
          <w:p>
            <w:pPr>
              <w:spacing w:after="0"/>
              <w:rPr>
                <w:sz w:val="16"/>
                <w:szCs w:val="16"/>
                <w:color w:val="auto"/>
              </w:rPr>
            </w:pPr>
          </w:p>
        </w:tc>
        <w:tc>
          <w:tcPr>
            <w:tcW w:w="420" w:type="dxa"/>
            <w:vAlign w:val="bottom"/>
            <w:shd w:val="clear" w:color="auto" w:fill="EEEDED"/>
          </w:tcPr>
          <w:p>
            <w:pPr>
              <w:spacing w:after="0"/>
              <w:rPr>
                <w:sz w:val="16"/>
                <w:szCs w:val="16"/>
                <w:color w:val="auto"/>
              </w:rPr>
            </w:pPr>
          </w:p>
        </w:tc>
        <w:tc>
          <w:tcPr>
            <w:tcW w:w="1660" w:type="dxa"/>
            <w:vAlign w:val="bottom"/>
            <w:shd w:val="clear" w:color="auto" w:fill="EEEDED"/>
          </w:tcPr>
          <w:p>
            <w:pPr>
              <w:spacing w:after="0"/>
              <w:rPr>
                <w:sz w:val="16"/>
                <w:szCs w:val="16"/>
                <w:color w:val="auto"/>
              </w:rPr>
            </w:pPr>
          </w:p>
        </w:tc>
        <w:tc>
          <w:tcPr>
            <w:tcW w:w="380" w:type="dxa"/>
            <w:vAlign w:val="bottom"/>
            <w:shd w:val="clear" w:color="auto" w:fill="EEEDED"/>
          </w:tcPr>
          <w:p>
            <w:pPr>
              <w:spacing w:after="0"/>
              <w:rPr>
                <w:sz w:val="16"/>
                <w:szCs w:val="16"/>
                <w:color w:val="auto"/>
              </w:rPr>
            </w:pPr>
          </w:p>
        </w:tc>
        <w:tc>
          <w:tcPr>
            <w:tcW w:w="26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Number of securities remaining</w:t>
            </w:r>
          </w:p>
        </w:tc>
        <w:tc>
          <w:tcPr>
            <w:tcW w:w="440" w:type="dxa"/>
            <w:vAlign w:val="bottom"/>
            <w:shd w:val="clear" w:color="auto" w:fill="EEEDED"/>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EEEDED"/>
          </w:tcPr>
          <w:p>
            <w:pPr>
              <w:spacing w:after="0"/>
              <w:rPr>
                <w:sz w:val="14"/>
                <w:szCs w:val="14"/>
                <w:color w:val="auto"/>
              </w:rPr>
            </w:pP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Number of securities to be</w:t>
            </w:r>
          </w:p>
        </w:tc>
        <w:tc>
          <w:tcPr>
            <w:tcW w:w="420" w:type="dxa"/>
            <w:vAlign w:val="bottom"/>
            <w:shd w:val="clear" w:color="auto" w:fill="EEEDED"/>
          </w:tcPr>
          <w:p>
            <w:pPr>
              <w:spacing w:after="0"/>
              <w:rPr>
                <w:sz w:val="14"/>
                <w:szCs w:val="14"/>
                <w:color w:val="auto"/>
              </w:rPr>
            </w:pPr>
          </w:p>
        </w:tc>
        <w:tc>
          <w:tcPr>
            <w:tcW w:w="16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Weighted-average</w:t>
            </w:r>
          </w:p>
        </w:tc>
        <w:tc>
          <w:tcPr>
            <w:tcW w:w="380" w:type="dxa"/>
            <w:vAlign w:val="bottom"/>
            <w:shd w:val="clear" w:color="auto" w:fill="EEEDED"/>
          </w:tcPr>
          <w:p>
            <w:pPr>
              <w:spacing w:after="0"/>
              <w:rPr>
                <w:sz w:val="14"/>
                <w:szCs w:val="14"/>
                <w:color w:val="auto"/>
              </w:rPr>
            </w:pPr>
          </w:p>
        </w:tc>
        <w:tc>
          <w:tcPr>
            <w:tcW w:w="26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available for future issuance under</w:t>
            </w:r>
          </w:p>
        </w:tc>
        <w:tc>
          <w:tcPr>
            <w:tcW w:w="440" w:type="dxa"/>
            <w:vAlign w:val="bottom"/>
            <w:shd w:val="clear" w:color="auto" w:fill="EEEDED"/>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EEEDED"/>
          </w:tcPr>
          <w:p>
            <w:pPr>
              <w:spacing w:after="0"/>
              <w:rPr>
                <w:sz w:val="15"/>
                <w:szCs w:val="15"/>
                <w:color w:val="auto"/>
              </w:rPr>
            </w:pP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issued upon exercise of</w:t>
            </w:r>
          </w:p>
        </w:tc>
        <w:tc>
          <w:tcPr>
            <w:tcW w:w="420" w:type="dxa"/>
            <w:vAlign w:val="bottom"/>
            <w:shd w:val="clear" w:color="auto" w:fill="EEEDED"/>
          </w:tcPr>
          <w:p>
            <w:pPr>
              <w:spacing w:after="0"/>
              <w:rPr>
                <w:sz w:val="15"/>
                <w:szCs w:val="15"/>
                <w:color w:val="auto"/>
              </w:rPr>
            </w:pPr>
          </w:p>
        </w:tc>
        <w:tc>
          <w:tcPr>
            <w:tcW w:w="16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exercise price of</w:t>
            </w:r>
          </w:p>
        </w:tc>
        <w:tc>
          <w:tcPr>
            <w:tcW w:w="380" w:type="dxa"/>
            <w:vAlign w:val="bottom"/>
            <w:shd w:val="clear" w:color="auto" w:fill="EEEDED"/>
          </w:tcPr>
          <w:p>
            <w:pPr>
              <w:spacing w:after="0"/>
              <w:rPr>
                <w:sz w:val="15"/>
                <w:szCs w:val="15"/>
                <w:color w:val="auto"/>
              </w:rPr>
            </w:pPr>
          </w:p>
        </w:tc>
        <w:tc>
          <w:tcPr>
            <w:tcW w:w="26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equity compensation plans</w:t>
            </w:r>
          </w:p>
        </w:tc>
        <w:tc>
          <w:tcPr>
            <w:tcW w:w="44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60" w:type="dxa"/>
            <w:vAlign w:val="bottom"/>
            <w:shd w:val="clear" w:color="auto" w:fill="EEEDED"/>
          </w:tcPr>
          <w:p>
            <w:pPr>
              <w:spacing w:after="0"/>
              <w:rPr>
                <w:sz w:val="15"/>
                <w:szCs w:val="15"/>
                <w:color w:val="auto"/>
              </w:rPr>
            </w:pP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outstanding options, warrants</w:t>
            </w:r>
          </w:p>
        </w:tc>
        <w:tc>
          <w:tcPr>
            <w:tcW w:w="420" w:type="dxa"/>
            <w:vAlign w:val="bottom"/>
            <w:shd w:val="clear" w:color="auto" w:fill="EEEDED"/>
          </w:tcPr>
          <w:p>
            <w:pPr>
              <w:spacing w:after="0"/>
              <w:rPr>
                <w:sz w:val="15"/>
                <w:szCs w:val="15"/>
                <w:color w:val="auto"/>
              </w:rPr>
            </w:pPr>
          </w:p>
        </w:tc>
        <w:tc>
          <w:tcPr>
            <w:tcW w:w="16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outstanding options,</w:t>
            </w:r>
          </w:p>
        </w:tc>
        <w:tc>
          <w:tcPr>
            <w:tcW w:w="380" w:type="dxa"/>
            <w:vAlign w:val="bottom"/>
            <w:shd w:val="clear" w:color="auto" w:fill="EEEDED"/>
          </w:tcPr>
          <w:p>
            <w:pPr>
              <w:spacing w:after="0"/>
              <w:rPr>
                <w:sz w:val="15"/>
                <w:szCs w:val="15"/>
                <w:color w:val="auto"/>
              </w:rPr>
            </w:pPr>
          </w:p>
        </w:tc>
        <w:tc>
          <w:tcPr>
            <w:tcW w:w="26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(excluding securities reflected in</w:t>
            </w:r>
          </w:p>
        </w:tc>
        <w:tc>
          <w:tcPr>
            <w:tcW w:w="44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EEEDED"/>
          </w:tcPr>
          <w:p>
            <w:pPr>
              <w:spacing w:after="0"/>
              <w:rPr>
                <w:sz w:val="15"/>
                <w:szCs w:val="15"/>
                <w:color w:val="auto"/>
              </w:rPr>
            </w:pP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and rights</w:t>
            </w:r>
          </w:p>
        </w:tc>
        <w:tc>
          <w:tcPr>
            <w:tcW w:w="420" w:type="dxa"/>
            <w:vAlign w:val="bottom"/>
            <w:shd w:val="clear" w:color="auto" w:fill="EEEDED"/>
          </w:tcPr>
          <w:p>
            <w:pPr>
              <w:spacing w:after="0"/>
              <w:rPr>
                <w:sz w:val="15"/>
                <w:szCs w:val="15"/>
                <w:color w:val="auto"/>
              </w:rPr>
            </w:pPr>
          </w:p>
        </w:tc>
        <w:tc>
          <w:tcPr>
            <w:tcW w:w="16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warrants and rights</w:t>
            </w:r>
          </w:p>
        </w:tc>
        <w:tc>
          <w:tcPr>
            <w:tcW w:w="380" w:type="dxa"/>
            <w:vAlign w:val="bottom"/>
            <w:shd w:val="clear" w:color="auto" w:fill="EEEDED"/>
          </w:tcPr>
          <w:p>
            <w:pPr>
              <w:spacing w:after="0"/>
              <w:rPr>
                <w:sz w:val="15"/>
                <w:szCs w:val="15"/>
                <w:color w:val="auto"/>
              </w:rPr>
            </w:pPr>
          </w:p>
        </w:tc>
        <w:tc>
          <w:tcPr>
            <w:tcW w:w="26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column (a))</w:t>
            </w:r>
          </w:p>
        </w:tc>
        <w:tc>
          <w:tcPr>
            <w:tcW w:w="44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Plan category</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 (a)</w:t>
            </w:r>
          </w:p>
        </w:tc>
        <w:tc>
          <w:tcPr>
            <w:tcW w:w="420" w:type="dxa"/>
            <w:vAlign w:val="bottom"/>
            <w:shd w:val="clear" w:color="auto" w:fill="EEEDED"/>
          </w:tcPr>
          <w:p>
            <w:pPr>
              <w:spacing w:after="0"/>
              <w:rPr>
                <w:sz w:val="17"/>
                <w:szCs w:val="17"/>
                <w:color w:val="auto"/>
              </w:rPr>
            </w:pPr>
          </w:p>
        </w:tc>
        <w:tc>
          <w:tcPr>
            <w:tcW w:w="16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380" w:type="dxa"/>
            <w:vAlign w:val="bottom"/>
            <w:shd w:val="clear" w:color="auto" w:fill="EEEDED"/>
          </w:tcPr>
          <w:p>
            <w:pPr>
              <w:spacing w:after="0"/>
              <w:rPr>
                <w:sz w:val="17"/>
                <w:szCs w:val="17"/>
                <w:color w:val="auto"/>
              </w:rPr>
            </w:pPr>
          </w:p>
        </w:tc>
        <w:tc>
          <w:tcPr>
            <w:tcW w:w="26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440" w:type="dxa"/>
            <w:vAlign w:val="bottom"/>
            <w:shd w:val="clear" w:color="auto" w:fill="EEEDED"/>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3560" w:type="dxa"/>
            <w:vAlign w:val="bottom"/>
            <w:shd w:val="clear" w:color="auto" w:fill="EEEDED"/>
          </w:tcPr>
          <w:p>
            <w:pPr>
              <w:spacing w:after="0"/>
              <w:rPr>
                <w:sz w:val="9"/>
                <w:szCs w:val="9"/>
                <w:color w:val="auto"/>
              </w:rPr>
            </w:pPr>
          </w:p>
        </w:tc>
        <w:tc>
          <w:tcPr>
            <w:tcW w:w="2180" w:type="dxa"/>
            <w:vAlign w:val="bottom"/>
            <w:shd w:val="clear" w:color="auto" w:fill="EEEDED"/>
          </w:tcPr>
          <w:p>
            <w:pPr>
              <w:spacing w:after="0"/>
              <w:rPr>
                <w:sz w:val="9"/>
                <w:szCs w:val="9"/>
                <w:color w:val="auto"/>
              </w:rPr>
            </w:pPr>
          </w:p>
        </w:tc>
        <w:tc>
          <w:tcPr>
            <w:tcW w:w="420" w:type="dxa"/>
            <w:vAlign w:val="bottom"/>
            <w:shd w:val="clear" w:color="auto" w:fill="EEEDED"/>
          </w:tcPr>
          <w:p>
            <w:pPr>
              <w:spacing w:after="0"/>
              <w:rPr>
                <w:sz w:val="9"/>
                <w:szCs w:val="9"/>
                <w:color w:val="auto"/>
              </w:rPr>
            </w:pPr>
          </w:p>
        </w:tc>
        <w:tc>
          <w:tcPr>
            <w:tcW w:w="1660" w:type="dxa"/>
            <w:vAlign w:val="bottom"/>
            <w:shd w:val="clear" w:color="auto" w:fill="EEEDED"/>
          </w:tcPr>
          <w:p>
            <w:pPr>
              <w:spacing w:after="0"/>
              <w:rPr>
                <w:sz w:val="9"/>
                <w:szCs w:val="9"/>
                <w:color w:val="auto"/>
              </w:rPr>
            </w:pPr>
          </w:p>
        </w:tc>
        <w:tc>
          <w:tcPr>
            <w:tcW w:w="380" w:type="dxa"/>
            <w:vAlign w:val="bottom"/>
            <w:shd w:val="clear" w:color="auto" w:fill="EEEDED"/>
          </w:tcPr>
          <w:p>
            <w:pPr>
              <w:spacing w:after="0"/>
              <w:rPr>
                <w:sz w:val="9"/>
                <w:szCs w:val="9"/>
                <w:color w:val="auto"/>
              </w:rPr>
            </w:pPr>
          </w:p>
        </w:tc>
        <w:tc>
          <w:tcPr>
            <w:tcW w:w="2600" w:type="dxa"/>
            <w:vAlign w:val="bottom"/>
            <w:shd w:val="clear" w:color="auto" w:fill="EEEDED"/>
          </w:tcPr>
          <w:p>
            <w:pPr>
              <w:spacing w:after="0"/>
              <w:rPr>
                <w:sz w:val="9"/>
                <w:szCs w:val="9"/>
                <w:color w:val="auto"/>
              </w:rPr>
            </w:pPr>
          </w:p>
        </w:tc>
        <w:tc>
          <w:tcPr>
            <w:tcW w:w="44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3560" w:type="dxa"/>
            <w:vAlign w:val="bottom"/>
          </w:tcPr>
          <w:p>
            <w:pPr>
              <w:ind w:left="100"/>
              <w:spacing w:after="0"/>
              <w:rPr>
                <w:sz w:val="20"/>
                <w:szCs w:val="20"/>
                <w:color w:val="auto"/>
              </w:rPr>
            </w:pPr>
            <w:r>
              <w:rPr>
                <w:rFonts w:ascii="Arial" w:cs="Arial" w:eastAsia="Arial" w:hAnsi="Arial"/>
                <w:sz w:val="14"/>
                <w:szCs w:val="14"/>
                <w:color w:val="54585A"/>
              </w:rPr>
              <w:t>Equity compensation plans approved by security</w:t>
            </w:r>
          </w:p>
        </w:tc>
        <w:tc>
          <w:tcPr>
            <w:tcW w:w="2180" w:type="dxa"/>
            <w:vAlign w:val="bottom"/>
            <w:vMerge w:val="restart"/>
          </w:tcPr>
          <w:p>
            <w:pPr>
              <w:jc w:val="right"/>
              <w:spacing w:after="0"/>
              <w:rPr>
                <w:sz w:val="20"/>
                <w:szCs w:val="20"/>
                <w:color w:val="auto"/>
              </w:rPr>
            </w:pPr>
            <w:r>
              <w:rPr>
                <w:rFonts w:ascii="Arial" w:cs="Arial" w:eastAsia="Arial" w:hAnsi="Arial"/>
                <w:sz w:val="14"/>
                <w:szCs w:val="14"/>
                <w:color w:val="54585A"/>
              </w:rPr>
              <w:t>3,971,571</w:t>
            </w:r>
          </w:p>
        </w:tc>
        <w:tc>
          <w:tcPr>
            <w:tcW w:w="420" w:type="dxa"/>
            <w:vAlign w:val="bottom"/>
            <w:vMerge w:val="restart"/>
          </w:tcPr>
          <w:p>
            <w:pPr>
              <w:jc w:val="right"/>
              <w:ind w:right="148"/>
              <w:spacing w:after="0"/>
              <w:rPr>
                <w:sz w:val="20"/>
                <w:szCs w:val="20"/>
                <w:color w:val="auto"/>
              </w:rPr>
            </w:pPr>
            <w:r>
              <w:rPr>
                <w:rFonts w:ascii="Arial" w:cs="Arial" w:eastAsia="Arial" w:hAnsi="Arial"/>
                <w:sz w:val="14"/>
                <w:szCs w:val="14"/>
                <w:color w:val="54585A"/>
              </w:rPr>
              <w:t>(1)</w:t>
            </w:r>
          </w:p>
        </w:tc>
        <w:tc>
          <w:tcPr>
            <w:tcW w:w="1660" w:type="dxa"/>
            <w:vAlign w:val="bottom"/>
            <w:vMerge w:val="restart"/>
          </w:tcPr>
          <w:p>
            <w:pPr>
              <w:jc w:val="right"/>
              <w:spacing w:after="0"/>
              <w:rPr>
                <w:sz w:val="20"/>
                <w:szCs w:val="20"/>
                <w:color w:val="auto"/>
              </w:rPr>
            </w:pPr>
            <w:r>
              <w:rPr>
                <w:rFonts w:ascii="Arial" w:cs="Arial" w:eastAsia="Arial" w:hAnsi="Arial"/>
                <w:sz w:val="14"/>
                <w:szCs w:val="14"/>
                <w:color w:val="54585A"/>
              </w:rPr>
              <w:t>17.98</w:t>
            </w:r>
          </w:p>
        </w:tc>
        <w:tc>
          <w:tcPr>
            <w:tcW w:w="380" w:type="dxa"/>
            <w:vAlign w:val="bottom"/>
            <w:vMerge w:val="restart"/>
          </w:tcPr>
          <w:p>
            <w:pPr>
              <w:jc w:val="right"/>
              <w:ind w:right="108"/>
              <w:spacing w:after="0"/>
              <w:rPr>
                <w:sz w:val="20"/>
                <w:szCs w:val="20"/>
                <w:color w:val="auto"/>
              </w:rPr>
            </w:pPr>
            <w:r>
              <w:rPr>
                <w:rFonts w:ascii="Arial" w:cs="Arial" w:eastAsia="Arial" w:hAnsi="Arial"/>
                <w:sz w:val="14"/>
                <w:szCs w:val="14"/>
                <w:color w:val="54585A"/>
              </w:rPr>
              <w:t>(2)</w:t>
            </w:r>
          </w:p>
        </w:tc>
        <w:tc>
          <w:tcPr>
            <w:tcW w:w="2600" w:type="dxa"/>
            <w:vAlign w:val="bottom"/>
            <w:vMerge w:val="restart"/>
          </w:tcPr>
          <w:p>
            <w:pPr>
              <w:jc w:val="right"/>
              <w:ind w:right="8"/>
              <w:spacing w:after="0"/>
              <w:rPr>
                <w:sz w:val="20"/>
                <w:szCs w:val="20"/>
                <w:color w:val="auto"/>
              </w:rPr>
            </w:pPr>
            <w:r>
              <w:rPr>
                <w:rFonts w:ascii="Arial" w:cs="Arial" w:eastAsia="Arial" w:hAnsi="Arial"/>
                <w:sz w:val="14"/>
                <w:szCs w:val="14"/>
                <w:color w:val="54585A"/>
              </w:rPr>
              <w:t>—</w:t>
            </w:r>
          </w:p>
        </w:tc>
        <w:tc>
          <w:tcPr>
            <w:tcW w:w="440" w:type="dxa"/>
            <w:vAlign w:val="bottom"/>
            <w:vMerge w:val="restart"/>
          </w:tcPr>
          <w:p>
            <w:pPr>
              <w:jc w:val="right"/>
              <w:ind w:right="188"/>
              <w:spacing w:after="0"/>
              <w:rPr>
                <w:sz w:val="20"/>
                <w:szCs w:val="20"/>
                <w:color w:val="auto"/>
              </w:rPr>
            </w:pPr>
            <w:r>
              <w:rPr>
                <w:rFonts w:ascii="Arial" w:cs="Arial" w:eastAsia="Arial" w:hAnsi="Arial"/>
                <w:sz w:val="14"/>
                <w:szCs w:val="14"/>
                <w:color w:val="54585A"/>
                <w:w w:val="93"/>
              </w:rPr>
              <w:t>(3)</w:t>
            </w:r>
          </w:p>
        </w:tc>
        <w:tc>
          <w:tcPr>
            <w:tcW w:w="0" w:type="dxa"/>
            <w:vAlign w:val="bottom"/>
          </w:tcPr>
          <w:p>
            <w:pPr>
              <w:spacing w:after="0"/>
              <w:rPr>
                <w:sz w:val="1"/>
                <w:szCs w:val="1"/>
                <w:color w:val="auto"/>
              </w:rPr>
            </w:pPr>
          </w:p>
        </w:tc>
      </w:tr>
      <w:tr>
        <w:trPr>
          <w:trHeight w:val="96"/>
        </w:trPr>
        <w:tc>
          <w:tcPr>
            <w:tcW w:w="3560" w:type="dxa"/>
            <w:vAlign w:val="bottom"/>
            <w:vMerge w:val="restart"/>
          </w:tcPr>
          <w:p>
            <w:pPr>
              <w:ind w:left="100"/>
              <w:spacing w:after="0"/>
              <w:rPr>
                <w:sz w:val="20"/>
                <w:szCs w:val="20"/>
                <w:color w:val="auto"/>
              </w:rPr>
            </w:pPr>
            <w:r>
              <w:rPr>
                <w:rFonts w:ascii="Arial" w:cs="Arial" w:eastAsia="Arial" w:hAnsi="Arial"/>
                <w:sz w:val="14"/>
                <w:szCs w:val="14"/>
                <w:color w:val="54585A"/>
              </w:rPr>
              <w:t>holders</w:t>
            </w:r>
          </w:p>
        </w:tc>
        <w:tc>
          <w:tcPr>
            <w:tcW w:w="218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6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420" w:type="dxa"/>
            <w:vAlign w:val="bottom"/>
            <w:tcBorders>
              <w:bottom w:val="single" w:sz="8" w:color="54585A"/>
            </w:tcBorders>
          </w:tcPr>
          <w:p>
            <w:pPr>
              <w:spacing w:after="0" w:line="20" w:lineRule="exact"/>
              <w:rPr>
                <w:sz w:val="1"/>
                <w:szCs w:val="1"/>
                <w:color w:val="auto"/>
              </w:rPr>
            </w:pPr>
          </w:p>
        </w:tc>
        <w:tc>
          <w:tcPr>
            <w:tcW w:w="1660" w:type="dxa"/>
            <w:vAlign w:val="bottom"/>
            <w:tcBorders>
              <w:bottom w:val="single" w:sz="8" w:color="54585A"/>
            </w:tcBorders>
          </w:tcPr>
          <w:p>
            <w:pPr>
              <w:spacing w:after="0" w:line="20" w:lineRule="exact"/>
              <w:rPr>
                <w:sz w:val="1"/>
                <w:szCs w:val="1"/>
                <w:color w:val="auto"/>
              </w:rPr>
            </w:pPr>
          </w:p>
        </w:tc>
        <w:tc>
          <w:tcPr>
            <w:tcW w:w="380" w:type="dxa"/>
            <w:vAlign w:val="bottom"/>
            <w:tcBorders>
              <w:bottom w:val="single" w:sz="8" w:color="54585A"/>
            </w:tcBorders>
          </w:tcPr>
          <w:p>
            <w:pPr>
              <w:spacing w:after="0" w:line="20" w:lineRule="exact"/>
              <w:rPr>
                <w:sz w:val="1"/>
                <w:szCs w:val="1"/>
                <w:color w:val="auto"/>
              </w:rPr>
            </w:pPr>
          </w:p>
        </w:tc>
        <w:tc>
          <w:tcPr>
            <w:tcW w:w="2600" w:type="dxa"/>
            <w:vAlign w:val="bottom"/>
            <w:tcBorders>
              <w:bottom w:val="single" w:sz="8" w:color="54585A"/>
            </w:tcBorders>
          </w:tcPr>
          <w:p>
            <w:pPr>
              <w:spacing w:after="0" w:line="20" w:lineRule="exact"/>
              <w:rPr>
                <w:sz w:val="1"/>
                <w:szCs w:val="1"/>
                <w:color w:val="auto"/>
              </w:rPr>
            </w:pPr>
          </w:p>
        </w:tc>
        <w:tc>
          <w:tcPr>
            <w:tcW w:w="44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3560" w:type="dxa"/>
            <w:vAlign w:val="bottom"/>
          </w:tcPr>
          <w:p>
            <w:pPr>
              <w:ind w:left="100"/>
              <w:spacing w:after="0"/>
              <w:rPr>
                <w:sz w:val="20"/>
                <w:szCs w:val="20"/>
                <w:color w:val="auto"/>
              </w:rPr>
            </w:pPr>
            <w:r>
              <w:rPr>
                <w:rFonts w:ascii="Arial" w:cs="Arial" w:eastAsia="Arial" w:hAnsi="Arial"/>
                <w:sz w:val="14"/>
                <w:szCs w:val="14"/>
                <w:color w:val="54585A"/>
              </w:rPr>
              <w:t>Equity compensation plans not approved by security</w:t>
            </w:r>
          </w:p>
        </w:tc>
        <w:tc>
          <w:tcPr>
            <w:tcW w:w="2180" w:type="dxa"/>
            <w:vAlign w:val="bottom"/>
            <w:vMerge w:val="restart"/>
          </w:tcPr>
          <w:p>
            <w:pPr>
              <w:jc w:val="right"/>
              <w:spacing w:after="0"/>
              <w:rPr>
                <w:sz w:val="20"/>
                <w:szCs w:val="20"/>
                <w:color w:val="auto"/>
              </w:rPr>
            </w:pPr>
            <w:r>
              <w:rPr>
                <w:rFonts w:ascii="Arial" w:cs="Arial" w:eastAsia="Arial" w:hAnsi="Arial"/>
                <w:sz w:val="14"/>
                <w:szCs w:val="14"/>
                <w:color w:val="54585A"/>
              </w:rPr>
              <w:t>—</w:t>
            </w:r>
          </w:p>
        </w:tc>
        <w:tc>
          <w:tcPr>
            <w:tcW w:w="420" w:type="dxa"/>
            <w:vAlign w:val="bottom"/>
          </w:tcPr>
          <w:p>
            <w:pPr>
              <w:spacing w:after="0"/>
              <w:rPr>
                <w:sz w:val="16"/>
                <w:szCs w:val="16"/>
                <w:color w:val="auto"/>
              </w:rPr>
            </w:pPr>
          </w:p>
        </w:tc>
        <w:tc>
          <w:tcPr>
            <w:tcW w:w="1660" w:type="dxa"/>
            <w:vAlign w:val="bottom"/>
            <w:vMerge w:val="restart"/>
          </w:tcPr>
          <w:p>
            <w:pPr>
              <w:jc w:val="right"/>
              <w:spacing w:after="0"/>
              <w:rPr>
                <w:sz w:val="20"/>
                <w:szCs w:val="20"/>
                <w:color w:val="auto"/>
              </w:rPr>
            </w:pPr>
            <w:r>
              <w:rPr>
                <w:rFonts w:ascii="Arial" w:cs="Arial" w:eastAsia="Arial" w:hAnsi="Arial"/>
                <w:sz w:val="14"/>
                <w:szCs w:val="14"/>
                <w:color w:val="54585A"/>
              </w:rPr>
              <w:t>—</w:t>
            </w:r>
          </w:p>
        </w:tc>
        <w:tc>
          <w:tcPr>
            <w:tcW w:w="380" w:type="dxa"/>
            <w:vAlign w:val="bottom"/>
          </w:tcPr>
          <w:p>
            <w:pPr>
              <w:spacing w:after="0"/>
              <w:rPr>
                <w:sz w:val="16"/>
                <w:szCs w:val="16"/>
                <w:color w:val="auto"/>
              </w:rPr>
            </w:pPr>
          </w:p>
        </w:tc>
        <w:tc>
          <w:tcPr>
            <w:tcW w:w="2600" w:type="dxa"/>
            <w:vAlign w:val="bottom"/>
            <w:vMerge w:val="restart"/>
          </w:tcPr>
          <w:p>
            <w:pPr>
              <w:jc w:val="right"/>
              <w:ind w:right="8"/>
              <w:spacing w:after="0"/>
              <w:rPr>
                <w:sz w:val="20"/>
                <w:szCs w:val="20"/>
                <w:color w:val="auto"/>
              </w:rPr>
            </w:pPr>
            <w:r>
              <w:rPr>
                <w:rFonts w:ascii="Arial" w:cs="Arial" w:eastAsia="Arial" w:hAnsi="Arial"/>
                <w:sz w:val="14"/>
                <w:szCs w:val="14"/>
                <w:color w:val="54585A"/>
              </w:rPr>
              <w:t>—</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3560" w:type="dxa"/>
            <w:vAlign w:val="bottom"/>
            <w:vMerge w:val="restart"/>
          </w:tcPr>
          <w:p>
            <w:pPr>
              <w:ind w:left="100"/>
              <w:spacing w:after="0"/>
              <w:rPr>
                <w:sz w:val="20"/>
                <w:szCs w:val="20"/>
                <w:color w:val="auto"/>
              </w:rPr>
            </w:pPr>
            <w:r>
              <w:rPr>
                <w:rFonts w:ascii="Arial" w:cs="Arial" w:eastAsia="Arial" w:hAnsi="Arial"/>
                <w:sz w:val="14"/>
                <w:szCs w:val="14"/>
                <w:color w:val="54585A"/>
              </w:rPr>
              <w:t>holders</w:t>
            </w:r>
          </w:p>
        </w:tc>
        <w:tc>
          <w:tcPr>
            <w:tcW w:w="21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26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5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356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420" w:type="dxa"/>
            <w:vAlign w:val="bottom"/>
            <w:tcBorders>
              <w:bottom w:val="single" w:sz="8" w:color="54585A"/>
            </w:tcBorders>
          </w:tcPr>
          <w:p>
            <w:pPr>
              <w:spacing w:after="0" w:line="20" w:lineRule="exact"/>
              <w:rPr>
                <w:sz w:val="1"/>
                <w:szCs w:val="1"/>
                <w:color w:val="auto"/>
              </w:rPr>
            </w:pPr>
          </w:p>
        </w:tc>
        <w:tc>
          <w:tcPr>
            <w:tcW w:w="1660" w:type="dxa"/>
            <w:vAlign w:val="bottom"/>
            <w:tcBorders>
              <w:bottom w:val="single" w:sz="8" w:color="54585A"/>
            </w:tcBorders>
          </w:tcPr>
          <w:p>
            <w:pPr>
              <w:spacing w:after="0" w:line="20" w:lineRule="exact"/>
              <w:rPr>
                <w:sz w:val="1"/>
                <w:szCs w:val="1"/>
                <w:color w:val="auto"/>
              </w:rPr>
            </w:pPr>
          </w:p>
        </w:tc>
        <w:tc>
          <w:tcPr>
            <w:tcW w:w="380" w:type="dxa"/>
            <w:vAlign w:val="bottom"/>
            <w:tcBorders>
              <w:bottom w:val="single" w:sz="8" w:color="54585A"/>
            </w:tcBorders>
          </w:tcPr>
          <w:p>
            <w:pPr>
              <w:spacing w:after="0" w:line="20" w:lineRule="exact"/>
              <w:rPr>
                <w:sz w:val="1"/>
                <w:szCs w:val="1"/>
                <w:color w:val="auto"/>
              </w:rPr>
            </w:pPr>
          </w:p>
        </w:tc>
        <w:tc>
          <w:tcPr>
            <w:tcW w:w="2600" w:type="dxa"/>
            <w:vAlign w:val="bottom"/>
            <w:tcBorders>
              <w:bottom w:val="single" w:sz="8" w:color="54585A"/>
            </w:tcBorders>
          </w:tcPr>
          <w:p>
            <w:pPr>
              <w:spacing w:after="0" w:line="20" w:lineRule="exact"/>
              <w:rPr>
                <w:sz w:val="1"/>
                <w:szCs w:val="1"/>
                <w:color w:val="auto"/>
              </w:rPr>
            </w:pPr>
          </w:p>
        </w:tc>
        <w:tc>
          <w:tcPr>
            <w:tcW w:w="44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56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Total</w:t>
            </w:r>
          </w:p>
        </w:tc>
        <w:tc>
          <w:tcPr>
            <w:tcW w:w="218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3,971,571</w:t>
            </w:r>
          </w:p>
        </w:tc>
        <w:tc>
          <w:tcPr>
            <w:tcW w:w="420" w:type="dxa"/>
            <w:vAlign w:val="bottom"/>
            <w:tcBorders>
              <w:bottom w:val="single" w:sz="8" w:color="54585A"/>
            </w:tcBorders>
          </w:tcPr>
          <w:p>
            <w:pPr>
              <w:jc w:val="right"/>
              <w:ind w:right="148"/>
              <w:spacing w:after="0"/>
              <w:rPr>
                <w:sz w:val="20"/>
                <w:szCs w:val="20"/>
                <w:color w:val="auto"/>
              </w:rPr>
            </w:pPr>
            <w:r>
              <w:rPr>
                <w:rFonts w:ascii="Arial" w:cs="Arial" w:eastAsia="Arial" w:hAnsi="Arial"/>
                <w:sz w:val="14"/>
                <w:szCs w:val="14"/>
                <w:color w:val="54585A"/>
              </w:rPr>
              <w:t>(1)</w:t>
            </w:r>
          </w:p>
        </w:tc>
        <w:tc>
          <w:tcPr>
            <w:tcW w:w="166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17.98</w:t>
            </w:r>
          </w:p>
        </w:tc>
        <w:tc>
          <w:tcPr>
            <w:tcW w:w="380" w:type="dxa"/>
            <w:vAlign w:val="bottom"/>
            <w:tcBorders>
              <w:bottom w:val="single" w:sz="8" w:color="54585A"/>
            </w:tcBorders>
          </w:tcPr>
          <w:p>
            <w:pPr>
              <w:jc w:val="right"/>
              <w:ind w:right="108"/>
              <w:spacing w:after="0"/>
              <w:rPr>
                <w:sz w:val="20"/>
                <w:szCs w:val="20"/>
                <w:color w:val="auto"/>
              </w:rPr>
            </w:pPr>
            <w:r>
              <w:rPr>
                <w:rFonts w:ascii="Arial" w:cs="Arial" w:eastAsia="Arial" w:hAnsi="Arial"/>
                <w:sz w:val="14"/>
                <w:szCs w:val="14"/>
                <w:color w:val="54585A"/>
              </w:rPr>
              <w:t>(2)</w:t>
            </w:r>
          </w:p>
        </w:tc>
        <w:tc>
          <w:tcPr>
            <w:tcW w:w="2600" w:type="dxa"/>
            <w:vAlign w:val="bottom"/>
            <w:tcBorders>
              <w:bottom w:val="single" w:sz="8" w:color="54585A"/>
            </w:tcBorders>
          </w:tcPr>
          <w:p>
            <w:pPr>
              <w:jc w:val="right"/>
              <w:ind w:right="8"/>
              <w:spacing w:after="0"/>
              <w:rPr>
                <w:sz w:val="20"/>
                <w:szCs w:val="20"/>
                <w:color w:val="auto"/>
              </w:rPr>
            </w:pPr>
            <w:r>
              <w:rPr>
                <w:rFonts w:ascii="Arial" w:cs="Arial" w:eastAsia="Arial" w:hAnsi="Arial"/>
                <w:sz w:val="14"/>
                <w:szCs w:val="14"/>
                <w:color w:val="54585A"/>
              </w:rPr>
              <w:t>—</w:t>
            </w:r>
          </w:p>
        </w:tc>
        <w:tc>
          <w:tcPr>
            <w:tcW w:w="440" w:type="dxa"/>
            <w:vAlign w:val="bottom"/>
            <w:tcBorders>
              <w:bottom w:val="single" w:sz="8" w:color="54585A"/>
            </w:tcBorders>
          </w:tcPr>
          <w:p>
            <w:pPr>
              <w:jc w:val="right"/>
              <w:ind w:right="188"/>
              <w:spacing w:after="0"/>
              <w:rPr>
                <w:sz w:val="20"/>
                <w:szCs w:val="20"/>
                <w:color w:val="auto"/>
              </w:rPr>
            </w:pPr>
            <w:r>
              <w:rPr>
                <w:rFonts w:ascii="Arial" w:cs="Arial" w:eastAsia="Arial" w:hAnsi="Arial"/>
                <w:sz w:val="14"/>
                <w:szCs w:val="14"/>
                <w:color w:val="54585A"/>
                <w:w w:val="93"/>
              </w:rPr>
              <w:t>(3)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40" w:right="200" w:hanging="332"/>
        <w:spacing w:after="0" w:line="305" w:lineRule="auto"/>
        <w:tabs>
          <w:tab w:leader="none" w:pos="338" w:val="left"/>
        </w:tabs>
        <w:numPr>
          <w:ilvl w:val="0"/>
          <w:numId w:val="61"/>
        </w:numPr>
        <w:rPr>
          <w:rFonts w:ascii="Arial" w:cs="Arial" w:eastAsia="Arial" w:hAnsi="Arial"/>
          <w:sz w:val="14"/>
          <w:szCs w:val="14"/>
          <w:color w:val="54585A"/>
        </w:rPr>
      </w:pPr>
      <w:r>
        <w:rPr>
          <w:rFonts w:ascii="Arial" w:cs="Arial" w:eastAsia="Arial" w:hAnsi="Arial"/>
          <w:sz w:val="14"/>
          <w:szCs w:val="14"/>
          <w:color w:val="54585A"/>
        </w:rPr>
        <w:t>Consists of unvested restricted stock awards, unvested restricted stock units and unexercised stock options. Also includes 3.0 million unvested restricted stock units that may vest upon achievement of sustained stock price targets between $30.00 and $150.00 over a four-year period.</w:t>
      </w:r>
    </w:p>
    <w:p>
      <w:pPr>
        <w:spacing w:after="0" w:line="49" w:lineRule="exact"/>
        <w:rPr>
          <w:rFonts w:ascii="Arial" w:cs="Arial" w:eastAsia="Arial" w:hAnsi="Arial"/>
          <w:sz w:val="14"/>
          <w:szCs w:val="14"/>
          <w:color w:val="54585A"/>
        </w:rPr>
      </w:pPr>
    </w:p>
    <w:p>
      <w:pPr>
        <w:ind w:left="340" w:right="260" w:hanging="332"/>
        <w:spacing w:after="0" w:line="305" w:lineRule="auto"/>
        <w:tabs>
          <w:tab w:leader="none" w:pos="338" w:val="left"/>
        </w:tabs>
        <w:numPr>
          <w:ilvl w:val="0"/>
          <w:numId w:val="61"/>
        </w:numPr>
        <w:rPr>
          <w:rFonts w:ascii="Arial" w:cs="Arial" w:eastAsia="Arial" w:hAnsi="Arial"/>
          <w:sz w:val="14"/>
          <w:szCs w:val="14"/>
          <w:color w:val="54585A"/>
        </w:rPr>
      </w:pPr>
      <w:r>
        <w:rPr>
          <w:rFonts w:ascii="Arial" w:cs="Arial" w:eastAsia="Arial" w:hAnsi="Arial"/>
          <w:sz w:val="14"/>
          <w:szCs w:val="14"/>
          <w:color w:val="54585A"/>
        </w:rPr>
        <w:t>Restricted stock awards and restricted stock units do not have an exercise price; therefore, this column only reflects the weighted-average exercise price of outstanding stock options.</w:t>
      </w:r>
    </w:p>
    <w:p>
      <w:pPr>
        <w:spacing w:after="0" w:line="49" w:lineRule="exact"/>
        <w:rPr>
          <w:rFonts w:ascii="Arial" w:cs="Arial" w:eastAsia="Arial" w:hAnsi="Arial"/>
          <w:sz w:val="14"/>
          <w:szCs w:val="14"/>
          <w:color w:val="54585A"/>
        </w:rPr>
      </w:pPr>
    </w:p>
    <w:p>
      <w:pPr>
        <w:ind w:left="340" w:hanging="332"/>
        <w:spacing w:after="0" w:line="273" w:lineRule="auto"/>
        <w:tabs>
          <w:tab w:leader="none" w:pos="338" w:val="left"/>
        </w:tabs>
        <w:numPr>
          <w:ilvl w:val="0"/>
          <w:numId w:val="61"/>
        </w:numPr>
        <w:rPr>
          <w:rFonts w:ascii="Arial" w:cs="Arial" w:eastAsia="Arial" w:hAnsi="Arial"/>
          <w:sz w:val="14"/>
          <w:szCs w:val="14"/>
          <w:color w:val="54585A"/>
        </w:rPr>
      </w:pPr>
      <w:r>
        <w:rPr>
          <w:rFonts w:ascii="Arial" w:cs="Arial" w:eastAsia="Arial" w:hAnsi="Arial"/>
          <w:sz w:val="14"/>
          <w:szCs w:val="14"/>
          <w:color w:val="54585A"/>
        </w:rPr>
        <w:t>Reflects shares available for grant under our ESPP as of December 31, 2024. As of December 31, 2024, there were no remaining shares of our common stock reserved for future issuance under our 2006 Equity Incentive Plan. In February 2025, our Board authorized an additional 2.5 million shares to be reserved for future issuance under our 2006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651510</wp:posOffset>
            </wp:positionV>
            <wp:extent cx="257175" cy="2571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38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9"/>
          <w:szCs w:val="29"/>
          <w:color w:val="54585A"/>
        </w:rPr>
        <w:t>Pay Versus Performance</w:t>
      </w:r>
    </w:p>
    <w:p>
      <w:pPr>
        <w:spacing w:after="0" w:line="225"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54585A"/>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For further information concerning the Company’s variable pay-for-performance philosophy and how we align executive compensation with the Company's performance, refer to "Executive Officers and Compensation - Compensation Discussion and Analysis."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00" w:type="dxa"/>
            <w:vAlign w:val="bottom"/>
            <w:shd w:val="clear" w:color="auto" w:fill="EEEDED"/>
          </w:tcPr>
          <w:p>
            <w:pPr>
              <w:spacing w:after="0"/>
              <w:rPr>
                <w:sz w:val="21"/>
                <w:szCs w:val="21"/>
                <w:color w:val="auto"/>
              </w:rPr>
            </w:pPr>
          </w:p>
        </w:tc>
        <w:tc>
          <w:tcPr>
            <w:tcW w:w="1940" w:type="dxa"/>
            <w:vAlign w:val="bottom"/>
            <w:tcBorders>
              <w:right w:val="single" w:sz="8" w:color="54585A"/>
            </w:tcBorders>
            <w:gridSpan w:val="2"/>
            <w:shd w:val="clear" w:color="auto" w:fill="EEEDED"/>
          </w:tcPr>
          <w:p>
            <w:pPr>
              <w:jc w:val="right"/>
              <w:ind w:right="17"/>
              <w:spacing w:after="0"/>
              <w:rPr>
                <w:sz w:val="20"/>
                <w:szCs w:val="20"/>
                <w:color w:val="auto"/>
              </w:rPr>
            </w:pPr>
            <w:r>
              <w:rPr>
                <w:rFonts w:ascii="Arial" w:cs="Arial" w:eastAsia="Arial" w:hAnsi="Arial"/>
                <w:sz w:val="13"/>
                <w:szCs w:val="13"/>
                <w:b w:val="1"/>
                <w:bCs w:val="1"/>
                <w:color w:val="54585A"/>
                <w:w w:val="99"/>
              </w:rPr>
              <w:t>Summary compensation table</w:t>
            </w:r>
          </w:p>
        </w:tc>
        <w:tc>
          <w:tcPr>
            <w:tcW w:w="1920" w:type="dxa"/>
            <w:vAlign w:val="bottom"/>
            <w:tcBorders>
              <w:right w:val="single" w:sz="8" w:color="54585A"/>
            </w:tcBorders>
            <w:gridSpan w:val="3"/>
            <w:shd w:val="clear" w:color="auto" w:fill="EEEDED"/>
          </w:tcPr>
          <w:p>
            <w:pPr>
              <w:jc w:val="right"/>
              <w:spacing w:after="0"/>
              <w:rPr>
                <w:sz w:val="20"/>
                <w:szCs w:val="20"/>
                <w:color w:val="auto"/>
              </w:rPr>
            </w:pPr>
            <w:r>
              <w:rPr>
                <w:rFonts w:ascii="Arial" w:cs="Arial" w:eastAsia="Arial" w:hAnsi="Arial"/>
                <w:sz w:val="13"/>
                <w:szCs w:val="13"/>
                <w:b w:val="1"/>
                <w:bCs w:val="1"/>
                <w:color w:val="54585A"/>
                <w:w w:val="97"/>
              </w:rPr>
              <w:t>Compensation actually paid to</w:t>
            </w:r>
          </w:p>
        </w:tc>
        <w:tc>
          <w:tcPr>
            <w:tcW w:w="1200" w:type="dxa"/>
            <w:vAlign w:val="bottom"/>
            <w:tcBorders>
              <w:right w:val="single" w:sz="8" w:color="54585A"/>
            </w:tcBorders>
            <w:shd w:val="clear" w:color="auto" w:fill="EEEDED"/>
          </w:tcPr>
          <w:p>
            <w:pPr>
              <w:spacing w:after="0"/>
              <w:rPr>
                <w:sz w:val="21"/>
                <w:szCs w:val="21"/>
                <w:color w:val="auto"/>
              </w:rPr>
            </w:pPr>
          </w:p>
        </w:tc>
        <w:tc>
          <w:tcPr>
            <w:tcW w:w="1180" w:type="dxa"/>
            <w:vAlign w:val="bottom"/>
            <w:tcBorders>
              <w:right w:val="single" w:sz="8" w:color="54585A"/>
            </w:tcBorders>
            <w:shd w:val="clear" w:color="auto" w:fill="EEEDED"/>
          </w:tcPr>
          <w:p>
            <w:pPr>
              <w:spacing w:after="0"/>
              <w:rPr>
                <w:sz w:val="21"/>
                <w:szCs w:val="21"/>
                <w:color w:val="auto"/>
              </w:rPr>
            </w:pPr>
          </w:p>
        </w:tc>
        <w:tc>
          <w:tcPr>
            <w:tcW w:w="2160" w:type="dxa"/>
            <w:vAlign w:val="bottom"/>
            <w:tcBorders>
              <w:right w:val="single" w:sz="8" w:color="54585A"/>
            </w:tcBorders>
            <w:gridSpan w:val="2"/>
            <w:shd w:val="clear" w:color="auto" w:fill="EEEDED"/>
          </w:tcPr>
          <w:p>
            <w:pPr>
              <w:jc w:val="right"/>
              <w:ind w:right="280"/>
              <w:spacing w:after="0"/>
              <w:rPr>
                <w:sz w:val="20"/>
                <w:szCs w:val="20"/>
                <w:color w:val="auto"/>
              </w:rPr>
            </w:pPr>
            <w:r>
              <w:rPr>
                <w:rFonts w:ascii="Arial" w:cs="Arial" w:eastAsia="Arial" w:hAnsi="Arial"/>
                <w:sz w:val="13"/>
                <w:szCs w:val="13"/>
                <w:b w:val="1"/>
                <w:bCs w:val="1"/>
                <w:color w:val="54585A"/>
              </w:rPr>
              <w:t>Value of initial fixed $100</w:t>
            </w:r>
          </w:p>
        </w:tc>
        <w:tc>
          <w:tcPr>
            <w:tcW w:w="1120" w:type="dxa"/>
            <w:vAlign w:val="bottom"/>
            <w:tcBorders>
              <w:right w:val="single" w:sz="8" w:color="54585A"/>
            </w:tcBorders>
            <w:shd w:val="clear" w:color="auto" w:fill="EEEDED"/>
          </w:tcPr>
          <w:p>
            <w:pPr>
              <w:spacing w:after="0"/>
              <w:rPr>
                <w:sz w:val="21"/>
                <w:szCs w:val="21"/>
                <w:color w:val="auto"/>
              </w:rPr>
            </w:pPr>
          </w:p>
        </w:tc>
        <w:tc>
          <w:tcPr>
            <w:tcW w:w="1120" w:type="dxa"/>
            <w:vAlign w:val="bottom"/>
            <w:shd w:val="clear" w:color="auto" w:fill="EEEDED"/>
          </w:tcPr>
          <w:p>
            <w:pPr>
              <w:spacing w:after="0"/>
              <w:rPr>
                <w:sz w:val="21"/>
                <w:szCs w:val="21"/>
                <w:color w:val="auto"/>
              </w:rPr>
            </w:pPr>
          </w:p>
        </w:tc>
      </w:tr>
      <w:tr>
        <w:trPr>
          <w:trHeight w:val="293"/>
        </w:trPr>
        <w:tc>
          <w:tcPr>
            <w:tcW w:w="600" w:type="dxa"/>
            <w:vAlign w:val="bottom"/>
            <w:tcBorders>
              <w:bottom w:val="single" w:sz="8" w:color="EEEDED"/>
            </w:tcBorders>
            <w:shd w:val="clear" w:color="auto" w:fill="EEEDED"/>
          </w:tcPr>
          <w:p>
            <w:pPr>
              <w:spacing w:after="0"/>
              <w:rPr>
                <w:sz w:val="24"/>
                <w:szCs w:val="24"/>
                <w:color w:val="auto"/>
              </w:rPr>
            </w:pPr>
          </w:p>
        </w:tc>
        <w:tc>
          <w:tcPr>
            <w:tcW w:w="1940" w:type="dxa"/>
            <w:vAlign w:val="bottom"/>
            <w:tcBorders>
              <w:bottom w:val="single" w:sz="8" w:color="EEEDED"/>
              <w:right w:val="single" w:sz="8" w:color="54585A"/>
            </w:tcBorders>
            <w:gridSpan w:val="2"/>
            <w:shd w:val="clear" w:color="auto" w:fill="EEEDED"/>
          </w:tcPr>
          <w:p>
            <w:pPr>
              <w:jc w:val="right"/>
              <w:ind w:right="477"/>
              <w:spacing w:after="0"/>
              <w:rPr>
                <w:sz w:val="20"/>
                <w:szCs w:val="20"/>
                <w:color w:val="auto"/>
              </w:rPr>
            </w:pPr>
            <w:r>
              <w:rPr>
                <w:rFonts w:ascii="Arial" w:cs="Arial" w:eastAsia="Arial" w:hAnsi="Arial"/>
                <w:sz w:val="13"/>
                <w:szCs w:val="13"/>
                <w:b w:val="1"/>
                <w:bCs w:val="1"/>
                <w:color w:val="54585A"/>
              </w:rPr>
              <w:t>total for PEO</w:t>
            </w:r>
            <w:r>
              <w:rPr>
                <w:rFonts w:ascii="Arial" w:cs="Arial" w:eastAsia="Arial" w:hAnsi="Arial"/>
                <w:sz w:val="16"/>
                <w:szCs w:val="16"/>
                <w:b w:val="1"/>
                <w:bCs w:val="1"/>
                <w:color w:val="54585A"/>
                <w:vertAlign w:val="superscript"/>
              </w:rPr>
              <w:t>(1)</w:t>
            </w:r>
          </w:p>
        </w:tc>
        <w:tc>
          <w:tcPr>
            <w:tcW w:w="1180" w:type="dxa"/>
            <w:vAlign w:val="bottom"/>
            <w:tcBorders>
              <w:bottom w:val="single" w:sz="8" w:color="EEEDED"/>
            </w:tcBorders>
            <w:gridSpan w:val="2"/>
            <w:shd w:val="clear" w:color="auto" w:fill="EEEDED"/>
          </w:tcPr>
          <w:p>
            <w:pPr>
              <w:ind w:left="760"/>
              <w:spacing w:after="0" w:line="242" w:lineRule="exact"/>
              <w:rPr>
                <w:sz w:val="20"/>
                <w:szCs w:val="20"/>
                <w:color w:val="auto"/>
              </w:rPr>
            </w:pPr>
            <w:r>
              <w:rPr>
                <w:rFonts w:ascii="Arial" w:cs="Arial" w:eastAsia="Arial" w:hAnsi="Arial"/>
                <w:sz w:val="25"/>
                <w:szCs w:val="25"/>
                <w:b w:val="1"/>
                <w:bCs w:val="1"/>
                <w:color w:val="54585A"/>
                <w:w w:val="88"/>
                <w:vertAlign w:val="subscript"/>
              </w:rPr>
              <w:t>PEO</w:t>
            </w:r>
            <w:r>
              <w:rPr>
                <w:rFonts w:ascii="Arial" w:cs="Arial" w:eastAsia="Arial" w:hAnsi="Arial"/>
                <w:sz w:val="8"/>
                <w:szCs w:val="8"/>
                <w:b w:val="1"/>
                <w:bCs w:val="1"/>
                <w:color w:val="54585A"/>
                <w:w w:val="88"/>
              </w:rPr>
              <w:t>(2)</w:t>
            </w:r>
          </w:p>
        </w:tc>
        <w:tc>
          <w:tcPr>
            <w:tcW w:w="740" w:type="dxa"/>
            <w:vAlign w:val="bottom"/>
            <w:tcBorders>
              <w:bottom w:val="single" w:sz="8" w:color="EEEDED"/>
              <w:right w:val="single" w:sz="8" w:color="54585A"/>
            </w:tcBorders>
            <w:shd w:val="clear" w:color="auto" w:fill="EEEDED"/>
          </w:tcPr>
          <w:p>
            <w:pPr>
              <w:spacing w:after="0"/>
              <w:rPr>
                <w:sz w:val="24"/>
                <w:szCs w:val="24"/>
                <w:color w:val="auto"/>
              </w:rPr>
            </w:pPr>
          </w:p>
        </w:tc>
        <w:tc>
          <w:tcPr>
            <w:tcW w:w="1200" w:type="dxa"/>
            <w:vAlign w:val="bottom"/>
            <w:tcBorders>
              <w:bottom w:val="single" w:sz="8" w:color="EEEDED"/>
              <w:right w:val="single" w:sz="8" w:color="54585A"/>
            </w:tcBorders>
            <w:shd w:val="clear" w:color="auto" w:fill="EEEDED"/>
          </w:tcPr>
          <w:p>
            <w:pPr>
              <w:spacing w:after="0"/>
              <w:rPr>
                <w:sz w:val="24"/>
                <w:szCs w:val="24"/>
                <w:color w:val="auto"/>
              </w:rPr>
            </w:pPr>
          </w:p>
        </w:tc>
        <w:tc>
          <w:tcPr>
            <w:tcW w:w="1180" w:type="dxa"/>
            <w:vAlign w:val="bottom"/>
            <w:tcBorders>
              <w:bottom w:val="single" w:sz="8" w:color="EEEDED"/>
              <w:right w:val="single" w:sz="8" w:color="54585A"/>
            </w:tcBorders>
            <w:shd w:val="clear" w:color="auto" w:fill="EEEDED"/>
          </w:tcPr>
          <w:p>
            <w:pPr>
              <w:spacing w:after="0"/>
              <w:rPr>
                <w:sz w:val="24"/>
                <w:szCs w:val="24"/>
                <w:color w:val="auto"/>
              </w:rPr>
            </w:pPr>
          </w:p>
        </w:tc>
        <w:tc>
          <w:tcPr>
            <w:tcW w:w="2160" w:type="dxa"/>
            <w:vAlign w:val="bottom"/>
            <w:tcBorders>
              <w:bottom w:val="single" w:sz="8" w:color="EEEDED"/>
              <w:right w:val="single" w:sz="8" w:color="54585A"/>
            </w:tcBorders>
            <w:gridSpan w:val="2"/>
            <w:shd w:val="clear" w:color="auto" w:fill="EEEDED"/>
          </w:tcPr>
          <w:p>
            <w:pPr>
              <w:jc w:val="right"/>
              <w:ind w:right="380"/>
              <w:spacing w:after="0"/>
              <w:rPr>
                <w:sz w:val="20"/>
                <w:szCs w:val="20"/>
                <w:color w:val="auto"/>
              </w:rPr>
            </w:pPr>
            <w:r>
              <w:rPr>
                <w:rFonts w:ascii="Arial" w:cs="Arial" w:eastAsia="Arial" w:hAnsi="Arial"/>
                <w:sz w:val="13"/>
                <w:szCs w:val="13"/>
                <w:b w:val="1"/>
                <w:bCs w:val="1"/>
                <w:color w:val="54585A"/>
              </w:rPr>
              <w:t>investment based on:</w:t>
            </w:r>
          </w:p>
        </w:tc>
        <w:tc>
          <w:tcPr>
            <w:tcW w:w="1120" w:type="dxa"/>
            <w:vAlign w:val="bottom"/>
            <w:tcBorders>
              <w:bottom w:val="single" w:sz="8" w:color="EEEDED"/>
              <w:right w:val="single" w:sz="8" w:color="54585A"/>
            </w:tcBorders>
            <w:shd w:val="clear" w:color="auto" w:fill="EEEDED"/>
          </w:tcPr>
          <w:p>
            <w:pPr>
              <w:spacing w:after="0"/>
              <w:rPr>
                <w:sz w:val="24"/>
                <w:szCs w:val="24"/>
                <w:color w:val="auto"/>
              </w:rPr>
            </w:pPr>
          </w:p>
        </w:tc>
        <w:tc>
          <w:tcPr>
            <w:tcW w:w="1120" w:type="dxa"/>
            <w:vAlign w:val="bottom"/>
            <w:tcBorders>
              <w:bottom w:val="single" w:sz="8" w:color="EEEDED"/>
            </w:tcBorders>
            <w:shd w:val="clear" w:color="auto" w:fill="EEEDED"/>
          </w:tcPr>
          <w:p>
            <w:pPr>
              <w:spacing w:after="0"/>
              <w:rPr>
                <w:sz w:val="24"/>
                <w:szCs w:val="24"/>
                <w:color w:val="auto"/>
              </w:rPr>
            </w:pPr>
          </w:p>
        </w:tc>
      </w:tr>
      <w:tr>
        <w:trPr>
          <w:trHeight w:val="84"/>
        </w:trPr>
        <w:tc>
          <w:tcPr>
            <w:tcW w:w="600" w:type="dxa"/>
            <w:vAlign w:val="bottom"/>
            <w:tcBorders>
              <w:top w:val="single" w:sz="8" w:color="EEEDED"/>
            </w:tcBorders>
            <w:shd w:val="clear" w:color="auto" w:fill="EEEDED"/>
          </w:tcPr>
          <w:p>
            <w:pPr>
              <w:spacing w:after="0"/>
              <w:rPr>
                <w:sz w:val="7"/>
                <w:szCs w:val="7"/>
                <w:color w:val="auto"/>
              </w:rPr>
            </w:pPr>
          </w:p>
        </w:tc>
        <w:tc>
          <w:tcPr>
            <w:tcW w:w="960" w:type="dxa"/>
            <w:vAlign w:val="bottom"/>
            <w:tcBorders>
              <w:top w:val="single" w:sz="8" w:color="54585A"/>
              <w:right w:val="single" w:sz="8" w:color="54585A"/>
            </w:tcBorders>
            <w:shd w:val="clear" w:color="auto" w:fill="EEEDED"/>
          </w:tcPr>
          <w:p>
            <w:pPr>
              <w:spacing w:after="0"/>
              <w:rPr>
                <w:sz w:val="7"/>
                <w:szCs w:val="7"/>
                <w:color w:val="auto"/>
              </w:rPr>
            </w:pPr>
          </w:p>
        </w:tc>
        <w:tc>
          <w:tcPr>
            <w:tcW w:w="980" w:type="dxa"/>
            <w:vAlign w:val="bottom"/>
            <w:tcBorders>
              <w:top w:val="single" w:sz="8" w:color="54585A"/>
              <w:right w:val="single" w:sz="8" w:color="54585A"/>
            </w:tcBorders>
            <w:shd w:val="clear" w:color="auto" w:fill="EEEDED"/>
          </w:tcPr>
          <w:p>
            <w:pPr>
              <w:spacing w:after="0"/>
              <w:rPr>
                <w:sz w:val="7"/>
                <w:szCs w:val="7"/>
                <w:color w:val="auto"/>
              </w:rPr>
            </w:pPr>
          </w:p>
        </w:tc>
        <w:tc>
          <w:tcPr>
            <w:tcW w:w="940" w:type="dxa"/>
            <w:vAlign w:val="bottom"/>
            <w:tcBorders>
              <w:top w:val="single" w:sz="8" w:color="54585A"/>
              <w:right w:val="single" w:sz="8" w:color="54585A"/>
            </w:tcBorders>
            <w:shd w:val="clear" w:color="auto" w:fill="EEEDED"/>
          </w:tcPr>
          <w:p>
            <w:pPr>
              <w:spacing w:after="0"/>
              <w:rPr>
                <w:sz w:val="7"/>
                <w:szCs w:val="7"/>
                <w:color w:val="auto"/>
              </w:rPr>
            </w:pPr>
          </w:p>
        </w:tc>
        <w:tc>
          <w:tcPr>
            <w:tcW w:w="240" w:type="dxa"/>
            <w:vAlign w:val="bottom"/>
            <w:tcBorders>
              <w:top w:val="single" w:sz="8" w:color="54585A"/>
            </w:tcBorders>
            <w:shd w:val="clear" w:color="auto" w:fill="EEEDED"/>
          </w:tcPr>
          <w:p>
            <w:pPr>
              <w:spacing w:after="0"/>
              <w:rPr>
                <w:sz w:val="7"/>
                <w:szCs w:val="7"/>
                <w:color w:val="auto"/>
              </w:rPr>
            </w:pPr>
          </w:p>
        </w:tc>
        <w:tc>
          <w:tcPr>
            <w:tcW w:w="740" w:type="dxa"/>
            <w:vAlign w:val="bottom"/>
            <w:tcBorders>
              <w:top w:val="single" w:sz="8" w:color="54585A"/>
              <w:right w:val="single" w:sz="8" w:color="54585A"/>
            </w:tcBorders>
            <w:shd w:val="clear" w:color="auto" w:fill="EEEDED"/>
          </w:tcPr>
          <w:p>
            <w:pPr>
              <w:spacing w:after="0"/>
              <w:rPr>
                <w:sz w:val="7"/>
                <w:szCs w:val="7"/>
                <w:color w:val="auto"/>
              </w:rPr>
            </w:pPr>
          </w:p>
        </w:tc>
        <w:tc>
          <w:tcPr>
            <w:tcW w:w="1200" w:type="dxa"/>
            <w:vAlign w:val="bottom"/>
            <w:tcBorders>
              <w:top w:val="single" w:sz="8" w:color="EEEDED"/>
              <w:right w:val="single" w:sz="8" w:color="54585A"/>
            </w:tcBorders>
            <w:shd w:val="clear" w:color="auto" w:fill="EEEDED"/>
          </w:tcPr>
          <w:p>
            <w:pPr>
              <w:jc w:val="right"/>
              <w:ind w:right="1"/>
              <w:spacing w:after="0" w:line="84" w:lineRule="exact"/>
              <w:rPr>
                <w:sz w:val="20"/>
                <w:szCs w:val="20"/>
                <w:color w:val="auto"/>
              </w:rPr>
            </w:pPr>
            <w:r>
              <w:rPr>
                <w:rFonts w:ascii="Arial" w:cs="Arial" w:eastAsia="Arial" w:hAnsi="Arial"/>
                <w:sz w:val="9"/>
                <w:szCs w:val="9"/>
                <w:b w:val="1"/>
                <w:bCs w:val="1"/>
                <w:color w:val="54585A"/>
              </w:rPr>
              <w:t>Average summary</w:t>
            </w:r>
          </w:p>
        </w:tc>
        <w:tc>
          <w:tcPr>
            <w:tcW w:w="1180" w:type="dxa"/>
            <w:vAlign w:val="bottom"/>
            <w:tcBorders>
              <w:top w:val="single" w:sz="8" w:color="EEEDED"/>
              <w:right w:val="single" w:sz="8" w:color="54585A"/>
            </w:tcBorders>
            <w:shd w:val="clear" w:color="auto" w:fill="EEEDED"/>
          </w:tcPr>
          <w:p>
            <w:pPr>
              <w:jc w:val="right"/>
              <w:ind w:right="1"/>
              <w:spacing w:after="0" w:line="84" w:lineRule="exact"/>
              <w:rPr>
                <w:sz w:val="20"/>
                <w:szCs w:val="20"/>
                <w:color w:val="auto"/>
              </w:rPr>
            </w:pPr>
            <w:r>
              <w:rPr>
                <w:rFonts w:ascii="Arial" w:cs="Arial" w:eastAsia="Arial" w:hAnsi="Arial"/>
                <w:sz w:val="9"/>
                <w:szCs w:val="9"/>
                <w:b w:val="1"/>
                <w:bCs w:val="1"/>
                <w:color w:val="54585A"/>
              </w:rPr>
              <w:t>Average</w:t>
            </w:r>
          </w:p>
        </w:tc>
        <w:tc>
          <w:tcPr>
            <w:tcW w:w="1140" w:type="dxa"/>
            <w:vAlign w:val="bottom"/>
            <w:tcBorders>
              <w:top w:val="single" w:sz="8" w:color="54585A"/>
              <w:right w:val="single" w:sz="8" w:color="54585A"/>
            </w:tcBorders>
            <w:shd w:val="clear" w:color="auto" w:fill="EEEDED"/>
          </w:tcPr>
          <w:p>
            <w:pPr>
              <w:spacing w:after="0"/>
              <w:rPr>
                <w:sz w:val="7"/>
                <w:szCs w:val="7"/>
                <w:color w:val="auto"/>
              </w:rPr>
            </w:pPr>
          </w:p>
        </w:tc>
        <w:tc>
          <w:tcPr>
            <w:tcW w:w="1020" w:type="dxa"/>
            <w:vAlign w:val="bottom"/>
            <w:tcBorders>
              <w:top w:val="single" w:sz="8" w:color="54585A"/>
              <w:right w:val="single" w:sz="8" w:color="54585A"/>
            </w:tcBorders>
            <w:shd w:val="clear" w:color="auto" w:fill="EEEDED"/>
          </w:tcPr>
          <w:p>
            <w:pPr>
              <w:spacing w:after="0"/>
              <w:rPr>
                <w:sz w:val="7"/>
                <w:szCs w:val="7"/>
                <w:color w:val="auto"/>
              </w:rPr>
            </w:pPr>
          </w:p>
        </w:tc>
        <w:tc>
          <w:tcPr>
            <w:tcW w:w="1120" w:type="dxa"/>
            <w:vAlign w:val="bottom"/>
            <w:tcBorders>
              <w:top w:val="single" w:sz="8" w:color="EEEDED"/>
              <w:right w:val="single" w:sz="8" w:color="54585A"/>
            </w:tcBorders>
            <w:shd w:val="clear" w:color="auto" w:fill="EEEDED"/>
          </w:tcPr>
          <w:p>
            <w:pPr>
              <w:spacing w:after="0"/>
              <w:rPr>
                <w:sz w:val="7"/>
                <w:szCs w:val="7"/>
                <w:color w:val="auto"/>
              </w:rPr>
            </w:pPr>
          </w:p>
        </w:tc>
        <w:tc>
          <w:tcPr>
            <w:tcW w:w="1120" w:type="dxa"/>
            <w:vAlign w:val="bottom"/>
            <w:tcBorders>
              <w:top w:val="single" w:sz="8" w:color="EEEDED"/>
            </w:tcBorders>
            <w:shd w:val="clear" w:color="auto" w:fill="EEEDED"/>
          </w:tcPr>
          <w:p>
            <w:pPr>
              <w:spacing w:after="0"/>
              <w:rPr>
                <w:sz w:val="7"/>
                <w:szCs w:val="7"/>
                <w:color w:val="auto"/>
              </w:rPr>
            </w:pPr>
          </w:p>
        </w:tc>
      </w:tr>
      <w:tr>
        <w:trPr>
          <w:trHeight w:val="148"/>
        </w:trPr>
        <w:tc>
          <w:tcPr>
            <w:tcW w:w="600" w:type="dxa"/>
            <w:vAlign w:val="bottom"/>
            <w:shd w:val="clear" w:color="auto" w:fill="EEEDED"/>
          </w:tcPr>
          <w:p>
            <w:pPr>
              <w:spacing w:after="0"/>
              <w:rPr>
                <w:sz w:val="12"/>
                <w:szCs w:val="12"/>
                <w:color w:val="auto"/>
              </w:rPr>
            </w:pPr>
          </w:p>
        </w:tc>
        <w:tc>
          <w:tcPr>
            <w:tcW w:w="960" w:type="dxa"/>
            <w:vAlign w:val="bottom"/>
            <w:tcBorders>
              <w:right w:val="single" w:sz="8" w:color="54585A"/>
            </w:tcBorders>
            <w:shd w:val="clear" w:color="auto" w:fill="EEEDED"/>
          </w:tcPr>
          <w:p>
            <w:pPr>
              <w:spacing w:after="0"/>
              <w:rPr>
                <w:sz w:val="12"/>
                <w:szCs w:val="12"/>
                <w:color w:val="auto"/>
              </w:rPr>
            </w:pPr>
          </w:p>
        </w:tc>
        <w:tc>
          <w:tcPr>
            <w:tcW w:w="980" w:type="dxa"/>
            <w:vAlign w:val="bottom"/>
            <w:tcBorders>
              <w:right w:val="single" w:sz="8" w:color="54585A"/>
            </w:tcBorders>
            <w:shd w:val="clear" w:color="auto" w:fill="EEEDED"/>
          </w:tcPr>
          <w:p>
            <w:pPr>
              <w:spacing w:after="0"/>
              <w:rPr>
                <w:sz w:val="12"/>
                <w:szCs w:val="12"/>
                <w:color w:val="auto"/>
              </w:rPr>
            </w:pPr>
          </w:p>
        </w:tc>
        <w:tc>
          <w:tcPr>
            <w:tcW w:w="940" w:type="dxa"/>
            <w:vAlign w:val="bottom"/>
            <w:tcBorders>
              <w:right w:val="single" w:sz="8" w:color="54585A"/>
            </w:tcBorders>
            <w:shd w:val="clear" w:color="auto" w:fill="EEEDED"/>
          </w:tcPr>
          <w:p>
            <w:pPr>
              <w:spacing w:after="0"/>
              <w:rPr>
                <w:sz w:val="12"/>
                <w:szCs w:val="12"/>
                <w:color w:val="auto"/>
              </w:rPr>
            </w:pPr>
          </w:p>
        </w:tc>
        <w:tc>
          <w:tcPr>
            <w:tcW w:w="240" w:type="dxa"/>
            <w:vAlign w:val="bottom"/>
            <w:shd w:val="clear" w:color="auto" w:fill="EEEDED"/>
          </w:tcPr>
          <w:p>
            <w:pPr>
              <w:spacing w:after="0"/>
              <w:rPr>
                <w:sz w:val="12"/>
                <w:szCs w:val="12"/>
                <w:color w:val="auto"/>
              </w:rPr>
            </w:pPr>
          </w:p>
        </w:tc>
        <w:tc>
          <w:tcPr>
            <w:tcW w:w="740" w:type="dxa"/>
            <w:vAlign w:val="bottom"/>
            <w:tcBorders>
              <w:right w:val="single" w:sz="8" w:color="54585A"/>
            </w:tcBorders>
            <w:shd w:val="clear" w:color="auto" w:fill="EEEDED"/>
          </w:tcPr>
          <w:p>
            <w:pPr>
              <w:spacing w:after="0"/>
              <w:rPr>
                <w:sz w:val="12"/>
                <w:szCs w:val="12"/>
                <w:color w:val="auto"/>
              </w:rPr>
            </w:pPr>
          </w:p>
        </w:tc>
        <w:tc>
          <w:tcPr>
            <w:tcW w:w="1200" w:type="dxa"/>
            <w:vAlign w:val="bottom"/>
            <w:tcBorders>
              <w:right w:val="single" w:sz="8" w:color="54585A"/>
            </w:tcBorders>
            <w:shd w:val="clear" w:color="auto" w:fill="EEEDED"/>
          </w:tcPr>
          <w:p>
            <w:pPr>
              <w:jc w:val="right"/>
              <w:ind w:right="1"/>
              <w:spacing w:after="0"/>
              <w:rPr>
                <w:sz w:val="20"/>
                <w:szCs w:val="20"/>
                <w:color w:val="auto"/>
              </w:rPr>
            </w:pPr>
            <w:r>
              <w:rPr>
                <w:rFonts w:ascii="Arial" w:cs="Arial" w:eastAsia="Arial" w:hAnsi="Arial"/>
                <w:sz w:val="13"/>
                <w:szCs w:val="13"/>
                <w:b w:val="1"/>
                <w:bCs w:val="1"/>
                <w:color w:val="54585A"/>
              </w:rPr>
              <w:t>compensation</w:t>
            </w:r>
          </w:p>
        </w:tc>
        <w:tc>
          <w:tcPr>
            <w:tcW w:w="1180" w:type="dxa"/>
            <w:vAlign w:val="bottom"/>
            <w:tcBorders>
              <w:right w:val="single" w:sz="8" w:color="54585A"/>
            </w:tcBorders>
            <w:shd w:val="clear" w:color="auto" w:fill="EEEDED"/>
          </w:tcPr>
          <w:p>
            <w:pPr>
              <w:jc w:val="right"/>
              <w:ind w:right="1"/>
              <w:spacing w:after="0"/>
              <w:rPr>
                <w:sz w:val="20"/>
                <w:szCs w:val="20"/>
                <w:color w:val="auto"/>
              </w:rPr>
            </w:pPr>
            <w:r>
              <w:rPr>
                <w:rFonts w:ascii="Arial" w:cs="Arial" w:eastAsia="Arial" w:hAnsi="Arial"/>
                <w:sz w:val="13"/>
                <w:szCs w:val="13"/>
                <w:b w:val="1"/>
                <w:bCs w:val="1"/>
                <w:color w:val="54585A"/>
              </w:rPr>
              <w:t>compensation</w:t>
            </w:r>
          </w:p>
        </w:tc>
        <w:tc>
          <w:tcPr>
            <w:tcW w:w="1140" w:type="dxa"/>
            <w:vAlign w:val="bottom"/>
            <w:tcBorders>
              <w:right w:val="single" w:sz="8" w:color="54585A"/>
            </w:tcBorders>
            <w:shd w:val="clear" w:color="auto" w:fill="EEEDED"/>
          </w:tcPr>
          <w:p>
            <w:pPr>
              <w:spacing w:after="0"/>
              <w:rPr>
                <w:sz w:val="12"/>
                <w:szCs w:val="12"/>
                <w:color w:val="auto"/>
              </w:rPr>
            </w:pPr>
          </w:p>
        </w:tc>
        <w:tc>
          <w:tcPr>
            <w:tcW w:w="1020" w:type="dxa"/>
            <w:vAlign w:val="bottom"/>
            <w:tcBorders>
              <w:right w:val="single" w:sz="8" w:color="54585A"/>
            </w:tcBorders>
            <w:shd w:val="clear" w:color="auto" w:fill="EEEDED"/>
          </w:tcPr>
          <w:p>
            <w:pPr>
              <w:spacing w:after="0"/>
              <w:rPr>
                <w:sz w:val="12"/>
                <w:szCs w:val="12"/>
                <w:color w:val="auto"/>
              </w:rPr>
            </w:pPr>
          </w:p>
        </w:tc>
        <w:tc>
          <w:tcPr>
            <w:tcW w:w="1120" w:type="dxa"/>
            <w:vAlign w:val="bottom"/>
            <w:tcBorders>
              <w:right w:val="single" w:sz="8" w:color="54585A"/>
            </w:tcBorders>
            <w:shd w:val="clear" w:color="auto" w:fill="EEEDED"/>
          </w:tcPr>
          <w:p>
            <w:pPr>
              <w:spacing w:after="0"/>
              <w:rPr>
                <w:sz w:val="12"/>
                <w:szCs w:val="12"/>
                <w:color w:val="auto"/>
              </w:rPr>
            </w:pPr>
          </w:p>
        </w:tc>
        <w:tc>
          <w:tcPr>
            <w:tcW w:w="1120" w:type="dxa"/>
            <w:vAlign w:val="bottom"/>
            <w:shd w:val="clear" w:color="auto" w:fill="EEEDED"/>
          </w:tcPr>
          <w:p>
            <w:pPr>
              <w:spacing w:after="0"/>
              <w:rPr>
                <w:sz w:val="12"/>
                <w:szCs w:val="12"/>
                <w:color w:val="auto"/>
              </w:rPr>
            </w:pPr>
          </w:p>
        </w:tc>
      </w:tr>
      <w:tr>
        <w:trPr>
          <w:trHeight w:val="148"/>
        </w:trPr>
        <w:tc>
          <w:tcPr>
            <w:tcW w:w="600" w:type="dxa"/>
            <w:vAlign w:val="bottom"/>
            <w:shd w:val="clear" w:color="auto" w:fill="EEEDED"/>
          </w:tcPr>
          <w:p>
            <w:pPr>
              <w:spacing w:after="0"/>
              <w:rPr>
                <w:sz w:val="12"/>
                <w:szCs w:val="12"/>
                <w:color w:val="auto"/>
              </w:rPr>
            </w:pPr>
          </w:p>
        </w:tc>
        <w:tc>
          <w:tcPr>
            <w:tcW w:w="96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David B.</w:t>
            </w:r>
          </w:p>
        </w:tc>
        <w:tc>
          <w:tcPr>
            <w:tcW w:w="98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Dr. Paul E.</w:t>
            </w:r>
          </w:p>
        </w:tc>
        <w:tc>
          <w:tcPr>
            <w:tcW w:w="9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David B.</w:t>
            </w:r>
          </w:p>
        </w:tc>
        <w:tc>
          <w:tcPr>
            <w:tcW w:w="240" w:type="dxa"/>
            <w:vAlign w:val="bottom"/>
            <w:shd w:val="clear" w:color="auto" w:fill="EEEDED"/>
          </w:tcPr>
          <w:p>
            <w:pPr>
              <w:spacing w:after="0"/>
              <w:rPr>
                <w:sz w:val="12"/>
                <w:szCs w:val="12"/>
                <w:color w:val="auto"/>
              </w:rPr>
            </w:pPr>
          </w:p>
        </w:tc>
        <w:tc>
          <w:tcPr>
            <w:tcW w:w="7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Dr. Paul E.</w:t>
            </w:r>
          </w:p>
        </w:tc>
        <w:tc>
          <w:tcPr>
            <w:tcW w:w="1200" w:type="dxa"/>
            <w:vAlign w:val="bottom"/>
            <w:tcBorders>
              <w:right w:val="single" w:sz="8" w:color="54585A"/>
            </w:tcBorders>
            <w:shd w:val="clear" w:color="auto" w:fill="EEEDED"/>
          </w:tcPr>
          <w:p>
            <w:pPr>
              <w:jc w:val="right"/>
              <w:ind w:right="1"/>
              <w:spacing w:after="0"/>
              <w:rPr>
                <w:sz w:val="20"/>
                <w:szCs w:val="20"/>
                <w:color w:val="auto"/>
              </w:rPr>
            </w:pPr>
            <w:r>
              <w:rPr>
                <w:rFonts w:ascii="Arial" w:cs="Arial" w:eastAsia="Arial" w:hAnsi="Arial"/>
                <w:sz w:val="13"/>
                <w:szCs w:val="13"/>
                <w:b w:val="1"/>
                <w:bCs w:val="1"/>
                <w:color w:val="54585A"/>
                <w:w w:val="98"/>
              </w:rPr>
              <w:t>table total for non-</w:t>
            </w:r>
          </w:p>
        </w:tc>
        <w:tc>
          <w:tcPr>
            <w:tcW w:w="1180" w:type="dxa"/>
            <w:vAlign w:val="bottom"/>
            <w:tcBorders>
              <w:right w:val="single" w:sz="8" w:color="54585A"/>
            </w:tcBorders>
            <w:shd w:val="clear" w:color="auto" w:fill="EEEDED"/>
          </w:tcPr>
          <w:p>
            <w:pPr>
              <w:jc w:val="right"/>
              <w:ind w:right="1"/>
              <w:spacing w:after="0"/>
              <w:rPr>
                <w:sz w:val="20"/>
                <w:szCs w:val="20"/>
                <w:color w:val="auto"/>
              </w:rPr>
            </w:pPr>
            <w:r>
              <w:rPr>
                <w:rFonts w:ascii="Arial" w:cs="Arial" w:eastAsia="Arial" w:hAnsi="Arial"/>
                <w:sz w:val="13"/>
                <w:szCs w:val="13"/>
                <w:b w:val="1"/>
                <w:bCs w:val="1"/>
                <w:color w:val="54585A"/>
              </w:rPr>
              <w:t>actually paid to</w:t>
            </w:r>
          </w:p>
        </w:tc>
        <w:tc>
          <w:tcPr>
            <w:tcW w:w="11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w w:val="97"/>
              </w:rPr>
              <w:t>Total shareholder</w:t>
            </w:r>
          </w:p>
        </w:tc>
        <w:tc>
          <w:tcPr>
            <w:tcW w:w="1020" w:type="dxa"/>
            <w:vAlign w:val="bottom"/>
            <w:tcBorders>
              <w:right w:val="single" w:sz="8" w:color="54585A"/>
            </w:tcBorders>
            <w:shd w:val="clear" w:color="auto" w:fill="EEEDED"/>
          </w:tcPr>
          <w:p>
            <w:pPr>
              <w:jc w:val="right"/>
              <w:ind w:right="20"/>
              <w:spacing w:after="0"/>
              <w:rPr>
                <w:sz w:val="20"/>
                <w:szCs w:val="20"/>
                <w:color w:val="auto"/>
              </w:rPr>
            </w:pPr>
            <w:r>
              <w:rPr>
                <w:rFonts w:ascii="Arial" w:cs="Arial" w:eastAsia="Arial" w:hAnsi="Arial"/>
                <w:sz w:val="13"/>
                <w:szCs w:val="13"/>
                <w:b w:val="1"/>
                <w:bCs w:val="1"/>
                <w:color w:val="54585A"/>
              </w:rPr>
              <w:t>Peer group</w:t>
            </w:r>
          </w:p>
        </w:tc>
        <w:tc>
          <w:tcPr>
            <w:tcW w:w="1120" w:type="dxa"/>
            <w:vAlign w:val="bottom"/>
            <w:tcBorders>
              <w:right w:val="single" w:sz="8" w:color="54585A"/>
            </w:tcBorders>
            <w:shd w:val="clear" w:color="auto" w:fill="EEEDED"/>
          </w:tcPr>
          <w:p>
            <w:pPr>
              <w:spacing w:after="0"/>
              <w:rPr>
                <w:sz w:val="12"/>
                <w:szCs w:val="12"/>
                <w:color w:val="auto"/>
              </w:rPr>
            </w:pPr>
          </w:p>
        </w:tc>
        <w:tc>
          <w:tcPr>
            <w:tcW w:w="1120" w:type="dxa"/>
            <w:vAlign w:val="bottom"/>
            <w:shd w:val="clear" w:color="auto" w:fill="EEEDED"/>
          </w:tcPr>
          <w:p>
            <w:pPr>
              <w:jc w:val="right"/>
              <w:ind w:right="80"/>
              <w:spacing w:after="0"/>
              <w:rPr>
                <w:sz w:val="20"/>
                <w:szCs w:val="20"/>
                <w:color w:val="auto"/>
              </w:rPr>
            </w:pPr>
            <w:r>
              <w:rPr>
                <w:rFonts w:ascii="Arial" w:cs="Arial" w:eastAsia="Arial" w:hAnsi="Arial"/>
                <w:sz w:val="13"/>
                <w:szCs w:val="13"/>
                <w:b w:val="1"/>
                <w:bCs w:val="1"/>
                <w:color w:val="54585A"/>
              </w:rPr>
              <w:t>Adjusted</w:t>
            </w:r>
          </w:p>
        </w:tc>
      </w:tr>
      <w:tr>
        <w:trPr>
          <w:trHeight w:val="148"/>
        </w:trPr>
        <w:tc>
          <w:tcPr>
            <w:tcW w:w="600" w:type="dxa"/>
            <w:vAlign w:val="bottom"/>
            <w:shd w:val="clear" w:color="auto" w:fill="EEEDED"/>
          </w:tcPr>
          <w:p>
            <w:pPr>
              <w:spacing w:after="0"/>
              <w:rPr>
                <w:sz w:val="12"/>
                <w:szCs w:val="12"/>
                <w:color w:val="auto"/>
              </w:rPr>
            </w:pPr>
          </w:p>
        </w:tc>
        <w:tc>
          <w:tcPr>
            <w:tcW w:w="96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Kagan</w:t>
            </w:r>
          </w:p>
        </w:tc>
        <w:tc>
          <w:tcPr>
            <w:tcW w:w="98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Jacobs</w:t>
            </w:r>
          </w:p>
        </w:tc>
        <w:tc>
          <w:tcPr>
            <w:tcW w:w="9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Kagan</w:t>
            </w:r>
          </w:p>
        </w:tc>
        <w:tc>
          <w:tcPr>
            <w:tcW w:w="240" w:type="dxa"/>
            <w:vAlign w:val="bottom"/>
            <w:shd w:val="clear" w:color="auto" w:fill="EEEDED"/>
          </w:tcPr>
          <w:p>
            <w:pPr>
              <w:spacing w:after="0"/>
              <w:rPr>
                <w:sz w:val="12"/>
                <w:szCs w:val="12"/>
                <w:color w:val="auto"/>
              </w:rPr>
            </w:pPr>
          </w:p>
        </w:tc>
        <w:tc>
          <w:tcPr>
            <w:tcW w:w="7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Jacobs</w:t>
            </w:r>
          </w:p>
        </w:tc>
        <w:tc>
          <w:tcPr>
            <w:tcW w:w="1200" w:type="dxa"/>
            <w:vAlign w:val="bottom"/>
            <w:tcBorders>
              <w:right w:val="single" w:sz="8" w:color="54585A"/>
            </w:tcBorders>
            <w:shd w:val="clear" w:color="auto" w:fill="EEEDED"/>
          </w:tcPr>
          <w:p>
            <w:pPr>
              <w:jc w:val="right"/>
              <w:ind w:right="1"/>
              <w:spacing w:after="0"/>
              <w:rPr>
                <w:sz w:val="20"/>
                <w:szCs w:val="20"/>
                <w:color w:val="auto"/>
              </w:rPr>
            </w:pPr>
            <w:r>
              <w:rPr>
                <w:rFonts w:ascii="Arial" w:cs="Arial" w:eastAsia="Arial" w:hAnsi="Arial"/>
                <w:sz w:val="13"/>
                <w:szCs w:val="13"/>
                <w:b w:val="1"/>
                <w:bCs w:val="1"/>
                <w:color w:val="54585A"/>
              </w:rPr>
              <w:t>PEO NEOs</w:t>
            </w:r>
          </w:p>
        </w:tc>
        <w:tc>
          <w:tcPr>
            <w:tcW w:w="1180" w:type="dxa"/>
            <w:vAlign w:val="bottom"/>
            <w:tcBorders>
              <w:right w:val="single" w:sz="8" w:color="54585A"/>
            </w:tcBorders>
            <w:shd w:val="clear" w:color="auto" w:fill="EEEDED"/>
          </w:tcPr>
          <w:p>
            <w:pPr>
              <w:jc w:val="right"/>
              <w:ind w:right="1"/>
              <w:spacing w:after="0"/>
              <w:rPr>
                <w:sz w:val="20"/>
                <w:szCs w:val="20"/>
                <w:color w:val="auto"/>
              </w:rPr>
            </w:pPr>
            <w:r>
              <w:rPr>
                <w:rFonts w:ascii="Arial" w:cs="Arial" w:eastAsia="Arial" w:hAnsi="Arial"/>
                <w:sz w:val="13"/>
                <w:szCs w:val="13"/>
                <w:b w:val="1"/>
                <w:bCs w:val="1"/>
                <w:color w:val="54585A"/>
              </w:rPr>
              <w:t>non-PEO NEOs</w:t>
            </w:r>
          </w:p>
        </w:tc>
        <w:tc>
          <w:tcPr>
            <w:tcW w:w="11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return (TSR)</w:t>
            </w:r>
          </w:p>
        </w:tc>
        <w:tc>
          <w:tcPr>
            <w:tcW w:w="1020" w:type="dxa"/>
            <w:vAlign w:val="bottom"/>
            <w:tcBorders>
              <w:right w:val="single" w:sz="8" w:color="54585A"/>
            </w:tcBorders>
            <w:shd w:val="clear" w:color="auto" w:fill="EEEDED"/>
          </w:tcPr>
          <w:p>
            <w:pPr>
              <w:jc w:val="right"/>
              <w:ind w:right="20"/>
              <w:spacing w:after="0"/>
              <w:rPr>
                <w:sz w:val="20"/>
                <w:szCs w:val="20"/>
                <w:color w:val="auto"/>
              </w:rPr>
            </w:pPr>
            <w:r>
              <w:rPr>
                <w:rFonts w:ascii="Arial" w:cs="Arial" w:eastAsia="Arial" w:hAnsi="Arial"/>
                <w:sz w:val="13"/>
                <w:szCs w:val="13"/>
                <w:b w:val="1"/>
                <w:bCs w:val="1"/>
                <w:color w:val="54585A"/>
              </w:rPr>
              <w:t>TSR</w:t>
            </w:r>
          </w:p>
        </w:tc>
        <w:tc>
          <w:tcPr>
            <w:tcW w:w="1120" w:type="dxa"/>
            <w:vAlign w:val="bottom"/>
            <w:tcBorders>
              <w:right w:val="single" w:sz="8" w:color="54585A"/>
            </w:tcBorders>
            <w:shd w:val="clear" w:color="auto" w:fill="EEEDED"/>
          </w:tcPr>
          <w:p>
            <w:pPr>
              <w:jc w:val="right"/>
              <w:ind w:right="17"/>
              <w:spacing w:after="0"/>
              <w:rPr>
                <w:sz w:val="20"/>
                <w:szCs w:val="20"/>
                <w:color w:val="auto"/>
              </w:rPr>
            </w:pPr>
            <w:r>
              <w:rPr>
                <w:rFonts w:ascii="Arial" w:cs="Arial" w:eastAsia="Arial" w:hAnsi="Arial"/>
                <w:sz w:val="13"/>
                <w:szCs w:val="13"/>
                <w:b w:val="1"/>
                <w:bCs w:val="1"/>
                <w:color w:val="54585A"/>
              </w:rPr>
              <w:t>Net Loss</w:t>
            </w:r>
          </w:p>
        </w:tc>
        <w:tc>
          <w:tcPr>
            <w:tcW w:w="1120" w:type="dxa"/>
            <w:vAlign w:val="bottom"/>
            <w:shd w:val="clear" w:color="auto" w:fill="EEEDED"/>
          </w:tcPr>
          <w:p>
            <w:pPr>
              <w:jc w:val="right"/>
              <w:ind w:right="80"/>
              <w:spacing w:after="0"/>
              <w:rPr>
                <w:sz w:val="20"/>
                <w:szCs w:val="20"/>
                <w:color w:val="auto"/>
              </w:rPr>
            </w:pPr>
            <w:r>
              <w:rPr>
                <w:rFonts w:ascii="Arial" w:cs="Arial" w:eastAsia="Arial" w:hAnsi="Arial"/>
                <w:sz w:val="13"/>
                <w:szCs w:val="13"/>
                <w:b w:val="1"/>
                <w:bCs w:val="1"/>
                <w:color w:val="54585A"/>
              </w:rPr>
              <w:t>EBITDA</w:t>
            </w:r>
          </w:p>
        </w:tc>
      </w:tr>
      <w:tr>
        <w:trPr>
          <w:trHeight w:val="207"/>
        </w:trPr>
        <w:tc>
          <w:tcPr>
            <w:tcW w:w="600" w:type="dxa"/>
            <w:vAlign w:val="bottom"/>
            <w:shd w:val="clear" w:color="auto" w:fill="EEEDED"/>
          </w:tcPr>
          <w:p>
            <w:pPr>
              <w:ind w:left="180"/>
              <w:spacing w:after="0"/>
              <w:rPr>
                <w:sz w:val="20"/>
                <w:szCs w:val="20"/>
                <w:color w:val="auto"/>
              </w:rPr>
            </w:pPr>
            <w:r>
              <w:rPr>
                <w:rFonts w:ascii="Arial" w:cs="Arial" w:eastAsia="Arial" w:hAnsi="Arial"/>
                <w:sz w:val="13"/>
                <w:szCs w:val="13"/>
                <w:b w:val="1"/>
                <w:bCs w:val="1"/>
                <w:color w:val="54585A"/>
              </w:rPr>
              <w:t>Year</w:t>
            </w:r>
          </w:p>
        </w:tc>
        <w:tc>
          <w:tcPr>
            <w:tcW w:w="96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w:t>
            </w:r>
          </w:p>
        </w:tc>
        <w:tc>
          <w:tcPr>
            <w:tcW w:w="98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w:t>
            </w:r>
          </w:p>
        </w:tc>
        <w:tc>
          <w:tcPr>
            <w:tcW w:w="9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w:t>
            </w:r>
          </w:p>
        </w:tc>
        <w:tc>
          <w:tcPr>
            <w:tcW w:w="240" w:type="dxa"/>
            <w:vAlign w:val="bottom"/>
            <w:shd w:val="clear" w:color="auto" w:fill="EEEDED"/>
          </w:tcPr>
          <w:p>
            <w:pPr>
              <w:spacing w:after="0"/>
              <w:rPr>
                <w:sz w:val="18"/>
                <w:szCs w:val="18"/>
                <w:color w:val="auto"/>
              </w:rPr>
            </w:pPr>
          </w:p>
        </w:tc>
        <w:tc>
          <w:tcPr>
            <w:tcW w:w="740" w:type="dxa"/>
            <w:vAlign w:val="bottom"/>
            <w:tcBorders>
              <w:right w:val="single" w:sz="8" w:color="54585A"/>
            </w:tcBorders>
            <w:shd w:val="clear" w:color="auto" w:fill="EEEDED"/>
          </w:tcPr>
          <w:p>
            <w:pPr>
              <w:jc w:val="right"/>
              <w:spacing w:after="0"/>
              <w:rPr>
                <w:sz w:val="20"/>
                <w:szCs w:val="20"/>
                <w:color w:val="auto"/>
              </w:rPr>
            </w:pPr>
            <w:r>
              <w:rPr>
                <w:rFonts w:ascii="Arial" w:cs="Arial" w:eastAsia="Arial" w:hAnsi="Arial"/>
                <w:sz w:val="13"/>
                <w:szCs w:val="13"/>
                <w:b w:val="1"/>
                <w:bCs w:val="1"/>
                <w:color w:val="54585A"/>
              </w:rPr>
              <w:t>($)</w:t>
            </w:r>
          </w:p>
        </w:tc>
        <w:tc>
          <w:tcPr>
            <w:tcW w:w="1200" w:type="dxa"/>
            <w:vAlign w:val="bottom"/>
            <w:tcBorders>
              <w:right w:val="single" w:sz="8" w:color="54585A"/>
            </w:tcBorders>
            <w:shd w:val="clear" w:color="auto" w:fill="EEEDED"/>
          </w:tcPr>
          <w:p>
            <w:pPr>
              <w:jc w:val="right"/>
              <w:ind w:right="1"/>
              <w:spacing w:after="0" w:line="207"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8"/>
                <w:szCs w:val="8"/>
                <w:b w:val="1"/>
                <w:bCs w:val="1"/>
                <w:color w:val="54585A"/>
              </w:rPr>
              <w:t xml:space="preserve"> (3)</w:t>
            </w:r>
          </w:p>
        </w:tc>
        <w:tc>
          <w:tcPr>
            <w:tcW w:w="1180" w:type="dxa"/>
            <w:vAlign w:val="bottom"/>
            <w:tcBorders>
              <w:right w:val="single" w:sz="8" w:color="54585A"/>
            </w:tcBorders>
            <w:shd w:val="clear" w:color="auto" w:fill="EEEDED"/>
          </w:tcPr>
          <w:p>
            <w:pPr>
              <w:jc w:val="right"/>
              <w:ind w:right="1"/>
              <w:spacing w:after="0" w:line="207"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8"/>
                <w:szCs w:val="8"/>
                <w:b w:val="1"/>
                <w:bCs w:val="1"/>
                <w:color w:val="54585A"/>
              </w:rPr>
              <w:t xml:space="preserve"> (4)</w:t>
            </w:r>
          </w:p>
        </w:tc>
        <w:tc>
          <w:tcPr>
            <w:tcW w:w="1140" w:type="dxa"/>
            <w:vAlign w:val="bottom"/>
            <w:tcBorders>
              <w:right w:val="single" w:sz="8" w:color="54585A"/>
            </w:tcBorders>
            <w:shd w:val="clear" w:color="auto" w:fill="EEEDED"/>
          </w:tcPr>
          <w:p>
            <w:pPr>
              <w:jc w:val="right"/>
              <w:spacing w:after="0" w:line="207"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8"/>
                <w:szCs w:val="8"/>
                <w:b w:val="1"/>
                <w:bCs w:val="1"/>
                <w:color w:val="54585A"/>
              </w:rPr>
              <w:t xml:space="preserve"> (5)</w:t>
            </w:r>
          </w:p>
        </w:tc>
        <w:tc>
          <w:tcPr>
            <w:tcW w:w="1020" w:type="dxa"/>
            <w:vAlign w:val="bottom"/>
            <w:tcBorders>
              <w:right w:val="single" w:sz="8" w:color="54585A"/>
            </w:tcBorders>
            <w:shd w:val="clear" w:color="auto" w:fill="EEEDED"/>
          </w:tcPr>
          <w:p>
            <w:pPr>
              <w:jc w:val="right"/>
              <w:ind w:right="20"/>
              <w:spacing w:after="0" w:line="207"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8"/>
                <w:szCs w:val="8"/>
                <w:b w:val="1"/>
                <w:bCs w:val="1"/>
                <w:color w:val="54585A"/>
              </w:rPr>
              <w:t xml:space="preserve"> (6)</w:t>
            </w:r>
          </w:p>
        </w:tc>
        <w:tc>
          <w:tcPr>
            <w:tcW w:w="1120" w:type="dxa"/>
            <w:vAlign w:val="bottom"/>
            <w:tcBorders>
              <w:right w:val="single" w:sz="8" w:color="54585A"/>
            </w:tcBorders>
            <w:shd w:val="clear" w:color="auto" w:fill="EEEDED"/>
          </w:tcPr>
          <w:p>
            <w:pPr>
              <w:jc w:val="right"/>
              <w:ind w:right="17"/>
              <w:spacing w:after="0"/>
              <w:rPr>
                <w:sz w:val="20"/>
                <w:szCs w:val="20"/>
                <w:color w:val="auto"/>
              </w:rPr>
            </w:pPr>
            <w:r>
              <w:rPr>
                <w:rFonts w:ascii="Arial" w:cs="Arial" w:eastAsia="Arial" w:hAnsi="Arial"/>
                <w:sz w:val="13"/>
                <w:szCs w:val="13"/>
                <w:b w:val="1"/>
                <w:bCs w:val="1"/>
                <w:color w:val="54585A"/>
              </w:rPr>
              <w:t xml:space="preserve">($) </w:t>
            </w:r>
            <w:r>
              <w:rPr>
                <w:rFonts w:ascii="Arial" w:cs="Arial" w:eastAsia="Arial" w:hAnsi="Arial"/>
                <w:sz w:val="16"/>
                <w:szCs w:val="16"/>
                <w:b w:val="1"/>
                <w:bCs w:val="1"/>
                <w:color w:val="54585A"/>
                <w:vertAlign w:val="superscript"/>
              </w:rPr>
              <w:t>(7)</w:t>
            </w:r>
          </w:p>
        </w:tc>
        <w:tc>
          <w:tcPr>
            <w:tcW w:w="1120" w:type="dxa"/>
            <w:vAlign w:val="bottom"/>
            <w:shd w:val="clear" w:color="auto" w:fill="EEEDED"/>
          </w:tcPr>
          <w:p>
            <w:pPr>
              <w:jc w:val="right"/>
              <w:ind w:right="80"/>
              <w:spacing w:after="0" w:line="207" w:lineRule="exact"/>
              <w:rPr>
                <w:sz w:val="20"/>
                <w:szCs w:val="20"/>
                <w:color w:val="auto"/>
              </w:rPr>
            </w:pPr>
            <w:r>
              <w:rPr>
                <w:rFonts w:ascii="Arial" w:cs="Arial" w:eastAsia="Arial" w:hAnsi="Arial"/>
                <w:sz w:val="24"/>
                <w:szCs w:val="24"/>
                <w:b w:val="1"/>
                <w:bCs w:val="1"/>
                <w:color w:val="54585A"/>
                <w:vertAlign w:val="subscript"/>
              </w:rPr>
              <w:t>($)</w:t>
            </w:r>
            <w:r>
              <w:rPr>
                <w:rFonts w:ascii="Arial" w:cs="Arial" w:eastAsia="Arial" w:hAnsi="Arial"/>
                <w:sz w:val="8"/>
                <w:szCs w:val="8"/>
                <w:b w:val="1"/>
                <w:bCs w:val="1"/>
                <w:color w:val="54585A"/>
              </w:rPr>
              <w:t xml:space="preserve"> (8)</w:t>
            </w:r>
          </w:p>
        </w:tc>
      </w:tr>
      <w:tr>
        <w:trPr>
          <w:trHeight w:val="94"/>
        </w:trPr>
        <w:tc>
          <w:tcPr>
            <w:tcW w:w="600" w:type="dxa"/>
            <w:vAlign w:val="bottom"/>
            <w:shd w:val="clear" w:color="auto" w:fill="EEEDED"/>
          </w:tcPr>
          <w:p>
            <w:pPr>
              <w:spacing w:after="0"/>
              <w:rPr>
                <w:sz w:val="8"/>
                <w:szCs w:val="8"/>
                <w:color w:val="auto"/>
              </w:rPr>
            </w:pPr>
          </w:p>
        </w:tc>
        <w:tc>
          <w:tcPr>
            <w:tcW w:w="960" w:type="dxa"/>
            <w:vAlign w:val="bottom"/>
            <w:tcBorders>
              <w:right w:val="single" w:sz="8" w:color="54585A"/>
            </w:tcBorders>
            <w:shd w:val="clear" w:color="auto" w:fill="EEEDED"/>
          </w:tcPr>
          <w:p>
            <w:pPr>
              <w:spacing w:after="0"/>
              <w:rPr>
                <w:sz w:val="8"/>
                <w:szCs w:val="8"/>
                <w:color w:val="auto"/>
              </w:rPr>
            </w:pPr>
          </w:p>
        </w:tc>
        <w:tc>
          <w:tcPr>
            <w:tcW w:w="980" w:type="dxa"/>
            <w:vAlign w:val="bottom"/>
            <w:tcBorders>
              <w:right w:val="single" w:sz="8" w:color="54585A"/>
            </w:tcBorders>
            <w:shd w:val="clear" w:color="auto" w:fill="EEEDED"/>
          </w:tcPr>
          <w:p>
            <w:pPr>
              <w:spacing w:after="0"/>
              <w:rPr>
                <w:sz w:val="8"/>
                <w:szCs w:val="8"/>
                <w:color w:val="auto"/>
              </w:rPr>
            </w:pPr>
          </w:p>
        </w:tc>
        <w:tc>
          <w:tcPr>
            <w:tcW w:w="940" w:type="dxa"/>
            <w:vAlign w:val="bottom"/>
            <w:tcBorders>
              <w:right w:val="single" w:sz="8" w:color="54585A"/>
            </w:tcBorders>
            <w:shd w:val="clear" w:color="auto" w:fill="EEEDED"/>
          </w:tcPr>
          <w:p>
            <w:pPr>
              <w:spacing w:after="0"/>
              <w:rPr>
                <w:sz w:val="8"/>
                <w:szCs w:val="8"/>
                <w:color w:val="auto"/>
              </w:rPr>
            </w:pPr>
          </w:p>
        </w:tc>
        <w:tc>
          <w:tcPr>
            <w:tcW w:w="240" w:type="dxa"/>
            <w:vAlign w:val="bottom"/>
            <w:shd w:val="clear" w:color="auto" w:fill="EEEDED"/>
          </w:tcPr>
          <w:p>
            <w:pPr>
              <w:spacing w:after="0"/>
              <w:rPr>
                <w:sz w:val="8"/>
                <w:szCs w:val="8"/>
                <w:color w:val="auto"/>
              </w:rPr>
            </w:pPr>
          </w:p>
        </w:tc>
        <w:tc>
          <w:tcPr>
            <w:tcW w:w="740" w:type="dxa"/>
            <w:vAlign w:val="bottom"/>
            <w:tcBorders>
              <w:right w:val="single" w:sz="8" w:color="54585A"/>
            </w:tcBorders>
            <w:shd w:val="clear" w:color="auto" w:fill="EEEDED"/>
          </w:tcPr>
          <w:p>
            <w:pPr>
              <w:spacing w:after="0"/>
              <w:rPr>
                <w:sz w:val="8"/>
                <w:szCs w:val="8"/>
                <w:color w:val="auto"/>
              </w:rPr>
            </w:pPr>
          </w:p>
        </w:tc>
        <w:tc>
          <w:tcPr>
            <w:tcW w:w="1200" w:type="dxa"/>
            <w:vAlign w:val="bottom"/>
            <w:tcBorders>
              <w:right w:val="single" w:sz="8" w:color="54585A"/>
            </w:tcBorders>
            <w:shd w:val="clear" w:color="auto" w:fill="EEEDED"/>
          </w:tcPr>
          <w:p>
            <w:pPr>
              <w:spacing w:after="0"/>
              <w:rPr>
                <w:sz w:val="8"/>
                <w:szCs w:val="8"/>
                <w:color w:val="auto"/>
              </w:rPr>
            </w:pPr>
          </w:p>
        </w:tc>
        <w:tc>
          <w:tcPr>
            <w:tcW w:w="1180" w:type="dxa"/>
            <w:vAlign w:val="bottom"/>
            <w:tcBorders>
              <w:right w:val="single" w:sz="8" w:color="54585A"/>
            </w:tcBorders>
            <w:shd w:val="clear" w:color="auto" w:fill="EEEDED"/>
          </w:tcPr>
          <w:p>
            <w:pPr>
              <w:spacing w:after="0"/>
              <w:rPr>
                <w:sz w:val="8"/>
                <w:szCs w:val="8"/>
                <w:color w:val="auto"/>
              </w:rPr>
            </w:pPr>
          </w:p>
        </w:tc>
        <w:tc>
          <w:tcPr>
            <w:tcW w:w="1140" w:type="dxa"/>
            <w:vAlign w:val="bottom"/>
            <w:tcBorders>
              <w:right w:val="single" w:sz="8" w:color="54585A"/>
            </w:tcBorders>
            <w:shd w:val="clear" w:color="auto" w:fill="EEEDED"/>
          </w:tcPr>
          <w:p>
            <w:pPr>
              <w:spacing w:after="0"/>
              <w:rPr>
                <w:sz w:val="8"/>
                <w:szCs w:val="8"/>
                <w:color w:val="auto"/>
              </w:rPr>
            </w:pPr>
          </w:p>
        </w:tc>
        <w:tc>
          <w:tcPr>
            <w:tcW w:w="1020" w:type="dxa"/>
            <w:vAlign w:val="bottom"/>
            <w:tcBorders>
              <w:right w:val="single" w:sz="8" w:color="54585A"/>
            </w:tcBorders>
            <w:shd w:val="clear" w:color="auto" w:fill="EEEDED"/>
          </w:tcPr>
          <w:p>
            <w:pPr>
              <w:spacing w:after="0"/>
              <w:rPr>
                <w:sz w:val="8"/>
                <w:szCs w:val="8"/>
                <w:color w:val="auto"/>
              </w:rPr>
            </w:pPr>
          </w:p>
        </w:tc>
        <w:tc>
          <w:tcPr>
            <w:tcW w:w="1120" w:type="dxa"/>
            <w:vAlign w:val="bottom"/>
            <w:tcBorders>
              <w:right w:val="single" w:sz="8" w:color="54585A"/>
            </w:tcBorders>
            <w:shd w:val="clear" w:color="auto" w:fill="EEEDED"/>
          </w:tcPr>
          <w:p>
            <w:pPr>
              <w:spacing w:after="0"/>
              <w:rPr>
                <w:sz w:val="8"/>
                <w:szCs w:val="8"/>
                <w:color w:val="auto"/>
              </w:rPr>
            </w:pPr>
          </w:p>
        </w:tc>
        <w:tc>
          <w:tcPr>
            <w:tcW w:w="1120" w:type="dxa"/>
            <w:vAlign w:val="bottom"/>
            <w:shd w:val="clear" w:color="auto" w:fill="EEEDED"/>
          </w:tcPr>
          <w:p>
            <w:pPr>
              <w:spacing w:after="0"/>
              <w:rPr>
                <w:sz w:val="8"/>
                <w:szCs w:val="8"/>
                <w:color w:val="auto"/>
              </w:rPr>
            </w:pPr>
          </w:p>
        </w:tc>
      </w:tr>
      <w:tr>
        <w:trPr>
          <w:trHeight w:val="175"/>
        </w:trPr>
        <w:tc>
          <w:tcPr>
            <w:tcW w:w="600" w:type="dxa"/>
            <w:vAlign w:val="bottom"/>
          </w:tcPr>
          <w:p>
            <w:pPr>
              <w:ind w:left="160"/>
              <w:spacing w:after="0"/>
              <w:rPr>
                <w:sz w:val="20"/>
                <w:szCs w:val="20"/>
                <w:color w:val="auto"/>
              </w:rPr>
            </w:pPr>
            <w:r>
              <w:rPr>
                <w:rFonts w:ascii="Arial" w:cs="Arial" w:eastAsia="Arial" w:hAnsi="Arial"/>
                <w:sz w:val="13"/>
                <w:szCs w:val="13"/>
                <w:color w:val="54585A"/>
              </w:rPr>
              <w:t>2024</w:t>
            </w:r>
          </w:p>
        </w:tc>
        <w:tc>
          <w:tcPr>
            <w:tcW w:w="96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54585A"/>
              </w:rPr>
              <w:t>1,009,445</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54585A"/>
              </w:rPr>
              <w:t>—</w:t>
            </w:r>
          </w:p>
        </w:tc>
        <w:tc>
          <w:tcPr>
            <w:tcW w:w="740" w:type="dxa"/>
            <w:vAlign w:val="bottom"/>
          </w:tcPr>
          <w:p>
            <w:pPr>
              <w:jc w:val="right"/>
              <w:ind w:right="17"/>
              <w:spacing w:after="0"/>
              <w:rPr>
                <w:sz w:val="20"/>
                <w:szCs w:val="20"/>
                <w:color w:val="auto"/>
              </w:rPr>
            </w:pPr>
            <w:r>
              <w:rPr>
                <w:rFonts w:ascii="Arial" w:cs="Arial" w:eastAsia="Arial" w:hAnsi="Arial"/>
                <w:sz w:val="13"/>
                <w:szCs w:val="13"/>
                <w:color w:val="54585A"/>
              </w:rPr>
              <w:t>1,894,789</w:t>
            </w:r>
          </w:p>
        </w:tc>
        <w:tc>
          <w:tcPr>
            <w:tcW w:w="1200" w:type="dxa"/>
            <w:vAlign w:val="bottom"/>
          </w:tcPr>
          <w:p>
            <w:pPr>
              <w:jc w:val="right"/>
              <w:ind w:right="21"/>
              <w:spacing w:after="0"/>
              <w:rPr>
                <w:sz w:val="20"/>
                <w:szCs w:val="20"/>
                <w:color w:val="auto"/>
              </w:rPr>
            </w:pPr>
            <w:r>
              <w:rPr>
                <w:rFonts w:ascii="Arial" w:cs="Arial" w:eastAsia="Arial" w:hAnsi="Arial"/>
                <w:sz w:val="13"/>
                <w:szCs w:val="13"/>
                <w:color w:val="54585A"/>
              </w:rPr>
              <w:t>710,637</w:t>
            </w:r>
          </w:p>
        </w:tc>
        <w:tc>
          <w:tcPr>
            <w:tcW w:w="1180" w:type="dxa"/>
            <w:vAlign w:val="bottom"/>
          </w:tcPr>
          <w:p>
            <w:pPr>
              <w:jc w:val="right"/>
              <w:ind w:right="21"/>
              <w:spacing w:after="0"/>
              <w:rPr>
                <w:sz w:val="20"/>
                <w:szCs w:val="20"/>
                <w:color w:val="auto"/>
              </w:rPr>
            </w:pPr>
            <w:r>
              <w:rPr>
                <w:rFonts w:ascii="Arial" w:cs="Arial" w:eastAsia="Arial" w:hAnsi="Arial"/>
                <w:sz w:val="13"/>
                <w:szCs w:val="13"/>
                <w:color w:val="54585A"/>
              </w:rPr>
              <w:t>847,411</w:t>
            </w:r>
          </w:p>
        </w:tc>
        <w:tc>
          <w:tcPr>
            <w:tcW w:w="1140" w:type="dxa"/>
            <w:vAlign w:val="bottom"/>
          </w:tcPr>
          <w:p>
            <w:pPr>
              <w:jc w:val="right"/>
              <w:ind w:right="19"/>
              <w:spacing w:after="0"/>
              <w:rPr>
                <w:sz w:val="20"/>
                <w:szCs w:val="20"/>
                <w:color w:val="auto"/>
              </w:rPr>
            </w:pPr>
            <w:r>
              <w:rPr>
                <w:rFonts w:ascii="Arial" w:cs="Arial" w:eastAsia="Arial" w:hAnsi="Arial"/>
                <w:sz w:val="13"/>
                <w:szCs w:val="13"/>
                <w:color w:val="54585A"/>
              </w:rPr>
              <w:t>398.08</w:t>
            </w:r>
          </w:p>
        </w:tc>
        <w:tc>
          <w:tcPr>
            <w:tcW w:w="1020" w:type="dxa"/>
            <w:vAlign w:val="bottom"/>
          </w:tcPr>
          <w:p>
            <w:pPr>
              <w:jc w:val="right"/>
              <w:ind w:right="20"/>
              <w:spacing w:after="0"/>
              <w:rPr>
                <w:sz w:val="20"/>
                <w:szCs w:val="20"/>
                <w:color w:val="auto"/>
              </w:rPr>
            </w:pPr>
            <w:r>
              <w:rPr>
                <w:rFonts w:ascii="Arial" w:cs="Arial" w:eastAsia="Arial" w:hAnsi="Arial"/>
                <w:sz w:val="13"/>
                <w:szCs w:val="13"/>
                <w:color w:val="54585A"/>
              </w:rPr>
              <w:t>119.33</w:t>
            </w:r>
          </w:p>
        </w:tc>
        <w:tc>
          <w:tcPr>
            <w:tcW w:w="1120" w:type="dxa"/>
            <w:vAlign w:val="bottom"/>
          </w:tcPr>
          <w:p>
            <w:pPr>
              <w:jc w:val="right"/>
              <w:spacing w:after="0"/>
              <w:rPr>
                <w:sz w:val="20"/>
                <w:szCs w:val="20"/>
                <w:color w:val="auto"/>
              </w:rPr>
            </w:pPr>
            <w:r>
              <w:rPr>
                <w:rFonts w:ascii="Arial" w:cs="Arial" w:eastAsia="Arial" w:hAnsi="Arial"/>
                <w:sz w:val="13"/>
                <w:szCs w:val="13"/>
                <w:color w:val="54585A"/>
              </w:rPr>
              <w:t>(63,164,000)</w:t>
            </w:r>
          </w:p>
        </w:tc>
        <w:tc>
          <w:tcPr>
            <w:tcW w:w="1120" w:type="dxa"/>
            <w:vAlign w:val="bottom"/>
          </w:tcPr>
          <w:p>
            <w:pPr>
              <w:jc w:val="right"/>
              <w:ind w:right="100"/>
              <w:spacing w:after="0"/>
              <w:rPr>
                <w:sz w:val="20"/>
                <w:szCs w:val="20"/>
                <w:color w:val="auto"/>
              </w:rPr>
            </w:pPr>
            <w:r>
              <w:rPr>
                <w:rFonts w:ascii="Arial" w:cs="Arial" w:eastAsia="Arial" w:hAnsi="Arial"/>
                <w:sz w:val="13"/>
                <w:szCs w:val="13"/>
                <w:color w:val="54585A"/>
              </w:rPr>
              <w:t>134,341,000</w:t>
            </w:r>
          </w:p>
        </w:tc>
      </w:tr>
      <w:tr>
        <w:trPr>
          <w:trHeight w:val="28"/>
        </w:trPr>
        <w:tc>
          <w:tcPr>
            <w:tcW w:w="600" w:type="dxa"/>
            <w:vAlign w:val="bottom"/>
            <w:tcBorders>
              <w:bottom w:val="single" w:sz="8" w:color="54585A"/>
            </w:tcBorders>
          </w:tcPr>
          <w:p>
            <w:pPr>
              <w:spacing w:after="0"/>
              <w:rPr>
                <w:sz w:val="2"/>
                <w:szCs w:val="2"/>
                <w:color w:val="auto"/>
              </w:rPr>
            </w:pPr>
          </w:p>
        </w:tc>
        <w:tc>
          <w:tcPr>
            <w:tcW w:w="960" w:type="dxa"/>
            <w:vAlign w:val="bottom"/>
            <w:tcBorders>
              <w:bottom w:val="single" w:sz="8" w:color="54585A"/>
            </w:tcBorders>
          </w:tcPr>
          <w:p>
            <w:pPr>
              <w:spacing w:after="0"/>
              <w:rPr>
                <w:sz w:val="2"/>
                <w:szCs w:val="2"/>
                <w:color w:val="auto"/>
              </w:rPr>
            </w:pPr>
          </w:p>
        </w:tc>
        <w:tc>
          <w:tcPr>
            <w:tcW w:w="980" w:type="dxa"/>
            <w:vAlign w:val="bottom"/>
            <w:tcBorders>
              <w:bottom w:val="single" w:sz="8" w:color="54585A"/>
            </w:tcBorders>
          </w:tcPr>
          <w:p>
            <w:pPr>
              <w:spacing w:after="0"/>
              <w:rPr>
                <w:sz w:val="2"/>
                <w:szCs w:val="2"/>
                <w:color w:val="auto"/>
              </w:rPr>
            </w:pPr>
          </w:p>
        </w:tc>
        <w:tc>
          <w:tcPr>
            <w:tcW w:w="940" w:type="dxa"/>
            <w:vAlign w:val="bottom"/>
            <w:tcBorders>
              <w:bottom w:val="single" w:sz="8" w:color="54585A"/>
            </w:tcBorders>
          </w:tcPr>
          <w:p>
            <w:pPr>
              <w:spacing w:after="0"/>
              <w:rPr>
                <w:sz w:val="2"/>
                <w:szCs w:val="2"/>
                <w:color w:val="auto"/>
              </w:rPr>
            </w:pPr>
          </w:p>
        </w:tc>
        <w:tc>
          <w:tcPr>
            <w:tcW w:w="240" w:type="dxa"/>
            <w:vAlign w:val="bottom"/>
            <w:tcBorders>
              <w:bottom w:val="single" w:sz="8" w:color="54585A"/>
            </w:tcBorders>
          </w:tcPr>
          <w:p>
            <w:pPr>
              <w:spacing w:after="0"/>
              <w:rPr>
                <w:sz w:val="2"/>
                <w:szCs w:val="2"/>
                <w:color w:val="auto"/>
              </w:rPr>
            </w:pPr>
          </w:p>
        </w:tc>
        <w:tc>
          <w:tcPr>
            <w:tcW w:w="740" w:type="dxa"/>
            <w:vAlign w:val="bottom"/>
            <w:tcBorders>
              <w:bottom w:val="single" w:sz="8" w:color="54585A"/>
            </w:tcBorders>
          </w:tcPr>
          <w:p>
            <w:pPr>
              <w:spacing w:after="0"/>
              <w:rPr>
                <w:sz w:val="2"/>
                <w:szCs w:val="2"/>
                <w:color w:val="auto"/>
              </w:rPr>
            </w:pPr>
          </w:p>
        </w:tc>
        <w:tc>
          <w:tcPr>
            <w:tcW w:w="1200" w:type="dxa"/>
            <w:vAlign w:val="bottom"/>
            <w:tcBorders>
              <w:bottom w:val="single" w:sz="8" w:color="54585A"/>
            </w:tcBorders>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1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r>
      <w:tr>
        <w:trPr>
          <w:trHeight w:val="168"/>
        </w:trPr>
        <w:tc>
          <w:tcPr>
            <w:tcW w:w="600" w:type="dxa"/>
            <w:vAlign w:val="bottom"/>
          </w:tcPr>
          <w:p>
            <w:pPr>
              <w:ind w:left="160"/>
              <w:spacing w:after="0"/>
              <w:rPr>
                <w:sz w:val="20"/>
                <w:szCs w:val="20"/>
                <w:color w:val="auto"/>
              </w:rPr>
            </w:pPr>
            <w:r>
              <w:rPr>
                <w:rFonts w:ascii="Arial" w:cs="Arial" w:eastAsia="Arial" w:hAnsi="Arial"/>
                <w:sz w:val="13"/>
                <w:szCs w:val="13"/>
                <w:color w:val="54585A"/>
              </w:rPr>
              <w:t>2023</w:t>
            </w:r>
          </w:p>
        </w:tc>
        <w:tc>
          <w:tcPr>
            <w:tcW w:w="960" w:type="dxa"/>
            <w:vAlign w:val="bottom"/>
          </w:tcPr>
          <w:p>
            <w:pPr>
              <w:jc w:val="right"/>
              <w:ind w:right="17"/>
              <w:spacing w:after="0"/>
              <w:rPr>
                <w:sz w:val="20"/>
                <w:szCs w:val="20"/>
                <w:color w:val="auto"/>
              </w:rPr>
            </w:pPr>
            <w:r>
              <w:rPr>
                <w:rFonts w:ascii="Arial" w:cs="Arial" w:eastAsia="Arial" w:hAnsi="Arial"/>
                <w:sz w:val="13"/>
                <w:szCs w:val="13"/>
                <w:color w:val="54585A"/>
              </w:rPr>
              <w:t>1,557,215</w:t>
            </w:r>
          </w:p>
        </w:tc>
        <w:tc>
          <w:tcPr>
            <w:tcW w:w="980" w:type="dxa"/>
            <w:vAlign w:val="bottom"/>
          </w:tcPr>
          <w:p>
            <w:pPr>
              <w:jc w:val="right"/>
              <w:ind w:right="17"/>
              <w:spacing w:after="0"/>
              <w:rPr>
                <w:sz w:val="20"/>
                <w:szCs w:val="20"/>
                <w:color w:val="auto"/>
              </w:rPr>
            </w:pPr>
            <w:r>
              <w:rPr>
                <w:rFonts w:ascii="Arial" w:cs="Arial" w:eastAsia="Arial" w:hAnsi="Arial"/>
                <w:sz w:val="13"/>
                <w:szCs w:val="13"/>
                <w:color w:val="54585A"/>
              </w:rPr>
              <w:t>36,221,461</w:t>
            </w:r>
          </w:p>
        </w:tc>
        <w:tc>
          <w:tcPr>
            <w:tcW w:w="940" w:type="dxa"/>
            <w:vAlign w:val="bottom"/>
          </w:tcPr>
          <w:p>
            <w:pPr>
              <w:jc w:val="right"/>
              <w:ind w:right="19"/>
              <w:spacing w:after="0"/>
              <w:rPr>
                <w:sz w:val="20"/>
                <w:szCs w:val="20"/>
                <w:color w:val="auto"/>
              </w:rPr>
            </w:pPr>
            <w:r>
              <w:rPr>
                <w:rFonts w:ascii="Arial" w:cs="Arial" w:eastAsia="Arial" w:hAnsi="Arial"/>
                <w:sz w:val="13"/>
                <w:szCs w:val="13"/>
                <w:color w:val="54585A"/>
              </w:rPr>
              <w:t>507,156</w:t>
            </w:r>
          </w:p>
        </w:tc>
        <w:tc>
          <w:tcPr>
            <w:tcW w:w="2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54585A"/>
                <w:w w:val="98"/>
              </w:rPr>
              <w:t>54,143,331</w:t>
            </w:r>
          </w:p>
        </w:tc>
        <w:tc>
          <w:tcPr>
            <w:tcW w:w="1200" w:type="dxa"/>
            <w:vAlign w:val="bottom"/>
          </w:tcPr>
          <w:p>
            <w:pPr>
              <w:jc w:val="right"/>
              <w:ind w:right="21"/>
              <w:spacing w:after="0"/>
              <w:rPr>
                <w:sz w:val="20"/>
                <w:szCs w:val="20"/>
                <w:color w:val="auto"/>
              </w:rPr>
            </w:pPr>
            <w:r>
              <w:rPr>
                <w:rFonts w:ascii="Arial" w:cs="Arial" w:eastAsia="Arial" w:hAnsi="Arial"/>
                <w:sz w:val="13"/>
                <w:szCs w:val="13"/>
                <w:color w:val="54585A"/>
              </w:rPr>
              <w:t>713,583</w:t>
            </w:r>
          </w:p>
        </w:tc>
        <w:tc>
          <w:tcPr>
            <w:tcW w:w="1180" w:type="dxa"/>
            <w:vAlign w:val="bottom"/>
          </w:tcPr>
          <w:p>
            <w:pPr>
              <w:jc w:val="right"/>
              <w:ind w:right="21"/>
              <w:spacing w:after="0"/>
              <w:rPr>
                <w:sz w:val="20"/>
                <w:szCs w:val="20"/>
                <w:color w:val="auto"/>
              </w:rPr>
            </w:pPr>
            <w:r>
              <w:rPr>
                <w:rFonts w:ascii="Arial" w:cs="Arial" w:eastAsia="Arial" w:hAnsi="Arial"/>
                <w:sz w:val="13"/>
                <w:szCs w:val="13"/>
                <w:color w:val="54585A"/>
              </w:rPr>
              <w:t>939,058</w:t>
            </w:r>
          </w:p>
        </w:tc>
        <w:tc>
          <w:tcPr>
            <w:tcW w:w="1140" w:type="dxa"/>
            <w:vAlign w:val="bottom"/>
          </w:tcPr>
          <w:p>
            <w:pPr>
              <w:jc w:val="right"/>
              <w:ind w:right="19"/>
              <w:spacing w:after="0"/>
              <w:rPr>
                <w:sz w:val="20"/>
                <w:szCs w:val="20"/>
                <w:color w:val="auto"/>
              </w:rPr>
            </w:pPr>
            <w:r>
              <w:rPr>
                <w:rFonts w:ascii="Arial" w:cs="Arial" w:eastAsia="Arial" w:hAnsi="Arial"/>
                <w:sz w:val="13"/>
                <w:szCs w:val="13"/>
                <w:color w:val="54585A"/>
              </w:rPr>
              <w:t>373.08</w:t>
            </w:r>
          </w:p>
        </w:tc>
        <w:tc>
          <w:tcPr>
            <w:tcW w:w="1020" w:type="dxa"/>
            <w:vAlign w:val="bottom"/>
          </w:tcPr>
          <w:p>
            <w:pPr>
              <w:jc w:val="right"/>
              <w:ind w:right="20"/>
              <w:spacing w:after="0"/>
              <w:rPr>
                <w:sz w:val="20"/>
                <w:szCs w:val="20"/>
                <w:color w:val="auto"/>
              </w:rPr>
            </w:pPr>
            <w:r>
              <w:rPr>
                <w:rFonts w:ascii="Arial" w:cs="Arial" w:eastAsia="Arial" w:hAnsi="Arial"/>
                <w:sz w:val="13"/>
                <w:szCs w:val="13"/>
                <w:color w:val="54585A"/>
              </w:rPr>
              <w:t>107.36</w:t>
            </w:r>
          </w:p>
        </w:tc>
        <w:tc>
          <w:tcPr>
            <w:tcW w:w="1120" w:type="dxa"/>
            <w:vAlign w:val="bottom"/>
          </w:tcPr>
          <w:p>
            <w:pPr>
              <w:jc w:val="right"/>
              <w:spacing w:after="0"/>
              <w:rPr>
                <w:sz w:val="20"/>
                <w:szCs w:val="20"/>
                <w:color w:val="auto"/>
              </w:rPr>
            </w:pPr>
            <w:r>
              <w:rPr>
                <w:rFonts w:ascii="Arial" w:cs="Arial" w:eastAsia="Arial" w:hAnsi="Arial"/>
                <w:sz w:val="13"/>
                <w:szCs w:val="13"/>
                <w:color w:val="54585A"/>
              </w:rPr>
              <w:t>(24,718,000)</w:t>
            </w:r>
          </w:p>
        </w:tc>
        <w:tc>
          <w:tcPr>
            <w:tcW w:w="1120" w:type="dxa"/>
            <w:vAlign w:val="bottom"/>
          </w:tcPr>
          <w:p>
            <w:pPr>
              <w:jc w:val="right"/>
              <w:ind w:right="100"/>
              <w:spacing w:after="0"/>
              <w:rPr>
                <w:sz w:val="20"/>
                <w:szCs w:val="20"/>
                <w:color w:val="auto"/>
              </w:rPr>
            </w:pPr>
            <w:r>
              <w:rPr>
                <w:rFonts w:ascii="Arial" w:cs="Arial" w:eastAsia="Arial" w:hAnsi="Arial"/>
                <w:sz w:val="13"/>
                <w:szCs w:val="13"/>
                <w:color w:val="54585A"/>
              </w:rPr>
              <w:t>116,717,000</w:t>
            </w:r>
          </w:p>
        </w:tc>
      </w:tr>
      <w:tr>
        <w:trPr>
          <w:trHeight w:val="28"/>
        </w:trPr>
        <w:tc>
          <w:tcPr>
            <w:tcW w:w="600" w:type="dxa"/>
            <w:vAlign w:val="bottom"/>
            <w:tcBorders>
              <w:bottom w:val="single" w:sz="8" w:color="54585A"/>
            </w:tcBorders>
          </w:tcPr>
          <w:p>
            <w:pPr>
              <w:spacing w:after="0"/>
              <w:rPr>
                <w:sz w:val="2"/>
                <w:szCs w:val="2"/>
                <w:color w:val="auto"/>
              </w:rPr>
            </w:pPr>
          </w:p>
        </w:tc>
        <w:tc>
          <w:tcPr>
            <w:tcW w:w="960" w:type="dxa"/>
            <w:vAlign w:val="bottom"/>
            <w:tcBorders>
              <w:bottom w:val="single" w:sz="8" w:color="54585A"/>
            </w:tcBorders>
          </w:tcPr>
          <w:p>
            <w:pPr>
              <w:spacing w:after="0"/>
              <w:rPr>
                <w:sz w:val="2"/>
                <w:szCs w:val="2"/>
                <w:color w:val="auto"/>
              </w:rPr>
            </w:pPr>
          </w:p>
        </w:tc>
        <w:tc>
          <w:tcPr>
            <w:tcW w:w="980" w:type="dxa"/>
            <w:vAlign w:val="bottom"/>
            <w:tcBorders>
              <w:bottom w:val="single" w:sz="8" w:color="54585A"/>
            </w:tcBorders>
          </w:tcPr>
          <w:p>
            <w:pPr>
              <w:spacing w:after="0"/>
              <w:rPr>
                <w:sz w:val="2"/>
                <w:szCs w:val="2"/>
                <w:color w:val="auto"/>
              </w:rPr>
            </w:pPr>
          </w:p>
        </w:tc>
        <w:tc>
          <w:tcPr>
            <w:tcW w:w="940" w:type="dxa"/>
            <w:vAlign w:val="bottom"/>
            <w:tcBorders>
              <w:bottom w:val="single" w:sz="8" w:color="54585A"/>
            </w:tcBorders>
          </w:tcPr>
          <w:p>
            <w:pPr>
              <w:spacing w:after="0"/>
              <w:rPr>
                <w:sz w:val="2"/>
                <w:szCs w:val="2"/>
                <w:color w:val="auto"/>
              </w:rPr>
            </w:pPr>
          </w:p>
        </w:tc>
        <w:tc>
          <w:tcPr>
            <w:tcW w:w="240" w:type="dxa"/>
            <w:vAlign w:val="bottom"/>
            <w:tcBorders>
              <w:bottom w:val="single" w:sz="8" w:color="54585A"/>
            </w:tcBorders>
          </w:tcPr>
          <w:p>
            <w:pPr>
              <w:spacing w:after="0"/>
              <w:rPr>
                <w:sz w:val="2"/>
                <w:szCs w:val="2"/>
                <w:color w:val="auto"/>
              </w:rPr>
            </w:pPr>
          </w:p>
        </w:tc>
        <w:tc>
          <w:tcPr>
            <w:tcW w:w="740" w:type="dxa"/>
            <w:vAlign w:val="bottom"/>
            <w:tcBorders>
              <w:bottom w:val="single" w:sz="8" w:color="54585A"/>
            </w:tcBorders>
          </w:tcPr>
          <w:p>
            <w:pPr>
              <w:spacing w:after="0"/>
              <w:rPr>
                <w:sz w:val="2"/>
                <w:szCs w:val="2"/>
                <w:color w:val="auto"/>
              </w:rPr>
            </w:pPr>
          </w:p>
        </w:tc>
        <w:tc>
          <w:tcPr>
            <w:tcW w:w="1200" w:type="dxa"/>
            <w:vAlign w:val="bottom"/>
            <w:tcBorders>
              <w:bottom w:val="single" w:sz="8" w:color="54585A"/>
            </w:tcBorders>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1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r>
      <w:tr>
        <w:trPr>
          <w:trHeight w:val="168"/>
        </w:trPr>
        <w:tc>
          <w:tcPr>
            <w:tcW w:w="600" w:type="dxa"/>
            <w:vAlign w:val="bottom"/>
          </w:tcPr>
          <w:p>
            <w:pPr>
              <w:ind w:left="160"/>
              <w:spacing w:after="0"/>
              <w:rPr>
                <w:sz w:val="20"/>
                <w:szCs w:val="20"/>
                <w:color w:val="auto"/>
              </w:rPr>
            </w:pPr>
            <w:r>
              <w:rPr>
                <w:rFonts w:ascii="Arial" w:cs="Arial" w:eastAsia="Arial" w:hAnsi="Arial"/>
                <w:sz w:val="13"/>
                <w:szCs w:val="13"/>
                <w:color w:val="54585A"/>
              </w:rPr>
              <w:t>2022</w:t>
            </w:r>
          </w:p>
        </w:tc>
        <w:tc>
          <w:tcPr>
            <w:tcW w:w="960" w:type="dxa"/>
            <w:vAlign w:val="bottom"/>
          </w:tcPr>
          <w:p>
            <w:pPr>
              <w:jc w:val="right"/>
              <w:ind w:right="17"/>
              <w:spacing w:after="0"/>
              <w:rPr>
                <w:sz w:val="20"/>
                <w:szCs w:val="20"/>
                <w:color w:val="auto"/>
              </w:rPr>
            </w:pPr>
            <w:r>
              <w:rPr>
                <w:rFonts w:ascii="Arial" w:cs="Arial" w:eastAsia="Arial" w:hAnsi="Arial"/>
                <w:sz w:val="13"/>
                <w:szCs w:val="13"/>
                <w:color w:val="54585A"/>
              </w:rPr>
              <w:t>1,892,166</w:t>
            </w:r>
          </w:p>
        </w:tc>
        <w:tc>
          <w:tcPr>
            <w:tcW w:w="98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940" w:type="dxa"/>
            <w:vAlign w:val="bottom"/>
          </w:tcPr>
          <w:p>
            <w:pPr>
              <w:jc w:val="right"/>
              <w:ind w:right="19"/>
              <w:spacing w:after="0"/>
              <w:rPr>
                <w:sz w:val="20"/>
                <w:szCs w:val="20"/>
                <w:color w:val="auto"/>
              </w:rPr>
            </w:pPr>
            <w:r>
              <w:rPr>
                <w:rFonts w:ascii="Arial" w:cs="Arial" w:eastAsia="Arial" w:hAnsi="Arial"/>
                <w:sz w:val="13"/>
                <w:szCs w:val="13"/>
                <w:color w:val="54585A"/>
              </w:rPr>
              <w:t>1,250,965</w:t>
            </w:r>
          </w:p>
        </w:tc>
        <w:tc>
          <w:tcPr>
            <w:tcW w:w="2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1200" w:type="dxa"/>
            <w:vAlign w:val="bottom"/>
          </w:tcPr>
          <w:p>
            <w:pPr>
              <w:jc w:val="right"/>
              <w:ind w:right="21"/>
              <w:spacing w:after="0"/>
              <w:rPr>
                <w:sz w:val="20"/>
                <w:szCs w:val="20"/>
                <w:color w:val="auto"/>
              </w:rPr>
            </w:pPr>
            <w:r>
              <w:rPr>
                <w:rFonts w:ascii="Arial" w:cs="Arial" w:eastAsia="Arial" w:hAnsi="Arial"/>
                <w:sz w:val="13"/>
                <w:szCs w:val="13"/>
                <w:color w:val="54585A"/>
              </w:rPr>
              <w:t>1,764,537</w:t>
            </w:r>
          </w:p>
        </w:tc>
        <w:tc>
          <w:tcPr>
            <w:tcW w:w="1180" w:type="dxa"/>
            <w:vAlign w:val="bottom"/>
          </w:tcPr>
          <w:p>
            <w:pPr>
              <w:jc w:val="right"/>
              <w:ind w:right="21"/>
              <w:spacing w:after="0"/>
              <w:rPr>
                <w:sz w:val="20"/>
                <w:szCs w:val="20"/>
                <w:color w:val="auto"/>
              </w:rPr>
            </w:pPr>
            <w:r>
              <w:rPr>
                <w:rFonts w:ascii="Arial" w:cs="Arial" w:eastAsia="Arial" w:hAnsi="Arial"/>
                <w:sz w:val="13"/>
                <w:szCs w:val="13"/>
                <w:color w:val="54585A"/>
              </w:rPr>
              <w:t>1,277,946</w:t>
            </w:r>
          </w:p>
        </w:tc>
        <w:tc>
          <w:tcPr>
            <w:tcW w:w="1140" w:type="dxa"/>
            <w:vAlign w:val="bottom"/>
          </w:tcPr>
          <w:p>
            <w:pPr>
              <w:jc w:val="right"/>
              <w:ind w:right="19"/>
              <w:spacing w:after="0"/>
              <w:rPr>
                <w:sz w:val="20"/>
                <w:szCs w:val="20"/>
                <w:color w:val="auto"/>
              </w:rPr>
            </w:pPr>
            <w:r>
              <w:rPr>
                <w:rFonts w:ascii="Arial" w:cs="Arial" w:eastAsia="Arial" w:hAnsi="Arial"/>
                <w:sz w:val="13"/>
                <w:szCs w:val="13"/>
                <w:color w:val="54585A"/>
              </w:rPr>
              <w:t>255.77</w:t>
            </w:r>
          </w:p>
        </w:tc>
        <w:tc>
          <w:tcPr>
            <w:tcW w:w="1020" w:type="dxa"/>
            <w:vAlign w:val="bottom"/>
          </w:tcPr>
          <w:p>
            <w:pPr>
              <w:jc w:val="right"/>
              <w:ind w:right="20"/>
              <w:spacing w:after="0"/>
              <w:rPr>
                <w:sz w:val="20"/>
                <w:szCs w:val="20"/>
                <w:color w:val="auto"/>
              </w:rPr>
            </w:pPr>
            <w:r>
              <w:rPr>
                <w:rFonts w:ascii="Arial" w:cs="Arial" w:eastAsia="Arial" w:hAnsi="Arial"/>
                <w:sz w:val="13"/>
                <w:szCs w:val="13"/>
                <w:color w:val="54585A"/>
              </w:rPr>
              <w:t>95.61</w:t>
            </w:r>
          </w:p>
        </w:tc>
        <w:tc>
          <w:tcPr>
            <w:tcW w:w="1120" w:type="dxa"/>
            <w:vAlign w:val="bottom"/>
          </w:tcPr>
          <w:p>
            <w:pPr>
              <w:jc w:val="right"/>
              <w:spacing w:after="0"/>
              <w:rPr>
                <w:sz w:val="20"/>
                <w:szCs w:val="20"/>
                <w:color w:val="auto"/>
              </w:rPr>
            </w:pPr>
            <w:r>
              <w:rPr>
                <w:rFonts w:ascii="Arial" w:cs="Arial" w:eastAsia="Arial" w:hAnsi="Arial"/>
                <w:sz w:val="13"/>
                <w:szCs w:val="13"/>
                <w:color w:val="54585A"/>
              </w:rPr>
              <w:t>(256,915,000)</w:t>
            </w:r>
          </w:p>
        </w:tc>
        <w:tc>
          <w:tcPr>
            <w:tcW w:w="1120" w:type="dxa"/>
            <w:vAlign w:val="bottom"/>
          </w:tcPr>
          <w:p>
            <w:pPr>
              <w:jc w:val="right"/>
              <w:ind w:right="100"/>
              <w:spacing w:after="0"/>
              <w:rPr>
                <w:sz w:val="20"/>
                <w:szCs w:val="20"/>
                <w:color w:val="auto"/>
              </w:rPr>
            </w:pPr>
            <w:r>
              <w:rPr>
                <w:rFonts w:ascii="Arial" w:cs="Arial" w:eastAsia="Arial" w:hAnsi="Arial"/>
                <w:sz w:val="13"/>
                <w:szCs w:val="13"/>
                <w:color w:val="54585A"/>
              </w:rPr>
              <w:t>57,396,000</w:t>
            </w:r>
          </w:p>
        </w:tc>
      </w:tr>
      <w:tr>
        <w:trPr>
          <w:trHeight w:val="28"/>
        </w:trPr>
        <w:tc>
          <w:tcPr>
            <w:tcW w:w="600" w:type="dxa"/>
            <w:vAlign w:val="bottom"/>
            <w:tcBorders>
              <w:bottom w:val="single" w:sz="8" w:color="54585A"/>
            </w:tcBorders>
          </w:tcPr>
          <w:p>
            <w:pPr>
              <w:spacing w:after="0"/>
              <w:rPr>
                <w:sz w:val="2"/>
                <w:szCs w:val="2"/>
                <w:color w:val="auto"/>
              </w:rPr>
            </w:pPr>
          </w:p>
        </w:tc>
        <w:tc>
          <w:tcPr>
            <w:tcW w:w="960" w:type="dxa"/>
            <w:vAlign w:val="bottom"/>
            <w:tcBorders>
              <w:bottom w:val="single" w:sz="8" w:color="54585A"/>
            </w:tcBorders>
          </w:tcPr>
          <w:p>
            <w:pPr>
              <w:spacing w:after="0"/>
              <w:rPr>
                <w:sz w:val="2"/>
                <w:szCs w:val="2"/>
                <w:color w:val="auto"/>
              </w:rPr>
            </w:pPr>
          </w:p>
        </w:tc>
        <w:tc>
          <w:tcPr>
            <w:tcW w:w="980" w:type="dxa"/>
            <w:vAlign w:val="bottom"/>
            <w:tcBorders>
              <w:bottom w:val="single" w:sz="8" w:color="54585A"/>
            </w:tcBorders>
          </w:tcPr>
          <w:p>
            <w:pPr>
              <w:spacing w:after="0"/>
              <w:rPr>
                <w:sz w:val="2"/>
                <w:szCs w:val="2"/>
                <w:color w:val="auto"/>
              </w:rPr>
            </w:pPr>
          </w:p>
        </w:tc>
        <w:tc>
          <w:tcPr>
            <w:tcW w:w="940" w:type="dxa"/>
            <w:vAlign w:val="bottom"/>
            <w:tcBorders>
              <w:bottom w:val="single" w:sz="8" w:color="54585A"/>
            </w:tcBorders>
          </w:tcPr>
          <w:p>
            <w:pPr>
              <w:spacing w:after="0"/>
              <w:rPr>
                <w:sz w:val="2"/>
                <w:szCs w:val="2"/>
                <w:color w:val="auto"/>
              </w:rPr>
            </w:pPr>
          </w:p>
        </w:tc>
        <w:tc>
          <w:tcPr>
            <w:tcW w:w="240" w:type="dxa"/>
            <w:vAlign w:val="bottom"/>
            <w:tcBorders>
              <w:bottom w:val="single" w:sz="8" w:color="54585A"/>
            </w:tcBorders>
          </w:tcPr>
          <w:p>
            <w:pPr>
              <w:spacing w:after="0"/>
              <w:rPr>
                <w:sz w:val="2"/>
                <w:szCs w:val="2"/>
                <w:color w:val="auto"/>
              </w:rPr>
            </w:pPr>
          </w:p>
        </w:tc>
        <w:tc>
          <w:tcPr>
            <w:tcW w:w="740" w:type="dxa"/>
            <w:vAlign w:val="bottom"/>
            <w:tcBorders>
              <w:bottom w:val="single" w:sz="8" w:color="54585A"/>
            </w:tcBorders>
          </w:tcPr>
          <w:p>
            <w:pPr>
              <w:spacing w:after="0"/>
              <w:rPr>
                <w:sz w:val="2"/>
                <w:szCs w:val="2"/>
                <w:color w:val="auto"/>
              </w:rPr>
            </w:pPr>
          </w:p>
        </w:tc>
        <w:tc>
          <w:tcPr>
            <w:tcW w:w="1200" w:type="dxa"/>
            <w:vAlign w:val="bottom"/>
            <w:tcBorders>
              <w:bottom w:val="single" w:sz="8" w:color="54585A"/>
            </w:tcBorders>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1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r>
      <w:tr>
        <w:trPr>
          <w:trHeight w:val="169"/>
        </w:trPr>
        <w:tc>
          <w:tcPr>
            <w:tcW w:w="600" w:type="dxa"/>
            <w:vAlign w:val="bottom"/>
          </w:tcPr>
          <w:p>
            <w:pPr>
              <w:ind w:left="160"/>
              <w:spacing w:after="0"/>
              <w:rPr>
                <w:sz w:val="20"/>
                <w:szCs w:val="20"/>
                <w:color w:val="auto"/>
              </w:rPr>
            </w:pPr>
            <w:r>
              <w:rPr>
                <w:rFonts w:ascii="Arial" w:cs="Arial" w:eastAsia="Arial" w:hAnsi="Arial"/>
                <w:sz w:val="13"/>
                <w:szCs w:val="13"/>
                <w:color w:val="54585A"/>
              </w:rPr>
              <w:t>2021</w:t>
            </w:r>
          </w:p>
        </w:tc>
        <w:tc>
          <w:tcPr>
            <w:tcW w:w="960" w:type="dxa"/>
            <w:vAlign w:val="bottom"/>
          </w:tcPr>
          <w:p>
            <w:pPr>
              <w:jc w:val="right"/>
              <w:ind w:right="17"/>
              <w:spacing w:after="0"/>
              <w:rPr>
                <w:sz w:val="20"/>
                <w:szCs w:val="20"/>
                <w:color w:val="auto"/>
              </w:rPr>
            </w:pPr>
            <w:r>
              <w:rPr>
                <w:rFonts w:ascii="Arial" w:cs="Arial" w:eastAsia="Arial" w:hAnsi="Arial"/>
                <w:sz w:val="13"/>
                <w:szCs w:val="13"/>
                <w:color w:val="54585A"/>
              </w:rPr>
              <w:t>871,997</w:t>
            </w:r>
          </w:p>
        </w:tc>
        <w:tc>
          <w:tcPr>
            <w:tcW w:w="98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940" w:type="dxa"/>
            <w:vAlign w:val="bottom"/>
          </w:tcPr>
          <w:p>
            <w:pPr>
              <w:jc w:val="right"/>
              <w:ind w:right="19"/>
              <w:spacing w:after="0"/>
              <w:rPr>
                <w:sz w:val="20"/>
                <w:szCs w:val="20"/>
                <w:color w:val="auto"/>
              </w:rPr>
            </w:pPr>
            <w:r>
              <w:rPr>
                <w:rFonts w:ascii="Arial" w:cs="Arial" w:eastAsia="Arial" w:hAnsi="Arial"/>
                <w:sz w:val="13"/>
                <w:szCs w:val="13"/>
                <w:color w:val="54585A"/>
              </w:rPr>
              <w:t>4,318,956</w:t>
            </w:r>
          </w:p>
        </w:tc>
        <w:tc>
          <w:tcPr>
            <w:tcW w:w="2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1200" w:type="dxa"/>
            <w:vAlign w:val="bottom"/>
          </w:tcPr>
          <w:p>
            <w:pPr>
              <w:jc w:val="right"/>
              <w:ind w:right="21"/>
              <w:spacing w:after="0"/>
              <w:rPr>
                <w:sz w:val="20"/>
                <w:szCs w:val="20"/>
                <w:color w:val="auto"/>
              </w:rPr>
            </w:pPr>
            <w:r>
              <w:rPr>
                <w:rFonts w:ascii="Arial" w:cs="Arial" w:eastAsia="Arial" w:hAnsi="Arial"/>
                <w:sz w:val="13"/>
                <w:szCs w:val="13"/>
                <w:color w:val="54585A"/>
              </w:rPr>
              <w:t>595,857</w:t>
            </w:r>
          </w:p>
        </w:tc>
        <w:tc>
          <w:tcPr>
            <w:tcW w:w="1180" w:type="dxa"/>
            <w:vAlign w:val="bottom"/>
          </w:tcPr>
          <w:p>
            <w:pPr>
              <w:jc w:val="right"/>
              <w:ind w:right="21"/>
              <w:spacing w:after="0"/>
              <w:rPr>
                <w:sz w:val="20"/>
                <w:szCs w:val="20"/>
                <w:color w:val="auto"/>
              </w:rPr>
            </w:pPr>
            <w:r>
              <w:rPr>
                <w:rFonts w:ascii="Arial" w:cs="Arial" w:eastAsia="Arial" w:hAnsi="Arial"/>
                <w:sz w:val="13"/>
                <w:szCs w:val="13"/>
                <w:color w:val="54585A"/>
              </w:rPr>
              <w:t>952,036</w:t>
            </w:r>
          </w:p>
        </w:tc>
        <w:tc>
          <w:tcPr>
            <w:tcW w:w="1140" w:type="dxa"/>
            <w:vAlign w:val="bottom"/>
          </w:tcPr>
          <w:p>
            <w:pPr>
              <w:jc w:val="right"/>
              <w:ind w:right="19"/>
              <w:spacing w:after="0"/>
              <w:rPr>
                <w:sz w:val="20"/>
                <w:szCs w:val="20"/>
                <w:color w:val="auto"/>
              </w:rPr>
            </w:pPr>
            <w:r>
              <w:rPr>
                <w:rFonts w:ascii="Arial" w:cs="Arial" w:eastAsia="Arial" w:hAnsi="Arial"/>
                <w:sz w:val="13"/>
                <w:szCs w:val="13"/>
                <w:color w:val="54585A"/>
              </w:rPr>
              <w:t>223.08</w:t>
            </w:r>
          </w:p>
        </w:tc>
        <w:tc>
          <w:tcPr>
            <w:tcW w:w="1020" w:type="dxa"/>
            <w:vAlign w:val="bottom"/>
          </w:tcPr>
          <w:p>
            <w:pPr>
              <w:jc w:val="right"/>
              <w:ind w:right="20"/>
              <w:spacing w:after="0"/>
              <w:rPr>
                <w:sz w:val="20"/>
                <w:szCs w:val="20"/>
                <w:color w:val="auto"/>
              </w:rPr>
            </w:pPr>
            <w:r>
              <w:rPr>
                <w:rFonts w:ascii="Arial" w:cs="Arial" w:eastAsia="Arial" w:hAnsi="Arial"/>
                <w:sz w:val="13"/>
                <w:szCs w:val="13"/>
                <w:color w:val="54585A"/>
              </w:rPr>
              <w:t>127.87</w:t>
            </w:r>
          </w:p>
        </w:tc>
        <w:tc>
          <w:tcPr>
            <w:tcW w:w="1120" w:type="dxa"/>
            <w:vAlign w:val="bottom"/>
          </w:tcPr>
          <w:p>
            <w:pPr>
              <w:jc w:val="right"/>
              <w:spacing w:after="0"/>
              <w:rPr>
                <w:sz w:val="20"/>
                <w:szCs w:val="20"/>
                <w:color w:val="auto"/>
              </w:rPr>
            </w:pPr>
            <w:r>
              <w:rPr>
                <w:rFonts w:ascii="Arial" w:cs="Arial" w:eastAsia="Arial" w:hAnsi="Arial"/>
                <w:sz w:val="13"/>
                <w:szCs w:val="13"/>
                <w:color w:val="54585A"/>
              </w:rPr>
              <w:t>(112,625,000)</w:t>
            </w:r>
          </w:p>
        </w:tc>
        <w:tc>
          <w:tcPr>
            <w:tcW w:w="1120" w:type="dxa"/>
            <w:vAlign w:val="bottom"/>
          </w:tcPr>
          <w:p>
            <w:pPr>
              <w:jc w:val="right"/>
              <w:ind w:right="100"/>
              <w:spacing w:after="0"/>
              <w:rPr>
                <w:sz w:val="20"/>
                <w:szCs w:val="20"/>
                <w:color w:val="auto"/>
              </w:rPr>
            </w:pPr>
            <w:r>
              <w:rPr>
                <w:rFonts w:ascii="Arial" w:cs="Arial" w:eastAsia="Arial" w:hAnsi="Arial"/>
                <w:sz w:val="13"/>
                <w:szCs w:val="13"/>
                <w:color w:val="54585A"/>
              </w:rPr>
              <w:t>38,711,000</w:t>
            </w:r>
          </w:p>
        </w:tc>
      </w:tr>
      <w:tr>
        <w:trPr>
          <w:trHeight w:val="28"/>
        </w:trPr>
        <w:tc>
          <w:tcPr>
            <w:tcW w:w="600" w:type="dxa"/>
            <w:vAlign w:val="bottom"/>
            <w:tcBorders>
              <w:bottom w:val="single" w:sz="8" w:color="54585A"/>
            </w:tcBorders>
          </w:tcPr>
          <w:p>
            <w:pPr>
              <w:spacing w:after="0"/>
              <w:rPr>
                <w:sz w:val="2"/>
                <w:szCs w:val="2"/>
                <w:color w:val="auto"/>
              </w:rPr>
            </w:pPr>
          </w:p>
        </w:tc>
        <w:tc>
          <w:tcPr>
            <w:tcW w:w="960" w:type="dxa"/>
            <w:vAlign w:val="bottom"/>
            <w:tcBorders>
              <w:bottom w:val="single" w:sz="8" w:color="54585A"/>
            </w:tcBorders>
          </w:tcPr>
          <w:p>
            <w:pPr>
              <w:spacing w:after="0"/>
              <w:rPr>
                <w:sz w:val="2"/>
                <w:szCs w:val="2"/>
                <w:color w:val="auto"/>
              </w:rPr>
            </w:pPr>
          </w:p>
        </w:tc>
        <w:tc>
          <w:tcPr>
            <w:tcW w:w="980" w:type="dxa"/>
            <w:vAlign w:val="bottom"/>
            <w:tcBorders>
              <w:bottom w:val="single" w:sz="8" w:color="54585A"/>
            </w:tcBorders>
          </w:tcPr>
          <w:p>
            <w:pPr>
              <w:spacing w:after="0"/>
              <w:rPr>
                <w:sz w:val="2"/>
                <w:szCs w:val="2"/>
                <w:color w:val="auto"/>
              </w:rPr>
            </w:pPr>
          </w:p>
        </w:tc>
        <w:tc>
          <w:tcPr>
            <w:tcW w:w="940" w:type="dxa"/>
            <w:vAlign w:val="bottom"/>
            <w:tcBorders>
              <w:bottom w:val="single" w:sz="8" w:color="54585A"/>
            </w:tcBorders>
          </w:tcPr>
          <w:p>
            <w:pPr>
              <w:spacing w:after="0"/>
              <w:rPr>
                <w:sz w:val="2"/>
                <w:szCs w:val="2"/>
                <w:color w:val="auto"/>
              </w:rPr>
            </w:pPr>
          </w:p>
        </w:tc>
        <w:tc>
          <w:tcPr>
            <w:tcW w:w="240" w:type="dxa"/>
            <w:vAlign w:val="bottom"/>
            <w:tcBorders>
              <w:bottom w:val="single" w:sz="8" w:color="54585A"/>
            </w:tcBorders>
          </w:tcPr>
          <w:p>
            <w:pPr>
              <w:spacing w:after="0"/>
              <w:rPr>
                <w:sz w:val="2"/>
                <w:szCs w:val="2"/>
                <w:color w:val="auto"/>
              </w:rPr>
            </w:pPr>
          </w:p>
        </w:tc>
        <w:tc>
          <w:tcPr>
            <w:tcW w:w="740" w:type="dxa"/>
            <w:vAlign w:val="bottom"/>
            <w:tcBorders>
              <w:bottom w:val="single" w:sz="8" w:color="54585A"/>
            </w:tcBorders>
          </w:tcPr>
          <w:p>
            <w:pPr>
              <w:spacing w:after="0"/>
              <w:rPr>
                <w:sz w:val="2"/>
                <w:szCs w:val="2"/>
                <w:color w:val="auto"/>
              </w:rPr>
            </w:pPr>
          </w:p>
        </w:tc>
        <w:tc>
          <w:tcPr>
            <w:tcW w:w="1200" w:type="dxa"/>
            <w:vAlign w:val="bottom"/>
            <w:tcBorders>
              <w:bottom w:val="single" w:sz="8" w:color="54585A"/>
            </w:tcBorders>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1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r>
      <w:tr>
        <w:trPr>
          <w:trHeight w:val="168"/>
        </w:trPr>
        <w:tc>
          <w:tcPr>
            <w:tcW w:w="600" w:type="dxa"/>
            <w:vAlign w:val="bottom"/>
          </w:tcPr>
          <w:p>
            <w:pPr>
              <w:ind w:left="160"/>
              <w:spacing w:after="0"/>
              <w:rPr>
                <w:sz w:val="20"/>
                <w:szCs w:val="20"/>
                <w:color w:val="auto"/>
              </w:rPr>
            </w:pPr>
            <w:r>
              <w:rPr>
                <w:rFonts w:ascii="Arial" w:cs="Arial" w:eastAsia="Arial" w:hAnsi="Arial"/>
                <w:sz w:val="13"/>
                <w:szCs w:val="13"/>
                <w:color w:val="54585A"/>
              </w:rPr>
              <w:t>2020</w:t>
            </w:r>
          </w:p>
        </w:tc>
        <w:tc>
          <w:tcPr>
            <w:tcW w:w="960" w:type="dxa"/>
            <w:vAlign w:val="bottom"/>
          </w:tcPr>
          <w:p>
            <w:pPr>
              <w:jc w:val="right"/>
              <w:ind w:right="17"/>
              <w:spacing w:after="0"/>
              <w:rPr>
                <w:sz w:val="20"/>
                <w:szCs w:val="20"/>
                <w:color w:val="auto"/>
              </w:rPr>
            </w:pPr>
            <w:r>
              <w:rPr>
                <w:rFonts w:ascii="Arial" w:cs="Arial" w:eastAsia="Arial" w:hAnsi="Arial"/>
                <w:sz w:val="13"/>
                <w:szCs w:val="13"/>
                <w:color w:val="54585A"/>
              </w:rPr>
              <w:t>727,937</w:t>
            </w:r>
          </w:p>
        </w:tc>
        <w:tc>
          <w:tcPr>
            <w:tcW w:w="98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940" w:type="dxa"/>
            <w:vAlign w:val="bottom"/>
          </w:tcPr>
          <w:p>
            <w:pPr>
              <w:jc w:val="right"/>
              <w:ind w:right="19"/>
              <w:spacing w:after="0"/>
              <w:rPr>
                <w:sz w:val="20"/>
                <w:szCs w:val="20"/>
                <w:color w:val="auto"/>
              </w:rPr>
            </w:pPr>
            <w:r>
              <w:rPr>
                <w:rFonts w:ascii="Arial" w:cs="Arial" w:eastAsia="Arial" w:hAnsi="Arial"/>
                <w:sz w:val="13"/>
                <w:szCs w:val="13"/>
                <w:color w:val="54585A"/>
              </w:rPr>
              <w:t>145,209</w:t>
            </w:r>
          </w:p>
        </w:tc>
        <w:tc>
          <w:tcPr>
            <w:tcW w:w="24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54585A"/>
              </w:rPr>
              <w:t>—</w:t>
            </w:r>
          </w:p>
        </w:tc>
        <w:tc>
          <w:tcPr>
            <w:tcW w:w="1200" w:type="dxa"/>
            <w:vAlign w:val="bottom"/>
          </w:tcPr>
          <w:p>
            <w:pPr>
              <w:jc w:val="right"/>
              <w:ind w:right="21"/>
              <w:spacing w:after="0"/>
              <w:rPr>
                <w:sz w:val="20"/>
                <w:szCs w:val="20"/>
                <w:color w:val="auto"/>
              </w:rPr>
            </w:pPr>
            <w:r>
              <w:rPr>
                <w:rFonts w:ascii="Arial" w:cs="Arial" w:eastAsia="Arial" w:hAnsi="Arial"/>
                <w:sz w:val="13"/>
                <w:szCs w:val="13"/>
                <w:color w:val="54585A"/>
              </w:rPr>
              <w:t>580,343</w:t>
            </w:r>
          </w:p>
        </w:tc>
        <w:tc>
          <w:tcPr>
            <w:tcW w:w="1180" w:type="dxa"/>
            <w:vAlign w:val="bottom"/>
          </w:tcPr>
          <w:p>
            <w:pPr>
              <w:jc w:val="right"/>
              <w:ind w:right="21"/>
              <w:spacing w:after="0"/>
              <w:rPr>
                <w:sz w:val="20"/>
                <w:szCs w:val="20"/>
                <w:color w:val="auto"/>
              </w:rPr>
            </w:pPr>
            <w:r>
              <w:rPr>
                <w:rFonts w:ascii="Arial" w:cs="Arial" w:eastAsia="Arial" w:hAnsi="Arial"/>
                <w:sz w:val="13"/>
                <w:szCs w:val="13"/>
                <w:color w:val="54585A"/>
              </w:rPr>
              <w:t>375,332</w:t>
            </w:r>
          </w:p>
        </w:tc>
        <w:tc>
          <w:tcPr>
            <w:tcW w:w="1140" w:type="dxa"/>
            <w:vAlign w:val="bottom"/>
          </w:tcPr>
          <w:p>
            <w:pPr>
              <w:jc w:val="right"/>
              <w:ind w:right="19"/>
              <w:spacing w:after="0"/>
              <w:rPr>
                <w:sz w:val="20"/>
                <w:szCs w:val="20"/>
                <w:color w:val="auto"/>
              </w:rPr>
            </w:pPr>
            <w:r>
              <w:rPr>
                <w:rFonts w:ascii="Arial" w:cs="Arial" w:eastAsia="Arial" w:hAnsi="Arial"/>
                <w:sz w:val="13"/>
                <w:szCs w:val="13"/>
                <w:color w:val="54585A"/>
              </w:rPr>
              <w:t>65.38</w:t>
            </w:r>
          </w:p>
        </w:tc>
        <w:tc>
          <w:tcPr>
            <w:tcW w:w="1020" w:type="dxa"/>
            <w:vAlign w:val="bottom"/>
          </w:tcPr>
          <w:p>
            <w:pPr>
              <w:jc w:val="right"/>
              <w:ind w:right="20"/>
              <w:spacing w:after="0"/>
              <w:rPr>
                <w:sz w:val="20"/>
                <w:szCs w:val="20"/>
                <w:color w:val="auto"/>
              </w:rPr>
            </w:pPr>
            <w:r>
              <w:rPr>
                <w:rFonts w:ascii="Arial" w:cs="Arial" w:eastAsia="Arial" w:hAnsi="Arial"/>
                <w:sz w:val="13"/>
                <w:szCs w:val="13"/>
                <w:color w:val="54585A"/>
              </w:rPr>
              <w:t>122.04</w:t>
            </w:r>
          </w:p>
        </w:tc>
        <w:tc>
          <w:tcPr>
            <w:tcW w:w="1120" w:type="dxa"/>
            <w:vAlign w:val="bottom"/>
          </w:tcPr>
          <w:p>
            <w:pPr>
              <w:jc w:val="right"/>
              <w:spacing w:after="0"/>
              <w:rPr>
                <w:sz w:val="20"/>
                <w:szCs w:val="20"/>
                <w:color w:val="auto"/>
              </w:rPr>
            </w:pPr>
            <w:r>
              <w:rPr>
                <w:rFonts w:ascii="Arial" w:cs="Arial" w:eastAsia="Arial" w:hAnsi="Arial"/>
                <w:sz w:val="13"/>
                <w:szCs w:val="13"/>
                <w:color w:val="54585A"/>
              </w:rPr>
              <w:t>(109,639,000)</w:t>
            </w:r>
          </w:p>
        </w:tc>
        <w:tc>
          <w:tcPr>
            <w:tcW w:w="1120" w:type="dxa"/>
            <w:vAlign w:val="bottom"/>
          </w:tcPr>
          <w:p>
            <w:pPr>
              <w:jc w:val="right"/>
              <w:ind w:right="100"/>
              <w:spacing w:after="0"/>
              <w:rPr>
                <w:sz w:val="20"/>
                <w:szCs w:val="20"/>
                <w:color w:val="auto"/>
              </w:rPr>
            </w:pPr>
            <w:r>
              <w:rPr>
                <w:rFonts w:ascii="Arial" w:cs="Arial" w:eastAsia="Arial" w:hAnsi="Arial"/>
                <w:sz w:val="13"/>
                <w:szCs w:val="13"/>
                <w:color w:val="54585A"/>
              </w:rPr>
              <w:t>42,158,000</w:t>
            </w:r>
          </w:p>
        </w:tc>
      </w:tr>
      <w:tr>
        <w:trPr>
          <w:trHeight w:val="28"/>
        </w:trPr>
        <w:tc>
          <w:tcPr>
            <w:tcW w:w="600" w:type="dxa"/>
            <w:vAlign w:val="bottom"/>
            <w:tcBorders>
              <w:bottom w:val="single" w:sz="8" w:color="54585A"/>
            </w:tcBorders>
          </w:tcPr>
          <w:p>
            <w:pPr>
              <w:spacing w:after="0"/>
              <w:rPr>
                <w:sz w:val="2"/>
                <w:szCs w:val="2"/>
                <w:color w:val="auto"/>
              </w:rPr>
            </w:pPr>
          </w:p>
        </w:tc>
        <w:tc>
          <w:tcPr>
            <w:tcW w:w="960" w:type="dxa"/>
            <w:vAlign w:val="bottom"/>
            <w:tcBorders>
              <w:bottom w:val="single" w:sz="8" w:color="54585A"/>
            </w:tcBorders>
          </w:tcPr>
          <w:p>
            <w:pPr>
              <w:spacing w:after="0"/>
              <w:rPr>
                <w:sz w:val="2"/>
                <w:szCs w:val="2"/>
                <w:color w:val="auto"/>
              </w:rPr>
            </w:pPr>
          </w:p>
        </w:tc>
        <w:tc>
          <w:tcPr>
            <w:tcW w:w="980" w:type="dxa"/>
            <w:vAlign w:val="bottom"/>
            <w:tcBorders>
              <w:bottom w:val="single" w:sz="8" w:color="54585A"/>
            </w:tcBorders>
          </w:tcPr>
          <w:p>
            <w:pPr>
              <w:spacing w:after="0"/>
              <w:rPr>
                <w:sz w:val="2"/>
                <w:szCs w:val="2"/>
                <w:color w:val="auto"/>
              </w:rPr>
            </w:pPr>
          </w:p>
        </w:tc>
        <w:tc>
          <w:tcPr>
            <w:tcW w:w="940" w:type="dxa"/>
            <w:vAlign w:val="bottom"/>
            <w:tcBorders>
              <w:bottom w:val="single" w:sz="8" w:color="54585A"/>
            </w:tcBorders>
          </w:tcPr>
          <w:p>
            <w:pPr>
              <w:spacing w:after="0"/>
              <w:rPr>
                <w:sz w:val="2"/>
                <w:szCs w:val="2"/>
                <w:color w:val="auto"/>
              </w:rPr>
            </w:pPr>
          </w:p>
        </w:tc>
        <w:tc>
          <w:tcPr>
            <w:tcW w:w="240" w:type="dxa"/>
            <w:vAlign w:val="bottom"/>
            <w:tcBorders>
              <w:bottom w:val="single" w:sz="8" w:color="54585A"/>
            </w:tcBorders>
          </w:tcPr>
          <w:p>
            <w:pPr>
              <w:spacing w:after="0"/>
              <w:rPr>
                <w:sz w:val="2"/>
                <w:szCs w:val="2"/>
                <w:color w:val="auto"/>
              </w:rPr>
            </w:pPr>
          </w:p>
        </w:tc>
        <w:tc>
          <w:tcPr>
            <w:tcW w:w="740" w:type="dxa"/>
            <w:vAlign w:val="bottom"/>
            <w:tcBorders>
              <w:bottom w:val="single" w:sz="8" w:color="54585A"/>
            </w:tcBorders>
          </w:tcPr>
          <w:p>
            <w:pPr>
              <w:spacing w:after="0"/>
              <w:rPr>
                <w:sz w:val="2"/>
                <w:szCs w:val="2"/>
                <w:color w:val="auto"/>
              </w:rPr>
            </w:pPr>
          </w:p>
        </w:tc>
        <w:tc>
          <w:tcPr>
            <w:tcW w:w="1200" w:type="dxa"/>
            <w:vAlign w:val="bottom"/>
            <w:tcBorders>
              <w:bottom w:val="single" w:sz="8" w:color="54585A"/>
            </w:tcBorders>
          </w:tcPr>
          <w:p>
            <w:pPr>
              <w:spacing w:after="0"/>
              <w:rPr>
                <w:sz w:val="2"/>
                <w:szCs w:val="2"/>
                <w:color w:val="auto"/>
              </w:rPr>
            </w:pPr>
          </w:p>
        </w:tc>
        <w:tc>
          <w:tcPr>
            <w:tcW w:w="1180" w:type="dxa"/>
            <w:vAlign w:val="bottom"/>
            <w:tcBorders>
              <w:bottom w:val="single" w:sz="8" w:color="54585A"/>
            </w:tcBorders>
          </w:tcPr>
          <w:p>
            <w:pPr>
              <w:spacing w:after="0"/>
              <w:rPr>
                <w:sz w:val="2"/>
                <w:szCs w:val="2"/>
                <w:color w:val="auto"/>
              </w:rPr>
            </w:pPr>
          </w:p>
        </w:tc>
        <w:tc>
          <w:tcPr>
            <w:tcW w:w="1140" w:type="dxa"/>
            <w:vAlign w:val="bottom"/>
            <w:tcBorders>
              <w:bottom w:val="single" w:sz="8" w:color="54585A"/>
            </w:tcBorders>
          </w:tcPr>
          <w:p>
            <w:pPr>
              <w:spacing w:after="0"/>
              <w:rPr>
                <w:sz w:val="2"/>
                <w:szCs w:val="2"/>
                <w:color w:val="auto"/>
              </w:rPr>
            </w:pPr>
          </w:p>
        </w:tc>
        <w:tc>
          <w:tcPr>
            <w:tcW w:w="10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c>
          <w:tcPr>
            <w:tcW w:w="1120" w:type="dxa"/>
            <w:vAlign w:val="bottom"/>
            <w:tcBorders>
              <w:bottom w:val="single" w:sz="8" w:color="54585A"/>
            </w:tcBorders>
          </w:tcPr>
          <w:p>
            <w:pPr>
              <w:spacing w:after="0"/>
              <w:rPr>
                <w:sz w:val="2"/>
                <w:szCs w:val="2"/>
                <w:color w:val="auto"/>
              </w:rPr>
            </w:pPr>
          </w:p>
        </w:tc>
      </w:tr>
    </w:tbl>
    <w:p>
      <w:pPr>
        <w:spacing w:after="0" w:line="180" w:lineRule="exact"/>
        <w:rPr>
          <w:sz w:val="20"/>
          <w:szCs w:val="20"/>
          <w:color w:val="auto"/>
        </w:rPr>
      </w:pPr>
    </w:p>
    <w:p>
      <w:pPr>
        <w:jc w:val="both"/>
        <w:ind w:left="340" w:right="160" w:hanging="332"/>
        <w:spacing w:after="0" w:line="273" w:lineRule="auto"/>
        <w:tabs>
          <w:tab w:leader="none" w:pos="338" w:val="left"/>
        </w:tabs>
        <w:numPr>
          <w:ilvl w:val="0"/>
          <w:numId w:val="62"/>
        </w:numPr>
        <w:rPr>
          <w:rFonts w:ascii="Arial" w:cs="Arial" w:eastAsia="Arial" w:hAnsi="Arial"/>
          <w:sz w:val="14"/>
          <w:szCs w:val="14"/>
          <w:color w:val="54585A"/>
        </w:rPr>
      </w:pPr>
      <w:r>
        <w:rPr>
          <w:rFonts w:ascii="Arial" w:cs="Arial" w:eastAsia="Arial" w:hAnsi="Arial"/>
          <w:sz w:val="14"/>
          <w:szCs w:val="14"/>
          <w:color w:val="54585A"/>
        </w:rPr>
        <w:t>Dr. Paul E. Jacobs became our Chief Executive Officer in August 2023. David B. Kagan was our Chief Executive Officer from September 2018 through August 2023. The dollar amounts reported are the amounts of total compensation reported for Dr. Jacobs and Mr. Kagan for each corresponding year in the “Total” column of the Summary Compensation Table. Refer to Executive Compensation – Summary Compensation Table.</w:t>
      </w:r>
    </w:p>
    <w:p>
      <w:pPr>
        <w:spacing w:after="0" w:line="71" w:lineRule="exact"/>
        <w:rPr>
          <w:rFonts w:ascii="Arial" w:cs="Arial" w:eastAsia="Arial" w:hAnsi="Arial"/>
          <w:sz w:val="14"/>
          <w:szCs w:val="14"/>
          <w:color w:val="54585A"/>
        </w:rPr>
      </w:pPr>
    </w:p>
    <w:p>
      <w:pPr>
        <w:ind w:left="340" w:hanging="332"/>
        <w:spacing w:after="0" w:line="267" w:lineRule="auto"/>
        <w:tabs>
          <w:tab w:leader="none" w:pos="338" w:val="left"/>
        </w:tabs>
        <w:numPr>
          <w:ilvl w:val="0"/>
          <w:numId w:val="62"/>
        </w:numPr>
        <w:rPr>
          <w:rFonts w:ascii="Arial" w:cs="Arial" w:eastAsia="Arial" w:hAnsi="Arial"/>
          <w:sz w:val="14"/>
          <w:szCs w:val="14"/>
          <w:color w:val="54585A"/>
        </w:rPr>
      </w:pPr>
      <w:r>
        <w:rPr>
          <w:rFonts w:ascii="Arial" w:cs="Arial" w:eastAsia="Arial" w:hAnsi="Arial"/>
          <w:sz w:val="14"/>
          <w:szCs w:val="14"/>
          <w:color w:val="54585A"/>
        </w:rPr>
        <w:t>The dollar amounts reported represent the amount of “compensation actually paid” to Dr. Jacobs and Mr. Kagan, as calculated in accordance with Item 402(v) of Regulation S-K. The dollar amounts do not reflect the actual amount of compensation earned or paid to Dr. Jacobs and Mr. Kagan during the applicable year. These amounts reflect the Summary Compensation Table Total with certain adjustments as described below. Neither Dr. Jacobs nor Mr. Kagan have pension benefits; therefore, columns reporting Change in Actuarial Value of Pension Benefits and Pension Benefit Adjustments are omitted. Dr. Jacobs was appointed as Chief Executive Officer in August 2023; accordingly amounts prior to 2023 are not shown below.</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720" w:type="dxa"/>
            <w:vAlign w:val="bottom"/>
            <w:shd w:val="clear" w:color="auto" w:fill="EEEDED"/>
          </w:tcPr>
          <w:p>
            <w:pPr>
              <w:spacing w:after="0"/>
              <w:rPr>
                <w:sz w:val="16"/>
                <w:szCs w:val="16"/>
                <w:color w:val="auto"/>
              </w:rPr>
            </w:pPr>
          </w:p>
        </w:tc>
        <w:tc>
          <w:tcPr>
            <w:tcW w:w="2580" w:type="dxa"/>
            <w:vAlign w:val="bottom"/>
            <w:shd w:val="clear" w:color="auto" w:fill="EEEDED"/>
          </w:tcPr>
          <w:p>
            <w:pPr>
              <w:jc w:val="right"/>
              <w:ind w:right="48"/>
              <w:spacing w:after="0"/>
              <w:rPr>
                <w:sz w:val="20"/>
                <w:szCs w:val="20"/>
                <w:color w:val="auto"/>
              </w:rPr>
            </w:pPr>
            <w:r>
              <w:rPr>
                <w:rFonts w:ascii="Arial" w:cs="Arial" w:eastAsia="Arial" w:hAnsi="Arial"/>
                <w:sz w:val="14"/>
                <w:szCs w:val="14"/>
                <w:b w:val="1"/>
                <w:bCs w:val="1"/>
                <w:color w:val="54585A"/>
              </w:rPr>
              <w:t>Summary compensation table total</w:t>
            </w:r>
          </w:p>
        </w:tc>
        <w:tc>
          <w:tcPr>
            <w:tcW w:w="25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Reported Value of Equity Awards</w:t>
            </w:r>
          </w:p>
        </w:tc>
        <w:tc>
          <w:tcPr>
            <w:tcW w:w="4700" w:type="dxa"/>
            <w:vAlign w:val="bottom"/>
            <w:gridSpan w:val="2"/>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Equity Award Adjustments for Compensation actually paid to Dr.</w:t>
            </w:r>
          </w:p>
        </w:tc>
        <w:tc>
          <w:tcPr>
            <w:tcW w:w="0" w:type="dxa"/>
            <w:vAlign w:val="bottom"/>
          </w:tcPr>
          <w:p>
            <w:pPr>
              <w:spacing w:after="0"/>
              <w:rPr>
                <w:sz w:val="1"/>
                <w:szCs w:val="1"/>
                <w:color w:val="auto"/>
              </w:rPr>
            </w:pPr>
          </w:p>
        </w:tc>
      </w:tr>
      <w:tr>
        <w:trPr>
          <w:trHeight w:val="173"/>
        </w:trPr>
        <w:tc>
          <w:tcPr>
            <w:tcW w:w="720" w:type="dxa"/>
            <w:vAlign w:val="bottom"/>
            <w:vMerge w:val="restart"/>
            <w:shd w:val="clear" w:color="auto" w:fill="EEEDED"/>
          </w:tcPr>
          <w:p>
            <w:pPr>
              <w:ind w:left="200"/>
              <w:spacing w:after="0"/>
              <w:rPr>
                <w:sz w:val="20"/>
                <w:szCs w:val="20"/>
                <w:color w:val="auto"/>
              </w:rPr>
            </w:pPr>
            <w:r>
              <w:rPr>
                <w:rFonts w:ascii="Arial" w:cs="Arial" w:eastAsia="Arial" w:hAnsi="Arial"/>
                <w:sz w:val="14"/>
                <w:szCs w:val="14"/>
                <w:b w:val="1"/>
                <w:bCs w:val="1"/>
                <w:color w:val="54585A"/>
              </w:rPr>
              <w:t>Year</w:t>
            </w:r>
          </w:p>
        </w:tc>
        <w:tc>
          <w:tcPr>
            <w:tcW w:w="2580" w:type="dxa"/>
            <w:vAlign w:val="bottom"/>
            <w:shd w:val="clear" w:color="auto" w:fill="EEEDED"/>
          </w:tcPr>
          <w:p>
            <w:pPr>
              <w:jc w:val="right"/>
              <w:ind w:right="48"/>
              <w:spacing w:after="0"/>
              <w:rPr>
                <w:sz w:val="20"/>
                <w:szCs w:val="20"/>
                <w:color w:val="auto"/>
              </w:rPr>
            </w:pPr>
            <w:r>
              <w:rPr>
                <w:rFonts w:ascii="Arial" w:cs="Arial" w:eastAsia="Arial" w:hAnsi="Arial"/>
                <w:sz w:val="14"/>
                <w:szCs w:val="14"/>
                <w:b w:val="1"/>
                <w:bCs w:val="1"/>
                <w:color w:val="54585A"/>
              </w:rPr>
              <w:t>for Dr. Paul E. Jacobs</w:t>
            </w:r>
          </w:p>
        </w:tc>
        <w:tc>
          <w:tcPr>
            <w:tcW w:w="25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for Dr. Paul E. Jacobs</w:t>
            </w:r>
          </w:p>
        </w:tc>
        <w:tc>
          <w:tcPr>
            <w:tcW w:w="23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Dr. Paul E. Jacobs</w:t>
            </w:r>
          </w:p>
        </w:tc>
        <w:tc>
          <w:tcPr>
            <w:tcW w:w="238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Paul E. Jacobs</w:t>
            </w:r>
          </w:p>
        </w:tc>
        <w:tc>
          <w:tcPr>
            <w:tcW w:w="0" w:type="dxa"/>
            <w:vAlign w:val="bottom"/>
          </w:tcPr>
          <w:p>
            <w:pPr>
              <w:spacing w:after="0"/>
              <w:rPr>
                <w:sz w:val="1"/>
                <w:szCs w:val="1"/>
                <w:color w:val="auto"/>
              </w:rPr>
            </w:pPr>
          </w:p>
        </w:tc>
      </w:tr>
      <w:tr>
        <w:trPr>
          <w:trHeight w:val="201"/>
        </w:trPr>
        <w:tc>
          <w:tcPr>
            <w:tcW w:w="720" w:type="dxa"/>
            <w:vAlign w:val="bottom"/>
            <w:vMerge w:val="continue"/>
            <w:shd w:val="clear" w:color="auto" w:fill="EEEDED"/>
          </w:tcPr>
          <w:p>
            <w:pPr>
              <w:spacing w:after="0"/>
              <w:rPr>
                <w:sz w:val="17"/>
                <w:szCs w:val="17"/>
                <w:color w:val="auto"/>
              </w:rPr>
            </w:pPr>
          </w:p>
        </w:tc>
        <w:tc>
          <w:tcPr>
            <w:tcW w:w="2580" w:type="dxa"/>
            <w:vAlign w:val="bottom"/>
            <w:shd w:val="clear" w:color="auto" w:fill="EEEDED"/>
          </w:tcPr>
          <w:p>
            <w:pPr>
              <w:jc w:val="right"/>
              <w:ind w:right="48"/>
              <w:spacing w:after="0"/>
              <w:rPr>
                <w:sz w:val="20"/>
                <w:szCs w:val="20"/>
                <w:color w:val="auto"/>
              </w:rPr>
            </w:pPr>
            <w:r>
              <w:rPr>
                <w:rFonts w:ascii="Arial" w:cs="Arial" w:eastAsia="Arial" w:hAnsi="Arial"/>
                <w:sz w:val="14"/>
                <w:szCs w:val="14"/>
                <w:b w:val="1"/>
                <w:bCs w:val="1"/>
                <w:color w:val="54585A"/>
              </w:rPr>
              <w:t>($)</w:t>
            </w:r>
          </w:p>
        </w:tc>
        <w:tc>
          <w:tcPr>
            <w:tcW w:w="2520" w:type="dxa"/>
            <w:vAlign w:val="bottom"/>
            <w:shd w:val="clear" w:color="auto" w:fill="EEEDED"/>
          </w:tcPr>
          <w:p>
            <w:pPr>
              <w:jc w:val="right"/>
              <w:ind w:right="28"/>
              <w:spacing w:after="0" w:line="201" w:lineRule="exact"/>
              <w:rPr>
                <w:sz w:val="20"/>
                <w:szCs w:val="20"/>
                <w:color w:val="auto"/>
              </w:rPr>
            </w:pPr>
            <w:r>
              <w:rPr>
                <w:rFonts w:ascii="Arial" w:cs="Arial" w:eastAsia="Arial" w:hAnsi="Arial"/>
                <w:sz w:val="14"/>
                <w:szCs w:val="14"/>
                <w:b w:val="1"/>
                <w:bCs w:val="1"/>
                <w:color w:val="54585A"/>
              </w:rPr>
              <w:t xml:space="preserve">($) </w:t>
            </w:r>
            <w:r>
              <w:rPr>
                <w:rFonts w:ascii="Arial" w:cs="Arial" w:eastAsia="Arial" w:hAnsi="Arial"/>
                <w:sz w:val="18"/>
                <w:szCs w:val="18"/>
                <w:b w:val="1"/>
                <w:bCs w:val="1"/>
                <w:color w:val="54585A"/>
                <w:vertAlign w:val="superscript"/>
              </w:rPr>
              <w:t>(a)</w:t>
            </w:r>
          </w:p>
        </w:tc>
        <w:tc>
          <w:tcPr>
            <w:tcW w:w="2320" w:type="dxa"/>
            <w:vAlign w:val="bottom"/>
            <w:shd w:val="clear" w:color="auto" w:fill="EEEDED"/>
          </w:tcPr>
          <w:p>
            <w:pPr>
              <w:jc w:val="right"/>
              <w:ind w:right="68"/>
              <w:spacing w:after="0" w:line="201" w:lineRule="exact"/>
              <w:rPr>
                <w:sz w:val="20"/>
                <w:szCs w:val="20"/>
                <w:color w:val="auto"/>
              </w:rPr>
            </w:pPr>
            <w:r>
              <w:rPr>
                <w:rFonts w:ascii="Arial" w:cs="Arial" w:eastAsia="Arial" w:hAnsi="Arial"/>
                <w:sz w:val="14"/>
                <w:szCs w:val="14"/>
                <w:b w:val="1"/>
                <w:bCs w:val="1"/>
                <w:color w:val="54585A"/>
              </w:rPr>
              <w:t xml:space="preserve">($) </w:t>
            </w:r>
            <w:r>
              <w:rPr>
                <w:rFonts w:ascii="Arial" w:cs="Arial" w:eastAsia="Arial" w:hAnsi="Arial"/>
                <w:sz w:val="18"/>
                <w:szCs w:val="18"/>
                <w:b w:val="1"/>
                <w:bCs w:val="1"/>
                <w:color w:val="54585A"/>
                <w:vertAlign w:val="superscript"/>
              </w:rPr>
              <w:t>(b)</w:t>
            </w:r>
          </w:p>
        </w:tc>
        <w:tc>
          <w:tcPr>
            <w:tcW w:w="238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c>
          <w:tcPr>
            <w:tcW w:w="0" w:type="dxa"/>
            <w:vAlign w:val="bottom"/>
          </w:tcPr>
          <w:p>
            <w:pPr>
              <w:spacing w:after="0"/>
              <w:rPr>
                <w:sz w:val="1"/>
                <w:szCs w:val="1"/>
                <w:color w:val="auto"/>
              </w:rPr>
            </w:pPr>
          </w:p>
        </w:tc>
      </w:tr>
      <w:tr>
        <w:trPr>
          <w:trHeight w:val="95"/>
        </w:trPr>
        <w:tc>
          <w:tcPr>
            <w:tcW w:w="720" w:type="dxa"/>
            <w:vAlign w:val="bottom"/>
            <w:shd w:val="clear" w:color="auto" w:fill="EEEDED"/>
          </w:tcPr>
          <w:p>
            <w:pPr>
              <w:spacing w:after="0"/>
              <w:rPr>
                <w:sz w:val="8"/>
                <w:szCs w:val="8"/>
                <w:color w:val="auto"/>
              </w:rPr>
            </w:pPr>
          </w:p>
        </w:tc>
        <w:tc>
          <w:tcPr>
            <w:tcW w:w="2580" w:type="dxa"/>
            <w:vAlign w:val="bottom"/>
            <w:shd w:val="clear" w:color="auto" w:fill="EEEDED"/>
          </w:tcPr>
          <w:p>
            <w:pPr>
              <w:spacing w:after="0"/>
              <w:rPr>
                <w:sz w:val="8"/>
                <w:szCs w:val="8"/>
                <w:color w:val="auto"/>
              </w:rPr>
            </w:pPr>
          </w:p>
        </w:tc>
        <w:tc>
          <w:tcPr>
            <w:tcW w:w="2520" w:type="dxa"/>
            <w:vAlign w:val="bottom"/>
            <w:shd w:val="clear" w:color="auto" w:fill="EEEDED"/>
          </w:tcPr>
          <w:p>
            <w:pPr>
              <w:spacing w:after="0"/>
              <w:rPr>
                <w:sz w:val="8"/>
                <w:szCs w:val="8"/>
                <w:color w:val="auto"/>
              </w:rPr>
            </w:pPr>
          </w:p>
        </w:tc>
        <w:tc>
          <w:tcPr>
            <w:tcW w:w="2320" w:type="dxa"/>
            <w:vAlign w:val="bottom"/>
            <w:shd w:val="clear" w:color="auto" w:fill="EEEDED"/>
          </w:tcPr>
          <w:p>
            <w:pPr>
              <w:spacing w:after="0"/>
              <w:rPr>
                <w:sz w:val="8"/>
                <w:szCs w:val="8"/>
                <w:color w:val="auto"/>
              </w:rPr>
            </w:pPr>
          </w:p>
        </w:tc>
        <w:tc>
          <w:tcPr>
            <w:tcW w:w="2380" w:type="dxa"/>
            <w:vAlign w:val="bottom"/>
            <w:shd w:val="clear" w:color="auto" w:fill="EEEDED"/>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720" w:type="dxa"/>
            <w:vAlign w:val="bottom"/>
          </w:tcPr>
          <w:p>
            <w:pPr>
              <w:ind w:left="200"/>
              <w:spacing w:after="0"/>
              <w:rPr>
                <w:sz w:val="20"/>
                <w:szCs w:val="20"/>
                <w:color w:val="auto"/>
              </w:rPr>
            </w:pPr>
            <w:r>
              <w:rPr>
                <w:rFonts w:ascii="Arial" w:cs="Arial" w:eastAsia="Arial" w:hAnsi="Arial"/>
                <w:sz w:val="14"/>
                <w:szCs w:val="14"/>
                <w:color w:val="54585A"/>
              </w:rPr>
              <w:t>2024</w:t>
            </w:r>
          </w:p>
        </w:tc>
        <w:tc>
          <w:tcPr>
            <w:tcW w:w="2580" w:type="dxa"/>
            <w:vAlign w:val="bottom"/>
          </w:tcPr>
          <w:p>
            <w:pPr>
              <w:jc w:val="right"/>
              <w:ind w:right="88"/>
              <w:spacing w:after="0"/>
              <w:rPr>
                <w:sz w:val="20"/>
                <w:szCs w:val="20"/>
                <w:color w:val="auto"/>
              </w:rPr>
            </w:pPr>
            <w:r>
              <w:rPr>
                <w:rFonts w:ascii="Arial" w:cs="Arial" w:eastAsia="Arial" w:hAnsi="Arial"/>
                <w:sz w:val="14"/>
                <w:szCs w:val="14"/>
                <w:color w:val="54585A"/>
              </w:rPr>
              <w:t>1,009,445</w:t>
            </w:r>
          </w:p>
        </w:tc>
        <w:tc>
          <w:tcPr>
            <w:tcW w:w="2520" w:type="dxa"/>
            <w:vAlign w:val="bottom"/>
          </w:tcPr>
          <w:p>
            <w:pPr>
              <w:jc w:val="right"/>
              <w:ind w:right="48"/>
              <w:spacing w:after="0"/>
              <w:rPr>
                <w:sz w:val="20"/>
                <w:szCs w:val="20"/>
                <w:color w:val="auto"/>
              </w:rPr>
            </w:pPr>
            <w:r>
              <w:rPr>
                <w:rFonts w:ascii="Arial" w:cs="Arial" w:eastAsia="Arial" w:hAnsi="Arial"/>
                <w:sz w:val="14"/>
                <w:szCs w:val="14"/>
                <w:color w:val="54585A"/>
              </w:rPr>
              <w:t>(300,000)</w:t>
            </w:r>
          </w:p>
        </w:tc>
        <w:tc>
          <w:tcPr>
            <w:tcW w:w="2320" w:type="dxa"/>
            <w:vAlign w:val="bottom"/>
          </w:tcPr>
          <w:p>
            <w:pPr>
              <w:jc w:val="right"/>
              <w:ind w:right="128"/>
              <w:spacing w:after="0"/>
              <w:rPr>
                <w:sz w:val="20"/>
                <w:szCs w:val="20"/>
                <w:color w:val="auto"/>
              </w:rPr>
            </w:pPr>
            <w:r>
              <w:rPr>
                <w:rFonts w:ascii="Arial" w:cs="Arial" w:eastAsia="Arial" w:hAnsi="Arial"/>
                <w:sz w:val="14"/>
                <w:szCs w:val="14"/>
                <w:color w:val="54585A"/>
              </w:rPr>
              <w:t>1,185,344</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1,894,789</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200"/>
              <w:spacing w:after="0"/>
              <w:rPr>
                <w:sz w:val="20"/>
                <w:szCs w:val="20"/>
                <w:color w:val="auto"/>
              </w:rPr>
            </w:pPr>
            <w:r>
              <w:rPr>
                <w:rFonts w:ascii="Arial" w:cs="Arial" w:eastAsia="Arial" w:hAnsi="Arial"/>
                <w:sz w:val="14"/>
                <w:szCs w:val="14"/>
                <w:color w:val="54585A"/>
              </w:rPr>
              <w:t>2023</w:t>
            </w:r>
          </w:p>
        </w:tc>
        <w:tc>
          <w:tcPr>
            <w:tcW w:w="2580" w:type="dxa"/>
            <w:vAlign w:val="bottom"/>
          </w:tcPr>
          <w:p>
            <w:pPr>
              <w:jc w:val="right"/>
              <w:ind w:right="88"/>
              <w:spacing w:after="0"/>
              <w:rPr>
                <w:sz w:val="20"/>
                <w:szCs w:val="20"/>
                <w:color w:val="auto"/>
              </w:rPr>
            </w:pPr>
            <w:r>
              <w:rPr>
                <w:rFonts w:ascii="Arial" w:cs="Arial" w:eastAsia="Arial" w:hAnsi="Arial"/>
                <w:sz w:val="14"/>
                <w:szCs w:val="14"/>
                <w:color w:val="54585A"/>
              </w:rPr>
              <w:t>36,221,461</w:t>
            </w:r>
          </w:p>
        </w:tc>
        <w:tc>
          <w:tcPr>
            <w:tcW w:w="2520" w:type="dxa"/>
            <w:vAlign w:val="bottom"/>
          </w:tcPr>
          <w:p>
            <w:pPr>
              <w:jc w:val="right"/>
              <w:ind w:right="48"/>
              <w:spacing w:after="0"/>
              <w:rPr>
                <w:sz w:val="20"/>
                <w:szCs w:val="20"/>
                <w:color w:val="auto"/>
              </w:rPr>
            </w:pPr>
            <w:r>
              <w:rPr>
                <w:rFonts w:ascii="Arial" w:cs="Arial" w:eastAsia="Arial" w:hAnsi="Arial"/>
                <w:sz w:val="14"/>
                <w:szCs w:val="14"/>
                <w:color w:val="54585A"/>
              </w:rPr>
              <w:t>(36,075,405)</w:t>
            </w:r>
          </w:p>
        </w:tc>
        <w:tc>
          <w:tcPr>
            <w:tcW w:w="2320" w:type="dxa"/>
            <w:vAlign w:val="bottom"/>
          </w:tcPr>
          <w:p>
            <w:pPr>
              <w:jc w:val="right"/>
              <w:ind w:right="128"/>
              <w:spacing w:after="0"/>
              <w:rPr>
                <w:sz w:val="20"/>
                <w:szCs w:val="20"/>
                <w:color w:val="auto"/>
              </w:rPr>
            </w:pPr>
            <w:r>
              <w:rPr>
                <w:rFonts w:ascii="Arial" w:cs="Arial" w:eastAsia="Arial" w:hAnsi="Arial"/>
                <w:sz w:val="14"/>
                <w:szCs w:val="14"/>
                <w:color w:val="54585A"/>
              </w:rPr>
              <w:t>53,997,274</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54,143,331</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20" w:type="dxa"/>
            <w:vAlign w:val="bottom"/>
            <w:shd w:val="clear" w:color="auto" w:fill="EEEDED"/>
          </w:tcPr>
          <w:p>
            <w:pPr>
              <w:spacing w:after="0"/>
              <w:rPr>
                <w:sz w:val="15"/>
                <w:szCs w:val="15"/>
                <w:color w:val="auto"/>
              </w:rPr>
            </w:pPr>
          </w:p>
        </w:tc>
        <w:tc>
          <w:tcPr>
            <w:tcW w:w="258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Summary compensation table total</w:t>
            </w:r>
          </w:p>
        </w:tc>
        <w:tc>
          <w:tcPr>
            <w:tcW w:w="25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Reported Value of Equity Awards</w:t>
            </w:r>
          </w:p>
        </w:tc>
        <w:tc>
          <w:tcPr>
            <w:tcW w:w="23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Equity Award Adjustments for</w:t>
            </w:r>
          </w:p>
        </w:tc>
        <w:tc>
          <w:tcPr>
            <w:tcW w:w="238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Compensation actually paid to</w:t>
            </w:r>
          </w:p>
        </w:tc>
        <w:tc>
          <w:tcPr>
            <w:tcW w:w="0" w:type="dxa"/>
            <w:vAlign w:val="bottom"/>
          </w:tcPr>
          <w:p>
            <w:pPr>
              <w:spacing w:after="0"/>
              <w:rPr>
                <w:sz w:val="1"/>
                <w:szCs w:val="1"/>
                <w:color w:val="auto"/>
              </w:rPr>
            </w:pPr>
          </w:p>
        </w:tc>
      </w:tr>
      <w:tr>
        <w:trPr>
          <w:trHeight w:val="175"/>
        </w:trPr>
        <w:tc>
          <w:tcPr>
            <w:tcW w:w="720" w:type="dxa"/>
            <w:vAlign w:val="bottom"/>
            <w:shd w:val="clear" w:color="auto" w:fill="EEEDED"/>
          </w:tcPr>
          <w:p>
            <w:pPr>
              <w:spacing w:after="0"/>
              <w:rPr>
                <w:sz w:val="15"/>
                <w:szCs w:val="15"/>
                <w:color w:val="auto"/>
              </w:rPr>
            </w:pPr>
          </w:p>
        </w:tc>
        <w:tc>
          <w:tcPr>
            <w:tcW w:w="258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for David B. Kagan</w:t>
            </w:r>
          </w:p>
        </w:tc>
        <w:tc>
          <w:tcPr>
            <w:tcW w:w="25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for David B. Kagan</w:t>
            </w:r>
          </w:p>
        </w:tc>
        <w:tc>
          <w:tcPr>
            <w:tcW w:w="23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David B. Kagan</w:t>
            </w:r>
          </w:p>
        </w:tc>
        <w:tc>
          <w:tcPr>
            <w:tcW w:w="238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David B. Kagan</w:t>
            </w:r>
          </w:p>
        </w:tc>
        <w:tc>
          <w:tcPr>
            <w:tcW w:w="0" w:type="dxa"/>
            <w:vAlign w:val="bottom"/>
          </w:tcPr>
          <w:p>
            <w:pPr>
              <w:spacing w:after="0"/>
              <w:rPr>
                <w:sz w:val="1"/>
                <w:szCs w:val="1"/>
                <w:color w:val="auto"/>
              </w:rPr>
            </w:pPr>
          </w:p>
        </w:tc>
      </w:tr>
      <w:tr>
        <w:trPr>
          <w:trHeight w:val="196"/>
        </w:trPr>
        <w:tc>
          <w:tcPr>
            <w:tcW w:w="720" w:type="dxa"/>
            <w:vAlign w:val="bottom"/>
            <w:shd w:val="clear" w:color="auto" w:fill="EEEDED"/>
          </w:tcPr>
          <w:p>
            <w:pPr>
              <w:ind w:left="200"/>
              <w:spacing w:after="0"/>
              <w:rPr>
                <w:sz w:val="20"/>
                <w:szCs w:val="20"/>
                <w:color w:val="auto"/>
              </w:rPr>
            </w:pPr>
            <w:r>
              <w:rPr>
                <w:rFonts w:ascii="Arial" w:cs="Arial" w:eastAsia="Arial" w:hAnsi="Arial"/>
                <w:sz w:val="14"/>
                <w:szCs w:val="14"/>
                <w:b w:val="1"/>
                <w:bCs w:val="1"/>
                <w:color w:val="54585A"/>
              </w:rPr>
              <w:t>Year</w:t>
            </w:r>
          </w:p>
        </w:tc>
        <w:tc>
          <w:tcPr>
            <w:tcW w:w="258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w:t>
            </w:r>
          </w:p>
        </w:tc>
        <w:tc>
          <w:tcPr>
            <w:tcW w:w="25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 xml:space="preserve">($) </w:t>
            </w:r>
            <w:r>
              <w:rPr>
                <w:rFonts w:ascii="Arial" w:cs="Arial" w:eastAsia="Arial" w:hAnsi="Arial"/>
                <w:sz w:val="9"/>
                <w:szCs w:val="9"/>
                <w:b w:val="1"/>
                <w:bCs w:val="1"/>
                <w:color w:val="54585A"/>
              </w:rPr>
              <w:t>(a)</w:t>
            </w:r>
          </w:p>
        </w:tc>
        <w:tc>
          <w:tcPr>
            <w:tcW w:w="2320" w:type="dxa"/>
            <w:vAlign w:val="bottom"/>
            <w:shd w:val="clear" w:color="auto" w:fill="EEEDED"/>
          </w:tcPr>
          <w:p>
            <w:pPr>
              <w:jc w:val="right"/>
              <w:ind w:right="68"/>
              <w:spacing w:after="0"/>
              <w:rPr>
                <w:sz w:val="20"/>
                <w:szCs w:val="20"/>
                <w:color w:val="auto"/>
              </w:rPr>
            </w:pPr>
            <w:r>
              <w:rPr>
                <w:rFonts w:ascii="Arial" w:cs="Arial" w:eastAsia="Arial" w:hAnsi="Arial"/>
                <w:sz w:val="14"/>
                <w:szCs w:val="14"/>
                <w:b w:val="1"/>
                <w:bCs w:val="1"/>
                <w:color w:val="54585A"/>
              </w:rPr>
              <w:t xml:space="preserve">($) </w:t>
            </w:r>
            <w:r>
              <w:rPr>
                <w:rFonts w:ascii="Arial" w:cs="Arial" w:eastAsia="Arial" w:hAnsi="Arial"/>
                <w:sz w:val="9"/>
                <w:szCs w:val="9"/>
                <w:b w:val="1"/>
                <w:bCs w:val="1"/>
                <w:color w:val="54585A"/>
              </w:rPr>
              <w:t>(b)</w:t>
            </w:r>
          </w:p>
        </w:tc>
        <w:tc>
          <w:tcPr>
            <w:tcW w:w="238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c>
          <w:tcPr>
            <w:tcW w:w="0" w:type="dxa"/>
            <w:vAlign w:val="bottom"/>
          </w:tcPr>
          <w:p>
            <w:pPr>
              <w:spacing w:after="0"/>
              <w:rPr>
                <w:sz w:val="1"/>
                <w:szCs w:val="1"/>
                <w:color w:val="auto"/>
              </w:rPr>
            </w:pPr>
          </w:p>
        </w:tc>
      </w:tr>
      <w:tr>
        <w:trPr>
          <w:trHeight w:val="110"/>
        </w:trPr>
        <w:tc>
          <w:tcPr>
            <w:tcW w:w="720" w:type="dxa"/>
            <w:vAlign w:val="bottom"/>
            <w:shd w:val="clear" w:color="auto" w:fill="EEEDED"/>
          </w:tcPr>
          <w:p>
            <w:pPr>
              <w:spacing w:after="0"/>
              <w:rPr>
                <w:sz w:val="9"/>
                <w:szCs w:val="9"/>
                <w:color w:val="auto"/>
              </w:rPr>
            </w:pPr>
          </w:p>
        </w:tc>
        <w:tc>
          <w:tcPr>
            <w:tcW w:w="2580" w:type="dxa"/>
            <w:vAlign w:val="bottom"/>
            <w:shd w:val="clear" w:color="auto" w:fill="EEEDED"/>
          </w:tcPr>
          <w:p>
            <w:pPr>
              <w:spacing w:after="0"/>
              <w:rPr>
                <w:sz w:val="9"/>
                <w:szCs w:val="9"/>
                <w:color w:val="auto"/>
              </w:rPr>
            </w:pPr>
          </w:p>
        </w:tc>
        <w:tc>
          <w:tcPr>
            <w:tcW w:w="2520" w:type="dxa"/>
            <w:vAlign w:val="bottom"/>
            <w:shd w:val="clear" w:color="auto" w:fill="EEEDED"/>
          </w:tcPr>
          <w:p>
            <w:pPr>
              <w:spacing w:after="0"/>
              <w:rPr>
                <w:sz w:val="9"/>
                <w:szCs w:val="9"/>
                <w:color w:val="auto"/>
              </w:rPr>
            </w:pPr>
          </w:p>
        </w:tc>
        <w:tc>
          <w:tcPr>
            <w:tcW w:w="2320" w:type="dxa"/>
            <w:vAlign w:val="bottom"/>
            <w:shd w:val="clear" w:color="auto" w:fill="EEEDED"/>
          </w:tcPr>
          <w:p>
            <w:pPr>
              <w:spacing w:after="0"/>
              <w:rPr>
                <w:sz w:val="9"/>
                <w:szCs w:val="9"/>
                <w:color w:val="auto"/>
              </w:rPr>
            </w:pPr>
          </w:p>
        </w:tc>
        <w:tc>
          <w:tcPr>
            <w:tcW w:w="238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720" w:type="dxa"/>
            <w:vAlign w:val="bottom"/>
          </w:tcPr>
          <w:p>
            <w:pPr>
              <w:ind w:left="180"/>
              <w:spacing w:after="0"/>
              <w:rPr>
                <w:sz w:val="20"/>
                <w:szCs w:val="20"/>
                <w:color w:val="auto"/>
              </w:rPr>
            </w:pPr>
            <w:r>
              <w:rPr>
                <w:rFonts w:ascii="Arial" w:cs="Arial" w:eastAsia="Arial" w:hAnsi="Arial"/>
                <w:sz w:val="14"/>
                <w:szCs w:val="14"/>
                <w:color w:val="54585A"/>
              </w:rPr>
              <w:t>2024</w:t>
            </w:r>
          </w:p>
        </w:tc>
        <w:tc>
          <w:tcPr>
            <w:tcW w:w="2580" w:type="dxa"/>
            <w:vAlign w:val="bottom"/>
          </w:tcPr>
          <w:p>
            <w:pPr>
              <w:jc w:val="right"/>
              <w:ind w:right="108"/>
              <w:spacing w:after="0"/>
              <w:rPr>
                <w:sz w:val="20"/>
                <w:szCs w:val="20"/>
                <w:color w:val="auto"/>
              </w:rPr>
            </w:pPr>
            <w:r>
              <w:rPr>
                <w:rFonts w:ascii="Arial" w:cs="Arial" w:eastAsia="Arial" w:hAnsi="Arial"/>
                <w:sz w:val="14"/>
                <w:szCs w:val="14"/>
                <w:color w:val="54585A"/>
              </w:rPr>
              <w:t>—</w:t>
            </w:r>
          </w:p>
        </w:tc>
        <w:tc>
          <w:tcPr>
            <w:tcW w:w="2520" w:type="dxa"/>
            <w:vAlign w:val="bottom"/>
          </w:tcPr>
          <w:p>
            <w:pPr>
              <w:jc w:val="right"/>
              <w:ind w:right="108"/>
              <w:spacing w:after="0"/>
              <w:rPr>
                <w:sz w:val="20"/>
                <w:szCs w:val="20"/>
                <w:color w:val="auto"/>
              </w:rPr>
            </w:pPr>
            <w:r>
              <w:rPr>
                <w:rFonts w:ascii="Arial" w:cs="Arial" w:eastAsia="Arial" w:hAnsi="Arial"/>
                <w:sz w:val="14"/>
                <w:szCs w:val="14"/>
                <w:color w:val="54585A"/>
              </w:rPr>
              <w:t>—</w:t>
            </w:r>
          </w:p>
        </w:tc>
        <w:tc>
          <w:tcPr>
            <w:tcW w:w="2320" w:type="dxa"/>
            <w:vAlign w:val="bottom"/>
          </w:tcPr>
          <w:p>
            <w:pPr>
              <w:jc w:val="right"/>
              <w:ind w:right="128"/>
              <w:spacing w:after="0"/>
              <w:rPr>
                <w:sz w:val="20"/>
                <w:szCs w:val="20"/>
                <w:color w:val="auto"/>
              </w:rPr>
            </w:pPr>
            <w:r>
              <w:rPr>
                <w:rFonts w:ascii="Arial" w:cs="Arial" w:eastAsia="Arial" w:hAnsi="Arial"/>
                <w:sz w:val="14"/>
                <w:szCs w:val="14"/>
                <w:color w:val="54585A"/>
              </w:rPr>
              <w:t>—</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180"/>
              <w:spacing w:after="0"/>
              <w:rPr>
                <w:sz w:val="20"/>
                <w:szCs w:val="20"/>
                <w:color w:val="auto"/>
              </w:rPr>
            </w:pPr>
            <w:r>
              <w:rPr>
                <w:rFonts w:ascii="Arial" w:cs="Arial" w:eastAsia="Arial" w:hAnsi="Arial"/>
                <w:sz w:val="14"/>
                <w:szCs w:val="14"/>
                <w:color w:val="54585A"/>
              </w:rPr>
              <w:t>2023</w:t>
            </w:r>
          </w:p>
        </w:tc>
        <w:tc>
          <w:tcPr>
            <w:tcW w:w="2580" w:type="dxa"/>
            <w:vAlign w:val="bottom"/>
          </w:tcPr>
          <w:p>
            <w:pPr>
              <w:jc w:val="right"/>
              <w:ind w:right="108"/>
              <w:spacing w:after="0"/>
              <w:rPr>
                <w:sz w:val="20"/>
                <w:szCs w:val="20"/>
                <w:color w:val="auto"/>
              </w:rPr>
            </w:pPr>
            <w:r>
              <w:rPr>
                <w:rFonts w:ascii="Arial" w:cs="Arial" w:eastAsia="Arial" w:hAnsi="Arial"/>
                <w:sz w:val="14"/>
                <w:szCs w:val="14"/>
                <w:color w:val="54585A"/>
              </w:rPr>
              <w:t>1,557,215</w:t>
            </w:r>
          </w:p>
        </w:tc>
        <w:tc>
          <w:tcPr>
            <w:tcW w:w="2520" w:type="dxa"/>
            <w:vAlign w:val="bottom"/>
          </w:tcPr>
          <w:p>
            <w:pPr>
              <w:jc w:val="right"/>
              <w:ind w:right="68"/>
              <w:spacing w:after="0"/>
              <w:rPr>
                <w:sz w:val="20"/>
                <w:szCs w:val="20"/>
                <w:color w:val="auto"/>
              </w:rPr>
            </w:pPr>
            <w:r>
              <w:rPr>
                <w:rFonts w:ascii="Arial" w:cs="Arial" w:eastAsia="Arial" w:hAnsi="Arial"/>
                <w:sz w:val="14"/>
                <w:szCs w:val="14"/>
                <w:color w:val="54585A"/>
              </w:rPr>
              <w:t>(1,131,681)</w:t>
            </w:r>
          </w:p>
        </w:tc>
        <w:tc>
          <w:tcPr>
            <w:tcW w:w="2320" w:type="dxa"/>
            <w:vAlign w:val="bottom"/>
          </w:tcPr>
          <w:p>
            <w:pPr>
              <w:jc w:val="right"/>
              <w:ind w:right="128"/>
              <w:spacing w:after="0"/>
              <w:rPr>
                <w:sz w:val="20"/>
                <w:szCs w:val="20"/>
                <w:color w:val="auto"/>
              </w:rPr>
            </w:pPr>
            <w:r>
              <w:rPr>
                <w:rFonts w:ascii="Arial" w:cs="Arial" w:eastAsia="Arial" w:hAnsi="Arial"/>
                <w:sz w:val="14"/>
                <w:szCs w:val="14"/>
                <w:color w:val="54585A"/>
              </w:rPr>
              <w:t>81,622</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507,156</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180"/>
              <w:spacing w:after="0"/>
              <w:rPr>
                <w:sz w:val="20"/>
                <w:szCs w:val="20"/>
                <w:color w:val="auto"/>
              </w:rPr>
            </w:pPr>
            <w:r>
              <w:rPr>
                <w:rFonts w:ascii="Arial" w:cs="Arial" w:eastAsia="Arial" w:hAnsi="Arial"/>
                <w:sz w:val="14"/>
                <w:szCs w:val="14"/>
                <w:color w:val="54585A"/>
              </w:rPr>
              <w:t>2022</w:t>
            </w:r>
          </w:p>
        </w:tc>
        <w:tc>
          <w:tcPr>
            <w:tcW w:w="2580" w:type="dxa"/>
            <w:vAlign w:val="bottom"/>
          </w:tcPr>
          <w:p>
            <w:pPr>
              <w:jc w:val="right"/>
              <w:ind w:right="108"/>
              <w:spacing w:after="0"/>
              <w:rPr>
                <w:sz w:val="20"/>
                <w:szCs w:val="20"/>
                <w:color w:val="auto"/>
              </w:rPr>
            </w:pPr>
            <w:r>
              <w:rPr>
                <w:rFonts w:ascii="Arial" w:cs="Arial" w:eastAsia="Arial" w:hAnsi="Arial"/>
                <w:sz w:val="14"/>
                <w:szCs w:val="14"/>
                <w:color w:val="54585A"/>
              </w:rPr>
              <w:t>1,892,166</w:t>
            </w:r>
          </w:p>
        </w:tc>
        <w:tc>
          <w:tcPr>
            <w:tcW w:w="2520" w:type="dxa"/>
            <w:vAlign w:val="bottom"/>
          </w:tcPr>
          <w:p>
            <w:pPr>
              <w:jc w:val="right"/>
              <w:ind w:right="68"/>
              <w:spacing w:after="0"/>
              <w:rPr>
                <w:sz w:val="20"/>
                <w:szCs w:val="20"/>
                <w:color w:val="auto"/>
              </w:rPr>
            </w:pPr>
            <w:r>
              <w:rPr>
                <w:rFonts w:ascii="Arial" w:cs="Arial" w:eastAsia="Arial" w:hAnsi="Arial"/>
                <w:sz w:val="14"/>
                <w:szCs w:val="14"/>
                <w:color w:val="54585A"/>
              </w:rPr>
              <w:t>(1,330,400)</w:t>
            </w:r>
          </w:p>
        </w:tc>
        <w:tc>
          <w:tcPr>
            <w:tcW w:w="2320" w:type="dxa"/>
            <w:vAlign w:val="bottom"/>
          </w:tcPr>
          <w:p>
            <w:pPr>
              <w:jc w:val="right"/>
              <w:ind w:right="128"/>
              <w:spacing w:after="0"/>
              <w:rPr>
                <w:sz w:val="20"/>
                <w:szCs w:val="20"/>
                <w:color w:val="auto"/>
              </w:rPr>
            </w:pPr>
            <w:r>
              <w:rPr>
                <w:rFonts w:ascii="Arial" w:cs="Arial" w:eastAsia="Arial" w:hAnsi="Arial"/>
                <w:sz w:val="14"/>
                <w:szCs w:val="14"/>
                <w:color w:val="54585A"/>
              </w:rPr>
              <w:t>689,199</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1,250,965</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180"/>
              <w:spacing w:after="0"/>
              <w:rPr>
                <w:sz w:val="20"/>
                <w:szCs w:val="20"/>
                <w:color w:val="auto"/>
              </w:rPr>
            </w:pPr>
            <w:r>
              <w:rPr>
                <w:rFonts w:ascii="Arial" w:cs="Arial" w:eastAsia="Arial" w:hAnsi="Arial"/>
                <w:sz w:val="14"/>
                <w:szCs w:val="14"/>
                <w:color w:val="54585A"/>
              </w:rPr>
              <w:t>2021</w:t>
            </w:r>
          </w:p>
        </w:tc>
        <w:tc>
          <w:tcPr>
            <w:tcW w:w="2580" w:type="dxa"/>
            <w:vAlign w:val="bottom"/>
          </w:tcPr>
          <w:p>
            <w:pPr>
              <w:jc w:val="right"/>
              <w:ind w:right="108"/>
              <w:spacing w:after="0"/>
              <w:rPr>
                <w:sz w:val="20"/>
                <w:szCs w:val="20"/>
                <w:color w:val="auto"/>
              </w:rPr>
            </w:pPr>
            <w:r>
              <w:rPr>
                <w:rFonts w:ascii="Arial" w:cs="Arial" w:eastAsia="Arial" w:hAnsi="Arial"/>
                <w:sz w:val="14"/>
                <w:szCs w:val="14"/>
                <w:color w:val="54585A"/>
              </w:rPr>
              <w:t>871,997</w:t>
            </w:r>
          </w:p>
        </w:tc>
        <w:tc>
          <w:tcPr>
            <w:tcW w:w="2520" w:type="dxa"/>
            <w:vAlign w:val="bottom"/>
          </w:tcPr>
          <w:p>
            <w:pPr>
              <w:jc w:val="right"/>
              <w:ind w:right="68"/>
              <w:spacing w:after="0"/>
              <w:rPr>
                <w:sz w:val="20"/>
                <w:szCs w:val="20"/>
                <w:color w:val="auto"/>
              </w:rPr>
            </w:pPr>
            <w:r>
              <w:rPr>
                <w:rFonts w:ascii="Arial" w:cs="Arial" w:eastAsia="Arial" w:hAnsi="Arial"/>
                <w:sz w:val="14"/>
                <w:szCs w:val="14"/>
                <w:color w:val="54585A"/>
              </w:rPr>
              <w:t>(165,600)</w:t>
            </w:r>
          </w:p>
        </w:tc>
        <w:tc>
          <w:tcPr>
            <w:tcW w:w="2320" w:type="dxa"/>
            <w:vAlign w:val="bottom"/>
          </w:tcPr>
          <w:p>
            <w:pPr>
              <w:jc w:val="right"/>
              <w:ind w:right="128"/>
              <w:spacing w:after="0"/>
              <w:rPr>
                <w:sz w:val="20"/>
                <w:szCs w:val="20"/>
                <w:color w:val="auto"/>
              </w:rPr>
            </w:pPr>
            <w:r>
              <w:rPr>
                <w:rFonts w:ascii="Arial" w:cs="Arial" w:eastAsia="Arial" w:hAnsi="Arial"/>
                <w:sz w:val="14"/>
                <w:szCs w:val="14"/>
                <w:color w:val="54585A"/>
              </w:rPr>
              <w:t>3,612,559</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4,318,956</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20" w:type="dxa"/>
            <w:vAlign w:val="bottom"/>
          </w:tcPr>
          <w:p>
            <w:pPr>
              <w:ind w:left="180"/>
              <w:spacing w:after="0"/>
              <w:rPr>
                <w:sz w:val="20"/>
                <w:szCs w:val="20"/>
                <w:color w:val="auto"/>
              </w:rPr>
            </w:pPr>
            <w:r>
              <w:rPr>
                <w:rFonts w:ascii="Arial" w:cs="Arial" w:eastAsia="Arial" w:hAnsi="Arial"/>
                <w:sz w:val="14"/>
                <w:szCs w:val="14"/>
                <w:color w:val="54585A"/>
              </w:rPr>
              <w:t>2020</w:t>
            </w:r>
          </w:p>
        </w:tc>
        <w:tc>
          <w:tcPr>
            <w:tcW w:w="2580" w:type="dxa"/>
            <w:vAlign w:val="bottom"/>
          </w:tcPr>
          <w:p>
            <w:pPr>
              <w:jc w:val="right"/>
              <w:ind w:right="108"/>
              <w:spacing w:after="0"/>
              <w:rPr>
                <w:sz w:val="20"/>
                <w:szCs w:val="20"/>
                <w:color w:val="auto"/>
              </w:rPr>
            </w:pPr>
            <w:r>
              <w:rPr>
                <w:rFonts w:ascii="Arial" w:cs="Arial" w:eastAsia="Arial" w:hAnsi="Arial"/>
                <w:sz w:val="14"/>
                <w:szCs w:val="14"/>
                <w:color w:val="54585A"/>
              </w:rPr>
              <w:t>727,937</w:t>
            </w:r>
          </w:p>
        </w:tc>
        <w:tc>
          <w:tcPr>
            <w:tcW w:w="2520" w:type="dxa"/>
            <w:vAlign w:val="bottom"/>
          </w:tcPr>
          <w:p>
            <w:pPr>
              <w:jc w:val="right"/>
              <w:ind w:right="68"/>
              <w:spacing w:after="0"/>
              <w:rPr>
                <w:sz w:val="20"/>
                <w:szCs w:val="20"/>
                <w:color w:val="auto"/>
              </w:rPr>
            </w:pPr>
            <w:r>
              <w:rPr>
                <w:rFonts w:ascii="Arial" w:cs="Arial" w:eastAsia="Arial" w:hAnsi="Arial"/>
                <w:sz w:val="14"/>
                <w:szCs w:val="14"/>
                <w:color w:val="54585A"/>
              </w:rPr>
              <w:t>(182,359)</w:t>
            </w:r>
          </w:p>
        </w:tc>
        <w:tc>
          <w:tcPr>
            <w:tcW w:w="2320" w:type="dxa"/>
            <w:vAlign w:val="bottom"/>
          </w:tcPr>
          <w:p>
            <w:pPr>
              <w:jc w:val="right"/>
              <w:ind w:right="88"/>
              <w:spacing w:after="0"/>
              <w:rPr>
                <w:sz w:val="20"/>
                <w:szCs w:val="20"/>
                <w:color w:val="auto"/>
              </w:rPr>
            </w:pPr>
            <w:r>
              <w:rPr>
                <w:rFonts w:ascii="Arial" w:cs="Arial" w:eastAsia="Arial" w:hAnsi="Arial"/>
                <w:sz w:val="14"/>
                <w:szCs w:val="14"/>
                <w:color w:val="54585A"/>
              </w:rPr>
              <w:t>(400,369)</w:t>
            </w:r>
          </w:p>
        </w:tc>
        <w:tc>
          <w:tcPr>
            <w:tcW w:w="2380" w:type="dxa"/>
            <w:vAlign w:val="bottom"/>
          </w:tcPr>
          <w:p>
            <w:pPr>
              <w:jc w:val="right"/>
              <w:ind w:right="128"/>
              <w:spacing w:after="0"/>
              <w:rPr>
                <w:sz w:val="20"/>
                <w:szCs w:val="20"/>
                <w:color w:val="auto"/>
              </w:rPr>
            </w:pPr>
            <w:r>
              <w:rPr>
                <w:rFonts w:ascii="Arial" w:cs="Arial" w:eastAsia="Arial" w:hAnsi="Arial"/>
                <w:sz w:val="14"/>
                <w:szCs w:val="14"/>
                <w:color w:val="54585A"/>
              </w:rPr>
              <w:t>145,209</w:t>
            </w:r>
          </w:p>
        </w:tc>
        <w:tc>
          <w:tcPr>
            <w:tcW w:w="0" w:type="dxa"/>
            <w:vAlign w:val="bottom"/>
          </w:tcPr>
          <w:p>
            <w:pPr>
              <w:spacing w:after="0"/>
              <w:rPr>
                <w:sz w:val="1"/>
                <w:szCs w:val="1"/>
                <w:color w:val="auto"/>
              </w:rPr>
            </w:pPr>
          </w:p>
        </w:tc>
      </w:tr>
      <w:tr>
        <w:trPr>
          <w:trHeight w:val="22"/>
        </w:trPr>
        <w:tc>
          <w:tcPr>
            <w:tcW w:w="720" w:type="dxa"/>
            <w:vAlign w:val="bottom"/>
            <w:tcBorders>
              <w:bottom w:val="single" w:sz="8" w:color="54585A"/>
            </w:tcBorders>
          </w:tcPr>
          <w:p>
            <w:pPr>
              <w:spacing w:after="0" w:line="20" w:lineRule="exact"/>
              <w:rPr>
                <w:sz w:val="1"/>
                <w:szCs w:val="1"/>
                <w:color w:val="auto"/>
              </w:rPr>
            </w:pPr>
          </w:p>
        </w:tc>
        <w:tc>
          <w:tcPr>
            <w:tcW w:w="2580" w:type="dxa"/>
            <w:vAlign w:val="bottom"/>
            <w:tcBorders>
              <w:bottom w:val="single" w:sz="8" w:color="54585A"/>
            </w:tcBorders>
          </w:tcPr>
          <w:p>
            <w:pPr>
              <w:spacing w:after="0" w:line="20" w:lineRule="exact"/>
              <w:rPr>
                <w:sz w:val="1"/>
                <w:szCs w:val="1"/>
                <w:color w:val="auto"/>
              </w:rPr>
            </w:pPr>
          </w:p>
        </w:tc>
        <w:tc>
          <w:tcPr>
            <w:tcW w:w="2520" w:type="dxa"/>
            <w:vAlign w:val="bottom"/>
            <w:tcBorders>
              <w:bottom w:val="single" w:sz="8" w:color="54585A"/>
            </w:tcBorders>
          </w:tcPr>
          <w:p>
            <w:pPr>
              <w:spacing w:after="0" w:line="20" w:lineRule="exact"/>
              <w:rPr>
                <w:sz w:val="1"/>
                <w:szCs w:val="1"/>
                <w:color w:val="auto"/>
              </w:rPr>
            </w:pPr>
          </w:p>
        </w:tc>
        <w:tc>
          <w:tcPr>
            <w:tcW w:w="2320" w:type="dxa"/>
            <w:vAlign w:val="bottom"/>
            <w:tcBorders>
              <w:bottom w:val="single" w:sz="8" w:color="54585A"/>
            </w:tcBorders>
          </w:tcPr>
          <w:p>
            <w:pPr>
              <w:spacing w:after="0" w:line="20" w:lineRule="exact"/>
              <w:rPr>
                <w:sz w:val="1"/>
                <w:szCs w:val="1"/>
                <w:color w:val="auto"/>
              </w:rPr>
            </w:pPr>
          </w:p>
        </w:tc>
        <w:tc>
          <w:tcPr>
            <w:tcW w:w="23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right="720" w:hanging="328"/>
        <w:spacing w:after="0" w:line="305" w:lineRule="auto"/>
        <w:tabs>
          <w:tab w:leader="none" w:pos="658" w:val="left"/>
        </w:tabs>
        <w:numPr>
          <w:ilvl w:val="0"/>
          <w:numId w:val="63"/>
        </w:numPr>
        <w:rPr>
          <w:rFonts w:ascii="Arial" w:cs="Arial" w:eastAsia="Arial" w:hAnsi="Arial"/>
          <w:sz w:val="14"/>
          <w:szCs w:val="14"/>
          <w:color w:val="54585A"/>
        </w:rPr>
      </w:pPr>
      <w:r>
        <w:rPr>
          <w:rFonts w:ascii="Arial" w:cs="Arial" w:eastAsia="Arial" w:hAnsi="Arial"/>
          <w:sz w:val="14"/>
          <w:szCs w:val="14"/>
          <w:color w:val="54585A"/>
        </w:rPr>
        <w:t>The grant date fair value of equity awards represents the total of the amounts reported in the “Stock Awards” and “Option Awards” columns in the Summary Compensation Table for the applicable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277495</wp:posOffset>
            </wp:positionV>
            <wp:extent cx="257175" cy="257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ind w:left="92" w:hanging="92"/>
        <w:spacing w:after="0"/>
        <w:tabs>
          <w:tab w:leader="none" w:pos="92" w:val="left"/>
        </w:tabs>
        <w:numPr>
          <w:ilvl w:val="0"/>
          <w:numId w:val="64"/>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13" w:lineRule="exact"/>
        <w:rPr>
          <w:rFonts w:ascii="Arial" w:cs="Arial" w:eastAsia="Arial" w:hAnsi="Arial"/>
          <w:sz w:val="18"/>
          <w:szCs w:val="18"/>
          <w:b w:val="1"/>
          <w:bCs w:val="1"/>
          <w:color w:val="EB6C10"/>
        </w:rPr>
      </w:pPr>
    </w:p>
    <w:p>
      <w:pPr>
        <w:ind w:left="652" w:right="60" w:hanging="328"/>
        <w:spacing w:after="0" w:line="266" w:lineRule="auto"/>
        <w:tabs>
          <w:tab w:leader="none" w:pos="650" w:val="left"/>
        </w:tabs>
        <w:numPr>
          <w:ilvl w:val="1"/>
          <w:numId w:val="64"/>
        </w:numPr>
        <w:rPr>
          <w:rFonts w:ascii="Arial" w:cs="Arial" w:eastAsia="Arial" w:hAnsi="Arial"/>
          <w:sz w:val="14"/>
          <w:szCs w:val="14"/>
          <w:color w:val="54585A"/>
        </w:rPr>
      </w:pPr>
      <w:r>
        <w:rPr>
          <w:rFonts w:ascii="Arial" w:cs="Arial" w:eastAsia="Arial" w:hAnsi="Arial"/>
          <w:sz w:val="14"/>
          <w:szCs w:val="14"/>
          <w:color w:val="54585A"/>
        </w:rPr>
        <w:t>The equity award adjustments for each applicable year include the addition (or subtraction, as applicable) of the following to the extent applicable: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and (iv) for awards granted in prior years that vest in the applicable year, the amount equal to the change as of the vesting date (from the end of the prior fiscal year) in fair value. The valuation assumptions used to calculate fair values did not materially differ from those disclosed at the time of grant.</w:t>
      </w:r>
    </w:p>
    <w:p>
      <w:pPr>
        <w:spacing w:after="0" w:line="76" w:lineRule="exact"/>
        <w:rPr>
          <w:rFonts w:ascii="Arial" w:cs="Arial" w:eastAsia="Arial" w:hAnsi="Arial"/>
          <w:sz w:val="14"/>
          <w:szCs w:val="14"/>
          <w:color w:val="54585A"/>
        </w:rPr>
      </w:pPr>
    </w:p>
    <w:p>
      <w:pPr>
        <w:ind w:left="652"/>
        <w:spacing w:after="0" w:line="273" w:lineRule="auto"/>
        <w:rPr>
          <w:rFonts w:ascii="Arial" w:cs="Arial" w:eastAsia="Arial" w:hAnsi="Arial"/>
          <w:sz w:val="14"/>
          <w:szCs w:val="14"/>
          <w:color w:val="54585A"/>
        </w:rPr>
      </w:pPr>
      <w:r>
        <w:rPr>
          <w:rFonts w:ascii="Arial" w:cs="Arial" w:eastAsia="Arial" w:hAnsi="Arial"/>
          <w:sz w:val="14"/>
          <w:szCs w:val="14"/>
          <w:color w:val="54585A"/>
        </w:rPr>
        <w:t>The amounts deducted or added in calculating the equity award adjustments are set forth below. Columns reporting fair value at the end of the prior year of equity awards that failed to meet vesting conditions in the year and value of dividends or other earnings paid on stock or option awards not otherwise reflected in fair value or total compensation are omitted, because they are not applicable.</w:t>
      </w:r>
    </w:p>
    <w:p>
      <w:pPr>
        <w:spacing w:after="0" w:line="162" w:lineRule="exact"/>
        <w:rPr>
          <w:sz w:val="20"/>
          <w:szCs w:val="20"/>
          <w:color w:val="auto"/>
        </w:rPr>
      </w:pPr>
    </w:p>
    <w:tbl>
      <w:tblPr>
        <w:tblLayout w:type="fixed"/>
        <w:tblInd w:w="652" w:type="dxa"/>
        <w:tblCellMar>
          <w:top w:w="0" w:type="dxa"/>
          <w:left w:w="0" w:type="dxa"/>
          <w:bottom w:w="0" w:type="dxa"/>
          <w:right w:w="0" w:type="dxa"/>
        </w:tblCellMar>
      </w:tblPr>
      <w:tr>
        <w:trPr>
          <w:trHeight w:val="193"/>
        </w:trPr>
        <w:tc>
          <w:tcPr>
            <w:tcW w:w="580" w:type="dxa"/>
            <w:vAlign w:val="bottom"/>
            <w:shd w:val="clear" w:color="auto" w:fill="EEEDED"/>
          </w:tcPr>
          <w:p>
            <w:pPr>
              <w:spacing w:after="0"/>
              <w:rPr>
                <w:sz w:val="16"/>
                <w:szCs w:val="16"/>
                <w:color w:val="auto"/>
              </w:rPr>
            </w:pPr>
          </w:p>
        </w:tc>
        <w:tc>
          <w:tcPr>
            <w:tcW w:w="2300" w:type="dxa"/>
            <w:vAlign w:val="bottom"/>
            <w:shd w:val="clear" w:color="auto" w:fill="EEEDED"/>
          </w:tcPr>
          <w:p>
            <w:pPr>
              <w:spacing w:after="0"/>
              <w:rPr>
                <w:sz w:val="16"/>
                <w:szCs w:val="16"/>
                <w:color w:val="auto"/>
              </w:rPr>
            </w:pPr>
          </w:p>
        </w:tc>
        <w:tc>
          <w:tcPr>
            <w:tcW w:w="1940" w:type="dxa"/>
            <w:vAlign w:val="bottom"/>
            <w:shd w:val="clear" w:color="auto" w:fill="EEEDED"/>
          </w:tcPr>
          <w:p>
            <w:pPr>
              <w:spacing w:after="0"/>
              <w:rPr>
                <w:sz w:val="16"/>
                <w:szCs w:val="16"/>
                <w:color w:val="auto"/>
              </w:rPr>
            </w:pPr>
          </w:p>
        </w:tc>
        <w:tc>
          <w:tcPr>
            <w:tcW w:w="1700" w:type="dxa"/>
            <w:vAlign w:val="bottom"/>
            <w:shd w:val="clear" w:color="auto" w:fill="EEEDED"/>
          </w:tcPr>
          <w:p>
            <w:pPr>
              <w:spacing w:after="0"/>
              <w:rPr>
                <w:sz w:val="16"/>
                <w:szCs w:val="16"/>
                <w:color w:val="auto"/>
              </w:rPr>
            </w:pP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Change in Fair Value from Last</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Total -</w:t>
            </w:r>
          </w:p>
        </w:tc>
      </w:tr>
      <w:tr>
        <w:trPr>
          <w:trHeight w:val="175"/>
        </w:trPr>
        <w:tc>
          <w:tcPr>
            <w:tcW w:w="580" w:type="dxa"/>
            <w:vAlign w:val="bottom"/>
            <w:shd w:val="clear" w:color="auto" w:fill="EEEDED"/>
          </w:tcPr>
          <w:p>
            <w:pPr>
              <w:spacing w:after="0"/>
              <w:rPr>
                <w:sz w:val="15"/>
                <w:szCs w:val="15"/>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Year-End Fair Value of Equity</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Change in Fair Value from</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Change in Fair Value of</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Day of Prior Year to Vesting</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Inclusion</w:t>
            </w:r>
          </w:p>
        </w:tc>
      </w:tr>
      <w:tr>
        <w:trPr>
          <w:trHeight w:val="176"/>
        </w:trPr>
        <w:tc>
          <w:tcPr>
            <w:tcW w:w="580" w:type="dxa"/>
            <w:vAlign w:val="bottom"/>
            <w:shd w:val="clear" w:color="auto" w:fill="EEEDED"/>
          </w:tcPr>
          <w:p>
            <w:pPr>
              <w:spacing w:after="0"/>
              <w:rPr>
                <w:sz w:val="15"/>
                <w:szCs w:val="15"/>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Awards Granted During Year</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Last Day of Prior Year to</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Equity Awards Granted</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Date of Unvested Equity</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of Equity</w:t>
            </w:r>
          </w:p>
        </w:tc>
      </w:tr>
      <w:tr>
        <w:trPr>
          <w:trHeight w:val="162"/>
        </w:trPr>
        <w:tc>
          <w:tcPr>
            <w:tcW w:w="580" w:type="dxa"/>
            <w:vAlign w:val="bottom"/>
            <w:shd w:val="clear" w:color="auto" w:fill="EEEDED"/>
          </w:tcPr>
          <w:p>
            <w:pPr>
              <w:spacing w:after="0"/>
              <w:rPr>
                <w:sz w:val="14"/>
                <w:szCs w:val="14"/>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That Remained Unvested as of</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Last Day of Year of</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and Vested in the same</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Awards that Vested During</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Values for Dr.</w:t>
            </w:r>
          </w:p>
        </w:tc>
      </w:tr>
      <w:tr>
        <w:trPr>
          <w:trHeight w:val="176"/>
        </w:trPr>
        <w:tc>
          <w:tcPr>
            <w:tcW w:w="580" w:type="dxa"/>
            <w:vAlign w:val="bottom"/>
            <w:shd w:val="clear" w:color="auto" w:fill="EEEDED"/>
          </w:tcPr>
          <w:p>
            <w:pPr>
              <w:spacing w:after="0"/>
              <w:rPr>
                <w:sz w:val="15"/>
                <w:szCs w:val="15"/>
                <w:color w:val="auto"/>
              </w:rPr>
            </w:pPr>
          </w:p>
        </w:tc>
        <w:tc>
          <w:tcPr>
            <w:tcW w:w="4240" w:type="dxa"/>
            <w:vAlign w:val="bottom"/>
            <w:gridSpan w:val="2"/>
            <w:shd w:val="clear" w:color="auto" w:fill="EEEDED"/>
          </w:tcPr>
          <w:p>
            <w:pPr>
              <w:jc w:val="right"/>
              <w:spacing w:after="0"/>
              <w:rPr>
                <w:sz w:val="20"/>
                <w:szCs w:val="20"/>
                <w:color w:val="auto"/>
              </w:rPr>
            </w:pPr>
            <w:r>
              <w:rPr>
                <w:rFonts w:ascii="Arial" w:cs="Arial" w:eastAsia="Arial" w:hAnsi="Arial"/>
                <w:sz w:val="14"/>
                <w:szCs w:val="14"/>
                <w:b w:val="1"/>
                <w:bCs w:val="1"/>
                <w:color w:val="54585A"/>
              </w:rPr>
              <w:t>Last Day of Year for Unvested Equity Awards for</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Covered Year for</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Year for</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Paul E.</w:t>
            </w:r>
          </w:p>
        </w:tc>
      </w:tr>
      <w:tr>
        <w:trPr>
          <w:trHeight w:val="175"/>
        </w:trPr>
        <w:tc>
          <w:tcPr>
            <w:tcW w:w="580" w:type="dxa"/>
            <w:vAlign w:val="bottom"/>
            <w:shd w:val="clear" w:color="auto" w:fill="EEEDED"/>
          </w:tcPr>
          <w:p>
            <w:pPr>
              <w:spacing w:after="0"/>
              <w:rPr>
                <w:sz w:val="15"/>
                <w:szCs w:val="15"/>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Dr. Paul E. Jacobs</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Dr. Paul E. Jacobs</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Dr. Paul E. Jacobs</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Dr. Paul E. Jacobs</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Jacobs</w:t>
            </w:r>
          </w:p>
        </w:tc>
      </w:tr>
      <w:tr>
        <w:trPr>
          <w:trHeight w:val="196"/>
        </w:trPr>
        <w:tc>
          <w:tcPr>
            <w:tcW w:w="580" w:type="dxa"/>
            <w:vAlign w:val="bottom"/>
            <w:shd w:val="clear" w:color="auto" w:fill="EEEDED"/>
          </w:tcPr>
          <w:p>
            <w:pPr>
              <w:ind w:left="140"/>
              <w:spacing w:after="0"/>
              <w:rPr>
                <w:sz w:val="20"/>
                <w:szCs w:val="20"/>
                <w:color w:val="auto"/>
              </w:rPr>
            </w:pPr>
            <w:r>
              <w:rPr>
                <w:rFonts w:ascii="Arial" w:cs="Arial" w:eastAsia="Arial" w:hAnsi="Arial"/>
                <w:sz w:val="14"/>
                <w:szCs w:val="14"/>
                <w:b w:val="1"/>
                <w:bCs w:val="1"/>
                <w:color w:val="54585A"/>
              </w:rPr>
              <w:t>Year</w:t>
            </w: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110"/>
        </w:trPr>
        <w:tc>
          <w:tcPr>
            <w:tcW w:w="580" w:type="dxa"/>
            <w:vAlign w:val="bottom"/>
            <w:shd w:val="clear" w:color="auto" w:fill="EEEDED"/>
          </w:tcPr>
          <w:p>
            <w:pPr>
              <w:spacing w:after="0"/>
              <w:rPr>
                <w:sz w:val="9"/>
                <w:szCs w:val="9"/>
                <w:color w:val="auto"/>
              </w:rPr>
            </w:pPr>
          </w:p>
        </w:tc>
        <w:tc>
          <w:tcPr>
            <w:tcW w:w="2300" w:type="dxa"/>
            <w:vAlign w:val="bottom"/>
            <w:shd w:val="clear" w:color="auto" w:fill="EEEDED"/>
          </w:tcPr>
          <w:p>
            <w:pPr>
              <w:spacing w:after="0"/>
              <w:rPr>
                <w:sz w:val="9"/>
                <w:szCs w:val="9"/>
                <w:color w:val="auto"/>
              </w:rPr>
            </w:pPr>
          </w:p>
        </w:tc>
        <w:tc>
          <w:tcPr>
            <w:tcW w:w="1940" w:type="dxa"/>
            <w:vAlign w:val="bottom"/>
            <w:shd w:val="clear" w:color="auto" w:fill="EEEDED"/>
          </w:tcPr>
          <w:p>
            <w:pPr>
              <w:spacing w:after="0"/>
              <w:rPr>
                <w:sz w:val="9"/>
                <w:szCs w:val="9"/>
                <w:color w:val="auto"/>
              </w:rPr>
            </w:pPr>
          </w:p>
        </w:tc>
        <w:tc>
          <w:tcPr>
            <w:tcW w:w="1700" w:type="dxa"/>
            <w:vAlign w:val="bottom"/>
            <w:shd w:val="clear" w:color="auto" w:fill="EEEDED"/>
          </w:tcPr>
          <w:p>
            <w:pPr>
              <w:spacing w:after="0"/>
              <w:rPr>
                <w:sz w:val="9"/>
                <w:szCs w:val="9"/>
                <w:color w:val="auto"/>
              </w:rPr>
            </w:pPr>
          </w:p>
        </w:tc>
        <w:tc>
          <w:tcPr>
            <w:tcW w:w="2180" w:type="dxa"/>
            <w:vAlign w:val="bottom"/>
            <w:shd w:val="clear" w:color="auto" w:fill="EEEDED"/>
          </w:tcPr>
          <w:p>
            <w:pPr>
              <w:spacing w:after="0"/>
              <w:rPr>
                <w:sz w:val="9"/>
                <w:szCs w:val="9"/>
                <w:color w:val="auto"/>
              </w:rPr>
            </w:pPr>
          </w:p>
        </w:tc>
        <w:tc>
          <w:tcPr>
            <w:tcW w:w="1140" w:type="dxa"/>
            <w:vAlign w:val="bottom"/>
            <w:shd w:val="clear" w:color="auto" w:fill="EEEDED"/>
          </w:tcPr>
          <w:p>
            <w:pPr>
              <w:spacing w:after="0"/>
              <w:rPr>
                <w:sz w:val="9"/>
                <w:szCs w:val="9"/>
                <w:color w:val="auto"/>
              </w:rPr>
            </w:pPr>
          </w:p>
        </w:tc>
      </w:tr>
      <w:tr>
        <w:trPr>
          <w:trHeight w:val="208"/>
        </w:trPr>
        <w:tc>
          <w:tcPr>
            <w:tcW w:w="580" w:type="dxa"/>
            <w:vAlign w:val="bottom"/>
          </w:tcPr>
          <w:p>
            <w:pPr>
              <w:ind w:left="140"/>
              <w:spacing w:after="0"/>
              <w:rPr>
                <w:sz w:val="20"/>
                <w:szCs w:val="20"/>
                <w:color w:val="auto"/>
              </w:rPr>
            </w:pPr>
            <w:r>
              <w:rPr>
                <w:rFonts w:ascii="Arial" w:cs="Arial" w:eastAsia="Arial" w:hAnsi="Arial"/>
                <w:sz w:val="14"/>
                <w:szCs w:val="14"/>
                <w:color w:val="54585A"/>
              </w:rPr>
              <w:t>2024</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w:t>
            </w:r>
          </w:p>
        </w:tc>
        <w:tc>
          <w:tcPr>
            <w:tcW w:w="1940" w:type="dxa"/>
            <w:vAlign w:val="bottom"/>
          </w:tcPr>
          <w:p>
            <w:pPr>
              <w:jc w:val="right"/>
              <w:ind w:right="48"/>
              <w:spacing w:after="0"/>
              <w:rPr>
                <w:sz w:val="20"/>
                <w:szCs w:val="20"/>
                <w:color w:val="auto"/>
              </w:rPr>
            </w:pPr>
            <w:r>
              <w:rPr>
                <w:rFonts w:ascii="Arial" w:cs="Arial" w:eastAsia="Arial" w:hAnsi="Arial"/>
                <w:sz w:val="14"/>
                <w:szCs w:val="14"/>
                <w:color w:val="54585A"/>
              </w:rPr>
              <w:t>1,015,344</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170,000</w:t>
            </w:r>
          </w:p>
        </w:tc>
        <w:tc>
          <w:tcPr>
            <w:tcW w:w="218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54585A"/>
              </w:rPr>
              <w:t>1,185,344</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r>
        <w:trPr>
          <w:trHeight w:val="201"/>
        </w:trPr>
        <w:tc>
          <w:tcPr>
            <w:tcW w:w="580" w:type="dxa"/>
            <w:vAlign w:val="bottom"/>
          </w:tcPr>
          <w:p>
            <w:pPr>
              <w:ind w:left="140"/>
              <w:spacing w:after="0"/>
              <w:rPr>
                <w:sz w:val="20"/>
                <w:szCs w:val="20"/>
                <w:color w:val="auto"/>
              </w:rPr>
            </w:pPr>
            <w:r>
              <w:rPr>
                <w:rFonts w:ascii="Arial" w:cs="Arial" w:eastAsia="Arial" w:hAnsi="Arial"/>
                <w:sz w:val="14"/>
                <w:szCs w:val="14"/>
                <w:color w:val="54585A"/>
              </w:rPr>
              <w:t>2023</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53,997,274</w:t>
            </w:r>
          </w:p>
        </w:tc>
        <w:tc>
          <w:tcPr>
            <w:tcW w:w="194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w:t>
            </w:r>
          </w:p>
        </w:tc>
        <w:tc>
          <w:tcPr>
            <w:tcW w:w="218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54585A"/>
              </w:rPr>
              <w:t>53,997,274</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3"/>
        </w:trPr>
        <w:tc>
          <w:tcPr>
            <w:tcW w:w="580" w:type="dxa"/>
            <w:vAlign w:val="bottom"/>
            <w:shd w:val="clear" w:color="auto" w:fill="EEEDED"/>
          </w:tcPr>
          <w:p>
            <w:pPr>
              <w:spacing w:after="0"/>
              <w:rPr>
                <w:sz w:val="16"/>
                <w:szCs w:val="16"/>
                <w:color w:val="auto"/>
              </w:rPr>
            </w:pPr>
          </w:p>
        </w:tc>
        <w:tc>
          <w:tcPr>
            <w:tcW w:w="2300" w:type="dxa"/>
            <w:vAlign w:val="bottom"/>
            <w:shd w:val="clear" w:color="auto" w:fill="EEEDED"/>
          </w:tcPr>
          <w:p>
            <w:pPr>
              <w:spacing w:after="0"/>
              <w:rPr>
                <w:sz w:val="16"/>
                <w:szCs w:val="16"/>
                <w:color w:val="auto"/>
              </w:rPr>
            </w:pPr>
          </w:p>
        </w:tc>
        <w:tc>
          <w:tcPr>
            <w:tcW w:w="1940" w:type="dxa"/>
            <w:vAlign w:val="bottom"/>
            <w:shd w:val="clear" w:color="auto" w:fill="EEEDED"/>
          </w:tcPr>
          <w:p>
            <w:pPr>
              <w:spacing w:after="0"/>
              <w:rPr>
                <w:sz w:val="16"/>
                <w:szCs w:val="16"/>
                <w:color w:val="auto"/>
              </w:rPr>
            </w:pPr>
          </w:p>
        </w:tc>
        <w:tc>
          <w:tcPr>
            <w:tcW w:w="1700" w:type="dxa"/>
            <w:vAlign w:val="bottom"/>
            <w:shd w:val="clear" w:color="auto" w:fill="EEEDED"/>
          </w:tcPr>
          <w:p>
            <w:pPr>
              <w:spacing w:after="0"/>
              <w:rPr>
                <w:sz w:val="16"/>
                <w:szCs w:val="16"/>
                <w:color w:val="auto"/>
              </w:rPr>
            </w:pP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Change in Fair Value from Last</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Total -</w:t>
            </w:r>
          </w:p>
        </w:tc>
      </w:tr>
      <w:tr>
        <w:trPr>
          <w:trHeight w:val="162"/>
        </w:trPr>
        <w:tc>
          <w:tcPr>
            <w:tcW w:w="580" w:type="dxa"/>
            <w:vAlign w:val="bottom"/>
            <w:shd w:val="clear" w:color="auto" w:fill="EEEDED"/>
          </w:tcPr>
          <w:p>
            <w:pPr>
              <w:spacing w:after="0"/>
              <w:rPr>
                <w:sz w:val="14"/>
                <w:szCs w:val="14"/>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Year-End Fair Value of Equity</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Change in Fair Value from</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Change in Fair Value of</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Day of Prior Year to Vesting</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Inclusion</w:t>
            </w:r>
          </w:p>
        </w:tc>
      </w:tr>
      <w:tr>
        <w:trPr>
          <w:trHeight w:val="175"/>
        </w:trPr>
        <w:tc>
          <w:tcPr>
            <w:tcW w:w="580" w:type="dxa"/>
            <w:vAlign w:val="bottom"/>
            <w:shd w:val="clear" w:color="auto" w:fill="EEEDED"/>
          </w:tcPr>
          <w:p>
            <w:pPr>
              <w:spacing w:after="0"/>
              <w:rPr>
                <w:sz w:val="15"/>
                <w:szCs w:val="15"/>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Awards Granted During Year</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Last Day of Prior Year to</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Equity Awards Granted</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Date of Unvested Equity</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of Equity</w:t>
            </w:r>
          </w:p>
        </w:tc>
      </w:tr>
      <w:tr>
        <w:trPr>
          <w:trHeight w:val="176"/>
        </w:trPr>
        <w:tc>
          <w:tcPr>
            <w:tcW w:w="580" w:type="dxa"/>
            <w:vAlign w:val="bottom"/>
            <w:shd w:val="clear" w:color="auto" w:fill="EEEDED"/>
          </w:tcPr>
          <w:p>
            <w:pPr>
              <w:spacing w:after="0"/>
              <w:rPr>
                <w:sz w:val="15"/>
                <w:szCs w:val="15"/>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That Remained Unvested as of</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Last Day of Year of</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and Vested in the same</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Awards that Vested During</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Values for</w:t>
            </w:r>
          </w:p>
        </w:tc>
      </w:tr>
      <w:tr>
        <w:trPr>
          <w:trHeight w:val="175"/>
        </w:trPr>
        <w:tc>
          <w:tcPr>
            <w:tcW w:w="580" w:type="dxa"/>
            <w:vAlign w:val="bottom"/>
            <w:shd w:val="clear" w:color="auto" w:fill="EEEDED"/>
          </w:tcPr>
          <w:p>
            <w:pPr>
              <w:spacing w:after="0"/>
              <w:rPr>
                <w:sz w:val="15"/>
                <w:szCs w:val="15"/>
                <w:color w:val="auto"/>
              </w:rPr>
            </w:pPr>
          </w:p>
        </w:tc>
        <w:tc>
          <w:tcPr>
            <w:tcW w:w="4240" w:type="dxa"/>
            <w:vAlign w:val="bottom"/>
            <w:gridSpan w:val="2"/>
            <w:shd w:val="clear" w:color="auto" w:fill="EEEDED"/>
          </w:tcPr>
          <w:p>
            <w:pPr>
              <w:jc w:val="right"/>
              <w:spacing w:after="0"/>
              <w:rPr>
                <w:sz w:val="20"/>
                <w:szCs w:val="20"/>
                <w:color w:val="auto"/>
              </w:rPr>
            </w:pPr>
            <w:r>
              <w:rPr>
                <w:rFonts w:ascii="Arial" w:cs="Arial" w:eastAsia="Arial" w:hAnsi="Arial"/>
                <w:sz w:val="14"/>
                <w:szCs w:val="14"/>
                <w:b w:val="1"/>
                <w:bCs w:val="1"/>
                <w:color w:val="54585A"/>
              </w:rPr>
              <w:t>Last Day of Year for Unvested Equity Awards for</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Covered Year for</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Year for</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David B.</w:t>
            </w:r>
          </w:p>
        </w:tc>
      </w:tr>
      <w:tr>
        <w:trPr>
          <w:trHeight w:val="176"/>
        </w:trPr>
        <w:tc>
          <w:tcPr>
            <w:tcW w:w="580" w:type="dxa"/>
            <w:vAlign w:val="bottom"/>
            <w:shd w:val="clear" w:color="auto" w:fill="EEEDED"/>
          </w:tcPr>
          <w:p>
            <w:pPr>
              <w:spacing w:after="0"/>
              <w:rPr>
                <w:sz w:val="15"/>
                <w:szCs w:val="15"/>
                <w:color w:val="auto"/>
              </w:rPr>
            </w:pP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David B. Kagan</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David B. Kagan</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David B. Kagan</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David B. Kagan</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Kagan</w:t>
            </w:r>
          </w:p>
        </w:tc>
      </w:tr>
      <w:tr>
        <w:trPr>
          <w:trHeight w:val="196"/>
        </w:trPr>
        <w:tc>
          <w:tcPr>
            <w:tcW w:w="580" w:type="dxa"/>
            <w:vAlign w:val="bottom"/>
            <w:shd w:val="clear" w:color="auto" w:fill="EEEDED"/>
          </w:tcPr>
          <w:p>
            <w:pPr>
              <w:ind w:left="140"/>
              <w:spacing w:after="0"/>
              <w:rPr>
                <w:sz w:val="20"/>
                <w:szCs w:val="20"/>
                <w:color w:val="auto"/>
              </w:rPr>
            </w:pPr>
            <w:r>
              <w:rPr>
                <w:rFonts w:ascii="Arial" w:cs="Arial" w:eastAsia="Arial" w:hAnsi="Arial"/>
                <w:sz w:val="14"/>
                <w:szCs w:val="14"/>
                <w:b w:val="1"/>
                <w:bCs w:val="1"/>
                <w:color w:val="54585A"/>
              </w:rPr>
              <w:t>Year</w:t>
            </w:r>
          </w:p>
        </w:tc>
        <w:tc>
          <w:tcPr>
            <w:tcW w:w="230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17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21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11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110"/>
        </w:trPr>
        <w:tc>
          <w:tcPr>
            <w:tcW w:w="580" w:type="dxa"/>
            <w:vAlign w:val="bottom"/>
            <w:shd w:val="clear" w:color="auto" w:fill="EEEDED"/>
          </w:tcPr>
          <w:p>
            <w:pPr>
              <w:spacing w:after="0"/>
              <w:rPr>
                <w:sz w:val="9"/>
                <w:szCs w:val="9"/>
                <w:color w:val="auto"/>
              </w:rPr>
            </w:pPr>
          </w:p>
        </w:tc>
        <w:tc>
          <w:tcPr>
            <w:tcW w:w="2300" w:type="dxa"/>
            <w:vAlign w:val="bottom"/>
            <w:shd w:val="clear" w:color="auto" w:fill="EEEDED"/>
          </w:tcPr>
          <w:p>
            <w:pPr>
              <w:spacing w:after="0"/>
              <w:rPr>
                <w:sz w:val="9"/>
                <w:szCs w:val="9"/>
                <w:color w:val="auto"/>
              </w:rPr>
            </w:pPr>
          </w:p>
        </w:tc>
        <w:tc>
          <w:tcPr>
            <w:tcW w:w="1940" w:type="dxa"/>
            <w:vAlign w:val="bottom"/>
            <w:shd w:val="clear" w:color="auto" w:fill="EEEDED"/>
          </w:tcPr>
          <w:p>
            <w:pPr>
              <w:spacing w:after="0"/>
              <w:rPr>
                <w:sz w:val="9"/>
                <w:szCs w:val="9"/>
                <w:color w:val="auto"/>
              </w:rPr>
            </w:pPr>
          </w:p>
        </w:tc>
        <w:tc>
          <w:tcPr>
            <w:tcW w:w="1700" w:type="dxa"/>
            <w:vAlign w:val="bottom"/>
            <w:shd w:val="clear" w:color="auto" w:fill="EEEDED"/>
          </w:tcPr>
          <w:p>
            <w:pPr>
              <w:spacing w:after="0"/>
              <w:rPr>
                <w:sz w:val="9"/>
                <w:szCs w:val="9"/>
                <w:color w:val="auto"/>
              </w:rPr>
            </w:pPr>
          </w:p>
        </w:tc>
        <w:tc>
          <w:tcPr>
            <w:tcW w:w="2180" w:type="dxa"/>
            <w:vAlign w:val="bottom"/>
            <w:shd w:val="clear" w:color="auto" w:fill="EEEDED"/>
          </w:tcPr>
          <w:p>
            <w:pPr>
              <w:spacing w:after="0"/>
              <w:rPr>
                <w:sz w:val="9"/>
                <w:szCs w:val="9"/>
                <w:color w:val="auto"/>
              </w:rPr>
            </w:pPr>
          </w:p>
        </w:tc>
        <w:tc>
          <w:tcPr>
            <w:tcW w:w="1140" w:type="dxa"/>
            <w:vAlign w:val="bottom"/>
            <w:shd w:val="clear" w:color="auto" w:fill="EEEDED"/>
          </w:tcPr>
          <w:p>
            <w:pPr>
              <w:spacing w:after="0"/>
              <w:rPr>
                <w:sz w:val="9"/>
                <w:szCs w:val="9"/>
                <w:color w:val="auto"/>
              </w:rPr>
            </w:pPr>
          </w:p>
        </w:tc>
      </w:tr>
      <w:tr>
        <w:trPr>
          <w:trHeight w:val="208"/>
        </w:trPr>
        <w:tc>
          <w:tcPr>
            <w:tcW w:w="580" w:type="dxa"/>
            <w:vAlign w:val="bottom"/>
          </w:tcPr>
          <w:p>
            <w:pPr>
              <w:ind w:left="140"/>
              <w:spacing w:after="0"/>
              <w:rPr>
                <w:sz w:val="20"/>
                <w:szCs w:val="20"/>
                <w:color w:val="auto"/>
              </w:rPr>
            </w:pPr>
            <w:r>
              <w:rPr>
                <w:rFonts w:ascii="Arial" w:cs="Arial" w:eastAsia="Arial" w:hAnsi="Arial"/>
                <w:sz w:val="14"/>
                <w:szCs w:val="14"/>
                <w:color w:val="54585A"/>
              </w:rPr>
              <w:t>2024</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w:t>
            </w:r>
          </w:p>
        </w:tc>
        <w:tc>
          <w:tcPr>
            <w:tcW w:w="1940" w:type="dxa"/>
            <w:vAlign w:val="bottom"/>
          </w:tcPr>
          <w:p>
            <w:pPr>
              <w:jc w:val="right"/>
              <w:ind w:right="48"/>
              <w:spacing w:after="0"/>
              <w:rPr>
                <w:sz w:val="20"/>
                <w:szCs w:val="20"/>
                <w:color w:val="auto"/>
              </w:rPr>
            </w:pPr>
            <w:r>
              <w:rPr>
                <w:rFonts w:ascii="Arial" w:cs="Arial" w:eastAsia="Arial" w:hAnsi="Arial"/>
                <w:sz w:val="14"/>
                <w:szCs w:val="14"/>
                <w:color w:val="54585A"/>
              </w:rPr>
              <w:t>—</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w:t>
            </w:r>
          </w:p>
        </w:tc>
        <w:tc>
          <w:tcPr>
            <w:tcW w:w="218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54585A"/>
              </w:rPr>
              <w:t>—</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r>
        <w:trPr>
          <w:trHeight w:val="201"/>
        </w:trPr>
        <w:tc>
          <w:tcPr>
            <w:tcW w:w="580" w:type="dxa"/>
            <w:vAlign w:val="bottom"/>
          </w:tcPr>
          <w:p>
            <w:pPr>
              <w:ind w:left="140"/>
              <w:spacing w:after="0"/>
              <w:rPr>
                <w:sz w:val="20"/>
                <w:szCs w:val="20"/>
                <w:color w:val="auto"/>
              </w:rPr>
            </w:pPr>
            <w:r>
              <w:rPr>
                <w:rFonts w:ascii="Arial" w:cs="Arial" w:eastAsia="Arial" w:hAnsi="Arial"/>
                <w:sz w:val="14"/>
                <w:szCs w:val="14"/>
                <w:color w:val="54585A"/>
              </w:rPr>
              <w:t>2023</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w:t>
            </w:r>
          </w:p>
        </w:tc>
        <w:tc>
          <w:tcPr>
            <w:tcW w:w="1940" w:type="dxa"/>
            <w:vAlign w:val="bottom"/>
          </w:tcPr>
          <w:p>
            <w:pPr>
              <w:jc w:val="right"/>
              <w:ind w:right="48"/>
              <w:spacing w:after="0"/>
              <w:rPr>
                <w:sz w:val="20"/>
                <w:szCs w:val="20"/>
                <w:color w:val="auto"/>
              </w:rPr>
            </w:pPr>
            <w:r>
              <w:rPr>
                <w:rFonts w:ascii="Arial" w:cs="Arial" w:eastAsia="Arial" w:hAnsi="Arial"/>
                <w:sz w:val="14"/>
                <w:szCs w:val="14"/>
                <w:color w:val="54585A"/>
              </w:rPr>
              <w:t>98,075</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120,000</w:t>
            </w:r>
          </w:p>
        </w:tc>
        <w:tc>
          <w:tcPr>
            <w:tcW w:w="2180" w:type="dxa"/>
            <w:vAlign w:val="bottom"/>
          </w:tcPr>
          <w:p>
            <w:pPr>
              <w:jc w:val="right"/>
              <w:spacing w:after="0"/>
              <w:rPr>
                <w:sz w:val="20"/>
                <w:szCs w:val="20"/>
                <w:color w:val="auto"/>
              </w:rPr>
            </w:pPr>
            <w:r>
              <w:rPr>
                <w:rFonts w:ascii="Arial" w:cs="Arial" w:eastAsia="Arial" w:hAnsi="Arial"/>
                <w:sz w:val="14"/>
                <w:szCs w:val="14"/>
                <w:color w:val="54585A"/>
              </w:rPr>
              <w:t>(136,453)</w:t>
            </w:r>
          </w:p>
        </w:tc>
        <w:tc>
          <w:tcPr>
            <w:tcW w:w="1140" w:type="dxa"/>
            <w:vAlign w:val="bottom"/>
          </w:tcPr>
          <w:p>
            <w:pPr>
              <w:jc w:val="right"/>
              <w:ind w:right="128"/>
              <w:spacing w:after="0"/>
              <w:rPr>
                <w:sz w:val="20"/>
                <w:szCs w:val="20"/>
                <w:color w:val="auto"/>
              </w:rPr>
            </w:pPr>
            <w:r>
              <w:rPr>
                <w:rFonts w:ascii="Arial" w:cs="Arial" w:eastAsia="Arial" w:hAnsi="Arial"/>
                <w:sz w:val="14"/>
                <w:szCs w:val="14"/>
                <w:color w:val="54585A"/>
              </w:rPr>
              <w:t>81,622</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r>
        <w:trPr>
          <w:trHeight w:val="201"/>
        </w:trPr>
        <w:tc>
          <w:tcPr>
            <w:tcW w:w="580" w:type="dxa"/>
            <w:vAlign w:val="bottom"/>
          </w:tcPr>
          <w:p>
            <w:pPr>
              <w:ind w:left="140"/>
              <w:spacing w:after="0"/>
              <w:rPr>
                <w:sz w:val="20"/>
                <w:szCs w:val="20"/>
                <w:color w:val="auto"/>
              </w:rPr>
            </w:pPr>
            <w:r>
              <w:rPr>
                <w:rFonts w:ascii="Arial" w:cs="Arial" w:eastAsia="Arial" w:hAnsi="Arial"/>
                <w:sz w:val="14"/>
                <w:szCs w:val="14"/>
                <w:color w:val="54585A"/>
              </w:rPr>
              <w:t>2022</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203,940</w:t>
            </w:r>
          </w:p>
        </w:tc>
        <w:tc>
          <w:tcPr>
            <w:tcW w:w="1940" w:type="dxa"/>
            <w:vAlign w:val="bottom"/>
          </w:tcPr>
          <w:p>
            <w:pPr>
              <w:jc w:val="right"/>
              <w:ind w:right="48"/>
              <w:spacing w:after="0"/>
              <w:rPr>
                <w:sz w:val="20"/>
                <w:szCs w:val="20"/>
                <w:color w:val="auto"/>
              </w:rPr>
            </w:pPr>
            <w:r>
              <w:rPr>
                <w:rFonts w:ascii="Arial" w:cs="Arial" w:eastAsia="Arial" w:hAnsi="Arial"/>
                <w:sz w:val="14"/>
                <w:szCs w:val="14"/>
                <w:color w:val="54585A"/>
              </w:rPr>
              <w:t>310,726</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w:t>
            </w:r>
          </w:p>
        </w:tc>
        <w:tc>
          <w:tcPr>
            <w:tcW w:w="2180" w:type="dxa"/>
            <w:vAlign w:val="bottom"/>
          </w:tcPr>
          <w:p>
            <w:pPr>
              <w:jc w:val="right"/>
              <w:ind w:right="28"/>
              <w:spacing w:after="0"/>
              <w:rPr>
                <w:sz w:val="20"/>
                <w:szCs w:val="20"/>
                <w:color w:val="auto"/>
              </w:rPr>
            </w:pPr>
            <w:r>
              <w:rPr>
                <w:rFonts w:ascii="Arial" w:cs="Arial" w:eastAsia="Arial" w:hAnsi="Arial"/>
                <w:sz w:val="14"/>
                <w:szCs w:val="14"/>
                <w:color w:val="54585A"/>
              </w:rPr>
              <w:t>174,533</w:t>
            </w:r>
          </w:p>
        </w:tc>
        <w:tc>
          <w:tcPr>
            <w:tcW w:w="1140" w:type="dxa"/>
            <w:vAlign w:val="bottom"/>
          </w:tcPr>
          <w:p>
            <w:pPr>
              <w:jc w:val="right"/>
              <w:ind w:right="128"/>
              <w:spacing w:after="0"/>
              <w:rPr>
                <w:sz w:val="20"/>
                <w:szCs w:val="20"/>
                <w:color w:val="auto"/>
              </w:rPr>
            </w:pPr>
            <w:r>
              <w:rPr>
                <w:rFonts w:ascii="Arial" w:cs="Arial" w:eastAsia="Arial" w:hAnsi="Arial"/>
                <w:sz w:val="14"/>
                <w:szCs w:val="14"/>
                <w:color w:val="54585A"/>
              </w:rPr>
              <w:t>689,199</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r>
        <w:trPr>
          <w:trHeight w:val="202"/>
        </w:trPr>
        <w:tc>
          <w:tcPr>
            <w:tcW w:w="580" w:type="dxa"/>
            <w:vAlign w:val="bottom"/>
          </w:tcPr>
          <w:p>
            <w:pPr>
              <w:ind w:left="140"/>
              <w:spacing w:after="0"/>
              <w:rPr>
                <w:sz w:val="20"/>
                <w:szCs w:val="20"/>
                <w:color w:val="auto"/>
              </w:rPr>
            </w:pPr>
            <w:r>
              <w:rPr>
                <w:rFonts w:ascii="Arial" w:cs="Arial" w:eastAsia="Arial" w:hAnsi="Arial"/>
                <w:sz w:val="14"/>
                <w:szCs w:val="14"/>
                <w:color w:val="54585A"/>
              </w:rPr>
              <w:t>2021</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139,200</w:t>
            </w:r>
          </w:p>
        </w:tc>
        <w:tc>
          <w:tcPr>
            <w:tcW w:w="1940" w:type="dxa"/>
            <w:vAlign w:val="bottom"/>
          </w:tcPr>
          <w:p>
            <w:pPr>
              <w:jc w:val="right"/>
              <w:ind w:right="48"/>
              <w:spacing w:after="0"/>
              <w:rPr>
                <w:sz w:val="20"/>
                <w:szCs w:val="20"/>
                <w:color w:val="auto"/>
              </w:rPr>
            </w:pPr>
            <w:r>
              <w:rPr>
                <w:rFonts w:ascii="Arial" w:cs="Arial" w:eastAsia="Arial" w:hAnsi="Arial"/>
                <w:sz w:val="14"/>
                <w:szCs w:val="14"/>
                <w:color w:val="54585A"/>
              </w:rPr>
              <w:t>1,852,132</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144,999</w:t>
            </w:r>
          </w:p>
        </w:tc>
        <w:tc>
          <w:tcPr>
            <w:tcW w:w="2180" w:type="dxa"/>
            <w:vAlign w:val="bottom"/>
          </w:tcPr>
          <w:p>
            <w:pPr>
              <w:jc w:val="right"/>
              <w:ind w:right="28"/>
              <w:spacing w:after="0"/>
              <w:rPr>
                <w:sz w:val="20"/>
                <w:szCs w:val="20"/>
                <w:color w:val="auto"/>
              </w:rPr>
            </w:pPr>
            <w:r>
              <w:rPr>
                <w:rFonts w:ascii="Arial" w:cs="Arial" w:eastAsia="Arial" w:hAnsi="Arial"/>
                <w:sz w:val="14"/>
                <w:szCs w:val="14"/>
                <w:color w:val="54585A"/>
              </w:rPr>
              <w:t>1,476,228</w:t>
            </w:r>
          </w:p>
        </w:tc>
        <w:tc>
          <w:tcPr>
            <w:tcW w:w="1140" w:type="dxa"/>
            <w:vAlign w:val="bottom"/>
          </w:tcPr>
          <w:p>
            <w:pPr>
              <w:jc w:val="right"/>
              <w:ind w:right="128"/>
              <w:spacing w:after="0"/>
              <w:rPr>
                <w:sz w:val="20"/>
                <w:szCs w:val="20"/>
                <w:color w:val="auto"/>
              </w:rPr>
            </w:pPr>
            <w:r>
              <w:rPr>
                <w:rFonts w:ascii="Arial" w:cs="Arial" w:eastAsia="Arial" w:hAnsi="Arial"/>
                <w:sz w:val="14"/>
                <w:szCs w:val="14"/>
                <w:color w:val="54585A"/>
              </w:rPr>
              <w:t>3,612,559</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r>
        <w:trPr>
          <w:trHeight w:val="201"/>
        </w:trPr>
        <w:tc>
          <w:tcPr>
            <w:tcW w:w="580" w:type="dxa"/>
            <w:vAlign w:val="bottom"/>
          </w:tcPr>
          <w:p>
            <w:pPr>
              <w:ind w:left="140"/>
              <w:spacing w:after="0"/>
              <w:rPr>
                <w:sz w:val="20"/>
                <w:szCs w:val="20"/>
                <w:color w:val="auto"/>
              </w:rPr>
            </w:pPr>
            <w:r>
              <w:rPr>
                <w:rFonts w:ascii="Arial" w:cs="Arial" w:eastAsia="Arial" w:hAnsi="Arial"/>
                <w:sz w:val="14"/>
                <w:szCs w:val="14"/>
                <w:color w:val="54585A"/>
              </w:rPr>
              <w:t>2020</w:t>
            </w:r>
          </w:p>
        </w:tc>
        <w:tc>
          <w:tcPr>
            <w:tcW w:w="2300" w:type="dxa"/>
            <w:vAlign w:val="bottom"/>
          </w:tcPr>
          <w:p>
            <w:pPr>
              <w:jc w:val="right"/>
              <w:ind w:right="88"/>
              <w:spacing w:after="0"/>
              <w:rPr>
                <w:sz w:val="20"/>
                <w:szCs w:val="20"/>
                <w:color w:val="auto"/>
              </w:rPr>
            </w:pPr>
            <w:r>
              <w:rPr>
                <w:rFonts w:ascii="Arial" w:cs="Arial" w:eastAsia="Arial" w:hAnsi="Arial"/>
                <w:sz w:val="14"/>
                <w:szCs w:val="14"/>
                <w:color w:val="54585A"/>
              </w:rPr>
              <w:t>27,201</w:t>
            </w:r>
          </w:p>
        </w:tc>
        <w:tc>
          <w:tcPr>
            <w:tcW w:w="1940" w:type="dxa"/>
            <w:vAlign w:val="bottom"/>
          </w:tcPr>
          <w:p>
            <w:pPr>
              <w:jc w:val="right"/>
              <w:ind w:right="8"/>
              <w:spacing w:after="0"/>
              <w:rPr>
                <w:sz w:val="20"/>
                <w:szCs w:val="20"/>
                <w:color w:val="auto"/>
              </w:rPr>
            </w:pPr>
            <w:r>
              <w:rPr>
                <w:rFonts w:ascii="Arial" w:cs="Arial" w:eastAsia="Arial" w:hAnsi="Arial"/>
                <w:sz w:val="14"/>
                <w:szCs w:val="14"/>
                <w:color w:val="54585A"/>
              </w:rPr>
              <w:t>(409,926)</w:t>
            </w:r>
          </w:p>
        </w:tc>
        <w:tc>
          <w:tcPr>
            <w:tcW w:w="1700" w:type="dxa"/>
            <w:vAlign w:val="bottom"/>
          </w:tcPr>
          <w:p>
            <w:pPr>
              <w:jc w:val="right"/>
              <w:ind w:right="8"/>
              <w:spacing w:after="0"/>
              <w:rPr>
                <w:sz w:val="20"/>
                <w:szCs w:val="20"/>
                <w:color w:val="auto"/>
              </w:rPr>
            </w:pPr>
            <w:r>
              <w:rPr>
                <w:rFonts w:ascii="Arial" w:cs="Arial" w:eastAsia="Arial" w:hAnsi="Arial"/>
                <w:sz w:val="14"/>
                <w:szCs w:val="14"/>
                <w:color w:val="54585A"/>
              </w:rPr>
              <w:t>130,992</w:t>
            </w:r>
          </w:p>
        </w:tc>
        <w:tc>
          <w:tcPr>
            <w:tcW w:w="2180" w:type="dxa"/>
            <w:vAlign w:val="bottom"/>
          </w:tcPr>
          <w:p>
            <w:pPr>
              <w:jc w:val="right"/>
              <w:spacing w:after="0"/>
              <w:rPr>
                <w:sz w:val="20"/>
                <w:szCs w:val="20"/>
                <w:color w:val="auto"/>
              </w:rPr>
            </w:pPr>
            <w:r>
              <w:rPr>
                <w:rFonts w:ascii="Arial" w:cs="Arial" w:eastAsia="Arial" w:hAnsi="Arial"/>
                <w:sz w:val="14"/>
                <w:szCs w:val="14"/>
                <w:color w:val="54585A"/>
              </w:rPr>
              <w:t>(148,636)</w:t>
            </w:r>
          </w:p>
        </w:tc>
        <w:tc>
          <w:tcPr>
            <w:tcW w:w="1140" w:type="dxa"/>
            <w:vAlign w:val="bottom"/>
          </w:tcPr>
          <w:p>
            <w:pPr>
              <w:jc w:val="right"/>
              <w:ind w:right="88"/>
              <w:spacing w:after="0"/>
              <w:rPr>
                <w:sz w:val="20"/>
                <w:szCs w:val="20"/>
                <w:color w:val="auto"/>
              </w:rPr>
            </w:pPr>
            <w:r>
              <w:rPr>
                <w:rFonts w:ascii="Arial" w:cs="Arial" w:eastAsia="Arial" w:hAnsi="Arial"/>
                <w:sz w:val="14"/>
                <w:szCs w:val="14"/>
                <w:color w:val="54585A"/>
              </w:rPr>
              <w:t>(400,369)</w:t>
            </w:r>
          </w:p>
        </w:tc>
      </w:tr>
      <w:tr>
        <w:trPr>
          <w:trHeight w:val="22"/>
        </w:trPr>
        <w:tc>
          <w:tcPr>
            <w:tcW w:w="580" w:type="dxa"/>
            <w:vAlign w:val="bottom"/>
            <w:tcBorders>
              <w:bottom w:val="single" w:sz="8" w:color="54585A"/>
            </w:tcBorders>
          </w:tcPr>
          <w:p>
            <w:pPr>
              <w:spacing w:after="0" w:line="20" w:lineRule="exact"/>
              <w:rPr>
                <w:sz w:val="1"/>
                <w:szCs w:val="1"/>
                <w:color w:val="auto"/>
              </w:rPr>
            </w:pPr>
          </w:p>
        </w:tc>
        <w:tc>
          <w:tcPr>
            <w:tcW w:w="23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1700" w:type="dxa"/>
            <w:vAlign w:val="bottom"/>
            <w:tcBorders>
              <w:bottom w:val="single" w:sz="8" w:color="54585A"/>
            </w:tcBorders>
          </w:tcPr>
          <w:p>
            <w:pPr>
              <w:spacing w:after="0" w:line="20" w:lineRule="exact"/>
              <w:rPr>
                <w:sz w:val="1"/>
                <w:szCs w:val="1"/>
                <w:color w:val="auto"/>
              </w:rPr>
            </w:pPr>
          </w:p>
        </w:tc>
        <w:tc>
          <w:tcPr>
            <w:tcW w:w="2180" w:type="dxa"/>
            <w:vAlign w:val="bottom"/>
            <w:tcBorders>
              <w:bottom w:val="single" w:sz="8" w:color="54585A"/>
            </w:tcBorders>
          </w:tcPr>
          <w:p>
            <w:pPr>
              <w:spacing w:after="0" w:line="20" w:lineRule="exact"/>
              <w:rPr>
                <w:sz w:val="1"/>
                <w:szCs w:val="1"/>
                <w:color w:val="auto"/>
              </w:rPr>
            </w:pPr>
          </w:p>
        </w:tc>
        <w:tc>
          <w:tcPr>
            <w:tcW w:w="1140" w:type="dxa"/>
            <w:vAlign w:val="bottom"/>
            <w:tcBorders>
              <w:bottom w:val="single" w:sz="8" w:color="54585A"/>
            </w:tcBorders>
          </w:tcPr>
          <w:p>
            <w:pPr>
              <w:spacing w:after="0" w:line="20" w:lineRule="exact"/>
              <w:rPr>
                <w:sz w:val="1"/>
                <w:szCs w:val="1"/>
                <w:color w:val="auto"/>
              </w:rPr>
            </w:pPr>
          </w:p>
        </w:tc>
      </w:tr>
    </w:tbl>
    <w:p>
      <w:pPr>
        <w:spacing w:after="0" w:line="220" w:lineRule="exact"/>
        <w:rPr>
          <w:sz w:val="20"/>
          <w:szCs w:val="20"/>
          <w:color w:val="auto"/>
        </w:rPr>
      </w:pPr>
    </w:p>
    <w:p>
      <w:pPr>
        <w:ind w:left="332" w:right="20" w:hanging="332"/>
        <w:spacing w:after="0" w:line="272" w:lineRule="auto"/>
        <w:tabs>
          <w:tab w:leader="none" w:pos="330" w:val="left"/>
        </w:tabs>
        <w:numPr>
          <w:ilvl w:val="0"/>
          <w:numId w:val="65"/>
        </w:numPr>
        <w:rPr>
          <w:rFonts w:ascii="Arial" w:cs="Arial" w:eastAsia="Arial" w:hAnsi="Arial"/>
          <w:sz w:val="14"/>
          <w:szCs w:val="14"/>
          <w:color w:val="54585A"/>
        </w:rPr>
      </w:pPr>
      <w:r>
        <w:rPr>
          <w:rFonts w:ascii="Arial" w:cs="Arial" w:eastAsia="Arial" w:hAnsi="Arial"/>
          <w:sz w:val="14"/>
          <w:szCs w:val="14"/>
          <w:color w:val="54585A"/>
        </w:rPr>
        <w:t>The dollar amounts reported represent the average of the amounts reported for the Company’s named executive officers (NEOs) as a group (excluding Dr. Jacobs and Mr. Kagan) in the “Total” column of the Summary Compensation Table in each applicable year. The names of each of the NEOs (excluding Dr. Jacobs and Mr. Kagan) included for purposes of calculating the average amounts in each of 2024, 2023, 2022, 2021 and 2020 are as follows: Rebecca S. Clary, Vice President and Chief Financial Officer, and L. Barbee Ponder IV, Vice President of Regulatory Affairs and General Counsel. As discussed in this proxy statement, Mr. Monroe did not receive any compensation during 2020 through 2024 for his service as an executive officer of the Company; therefore, he is not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292100</wp:posOffset>
            </wp:positionV>
            <wp:extent cx="257175" cy="2571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12"/>
        <w:spacing w:after="0"/>
        <w:rPr>
          <w:sz w:val="20"/>
          <w:szCs w:val="20"/>
          <w:color w:val="auto"/>
        </w:rPr>
      </w:pPr>
      <w:r>
        <w:rPr>
          <w:rFonts w:ascii="Arial" w:cs="Arial" w:eastAsia="Arial" w:hAnsi="Arial"/>
          <w:sz w:val="14"/>
          <w:szCs w:val="14"/>
          <w:color w:val="54585A"/>
        </w:rPr>
        <w:t xml:space="preserve">40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226695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68"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40" w:right="60" w:hanging="332"/>
        <w:spacing w:after="0" w:line="266" w:lineRule="auto"/>
        <w:tabs>
          <w:tab w:leader="none" w:pos="338" w:val="left"/>
        </w:tabs>
        <w:numPr>
          <w:ilvl w:val="0"/>
          <w:numId w:val="66"/>
        </w:numPr>
        <w:rPr>
          <w:rFonts w:ascii="Arial" w:cs="Arial" w:eastAsia="Arial" w:hAnsi="Arial"/>
          <w:sz w:val="14"/>
          <w:szCs w:val="14"/>
          <w:color w:val="54585A"/>
        </w:rPr>
      </w:pPr>
      <w:r>
        <w:rPr>
          <w:rFonts w:ascii="Arial" w:cs="Arial" w:eastAsia="Arial" w:hAnsi="Arial"/>
          <w:sz w:val="14"/>
          <w:szCs w:val="14"/>
          <w:color w:val="54585A"/>
        </w:rPr>
        <w:t>The dollar amounts reported represent the average amount of “compensation actually paid” to the NEOs as a group (excluding Dr. Jacobs and Mr. Kagan), as computed in accordance with Item 402(v) of Regulation S-K. The dollar amounts do not reflect the actual average amount of compensation earned by or paid to the NEOs as a group (excluding Dr. Jacobs and Mr. Kagan) during the applicable year. In accordance with the requirements of Item 402(v) of Regulation S-K, the following adjustments were made to average total compensation for the NEOs as a group (excluding Dr. Jacobs and Mr. Kagan) for each year to determine the compensation actually paid, using the same methodology described above in Note 2. The NEOs do not have pension benefits; therefore, columns reporting Change in Actuarial Value of Pension Benefits and Pension Benefit Adjustments are omitted.</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193"/>
        </w:trPr>
        <w:tc>
          <w:tcPr>
            <w:tcW w:w="540" w:type="dxa"/>
            <w:vAlign w:val="bottom"/>
            <w:shd w:val="clear" w:color="auto" w:fill="EEEDED"/>
          </w:tcPr>
          <w:p>
            <w:pPr>
              <w:spacing w:after="0"/>
              <w:rPr>
                <w:sz w:val="16"/>
                <w:szCs w:val="16"/>
                <w:color w:val="auto"/>
              </w:rPr>
            </w:pPr>
          </w:p>
        </w:tc>
        <w:tc>
          <w:tcPr>
            <w:tcW w:w="120" w:type="dxa"/>
            <w:vAlign w:val="bottom"/>
            <w:shd w:val="clear" w:color="auto" w:fill="EEEDED"/>
          </w:tcPr>
          <w:p>
            <w:pPr>
              <w:spacing w:after="0"/>
              <w:rPr>
                <w:sz w:val="16"/>
                <w:szCs w:val="16"/>
                <w:color w:val="auto"/>
              </w:rPr>
            </w:pPr>
          </w:p>
        </w:tc>
        <w:tc>
          <w:tcPr>
            <w:tcW w:w="22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Average summary compensation</w:t>
            </w:r>
          </w:p>
        </w:tc>
        <w:tc>
          <w:tcPr>
            <w:tcW w:w="120" w:type="dxa"/>
            <w:vAlign w:val="bottom"/>
            <w:shd w:val="clear" w:color="auto" w:fill="EEEDED"/>
          </w:tcPr>
          <w:p>
            <w:pPr>
              <w:spacing w:after="0"/>
              <w:rPr>
                <w:sz w:val="16"/>
                <w:szCs w:val="16"/>
                <w:color w:val="auto"/>
              </w:rPr>
            </w:pPr>
          </w:p>
        </w:tc>
        <w:tc>
          <w:tcPr>
            <w:tcW w:w="22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Reported Value of Equity Awards</w:t>
            </w:r>
          </w:p>
        </w:tc>
        <w:tc>
          <w:tcPr>
            <w:tcW w:w="200" w:type="dxa"/>
            <w:vAlign w:val="bottom"/>
            <w:shd w:val="clear" w:color="auto" w:fill="EEEDED"/>
          </w:tcPr>
          <w:p>
            <w:pPr>
              <w:spacing w:after="0"/>
              <w:rPr>
                <w:sz w:val="16"/>
                <w:szCs w:val="16"/>
                <w:color w:val="auto"/>
              </w:rPr>
            </w:pPr>
          </w:p>
        </w:tc>
        <w:tc>
          <w:tcPr>
            <w:tcW w:w="22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Equity Award Adjustments for</w:t>
            </w:r>
          </w:p>
        </w:tc>
        <w:tc>
          <w:tcPr>
            <w:tcW w:w="120" w:type="dxa"/>
            <w:vAlign w:val="bottom"/>
            <w:shd w:val="clear" w:color="auto" w:fill="EEEDED"/>
          </w:tcPr>
          <w:p>
            <w:pPr>
              <w:spacing w:after="0"/>
              <w:rPr>
                <w:sz w:val="16"/>
                <w:szCs w:val="16"/>
                <w:color w:val="auto"/>
              </w:rPr>
            </w:pPr>
          </w:p>
        </w:tc>
        <w:tc>
          <w:tcPr>
            <w:tcW w:w="26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Average compensation actually paid</w:t>
            </w:r>
          </w:p>
        </w:tc>
      </w:tr>
      <w:tr>
        <w:trPr>
          <w:trHeight w:val="162"/>
        </w:trPr>
        <w:tc>
          <w:tcPr>
            <w:tcW w:w="540" w:type="dxa"/>
            <w:vAlign w:val="bottom"/>
            <w:shd w:val="clear" w:color="auto" w:fill="EEEDED"/>
          </w:tcPr>
          <w:p>
            <w:pPr>
              <w:spacing w:after="0"/>
              <w:rPr>
                <w:sz w:val="14"/>
                <w:szCs w:val="14"/>
                <w:color w:val="auto"/>
              </w:rPr>
            </w:pPr>
          </w:p>
        </w:tc>
        <w:tc>
          <w:tcPr>
            <w:tcW w:w="120" w:type="dxa"/>
            <w:vAlign w:val="bottom"/>
            <w:shd w:val="clear" w:color="auto" w:fill="EEEDED"/>
          </w:tcPr>
          <w:p>
            <w:pPr>
              <w:spacing w:after="0"/>
              <w:rPr>
                <w:sz w:val="14"/>
                <w:szCs w:val="14"/>
                <w:color w:val="auto"/>
              </w:rPr>
            </w:pPr>
          </w:p>
        </w:tc>
        <w:tc>
          <w:tcPr>
            <w:tcW w:w="22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table total for non-PEO NEOs</w:t>
            </w:r>
          </w:p>
        </w:tc>
        <w:tc>
          <w:tcPr>
            <w:tcW w:w="120" w:type="dxa"/>
            <w:vAlign w:val="bottom"/>
            <w:shd w:val="clear" w:color="auto" w:fill="EEEDED"/>
          </w:tcPr>
          <w:p>
            <w:pPr>
              <w:spacing w:after="0"/>
              <w:rPr>
                <w:sz w:val="14"/>
                <w:szCs w:val="14"/>
                <w:color w:val="auto"/>
              </w:rPr>
            </w:pPr>
          </w:p>
        </w:tc>
        <w:tc>
          <w:tcPr>
            <w:tcW w:w="22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for non-PEO NEOs</w:t>
            </w:r>
          </w:p>
        </w:tc>
        <w:tc>
          <w:tcPr>
            <w:tcW w:w="200" w:type="dxa"/>
            <w:vAlign w:val="bottom"/>
            <w:shd w:val="clear" w:color="auto" w:fill="EEEDED"/>
          </w:tcPr>
          <w:p>
            <w:pPr>
              <w:spacing w:after="0"/>
              <w:rPr>
                <w:sz w:val="14"/>
                <w:szCs w:val="14"/>
                <w:color w:val="auto"/>
              </w:rPr>
            </w:pPr>
          </w:p>
        </w:tc>
        <w:tc>
          <w:tcPr>
            <w:tcW w:w="22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non-PEO NEOs</w:t>
            </w:r>
          </w:p>
        </w:tc>
        <w:tc>
          <w:tcPr>
            <w:tcW w:w="120" w:type="dxa"/>
            <w:vAlign w:val="bottom"/>
            <w:shd w:val="clear" w:color="auto" w:fill="EEEDED"/>
          </w:tcPr>
          <w:p>
            <w:pPr>
              <w:spacing w:after="0"/>
              <w:rPr>
                <w:sz w:val="14"/>
                <w:szCs w:val="14"/>
                <w:color w:val="auto"/>
              </w:rPr>
            </w:pPr>
          </w:p>
        </w:tc>
        <w:tc>
          <w:tcPr>
            <w:tcW w:w="26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to non-PEO NEOs</w:t>
            </w:r>
          </w:p>
        </w:tc>
      </w:tr>
      <w:tr>
        <w:trPr>
          <w:trHeight w:val="196"/>
        </w:trPr>
        <w:tc>
          <w:tcPr>
            <w:tcW w:w="540" w:type="dxa"/>
            <w:vAlign w:val="bottom"/>
            <w:shd w:val="clear" w:color="auto" w:fill="EEEDED"/>
          </w:tcPr>
          <w:p>
            <w:pPr>
              <w:ind w:left="120"/>
              <w:spacing w:after="0"/>
              <w:rPr>
                <w:sz w:val="20"/>
                <w:szCs w:val="20"/>
                <w:color w:val="auto"/>
              </w:rPr>
            </w:pPr>
            <w:r>
              <w:rPr>
                <w:rFonts w:ascii="Arial" w:cs="Arial" w:eastAsia="Arial" w:hAnsi="Arial"/>
                <w:sz w:val="14"/>
                <w:szCs w:val="14"/>
                <w:b w:val="1"/>
                <w:bCs w:val="1"/>
                <w:color w:val="54585A"/>
              </w:rPr>
              <w:t>Year</w:t>
            </w:r>
          </w:p>
        </w:tc>
        <w:tc>
          <w:tcPr>
            <w:tcW w:w="120" w:type="dxa"/>
            <w:vAlign w:val="bottom"/>
            <w:shd w:val="clear" w:color="auto" w:fill="EEEDED"/>
          </w:tcPr>
          <w:p>
            <w:pPr>
              <w:spacing w:after="0"/>
              <w:rPr>
                <w:sz w:val="17"/>
                <w:szCs w:val="17"/>
                <w:color w:val="auto"/>
              </w:rPr>
            </w:pPr>
          </w:p>
        </w:tc>
        <w:tc>
          <w:tcPr>
            <w:tcW w:w="22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120" w:type="dxa"/>
            <w:vAlign w:val="bottom"/>
            <w:shd w:val="clear" w:color="auto" w:fill="EEEDED"/>
          </w:tcPr>
          <w:p>
            <w:pPr>
              <w:spacing w:after="0"/>
              <w:rPr>
                <w:sz w:val="17"/>
                <w:szCs w:val="17"/>
                <w:color w:val="auto"/>
              </w:rPr>
            </w:pPr>
          </w:p>
        </w:tc>
        <w:tc>
          <w:tcPr>
            <w:tcW w:w="22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200" w:type="dxa"/>
            <w:vAlign w:val="bottom"/>
            <w:shd w:val="clear" w:color="auto" w:fill="EEEDED"/>
          </w:tcPr>
          <w:p>
            <w:pPr>
              <w:spacing w:after="0"/>
              <w:rPr>
                <w:sz w:val="17"/>
                <w:szCs w:val="17"/>
                <w:color w:val="auto"/>
              </w:rPr>
            </w:pPr>
          </w:p>
        </w:tc>
        <w:tc>
          <w:tcPr>
            <w:tcW w:w="220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 xml:space="preserve">($) </w:t>
            </w:r>
            <w:r>
              <w:rPr>
                <w:rFonts w:ascii="Arial" w:cs="Arial" w:eastAsia="Arial" w:hAnsi="Arial"/>
                <w:sz w:val="9"/>
                <w:szCs w:val="9"/>
                <w:b w:val="1"/>
                <w:bCs w:val="1"/>
                <w:color w:val="54585A"/>
              </w:rPr>
              <w:t>(a)</w:t>
            </w:r>
          </w:p>
        </w:tc>
        <w:tc>
          <w:tcPr>
            <w:tcW w:w="120" w:type="dxa"/>
            <w:vAlign w:val="bottom"/>
            <w:shd w:val="clear" w:color="auto" w:fill="EEEDED"/>
          </w:tcPr>
          <w:p>
            <w:pPr>
              <w:spacing w:after="0"/>
              <w:rPr>
                <w:sz w:val="17"/>
                <w:szCs w:val="17"/>
                <w:color w:val="auto"/>
              </w:rPr>
            </w:pPr>
          </w:p>
        </w:tc>
        <w:tc>
          <w:tcPr>
            <w:tcW w:w="266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110"/>
        </w:trPr>
        <w:tc>
          <w:tcPr>
            <w:tcW w:w="540" w:type="dxa"/>
            <w:vAlign w:val="bottom"/>
            <w:shd w:val="clear" w:color="auto" w:fill="EEEDED"/>
          </w:tcPr>
          <w:p>
            <w:pPr>
              <w:spacing w:after="0"/>
              <w:rPr>
                <w:sz w:val="9"/>
                <w:szCs w:val="9"/>
                <w:color w:val="auto"/>
              </w:rPr>
            </w:pPr>
          </w:p>
        </w:tc>
        <w:tc>
          <w:tcPr>
            <w:tcW w:w="120" w:type="dxa"/>
            <w:vAlign w:val="bottom"/>
            <w:shd w:val="clear" w:color="auto" w:fill="EEEDED"/>
          </w:tcPr>
          <w:p>
            <w:pPr>
              <w:spacing w:after="0"/>
              <w:rPr>
                <w:sz w:val="9"/>
                <w:szCs w:val="9"/>
                <w:color w:val="auto"/>
              </w:rPr>
            </w:pPr>
          </w:p>
        </w:tc>
        <w:tc>
          <w:tcPr>
            <w:tcW w:w="2280" w:type="dxa"/>
            <w:vAlign w:val="bottom"/>
            <w:shd w:val="clear" w:color="auto" w:fill="EEEDED"/>
          </w:tcPr>
          <w:p>
            <w:pPr>
              <w:spacing w:after="0"/>
              <w:rPr>
                <w:sz w:val="9"/>
                <w:szCs w:val="9"/>
                <w:color w:val="auto"/>
              </w:rPr>
            </w:pPr>
          </w:p>
        </w:tc>
        <w:tc>
          <w:tcPr>
            <w:tcW w:w="120" w:type="dxa"/>
            <w:vAlign w:val="bottom"/>
            <w:shd w:val="clear" w:color="auto" w:fill="EEEDED"/>
          </w:tcPr>
          <w:p>
            <w:pPr>
              <w:spacing w:after="0"/>
              <w:rPr>
                <w:sz w:val="9"/>
                <w:szCs w:val="9"/>
                <w:color w:val="auto"/>
              </w:rPr>
            </w:pPr>
          </w:p>
        </w:tc>
        <w:tc>
          <w:tcPr>
            <w:tcW w:w="2280" w:type="dxa"/>
            <w:vAlign w:val="bottom"/>
            <w:shd w:val="clear" w:color="auto" w:fill="EEEDED"/>
          </w:tcPr>
          <w:p>
            <w:pPr>
              <w:spacing w:after="0"/>
              <w:rPr>
                <w:sz w:val="9"/>
                <w:szCs w:val="9"/>
                <w:color w:val="auto"/>
              </w:rPr>
            </w:pPr>
          </w:p>
        </w:tc>
        <w:tc>
          <w:tcPr>
            <w:tcW w:w="200" w:type="dxa"/>
            <w:vAlign w:val="bottom"/>
            <w:shd w:val="clear" w:color="auto" w:fill="EEEDED"/>
          </w:tcPr>
          <w:p>
            <w:pPr>
              <w:spacing w:after="0"/>
              <w:rPr>
                <w:sz w:val="9"/>
                <w:szCs w:val="9"/>
                <w:color w:val="auto"/>
              </w:rPr>
            </w:pPr>
          </w:p>
        </w:tc>
        <w:tc>
          <w:tcPr>
            <w:tcW w:w="2200" w:type="dxa"/>
            <w:vAlign w:val="bottom"/>
            <w:shd w:val="clear" w:color="auto" w:fill="EEEDED"/>
          </w:tcPr>
          <w:p>
            <w:pPr>
              <w:spacing w:after="0"/>
              <w:rPr>
                <w:sz w:val="9"/>
                <w:szCs w:val="9"/>
                <w:color w:val="auto"/>
              </w:rPr>
            </w:pPr>
          </w:p>
        </w:tc>
        <w:tc>
          <w:tcPr>
            <w:tcW w:w="120" w:type="dxa"/>
            <w:vAlign w:val="bottom"/>
            <w:shd w:val="clear" w:color="auto" w:fill="EEEDED"/>
          </w:tcPr>
          <w:p>
            <w:pPr>
              <w:spacing w:after="0"/>
              <w:rPr>
                <w:sz w:val="9"/>
                <w:szCs w:val="9"/>
                <w:color w:val="auto"/>
              </w:rPr>
            </w:pPr>
          </w:p>
        </w:tc>
        <w:tc>
          <w:tcPr>
            <w:tcW w:w="2660" w:type="dxa"/>
            <w:vAlign w:val="bottom"/>
            <w:shd w:val="clear" w:color="auto" w:fill="EEEDED"/>
          </w:tcPr>
          <w:p>
            <w:pPr>
              <w:spacing w:after="0"/>
              <w:rPr>
                <w:sz w:val="9"/>
                <w:szCs w:val="9"/>
                <w:color w:val="auto"/>
              </w:rPr>
            </w:pPr>
          </w:p>
        </w:tc>
      </w:tr>
      <w:tr>
        <w:trPr>
          <w:trHeight w:val="208"/>
        </w:trPr>
        <w:tc>
          <w:tcPr>
            <w:tcW w:w="540" w:type="dxa"/>
            <w:vAlign w:val="bottom"/>
          </w:tcPr>
          <w:p>
            <w:pPr>
              <w:ind w:left="100"/>
              <w:spacing w:after="0"/>
              <w:rPr>
                <w:sz w:val="20"/>
                <w:szCs w:val="20"/>
                <w:color w:val="auto"/>
              </w:rPr>
            </w:pPr>
            <w:r>
              <w:rPr>
                <w:rFonts w:ascii="Arial" w:cs="Arial" w:eastAsia="Arial" w:hAnsi="Arial"/>
                <w:sz w:val="14"/>
                <w:szCs w:val="14"/>
                <w:color w:val="54585A"/>
              </w:rPr>
              <w:t>2024</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710,637</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(321,395)</w:t>
            </w:r>
          </w:p>
        </w:tc>
        <w:tc>
          <w:tcPr>
            <w:tcW w:w="20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2200" w:type="dxa"/>
            <w:vAlign w:val="bottom"/>
          </w:tcPr>
          <w:p>
            <w:pPr>
              <w:jc w:val="right"/>
              <w:spacing w:after="0"/>
              <w:rPr>
                <w:sz w:val="20"/>
                <w:szCs w:val="20"/>
                <w:color w:val="auto"/>
              </w:rPr>
            </w:pPr>
            <w:r>
              <w:rPr>
                <w:rFonts w:ascii="Arial" w:cs="Arial" w:eastAsia="Arial" w:hAnsi="Arial"/>
                <w:sz w:val="14"/>
                <w:szCs w:val="14"/>
                <w:color w:val="54585A"/>
              </w:rPr>
              <w:t>458,169</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660" w:type="dxa"/>
            <w:vAlign w:val="bottom"/>
          </w:tcPr>
          <w:p>
            <w:pPr>
              <w:jc w:val="right"/>
              <w:ind w:right="128"/>
              <w:spacing w:after="0"/>
              <w:rPr>
                <w:sz w:val="20"/>
                <w:szCs w:val="20"/>
                <w:color w:val="auto"/>
              </w:rPr>
            </w:pPr>
            <w:r>
              <w:rPr>
                <w:rFonts w:ascii="Arial" w:cs="Arial" w:eastAsia="Arial" w:hAnsi="Arial"/>
                <w:sz w:val="14"/>
                <w:szCs w:val="14"/>
                <w:color w:val="54585A"/>
              </w:rPr>
              <w:t>847,411</w:t>
            </w:r>
          </w:p>
        </w:tc>
      </w:tr>
      <w:tr>
        <w:trPr>
          <w:trHeight w:val="22"/>
        </w:trPr>
        <w:tc>
          <w:tcPr>
            <w:tcW w:w="54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200" w:type="dxa"/>
            <w:vAlign w:val="bottom"/>
            <w:tcBorders>
              <w:bottom w:val="single" w:sz="8" w:color="54585A"/>
            </w:tcBorders>
          </w:tcPr>
          <w:p>
            <w:pPr>
              <w:spacing w:after="0" w:line="20" w:lineRule="exact"/>
              <w:rPr>
                <w:sz w:val="1"/>
                <w:szCs w:val="1"/>
                <w:color w:val="auto"/>
              </w:rPr>
            </w:pPr>
          </w:p>
        </w:tc>
        <w:tc>
          <w:tcPr>
            <w:tcW w:w="220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660" w:type="dxa"/>
            <w:vAlign w:val="bottom"/>
            <w:tcBorders>
              <w:bottom w:val="single" w:sz="8" w:color="54585A"/>
            </w:tcBorders>
          </w:tcPr>
          <w:p>
            <w:pPr>
              <w:spacing w:after="0" w:line="20" w:lineRule="exact"/>
              <w:rPr>
                <w:sz w:val="1"/>
                <w:szCs w:val="1"/>
                <w:color w:val="auto"/>
              </w:rPr>
            </w:pPr>
          </w:p>
        </w:tc>
      </w:tr>
      <w:tr>
        <w:trPr>
          <w:trHeight w:val="201"/>
        </w:trPr>
        <w:tc>
          <w:tcPr>
            <w:tcW w:w="540" w:type="dxa"/>
            <w:vAlign w:val="bottom"/>
          </w:tcPr>
          <w:p>
            <w:pPr>
              <w:ind w:left="100"/>
              <w:spacing w:after="0"/>
              <w:rPr>
                <w:sz w:val="20"/>
                <w:szCs w:val="20"/>
                <w:color w:val="auto"/>
              </w:rPr>
            </w:pPr>
            <w:r>
              <w:rPr>
                <w:rFonts w:ascii="Arial" w:cs="Arial" w:eastAsia="Arial" w:hAnsi="Arial"/>
                <w:sz w:val="14"/>
                <w:szCs w:val="14"/>
                <w:color w:val="54585A"/>
              </w:rPr>
              <w:t>2023</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713,583</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(345,301)</w:t>
            </w:r>
          </w:p>
        </w:tc>
        <w:tc>
          <w:tcPr>
            <w:tcW w:w="20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2200" w:type="dxa"/>
            <w:vAlign w:val="bottom"/>
          </w:tcPr>
          <w:p>
            <w:pPr>
              <w:jc w:val="right"/>
              <w:spacing w:after="0"/>
              <w:rPr>
                <w:sz w:val="20"/>
                <w:szCs w:val="20"/>
                <w:color w:val="auto"/>
              </w:rPr>
            </w:pPr>
            <w:r>
              <w:rPr>
                <w:rFonts w:ascii="Arial" w:cs="Arial" w:eastAsia="Arial" w:hAnsi="Arial"/>
                <w:sz w:val="14"/>
                <w:szCs w:val="14"/>
                <w:color w:val="54585A"/>
              </w:rPr>
              <w:t>570,776</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660" w:type="dxa"/>
            <w:vAlign w:val="bottom"/>
          </w:tcPr>
          <w:p>
            <w:pPr>
              <w:jc w:val="right"/>
              <w:ind w:right="128"/>
              <w:spacing w:after="0"/>
              <w:rPr>
                <w:sz w:val="20"/>
                <w:szCs w:val="20"/>
                <w:color w:val="auto"/>
              </w:rPr>
            </w:pPr>
            <w:r>
              <w:rPr>
                <w:rFonts w:ascii="Arial" w:cs="Arial" w:eastAsia="Arial" w:hAnsi="Arial"/>
                <w:sz w:val="14"/>
                <w:szCs w:val="14"/>
                <w:color w:val="54585A"/>
              </w:rPr>
              <w:t>939,058</w:t>
            </w:r>
          </w:p>
        </w:tc>
      </w:tr>
      <w:tr>
        <w:trPr>
          <w:trHeight w:val="22"/>
        </w:trPr>
        <w:tc>
          <w:tcPr>
            <w:tcW w:w="54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200" w:type="dxa"/>
            <w:vAlign w:val="bottom"/>
            <w:tcBorders>
              <w:bottom w:val="single" w:sz="8" w:color="54585A"/>
            </w:tcBorders>
          </w:tcPr>
          <w:p>
            <w:pPr>
              <w:spacing w:after="0" w:line="20" w:lineRule="exact"/>
              <w:rPr>
                <w:sz w:val="1"/>
                <w:szCs w:val="1"/>
                <w:color w:val="auto"/>
              </w:rPr>
            </w:pPr>
          </w:p>
        </w:tc>
        <w:tc>
          <w:tcPr>
            <w:tcW w:w="220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660" w:type="dxa"/>
            <w:vAlign w:val="bottom"/>
            <w:tcBorders>
              <w:bottom w:val="single" w:sz="8" w:color="54585A"/>
            </w:tcBorders>
          </w:tcPr>
          <w:p>
            <w:pPr>
              <w:spacing w:after="0" w:line="20" w:lineRule="exact"/>
              <w:rPr>
                <w:sz w:val="1"/>
                <w:szCs w:val="1"/>
                <w:color w:val="auto"/>
              </w:rPr>
            </w:pPr>
          </w:p>
        </w:tc>
      </w:tr>
      <w:tr>
        <w:trPr>
          <w:trHeight w:val="202"/>
        </w:trPr>
        <w:tc>
          <w:tcPr>
            <w:tcW w:w="540" w:type="dxa"/>
            <w:vAlign w:val="bottom"/>
          </w:tcPr>
          <w:p>
            <w:pPr>
              <w:ind w:left="100"/>
              <w:spacing w:after="0"/>
              <w:rPr>
                <w:sz w:val="20"/>
                <w:szCs w:val="20"/>
                <w:color w:val="auto"/>
              </w:rPr>
            </w:pPr>
            <w:r>
              <w:rPr>
                <w:rFonts w:ascii="Arial" w:cs="Arial" w:eastAsia="Arial" w:hAnsi="Arial"/>
                <w:sz w:val="14"/>
                <w:szCs w:val="14"/>
                <w:color w:val="54585A"/>
              </w:rPr>
              <w:t>2022</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1,764,537</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(1,414,900)</w:t>
            </w:r>
          </w:p>
        </w:tc>
        <w:tc>
          <w:tcPr>
            <w:tcW w:w="20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2200" w:type="dxa"/>
            <w:vAlign w:val="bottom"/>
          </w:tcPr>
          <w:p>
            <w:pPr>
              <w:jc w:val="right"/>
              <w:spacing w:after="0"/>
              <w:rPr>
                <w:sz w:val="20"/>
                <w:szCs w:val="20"/>
                <w:color w:val="auto"/>
              </w:rPr>
            </w:pPr>
            <w:r>
              <w:rPr>
                <w:rFonts w:ascii="Arial" w:cs="Arial" w:eastAsia="Arial" w:hAnsi="Arial"/>
                <w:sz w:val="14"/>
                <w:szCs w:val="14"/>
                <w:color w:val="54585A"/>
              </w:rPr>
              <w:t>928,309</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660" w:type="dxa"/>
            <w:vAlign w:val="bottom"/>
          </w:tcPr>
          <w:p>
            <w:pPr>
              <w:jc w:val="right"/>
              <w:ind w:right="128"/>
              <w:spacing w:after="0"/>
              <w:rPr>
                <w:sz w:val="20"/>
                <w:szCs w:val="20"/>
                <w:color w:val="auto"/>
              </w:rPr>
            </w:pPr>
            <w:r>
              <w:rPr>
                <w:rFonts w:ascii="Arial" w:cs="Arial" w:eastAsia="Arial" w:hAnsi="Arial"/>
                <w:sz w:val="14"/>
                <w:szCs w:val="14"/>
                <w:color w:val="54585A"/>
              </w:rPr>
              <w:t>1,277,946</w:t>
            </w:r>
          </w:p>
        </w:tc>
      </w:tr>
      <w:tr>
        <w:trPr>
          <w:trHeight w:val="22"/>
        </w:trPr>
        <w:tc>
          <w:tcPr>
            <w:tcW w:w="54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200" w:type="dxa"/>
            <w:vAlign w:val="bottom"/>
            <w:tcBorders>
              <w:bottom w:val="single" w:sz="8" w:color="54585A"/>
            </w:tcBorders>
          </w:tcPr>
          <w:p>
            <w:pPr>
              <w:spacing w:after="0" w:line="20" w:lineRule="exact"/>
              <w:rPr>
                <w:sz w:val="1"/>
                <w:szCs w:val="1"/>
                <w:color w:val="auto"/>
              </w:rPr>
            </w:pPr>
          </w:p>
        </w:tc>
        <w:tc>
          <w:tcPr>
            <w:tcW w:w="220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660" w:type="dxa"/>
            <w:vAlign w:val="bottom"/>
            <w:tcBorders>
              <w:bottom w:val="single" w:sz="8" w:color="54585A"/>
            </w:tcBorders>
          </w:tcPr>
          <w:p>
            <w:pPr>
              <w:spacing w:after="0" w:line="20" w:lineRule="exact"/>
              <w:rPr>
                <w:sz w:val="1"/>
                <w:szCs w:val="1"/>
                <w:color w:val="auto"/>
              </w:rPr>
            </w:pPr>
          </w:p>
        </w:tc>
      </w:tr>
      <w:tr>
        <w:trPr>
          <w:trHeight w:val="202"/>
        </w:trPr>
        <w:tc>
          <w:tcPr>
            <w:tcW w:w="540" w:type="dxa"/>
            <w:vAlign w:val="bottom"/>
          </w:tcPr>
          <w:p>
            <w:pPr>
              <w:ind w:left="100"/>
              <w:spacing w:after="0"/>
              <w:rPr>
                <w:sz w:val="20"/>
                <w:szCs w:val="20"/>
                <w:color w:val="auto"/>
              </w:rPr>
            </w:pPr>
            <w:r>
              <w:rPr>
                <w:rFonts w:ascii="Arial" w:cs="Arial" w:eastAsia="Arial" w:hAnsi="Arial"/>
                <w:sz w:val="14"/>
                <w:szCs w:val="14"/>
                <w:color w:val="54585A"/>
              </w:rPr>
              <w:t>2021</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595,857</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(216,400)</w:t>
            </w:r>
          </w:p>
        </w:tc>
        <w:tc>
          <w:tcPr>
            <w:tcW w:w="20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2200" w:type="dxa"/>
            <w:vAlign w:val="bottom"/>
          </w:tcPr>
          <w:p>
            <w:pPr>
              <w:jc w:val="right"/>
              <w:spacing w:after="0"/>
              <w:rPr>
                <w:sz w:val="20"/>
                <w:szCs w:val="20"/>
                <w:color w:val="auto"/>
              </w:rPr>
            </w:pPr>
            <w:r>
              <w:rPr>
                <w:rFonts w:ascii="Arial" w:cs="Arial" w:eastAsia="Arial" w:hAnsi="Arial"/>
                <w:sz w:val="14"/>
                <w:szCs w:val="14"/>
                <w:color w:val="54585A"/>
              </w:rPr>
              <w:t>572,579</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660" w:type="dxa"/>
            <w:vAlign w:val="bottom"/>
          </w:tcPr>
          <w:p>
            <w:pPr>
              <w:jc w:val="right"/>
              <w:ind w:right="128"/>
              <w:spacing w:after="0"/>
              <w:rPr>
                <w:sz w:val="20"/>
                <w:szCs w:val="20"/>
                <w:color w:val="auto"/>
              </w:rPr>
            </w:pPr>
            <w:r>
              <w:rPr>
                <w:rFonts w:ascii="Arial" w:cs="Arial" w:eastAsia="Arial" w:hAnsi="Arial"/>
                <w:sz w:val="14"/>
                <w:szCs w:val="14"/>
                <w:color w:val="54585A"/>
              </w:rPr>
              <w:t>952,036</w:t>
            </w:r>
          </w:p>
        </w:tc>
      </w:tr>
      <w:tr>
        <w:trPr>
          <w:trHeight w:val="22"/>
        </w:trPr>
        <w:tc>
          <w:tcPr>
            <w:tcW w:w="54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200" w:type="dxa"/>
            <w:vAlign w:val="bottom"/>
            <w:tcBorders>
              <w:bottom w:val="single" w:sz="8" w:color="54585A"/>
            </w:tcBorders>
          </w:tcPr>
          <w:p>
            <w:pPr>
              <w:spacing w:after="0" w:line="20" w:lineRule="exact"/>
              <w:rPr>
                <w:sz w:val="1"/>
                <w:szCs w:val="1"/>
                <w:color w:val="auto"/>
              </w:rPr>
            </w:pPr>
          </w:p>
        </w:tc>
        <w:tc>
          <w:tcPr>
            <w:tcW w:w="220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660" w:type="dxa"/>
            <w:vAlign w:val="bottom"/>
            <w:tcBorders>
              <w:bottom w:val="single" w:sz="8" w:color="54585A"/>
            </w:tcBorders>
          </w:tcPr>
          <w:p>
            <w:pPr>
              <w:spacing w:after="0" w:line="20" w:lineRule="exact"/>
              <w:rPr>
                <w:sz w:val="1"/>
                <w:szCs w:val="1"/>
                <w:color w:val="auto"/>
              </w:rPr>
            </w:pPr>
          </w:p>
        </w:tc>
      </w:tr>
      <w:tr>
        <w:trPr>
          <w:trHeight w:val="201"/>
        </w:trPr>
        <w:tc>
          <w:tcPr>
            <w:tcW w:w="540" w:type="dxa"/>
            <w:vAlign w:val="bottom"/>
          </w:tcPr>
          <w:p>
            <w:pPr>
              <w:ind w:left="100"/>
              <w:spacing w:after="0"/>
              <w:rPr>
                <w:sz w:val="20"/>
                <w:szCs w:val="20"/>
                <w:color w:val="auto"/>
              </w:rPr>
            </w:pPr>
            <w:r>
              <w:rPr>
                <w:rFonts w:ascii="Arial" w:cs="Arial" w:eastAsia="Arial" w:hAnsi="Arial"/>
                <w:sz w:val="14"/>
                <w:szCs w:val="14"/>
                <w:color w:val="54585A"/>
              </w:rPr>
              <w:t>2020</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580,343</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280" w:type="dxa"/>
            <w:vAlign w:val="bottom"/>
          </w:tcPr>
          <w:p>
            <w:pPr>
              <w:jc w:val="right"/>
              <w:spacing w:after="0"/>
              <w:rPr>
                <w:sz w:val="20"/>
                <w:szCs w:val="20"/>
                <w:color w:val="auto"/>
              </w:rPr>
            </w:pPr>
            <w:r>
              <w:rPr>
                <w:rFonts w:ascii="Arial" w:cs="Arial" w:eastAsia="Arial" w:hAnsi="Arial"/>
                <w:sz w:val="14"/>
                <w:szCs w:val="14"/>
                <w:color w:val="54585A"/>
              </w:rPr>
              <w:t>(267,973)</w:t>
            </w:r>
          </w:p>
        </w:tc>
        <w:tc>
          <w:tcPr>
            <w:tcW w:w="200" w:type="dxa"/>
            <w:vAlign w:val="bottom"/>
          </w:tcPr>
          <w:p>
            <w:pPr>
              <w:jc w:val="right"/>
              <w:ind w:right="28"/>
              <w:spacing w:after="0"/>
              <w:rPr>
                <w:sz w:val="20"/>
                <w:szCs w:val="20"/>
                <w:color w:val="auto"/>
              </w:rPr>
            </w:pPr>
            <w:r>
              <w:rPr>
                <w:rFonts w:ascii="Arial" w:cs="Arial" w:eastAsia="Arial" w:hAnsi="Arial"/>
                <w:sz w:val="14"/>
                <w:szCs w:val="14"/>
                <w:color w:val="54585A"/>
              </w:rPr>
              <w:t>$</w:t>
            </w:r>
          </w:p>
        </w:tc>
        <w:tc>
          <w:tcPr>
            <w:tcW w:w="2200" w:type="dxa"/>
            <w:vAlign w:val="bottom"/>
          </w:tcPr>
          <w:p>
            <w:pPr>
              <w:jc w:val="right"/>
              <w:spacing w:after="0"/>
              <w:rPr>
                <w:sz w:val="20"/>
                <w:szCs w:val="20"/>
                <w:color w:val="auto"/>
              </w:rPr>
            </w:pPr>
            <w:r>
              <w:rPr>
                <w:rFonts w:ascii="Arial" w:cs="Arial" w:eastAsia="Arial" w:hAnsi="Arial"/>
                <w:sz w:val="14"/>
                <w:szCs w:val="14"/>
                <w:color w:val="54585A"/>
              </w:rPr>
              <w:t>62,962</w:t>
            </w:r>
          </w:p>
        </w:tc>
        <w:tc>
          <w:tcPr>
            <w:tcW w:w="120" w:type="dxa"/>
            <w:vAlign w:val="bottom"/>
          </w:tcPr>
          <w:p>
            <w:pPr>
              <w:jc w:val="right"/>
              <w:spacing w:after="0"/>
              <w:rPr>
                <w:sz w:val="20"/>
                <w:szCs w:val="20"/>
                <w:color w:val="auto"/>
              </w:rPr>
            </w:pPr>
            <w:r>
              <w:rPr>
                <w:rFonts w:ascii="Arial" w:cs="Arial" w:eastAsia="Arial" w:hAnsi="Arial"/>
                <w:sz w:val="14"/>
                <w:szCs w:val="14"/>
                <w:color w:val="54585A"/>
              </w:rPr>
              <w:t>$</w:t>
            </w:r>
          </w:p>
        </w:tc>
        <w:tc>
          <w:tcPr>
            <w:tcW w:w="2660" w:type="dxa"/>
            <w:vAlign w:val="bottom"/>
          </w:tcPr>
          <w:p>
            <w:pPr>
              <w:jc w:val="right"/>
              <w:ind w:right="128"/>
              <w:spacing w:after="0"/>
              <w:rPr>
                <w:sz w:val="20"/>
                <w:szCs w:val="20"/>
                <w:color w:val="auto"/>
              </w:rPr>
            </w:pPr>
            <w:r>
              <w:rPr>
                <w:rFonts w:ascii="Arial" w:cs="Arial" w:eastAsia="Arial" w:hAnsi="Arial"/>
                <w:sz w:val="14"/>
                <w:szCs w:val="14"/>
                <w:color w:val="54585A"/>
              </w:rPr>
              <w:t>375,332</w:t>
            </w:r>
          </w:p>
        </w:tc>
      </w:tr>
      <w:tr>
        <w:trPr>
          <w:trHeight w:val="22"/>
        </w:trPr>
        <w:tc>
          <w:tcPr>
            <w:tcW w:w="54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280" w:type="dxa"/>
            <w:vAlign w:val="bottom"/>
            <w:tcBorders>
              <w:bottom w:val="single" w:sz="8" w:color="54585A"/>
            </w:tcBorders>
          </w:tcPr>
          <w:p>
            <w:pPr>
              <w:spacing w:after="0" w:line="20" w:lineRule="exact"/>
              <w:rPr>
                <w:sz w:val="1"/>
                <w:szCs w:val="1"/>
                <w:color w:val="auto"/>
              </w:rPr>
            </w:pPr>
          </w:p>
        </w:tc>
        <w:tc>
          <w:tcPr>
            <w:tcW w:w="200" w:type="dxa"/>
            <w:vAlign w:val="bottom"/>
            <w:tcBorders>
              <w:bottom w:val="single" w:sz="8" w:color="54585A"/>
            </w:tcBorders>
          </w:tcPr>
          <w:p>
            <w:pPr>
              <w:spacing w:after="0" w:line="20" w:lineRule="exact"/>
              <w:rPr>
                <w:sz w:val="1"/>
                <w:szCs w:val="1"/>
                <w:color w:val="auto"/>
              </w:rPr>
            </w:pPr>
          </w:p>
        </w:tc>
        <w:tc>
          <w:tcPr>
            <w:tcW w:w="2200" w:type="dxa"/>
            <w:vAlign w:val="bottom"/>
            <w:tcBorders>
              <w:bottom w:val="single" w:sz="8" w:color="54585A"/>
            </w:tcBorders>
          </w:tcPr>
          <w:p>
            <w:pPr>
              <w:spacing w:after="0" w:line="20" w:lineRule="exact"/>
              <w:rPr>
                <w:sz w:val="1"/>
                <w:szCs w:val="1"/>
                <w:color w:val="auto"/>
              </w:rPr>
            </w:pPr>
          </w:p>
        </w:tc>
        <w:tc>
          <w:tcPr>
            <w:tcW w:w="120" w:type="dxa"/>
            <w:vAlign w:val="bottom"/>
            <w:tcBorders>
              <w:bottom w:val="single" w:sz="8" w:color="54585A"/>
            </w:tcBorders>
          </w:tcPr>
          <w:p>
            <w:pPr>
              <w:spacing w:after="0" w:line="20" w:lineRule="exact"/>
              <w:rPr>
                <w:sz w:val="1"/>
                <w:szCs w:val="1"/>
                <w:color w:val="auto"/>
              </w:rPr>
            </w:pPr>
          </w:p>
        </w:tc>
        <w:tc>
          <w:tcPr>
            <w:tcW w:w="2660" w:type="dxa"/>
            <w:vAlign w:val="bottom"/>
            <w:tcBorders>
              <w:bottom w:val="single" w:sz="8" w:color="54585A"/>
            </w:tcBorders>
          </w:tcPr>
          <w:p>
            <w:pPr>
              <w:spacing w:after="0" w:line="20" w:lineRule="exact"/>
              <w:rPr>
                <w:sz w:val="1"/>
                <w:szCs w:val="1"/>
                <w:color w:val="auto"/>
              </w:rPr>
            </w:pPr>
          </w:p>
        </w:tc>
      </w:tr>
    </w:tbl>
    <w:p>
      <w:pPr>
        <w:spacing w:after="0" w:line="220" w:lineRule="exact"/>
        <w:rPr>
          <w:sz w:val="20"/>
          <w:szCs w:val="20"/>
          <w:color w:val="auto"/>
        </w:rPr>
      </w:pPr>
    </w:p>
    <w:p>
      <w:pPr>
        <w:ind w:left="660" w:right="20" w:hanging="328"/>
        <w:spacing w:after="0" w:line="283" w:lineRule="auto"/>
        <w:tabs>
          <w:tab w:leader="none" w:pos="658" w:val="left"/>
        </w:tabs>
        <w:numPr>
          <w:ilvl w:val="0"/>
          <w:numId w:val="67"/>
        </w:numPr>
        <w:rPr>
          <w:rFonts w:ascii="Arial" w:cs="Arial" w:eastAsia="Arial" w:hAnsi="Arial"/>
          <w:sz w:val="14"/>
          <w:szCs w:val="14"/>
          <w:color w:val="54585A"/>
        </w:rPr>
      </w:pPr>
      <w:r>
        <w:rPr>
          <w:rFonts w:ascii="Arial" w:cs="Arial" w:eastAsia="Arial" w:hAnsi="Arial"/>
          <w:sz w:val="14"/>
          <w:szCs w:val="14"/>
          <w:color w:val="54585A"/>
        </w:rPr>
        <w:t>The amounts deducted or added in calculating the equity award adjustments are set forth below. Columns reporting fair value at the end of the prior year of equity awards that failed to meet vesting conditions in the year and value of dividends or other earnings paid on stock or option awards not otherwise reflected in fair value or total compensation are omitted, because they are not applicable.</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93"/>
        </w:trPr>
        <w:tc>
          <w:tcPr>
            <w:tcW w:w="640" w:type="dxa"/>
            <w:vAlign w:val="bottom"/>
            <w:shd w:val="clear" w:color="auto" w:fill="EEEDED"/>
          </w:tcPr>
          <w:p>
            <w:pPr>
              <w:spacing w:after="0"/>
              <w:rPr>
                <w:sz w:val="16"/>
                <w:szCs w:val="16"/>
                <w:color w:val="auto"/>
              </w:rPr>
            </w:pP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Average Year-End Fair</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Average Change in Fair</w:t>
            </w:r>
          </w:p>
        </w:tc>
        <w:tc>
          <w:tcPr>
            <w:tcW w:w="1780" w:type="dxa"/>
            <w:vAlign w:val="bottom"/>
            <w:shd w:val="clear" w:color="auto" w:fill="EEEDED"/>
          </w:tcPr>
          <w:p>
            <w:pPr>
              <w:spacing w:after="0"/>
              <w:rPr>
                <w:sz w:val="16"/>
                <w:szCs w:val="16"/>
                <w:color w:val="auto"/>
              </w:rPr>
            </w:pP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Average Change in Fair Value</w:t>
            </w:r>
          </w:p>
        </w:tc>
        <w:tc>
          <w:tcPr>
            <w:tcW w:w="1600" w:type="dxa"/>
            <w:vAlign w:val="bottom"/>
            <w:shd w:val="clear" w:color="auto" w:fill="EEEDED"/>
          </w:tcPr>
          <w:p>
            <w:pPr>
              <w:spacing w:after="0"/>
              <w:rPr>
                <w:sz w:val="16"/>
                <w:szCs w:val="16"/>
                <w:color w:val="auto"/>
              </w:rPr>
            </w:pPr>
          </w:p>
        </w:tc>
      </w:tr>
      <w:tr>
        <w:trPr>
          <w:trHeight w:val="162"/>
        </w:trPr>
        <w:tc>
          <w:tcPr>
            <w:tcW w:w="640" w:type="dxa"/>
            <w:vAlign w:val="bottom"/>
            <w:shd w:val="clear" w:color="auto" w:fill="EEEDED"/>
          </w:tcPr>
          <w:p>
            <w:pPr>
              <w:spacing w:after="0"/>
              <w:rPr>
                <w:sz w:val="14"/>
                <w:szCs w:val="14"/>
                <w:color w:val="auto"/>
              </w:rPr>
            </w:pP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Value of Equity Awards</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Value from Last Day of</w:t>
            </w:r>
          </w:p>
        </w:tc>
        <w:tc>
          <w:tcPr>
            <w:tcW w:w="17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Average Change in Fair</w:t>
            </w: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from Last Day of Prior Year to</w:t>
            </w:r>
          </w:p>
        </w:tc>
        <w:tc>
          <w:tcPr>
            <w:tcW w:w="1600" w:type="dxa"/>
            <w:vAlign w:val="bottom"/>
            <w:shd w:val="clear" w:color="auto" w:fill="EEEDED"/>
          </w:tcPr>
          <w:p>
            <w:pPr>
              <w:spacing w:after="0"/>
              <w:rPr>
                <w:sz w:val="14"/>
                <w:szCs w:val="14"/>
                <w:color w:val="auto"/>
              </w:rPr>
            </w:pPr>
          </w:p>
        </w:tc>
      </w:tr>
      <w:tr>
        <w:trPr>
          <w:trHeight w:val="176"/>
        </w:trPr>
        <w:tc>
          <w:tcPr>
            <w:tcW w:w="640" w:type="dxa"/>
            <w:vAlign w:val="bottom"/>
            <w:shd w:val="clear" w:color="auto" w:fill="EEEDED"/>
          </w:tcPr>
          <w:p>
            <w:pPr>
              <w:spacing w:after="0"/>
              <w:rPr>
                <w:sz w:val="15"/>
                <w:szCs w:val="15"/>
                <w:color w:val="auto"/>
              </w:rPr>
            </w:pP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Granted During Year That</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Prior Year to Last Day of</w:t>
            </w:r>
          </w:p>
        </w:tc>
        <w:tc>
          <w:tcPr>
            <w:tcW w:w="17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Value of Equity Awards</w:t>
            </w: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Vesting Date of Unvested</w:t>
            </w:r>
          </w:p>
        </w:tc>
        <w:tc>
          <w:tcPr>
            <w:tcW w:w="160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Total - Average</w:t>
            </w:r>
          </w:p>
        </w:tc>
      </w:tr>
      <w:tr>
        <w:trPr>
          <w:trHeight w:val="175"/>
        </w:trPr>
        <w:tc>
          <w:tcPr>
            <w:tcW w:w="640" w:type="dxa"/>
            <w:vAlign w:val="bottom"/>
            <w:shd w:val="clear" w:color="auto" w:fill="EEEDED"/>
          </w:tcPr>
          <w:p>
            <w:pPr>
              <w:spacing w:after="0"/>
              <w:rPr>
                <w:sz w:val="15"/>
                <w:szCs w:val="15"/>
                <w:color w:val="auto"/>
              </w:rPr>
            </w:pP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Remained Unvested as of</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Year of Unvested Equity</w:t>
            </w:r>
          </w:p>
        </w:tc>
        <w:tc>
          <w:tcPr>
            <w:tcW w:w="17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Granted and Vested in</w:t>
            </w: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Equity Awards that Vested</w:t>
            </w:r>
          </w:p>
        </w:tc>
        <w:tc>
          <w:tcPr>
            <w:tcW w:w="160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Inclusion of Equity</w:t>
            </w:r>
          </w:p>
        </w:tc>
      </w:tr>
      <w:tr>
        <w:trPr>
          <w:trHeight w:val="176"/>
        </w:trPr>
        <w:tc>
          <w:tcPr>
            <w:tcW w:w="640" w:type="dxa"/>
            <w:vAlign w:val="bottom"/>
            <w:shd w:val="clear" w:color="auto" w:fill="EEEDED"/>
          </w:tcPr>
          <w:p>
            <w:pPr>
              <w:spacing w:after="0"/>
              <w:rPr>
                <w:sz w:val="15"/>
                <w:szCs w:val="15"/>
                <w:color w:val="auto"/>
              </w:rPr>
            </w:pP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Last Day of Year for Non-</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Awards for Non-PEO</w:t>
            </w:r>
          </w:p>
        </w:tc>
        <w:tc>
          <w:tcPr>
            <w:tcW w:w="17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the same Covered Year</w:t>
            </w: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During Year for Non-PEO</w:t>
            </w:r>
          </w:p>
        </w:tc>
        <w:tc>
          <w:tcPr>
            <w:tcW w:w="160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Values for Non-PEO</w:t>
            </w:r>
          </w:p>
        </w:tc>
      </w:tr>
      <w:tr>
        <w:trPr>
          <w:trHeight w:val="175"/>
        </w:trPr>
        <w:tc>
          <w:tcPr>
            <w:tcW w:w="640" w:type="dxa"/>
            <w:vAlign w:val="bottom"/>
            <w:shd w:val="clear" w:color="auto" w:fill="EEEDED"/>
          </w:tcPr>
          <w:p>
            <w:pPr>
              <w:spacing w:after="0"/>
              <w:rPr>
                <w:sz w:val="15"/>
                <w:szCs w:val="15"/>
                <w:color w:val="auto"/>
              </w:rPr>
            </w:pP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PEO NEOs</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NEOs</w:t>
            </w:r>
          </w:p>
        </w:tc>
        <w:tc>
          <w:tcPr>
            <w:tcW w:w="17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for Non-PEO NEOs</w:t>
            </w: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NEOs</w:t>
            </w:r>
          </w:p>
        </w:tc>
        <w:tc>
          <w:tcPr>
            <w:tcW w:w="160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NEOs</w:t>
            </w:r>
          </w:p>
        </w:tc>
      </w:tr>
      <w:tr>
        <w:trPr>
          <w:trHeight w:val="196"/>
        </w:trPr>
        <w:tc>
          <w:tcPr>
            <w:tcW w:w="640" w:type="dxa"/>
            <w:vAlign w:val="bottom"/>
            <w:shd w:val="clear" w:color="auto" w:fill="EEEDED"/>
          </w:tcPr>
          <w:p>
            <w:pPr>
              <w:ind w:left="160"/>
              <w:spacing w:after="0"/>
              <w:rPr>
                <w:sz w:val="20"/>
                <w:szCs w:val="20"/>
                <w:color w:val="auto"/>
              </w:rPr>
            </w:pPr>
            <w:r>
              <w:rPr>
                <w:rFonts w:ascii="Arial" w:cs="Arial" w:eastAsia="Arial" w:hAnsi="Arial"/>
                <w:sz w:val="14"/>
                <w:szCs w:val="14"/>
                <w:b w:val="1"/>
                <w:bCs w:val="1"/>
                <w:color w:val="54585A"/>
              </w:rPr>
              <w:t>Year</w:t>
            </w:r>
          </w:p>
        </w:tc>
        <w:tc>
          <w:tcPr>
            <w:tcW w:w="1840" w:type="dxa"/>
            <w:vAlign w:val="bottom"/>
            <w:shd w:val="clear" w:color="auto" w:fill="EEEDED"/>
          </w:tcPr>
          <w:p>
            <w:pPr>
              <w:jc w:val="right"/>
              <w:ind w:right="8"/>
              <w:spacing w:after="0"/>
              <w:rPr>
                <w:sz w:val="20"/>
                <w:szCs w:val="20"/>
                <w:color w:val="auto"/>
              </w:rPr>
            </w:pPr>
            <w:r>
              <w:rPr>
                <w:rFonts w:ascii="Arial" w:cs="Arial" w:eastAsia="Arial" w:hAnsi="Arial"/>
                <w:sz w:val="14"/>
                <w:szCs w:val="14"/>
                <w:b w:val="1"/>
                <w:bCs w:val="1"/>
                <w:color w:val="54585A"/>
              </w:rPr>
              <w:t>($)</w:t>
            </w:r>
          </w:p>
        </w:tc>
        <w:tc>
          <w:tcPr>
            <w:tcW w:w="1820" w:type="dxa"/>
            <w:vAlign w:val="bottom"/>
            <w:shd w:val="clear" w:color="auto" w:fill="EEEDED"/>
          </w:tcPr>
          <w:p>
            <w:pPr>
              <w:jc w:val="right"/>
              <w:ind w:right="28"/>
              <w:spacing w:after="0"/>
              <w:rPr>
                <w:sz w:val="20"/>
                <w:szCs w:val="20"/>
                <w:color w:val="auto"/>
              </w:rPr>
            </w:pPr>
            <w:r>
              <w:rPr>
                <w:rFonts w:ascii="Arial" w:cs="Arial" w:eastAsia="Arial" w:hAnsi="Arial"/>
                <w:sz w:val="14"/>
                <w:szCs w:val="14"/>
                <w:b w:val="1"/>
                <w:bCs w:val="1"/>
                <w:color w:val="54585A"/>
              </w:rPr>
              <w:t>($)</w:t>
            </w:r>
          </w:p>
        </w:tc>
        <w:tc>
          <w:tcPr>
            <w:tcW w:w="178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216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160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r>
      <w:tr>
        <w:trPr>
          <w:trHeight w:val="110"/>
        </w:trPr>
        <w:tc>
          <w:tcPr>
            <w:tcW w:w="640" w:type="dxa"/>
            <w:vAlign w:val="bottom"/>
            <w:shd w:val="clear" w:color="auto" w:fill="EEEDED"/>
          </w:tcPr>
          <w:p>
            <w:pPr>
              <w:spacing w:after="0"/>
              <w:rPr>
                <w:sz w:val="9"/>
                <w:szCs w:val="9"/>
                <w:color w:val="auto"/>
              </w:rPr>
            </w:pPr>
          </w:p>
        </w:tc>
        <w:tc>
          <w:tcPr>
            <w:tcW w:w="1840" w:type="dxa"/>
            <w:vAlign w:val="bottom"/>
            <w:shd w:val="clear" w:color="auto" w:fill="EEEDED"/>
          </w:tcPr>
          <w:p>
            <w:pPr>
              <w:spacing w:after="0"/>
              <w:rPr>
                <w:sz w:val="9"/>
                <w:szCs w:val="9"/>
                <w:color w:val="auto"/>
              </w:rPr>
            </w:pPr>
          </w:p>
        </w:tc>
        <w:tc>
          <w:tcPr>
            <w:tcW w:w="1820" w:type="dxa"/>
            <w:vAlign w:val="bottom"/>
            <w:shd w:val="clear" w:color="auto" w:fill="EEEDED"/>
          </w:tcPr>
          <w:p>
            <w:pPr>
              <w:spacing w:after="0"/>
              <w:rPr>
                <w:sz w:val="9"/>
                <w:szCs w:val="9"/>
                <w:color w:val="auto"/>
              </w:rPr>
            </w:pPr>
          </w:p>
        </w:tc>
        <w:tc>
          <w:tcPr>
            <w:tcW w:w="1780" w:type="dxa"/>
            <w:vAlign w:val="bottom"/>
            <w:shd w:val="clear" w:color="auto" w:fill="EEEDED"/>
          </w:tcPr>
          <w:p>
            <w:pPr>
              <w:spacing w:after="0"/>
              <w:rPr>
                <w:sz w:val="9"/>
                <w:szCs w:val="9"/>
                <w:color w:val="auto"/>
              </w:rPr>
            </w:pPr>
          </w:p>
        </w:tc>
        <w:tc>
          <w:tcPr>
            <w:tcW w:w="2160" w:type="dxa"/>
            <w:vAlign w:val="bottom"/>
            <w:shd w:val="clear" w:color="auto" w:fill="EEEDED"/>
          </w:tcPr>
          <w:p>
            <w:pPr>
              <w:spacing w:after="0"/>
              <w:rPr>
                <w:sz w:val="9"/>
                <w:szCs w:val="9"/>
                <w:color w:val="auto"/>
              </w:rPr>
            </w:pPr>
          </w:p>
        </w:tc>
        <w:tc>
          <w:tcPr>
            <w:tcW w:w="1600" w:type="dxa"/>
            <w:vAlign w:val="bottom"/>
            <w:shd w:val="clear" w:color="auto" w:fill="EEEDED"/>
          </w:tcPr>
          <w:p>
            <w:pPr>
              <w:spacing w:after="0"/>
              <w:rPr>
                <w:sz w:val="9"/>
                <w:szCs w:val="9"/>
                <w:color w:val="auto"/>
              </w:rPr>
            </w:pPr>
          </w:p>
        </w:tc>
      </w:tr>
      <w:tr>
        <w:trPr>
          <w:trHeight w:val="208"/>
        </w:trPr>
        <w:tc>
          <w:tcPr>
            <w:tcW w:w="640" w:type="dxa"/>
            <w:vAlign w:val="bottom"/>
          </w:tcPr>
          <w:p>
            <w:pPr>
              <w:ind w:left="160"/>
              <w:spacing w:after="0"/>
              <w:rPr>
                <w:sz w:val="20"/>
                <w:szCs w:val="20"/>
                <w:color w:val="auto"/>
              </w:rPr>
            </w:pPr>
            <w:r>
              <w:rPr>
                <w:rFonts w:ascii="Arial" w:cs="Arial" w:eastAsia="Arial" w:hAnsi="Arial"/>
                <w:sz w:val="14"/>
                <w:szCs w:val="14"/>
                <w:color w:val="54585A"/>
              </w:rPr>
              <w:t>2024</w:t>
            </w:r>
          </w:p>
        </w:tc>
        <w:tc>
          <w:tcPr>
            <w:tcW w:w="1840" w:type="dxa"/>
            <w:vAlign w:val="bottom"/>
          </w:tcPr>
          <w:p>
            <w:pPr>
              <w:jc w:val="right"/>
              <w:ind w:right="48"/>
              <w:spacing w:after="0"/>
              <w:rPr>
                <w:sz w:val="20"/>
                <w:szCs w:val="20"/>
                <w:color w:val="auto"/>
              </w:rPr>
            </w:pPr>
            <w:r>
              <w:rPr>
                <w:rFonts w:ascii="Arial" w:cs="Arial" w:eastAsia="Arial" w:hAnsi="Arial"/>
                <w:sz w:val="14"/>
                <w:szCs w:val="14"/>
                <w:color w:val="54585A"/>
              </w:rPr>
              <w:t>168,477</w:t>
            </w:r>
          </w:p>
        </w:tc>
        <w:tc>
          <w:tcPr>
            <w:tcW w:w="1820" w:type="dxa"/>
            <w:vAlign w:val="bottom"/>
          </w:tcPr>
          <w:p>
            <w:pPr>
              <w:jc w:val="right"/>
              <w:ind w:right="68"/>
              <w:spacing w:after="0"/>
              <w:rPr>
                <w:sz w:val="20"/>
                <w:szCs w:val="20"/>
                <w:color w:val="auto"/>
              </w:rPr>
            </w:pPr>
            <w:r>
              <w:rPr>
                <w:rFonts w:ascii="Arial" w:cs="Arial" w:eastAsia="Arial" w:hAnsi="Arial"/>
                <w:sz w:val="14"/>
                <w:szCs w:val="14"/>
                <w:color w:val="54585A"/>
              </w:rPr>
              <w:t>57,202</w:t>
            </w:r>
          </w:p>
        </w:tc>
        <w:tc>
          <w:tcPr>
            <w:tcW w:w="1780" w:type="dxa"/>
            <w:vAlign w:val="bottom"/>
          </w:tcPr>
          <w:p>
            <w:pPr>
              <w:jc w:val="right"/>
              <w:ind w:right="48"/>
              <w:spacing w:after="0"/>
              <w:rPr>
                <w:sz w:val="20"/>
                <w:szCs w:val="20"/>
                <w:color w:val="auto"/>
              </w:rPr>
            </w:pPr>
            <w:r>
              <w:rPr>
                <w:rFonts w:ascii="Arial" w:cs="Arial" w:eastAsia="Arial" w:hAnsi="Arial"/>
                <w:sz w:val="14"/>
                <w:szCs w:val="14"/>
                <w:color w:val="54585A"/>
              </w:rPr>
              <w:t>210,887</w:t>
            </w:r>
          </w:p>
        </w:tc>
        <w:tc>
          <w:tcPr>
            <w:tcW w:w="2160" w:type="dxa"/>
            <w:vAlign w:val="bottom"/>
          </w:tcPr>
          <w:p>
            <w:pPr>
              <w:jc w:val="right"/>
              <w:ind w:right="48"/>
              <w:spacing w:after="0"/>
              <w:rPr>
                <w:sz w:val="20"/>
                <w:szCs w:val="20"/>
                <w:color w:val="auto"/>
              </w:rPr>
            </w:pPr>
            <w:r>
              <w:rPr>
                <w:rFonts w:ascii="Arial" w:cs="Arial" w:eastAsia="Arial" w:hAnsi="Arial"/>
                <w:sz w:val="14"/>
                <w:szCs w:val="14"/>
                <w:color w:val="54585A"/>
              </w:rPr>
              <w:t>21,603</w:t>
            </w:r>
          </w:p>
        </w:tc>
        <w:tc>
          <w:tcPr>
            <w:tcW w:w="1600" w:type="dxa"/>
            <w:vAlign w:val="bottom"/>
          </w:tcPr>
          <w:p>
            <w:pPr>
              <w:jc w:val="right"/>
              <w:ind w:right="128"/>
              <w:spacing w:after="0"/>
              <w:rPr>
                <w:sz w:val="20"/>
                <w:szCs w:val="20"/>
                <w:color w:val="auto"/>
              </w:rPr>
            </w:pPr>
            <w:r>
              <w:rPr>
                <w:rFonts w:ascii="Arial" w:cs="Arial" w:eastAsia="Arial" w:hAnsi="Arial"/>
                <w:sz w:val="14"/>
                <w:szCs w:val="14"/>
                <w:color w:val="54585A"/>
              </w:rPr>
              <w:t>458,169</w:t>
            </w:r>
          </w:p>
        </w:tc>
      </w:tr>
      <w:tr>
        <w:trPr>
          <w:trHeight w:val="22"/>
        </w:trPr>
        <w:tc>
          <w:tcPr>
            <w:tcW w:w="640" w:type="dxa"/>
            <w:vAlign w:val="bottom"/>
            <w:tcBorders>
              <w:bottom w:val="single" w:sz="8" w:color="54585A"/>
            </w:tcBorders>
          </w:tcPr>
          <w:p>
            <w:pPr>
              <w:spacing w:after="0" w:line="20" w:lineRule="exact"/>
              <w:rPr>
                <w:sz w:val="1"/>
                <w:szCs w:val="1"/>
                <w:color w:val="auto"/>
              </w:rPr>
            </w:pPr>
          </w:p>
        </w:tc>
        <w:tc>
          <w:tcPr>
            <w:tcW w:w="1840" w:type="dxa"/>
            <w:vAlign w:val="bottom"/>
            <w:tcBorders>
              <w:bottom w:val="single" w:sz="8" w:color="54585A"/>
            </w:tcBorders>
          </w:tcPr>
          <w:p>
            <w:pPr>
              <w:spacing w:after="0" w:line="20" w:lineRule="exact"/>
              <w:rPr>
                <w:sz w:val="1"/>
                <w:szCs w:val="1"/>
                <w:color w:val="auto"/>
              </w:rPr>
            </w:pPr>
          </w:p>
        </w:tc>
        <w:tc>
          <w:tcPr>
            <w:tcW w:w="182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2160" w:type="dxa"/>
            <w:vAlign w:val="bottom"/>
            <w:tcBorders>
              <w:bottom w:val="single" w:sz="8" w:color="54585A"/>
            </w:tcBorders>
          </w:tcPr>
          <w:p>
            <w:pPr>
              <w:spacing w:after="0" w:line="20" w:lineRule="exact"/>
              <w:rPr>
                <w:sz w:val="1"/>
                <w:szCs w:val="1"/>
                <w:color w:val="auto"/>
              </w:rPr>
            </w:pPr>
          </w:p>
        </w:tc>
        <w:tc>
          <w:tcPr>
            <w:tcW w:w="1600" w:type="dxa"/>
            <w:vAlign w:val="bottom"/>
            <w:tcBorders>
              <w:bottom w:val="single" w:sz="8" w:color="54585A"/>
            </w:tcBorders>
          </w:tcPr>
          <w:p>
            <w:pPr>
              <w:spacing w:after="0" w:line="20" w:lineRule="exact"/>
              <w:rPr>
                <w:sz w:val="1"/>
                <w:szCs w:val="1"/>
                <w:color w:val="auto"/>
              </w:rPr>
            </w:pPr>
          </w:p>
        </w:tc>
      </w:tr>
      <w:tr>
        <w:trPr>
          <w:trHeight w:val="201"/>
        </w:trPr>
        <w:tc>
          <w:tcPr>
            <w:tcW w:w="640" w:type="dxa"/>
            <w:vAlign w:val="bottom"/>
          </w:tcPr>
          <w:p>
            <w:pPr>
              <w:ind w:left="160"/>
              <w:spacing w:after="0"/>
              <w:rPr>
                <w:sz w:val="20"/>
                <w:szCs w:val="20"/>
                <w:color w:val="auto"/>
              </w:rPr>
            </w:pPr>
            <w:r>
              <w:rPr>
                <w:rFonts w:ascii="Arial" w:cs="Arial" w:eastAsia="Arial" w:hAnsi="Arial"/>
                <w:sz w:val="14"/>
                <w:szCs w:val="14"/>
                <w:color w:val="54585A"/>
              </w:rPr>
              <w:t>2023</w:t>
            </w:r>
          </w:p>
        </w:tc>
        <w:tc>
          <w:tcPr>
            <w:tcW w:w="1840" w:type="dxa"/>
            <w:vAlign w:val="bottom"/>
          </w:tcPr>
          <w:p>
            <w:pPr>
              <w:jc w:val="right"/>
              <w:ind w:right="48"/>
              <w:spacing w:after="0"/>
              <w:rPr>
                <w:sz w:val="20"/>
                <w:szCs w:val="20"/>
                <w:color w:val="auto"/>
              </w:rPr>
            </w:pPr>
            <w:r>
              <w:rPr>
                <w:rFonts w:ascii="Arial" w:cs="Arial" w:eastAsia="Arial" w:hAnsi="Arial"/>
                <w:sz w:val="14"/>
                <w:szCs w:val="14"/>
                <w:color w:val="54585A"/>
              </w:rPr>
              <w:t>155,208</w:t>
            </w:r>
          </w:p>
        </w:tc>
        <w:tc>
          <w:tcPr>
            <w:tcW w:w="1820" w:type="dxa"/>
            <w:vAlign w:val="bottom"/>
          </w:tcPr>
          <w:p>
            <w:pPr>
              <w:jc w:val="right"/>
              <w:ind w:right="68"/>
              <w:spacing w:after="0"/>
              <w:rPr>
                <w:sz w:val="20"/>
                <w:szCs w:val="20"/>
                <w:color w:val="auto"/>
              </w:rPr>
            </w:pPr>
            <w:r>
              <w:rPr>
                <w:rFonts w:ascii="Arial" w:cs="Arial" w:eastAsia="Arial" w:hAnsi="Arial"/>
                <w:sz w:val="14"/>
                <w:szCs w:val="14"/>
                <w:color w:val="54585A"/>
              </w:rPr>
              <w:t>223,673</w:t>
            </w:r>
          </w:p>
        </w:tc>
        <w:tc>
          <w:tcPr>
            <w:tcW w:w="1780" w:type="dxa"/>
            <w:vAlign w:val="bottom"/>
          </w:tcPr>
          <w:p>
            <w:pPr>
              <w:jc w:val="right"/>
              <w:ind w:right="48"/>
              <w:spacing w:after="0"/>
              <w:rPr>
                <w:sz w:val="20"/>
                <w:szCs w:val="20"/>
                <w:color w:val="auto"/>
              </w:rPr>
            </w:pPr>
            <w:r>
              <w:rPr>
                <w:rFonts w:ascii="Arial" w:cs="Arial" w:eastAsia="Arial" w:hAnsi="Arial"/>
                <w:sz w:val="14"/>
                <w:szCs w:val="14"/>
                <w:color w:val="54585A"/>
              </w:rPr>
              <w:t>177,194</w:t>
            </w:r>
          </w:p>
        </w:tc>
        <w:tc>
          <w:tcPr>
            <w:tcW w:w="2160" w:type="dxa"/>
            <w:vAlign w:val="bottom"/>
          </w:tcPr>
          <w:p>
            <w:pPr>
              <w:jc w:val="right"/>
              <w:ind w:right="48"/>
              <w:spacing w:after="0"/>
              <w:rPr>
                <w:sz w:val="20"/>
                <w:szCs w:val="20"/>
                <w:color w:val="auto"/>
              </w:rPr>
            </w:pPr>
            <w:r>
              <w:rPr>
                <w:rFonts w:ascii="Arial" w:cs="Arial" w:eastAsia="Arial" w:hAnsi="Arial"/>
                <w:sz w:val="14"/>
                <w:szCs w:val="14"/>
                <w:color w:val="54585A"/>
              </w:rPr>
              <w:t>14,701</w:t>
            </w:r>
          </w:p>
        </w:tc>
        <w:tc>
          <w:tcPr>
            <w:tcW w:w="1600" w:type="dxa"/>
            <w:vAlign w:val="bottom"/>
          </w:tcPr>
          <w:p>
            <w:pPr>
              <w:jc w:val="right"/>
              <w:ind w:right="128"/>
              <w:spacing w:after="0"/>
              <w:rPr>
                <w:sz w:val="20"/>
                <w:szCs w:val="20"/>
                <w:color w:val="auto"/>
              </w:rPr>
            </w:pPr>
            <w:r>
              <w:rPr>
                <w:rFonts w:ascii="Arial" w:cs="Arial" w:eastAsia="Arial" w:hAnsi="Arial"/>
                <w:sz w:val="14"/>
                <w:szCs w:val="14"/>
                <w:color w:val="54585A"/>
              </w:rPr>
              <w:t>570,776</w:t>
            </w:r>
          </w:p>
        </w:tc>
      </w:tr>
      <w:tr>
        <w:trPr>
          <w:trHeight w:val="22"/>
        </w:trPr>
        <w:tc>
          <w:tcPr>
            <w:tcW w:w="640" w:type="dxa"/>
            <w:vAlign w:val="bottom"/>
            <w:tcBorders>
              <w:bottom w:val="single" w:sz="8" w:color="54585A"/>
            </w:tcBorders>
          </w:tcPr>
          <w:p>
            <w:pPr>
              <w:spacing w:after="0" w:line="20" w:lineRule="exact"/>
              <w:rPr>
                <w:sz w:val="1"/>
                <w:szCs w:val="1"/>
                <w:color w:val="auto"/>
              </w:rPr>
            </w:pPr>
          </w:p>
        </w:tc>
        <w:tc>
          <w:tcPr>
            <w:tcW w:w="1840" w:type="dxa"/>
            <w:vAlign w:val="bottom"/>
            <w:tcBorders>
              <w:bottom w:val="single" w:sz="8" w:color="54585A"/>
            </w:tcBorders>
          </w:tcPr>
          <w:p>
            <w:pPr>
              <w:spacing w:after="0" w:line="20" w:lineRule="exact"/>
              <w:rPr>
                <w:sz w:val="1"/>
                <w:szCs w:val="1"/>
                <w:color w:val="auto"/>
              </w:rPr>
            </w:pPr>
          </w:p>
        </w:tc>
        <w:tc>
          <w:tcPr>
            <w:tcW w:w="182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2160" w:type="dxa"/>
            <w:vAlign w:val="bottom"/>
            <w:tcBorders>
              <w:bottom w:val="single" w:sz="8" w:color="54585A"/>
            </w:tcBorders>
          </w:tcPr>
          <w:p>
            <w:pPr>
              <w:spacing w:after="0" w:line="20" w:lineRule="exact"/>
              <w:rPr>
                <w:sz w:val="1"/>
                <w:szCs w:val="1"/>
                <w:color w:val="auto"/>
              </w:rPr>
            </w:pPr>
          </w:p>
        </w:tc>
        <w:tc>
          <w:tcPr>
            <w:tcW w:w="1600" w:type="dxa"/>
            <w:vAlign w:val="bottom"/>
            <w:tcBorders>
              <w:bottom w:val="single" w:sz="8" w:color="54585A"/>
            </w:tcBorders>
          </w:tcPr>
          <w:p>
            <w:pPr>
              <w:spacing w:after="0" w:line="20" w:lineRule="exact"/>
              <w:rPr>
                <w:sz w:val="1"/>
                <w:szCs w:val="1"/>
                <w:color w:val="auto"/>
              </w:rPr>
            </w:pPr>
          </w:p>
        </w:tc>
      </w:tr>
      <w:tr>
        <w:trPr>
          <w:trHeight w:val="202"/>
        </w:trPr>
        <w:tc>
          <w:tcPr>
            <w:tcW w:w="640" w:type="dxa"/>
            <w:vAlign w:val="bottom"/>
          </w:tcPr>
          <w:p>
            <w:pPr>
              <w:ind w:left="160"/>
              <w:spacing w:after="0"/>
              <w:rPr>
                <w:sz w:val="20"/>
                <w:szCs w:val="20"/>
                <w:color w:val="auto"/>
              </w:rPr>
            </w:pPr>
            <w:r>
              <w:rPr>
                <w:rFonts w:ascii="Arial" w:cs="Arial" w:eastAsia="Arial" w:hAnsi="Arial"/>
                <w:sz w:val="14"/>
                <w:szCs w:val="14"/>
                <w:color w:val="54585A"/>
              </w:rPr>
              <w:t>2022</w:t>
            </w:r>
          </w:p>
        </w:tc>
        <w:tc>
          <w:tcPr>
            <w:tcW w:w="1840" w:type="dxa"/>
            <w:vAlign w:val="bottom"/>
          </w:tcPr>
          <w:p>
            <w:pPr>
              <w:jc w:val="right"/>
              <w:ind w:right="48"/>
              <w:spacing w:after="0"/>
              <w:rPr>
                <w:sz w:val="20"/>
                <w:szCs w:val="20"/>
                <w:color w:val="auto"/>
              </w:rPr>
            </w:pPr>
            <w:r>
              <w:rPr>
                <w:rFonts w:ascii="Arial" w:cs="Arial" w:eastAsia="Arial" w:hAnsi="Arial"/>
                <w:sz w:val="14"/>
                <w:szCs w:val="14"/>
                <w:color w:val="54585A"/>
              </w:rPr>
              <w:t>724,856</w:t>
            </w:r>
          </w:p>
        </w:tc>
        <w:tc>
          <w:tcPr>
            <w:tcW w:w="1820" w:type="dxa"/>
            <w:vAlign w:val="bottom"/>
          </w:tcPr>
          <w:p>
            <w:pPr>
              <w:jc w:val="right"/>
              <w:ind w:right="28"/>
              <w:spacing w:after="0"/>
              <w:rPr>
                <w:sz w:val="20"/>
                <w:szCs w:val="20"/>
                <w:color w:val="auto"/>
              </w:rPr>
            </w:pPr>
            <w:r>
              <w:rPr>
                <w:rFonts w:ascii="Arial" w:cs="Arial" w:eastAsia="Arial" w:hAnsi="Arial"/>
                <w:sz w:val="14"/>
                <w:szCs w:val="14"/>
                <w:color w:val="54585A"/>
              </w:rPr>
              <w:t>(7,629)</w:t>
            </w:r>
          </w:p>
        </w:tc>
        <w:tc>
          <w:tcPr>
            <w:tcW w:w="1780" w:type="dxa"/>
            <w:vAlign w:val="bottom"/>
          </w:tcPr>
          <w:p>
            <w:pPr>
              <w:jc w:val="right"/>
              <w:ind w:right="48"/>
              <w:spacing w:after="0"/>
              <w:rPr>
                <w:sz w:val="20"/>
                <w:szCs w:val="20"/>
                <w:color w:val="auto"/>
              </w:rPr>
            </w:pPr>
            <w:r>
              <w:rPr>
                <w:rFonts w:ascii="Arial" w:cs="Arial" w:eastAsia="Arial" w:hAnsi="Arial"/>
                <w:sz w:val="14"/>
                <w:szCs w:val="14"/>
                <w:color w:val="54585A"/>
              </w:rPr>
              <w:t>40,000</w:t>
            </w:r>
          </w:p>
        </w:tc>
        <w:tc>
          <w:tcPr>
            <w:tcW w:w="2160" w:type="dxa"/>
            <w:vAlign w:val="bottom"/>
          </w:tcPr>
          <w:p>
            <w:pPr>
              <w:jc w:val="right"/>
              <w:ind w:right="48"/>
              <w:spacing w:after="0"/>
              <w:rPr>
                <w:sz w:val="20"/>
                <w:szCs w:val="20"/>
                <w:color w:val="auto"/>
              </w:rPr>
            </w:pPr>
            <w:r>
              <w:rPr>
                <w:rFonts w:ascii="Arial" w:cs="Arial" w:eastAsia="Arial" w:hAnsi="Arial"/>
                <w:sz w:val="14"/>
                <w:szCs w:val="14"/>
                <w:color w:val="54585A"/>
              </w:rPr>
              <w:t>171,082</w:t>
            </w:r>
          </w:p>
        </w:tc>
        <w:tc>
          <w:tcPr>
            <w:tcW w:w="1600" w:type="dxa"/>
            <w:vAlign w:val="bottom"/>
          </w:tcPr>
          <w:p>
            <w:pPr>
              <w:jc w:val="right"/>
              <w:ind w:right="128"/>
              <w:spacing w:after="0"/>
              <w:rPr>
                <w:sz w:val="20"/>
                <w:szCs w:val="20"/>
                <w:color w:val="auto"/>
              </w:rPr>
            </w:pPr>
            <w:r>
              <w:rPr>
                <w:rFonts w:ascii="Arial" w:cs="Arial" w:eastAsia="Arial" w:hAnsi="Arial"/>
                <w:sz w:val="14"/>
                <w:szCs w:val="14"/>
                <w:color w:val="54585A"/>
              </w:rPr>
              <w:t>928,309</w:t>
            </w:r>
          </w:p>
        </w:tc>
      </w:tr>
      <w:tr>
        <w:trPr>
          <w:trHeight w:val="22"/>
        </w:trPr>
        <w:tc>
          <w:tcPr>
            <w:tcW w:w="640" w:type="dxa"/>
            <w:vAlign w:val="bottom"/>
            <w:tcBorders>
              <w:bottom w:val="single" w:sz="8" w:color="54585A"/>
            </w:tcBorders>
          </w:tcPr>
          <w:p>
            <w:pPr>
              <w:spacing w:after="0" w:line="20" w:lineRule="exact"/>
              <w:rPr>
                <w:sz w:val="1"/>
                <w:szCs w:val="1"/>
                <w:color w:val="auto"/>
              </w:rPr>
            </w:pPr>
          </w:p>
        </w:tc>
        <w:tc>
          <w:tcPr>
            <w:tcW w:w="1840" w:type="dxa"/>
            <w:vAlign w:val="bottom"/>
            <w:tcBorders>
              <w:bottom w:val="single" w:sz="8" w:color="54585A"/>
            </w:tcBorders>
          </w:tcPr>
          <w:p>
            <w:pPr>
              <w:spacing w:after="0" w:line="20" w:lineRule="exact"/>
              <w:rPr>
                <w:sz w:val="1"/>
                <w:szCs w:val="1"/>
                <w:color w:val="auto"/>
              </w:rPr>
            </w:pPr>
          </w:p>
        </w:tc>
        <w:tc>
          <w:tcPr>
            <w:tcW w:w="182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2160" w:type="dxa"/>
            <w:vAlign w:val="bottom"/>
            <w:tcBorders>
              <w:bottom w:val="single" w:sz="8" w:color="54585A"/>
            </w:tcBorders>
          </w:tcPr>
          <w:p>
            <w:pPr>
              <w:spacing w:after="0" w:line="20" w:lineRule="exact"/>
              <w:rPr>
                <w:sz w:val="1"/>
                <w:szCs w:val="1"/>
                <w:color w:val="auto"/>
              </w:rPr>
            </w:pPr>
          </w:p>
        </w:tc>
        <w:tc>
          <w:tcPr>
            <w:tcW w:w="1600" w:type="dxa"/>
            <w:vAlign w:val="bottom"/>
            <w:tcBorders>
              <w:bottom w:val="single" w:sz="8" w:color="54585A"/>
            </w:tcBorders>
          </w:tcPr>
          <w:p>
            <w:pPr>
              <w:spacing w:after="0" w:line="20" w:lineRule="exact"/>
              <w:rPr>
                <w:sz w:val="1"/>
                <w:szCs w:val="1"/>
                <w:color w:val="auto"/>
              </w:rPr>
            </w:pPr>
          </w:p>
        </w:tc>
      </w:tr>
      <w:tr>
        <w:trPr>
          <w:trHeight w:val="201"/>
        </w:trPr>
        <w:tc>
          <w:tcPr>
            <w:tcW w:w="640" w:type="dxa"/>
            <w:vAlign w:val="bottom"/>
          </w:tcPr>
          <w:p>
            <w:pPr>
              <w:ind w:left="160"/>
              <w:spacing w:after="0"/>
              <w:rPr>
                <w:sz w:val="20"/>
                <w:szCs w:val="20"/>
                <w:color w:val="auto"/>
              </w:rPr>
            </w:pPr>
            <w:r>
              <w:rPr>
                <w:rFonts w:ascii="Arial" w:cs="Arial" w:eastAsia="Arial" w:hAnsi="Arial"/>
                <w:sz w:val="14"/>
                <w:szCs w:val="14"/>
                <w:color w:val="54585A"/>
              </w:rPr>
              <w:t>2021</w:t>
            </w:r>
          </w:p>
        </w:tc>
        <w:tc>
          <w:tcPr>
            <w:tcW w:w="1840" w:type="dxa"/>
            <w:vAlign w:val="bottom"/>
          </w:tcPr>
          <w:p>
            <w:pPr>
              <w:jc w:val="right"/>
              <w:ind w:right="48"/>
              <w:spacing w:after="0"/>
              <w:rPr>
                <w:sz w:val="20"/>
                <w:szCs w:val="20"/>
                <w:color w:val="auto"/>
              </w:rPr>
            </w:pPr>
            <w:r>
              <w:rPr>
                <w:rFonts w:ascii="Arial" w:cs="Arial" w:eastAsia="Arial" w:hAnsi="Arial"/>
                <w:sz w:val="14"/>
                <w:szCs w:val="14"/>
                <w:color w:val="54585A"/>
              </w:rPr>
              <w:t>139,200</w:t>
            </w:r>
          </w:p>
        </w:tc>
        <w:tc>
          <w:tcPr>
            <w:tcW w:w="1820" w:type="dxa"/>
            <w:vAlign w:val="bottom"/>
          </w:tcPr>
          <w:p>
            <w:pPr>
              <w:jc w:val="right"/>
              <w:ind w:right="68"/>
              <w:spacing w:after="0"/>
              <w:rPr>
                <w:sz w:val="20"/>
                <w:szCs w:val="20"/>
                <w:color w:val="auto"/>
              </w:rPr>
            </w:pPr>
            <w:r>
              <w:rPr>
                <w:rFonts w:ascii="Arial" w:cs="Arial" w:eastAsia="Arial" w:hAnsi="Arial"/>
                <w:sz w:val="14"/>
                <w:szCs w:val="14"/>
                <w:color w:val="54585A"/>
              </w:rPr>
              <w:t>118,139</w:t>
            </w:r>
          </w:p>
        </w:tc>
        <w:tc>
          <w:tcPr>
            <w:tcW w:w="1780" w:type="dxa"/>
            <w:vAlign w:val="bottom"/>
          </w:tcPr>
          <w:p>
            <w:pPr>
              <w:jc w:val="right"/>
              <w:ind w:right="48"/>
              <w:spacing w:after="0"/>
              <w:rPr>
                <w:sz w:val="20"/>
                <w:szCs w:val="20"/>
                <w:color w:val="auto"/>
              </w:rPr>
            </w:pPr>
            <w:r>
              <w:rPr>
                <w:rFonts w:ascii="Arial" w:cs="Arial" w:eastAsia="Arial" w:hAnsi="Arial"/>
                <w:sz w:val="14"/>
                <w:szCs w:val="14"/>
                <w:color w:val="54585A"/>
              </w:rPr>
              <w:t>93,300</w:t>
            </w:r>
          </w:p>
        </w:tc>
        <w:tc>
          <w:tcPr>
            <w:tcW w:w="2160" w:type="dxa"/>
            <w:vAlign w:val="bottom"/>
          </w:tcPr>
          <w:p>
            <w:pPr>
              <w:jc w:val="right"/>
              <w:ind w:right="48"/>
              <w:spacing w:after="0"/>
              <w:rPr>
                <w:sz w:val="20"/>
                <w:szCs w:val="20"/>
                <w:color w:val="auto"/>
              </w:rPr>
            </w:pPr>
            <w:r>
              <w:rPr>
                <w:rFonts w:ascii="Arial" w:cs="Arial" w:eastAsia="Arial" w:hAnsi="Arial"/>
                <w:sz w:val="14"/>
                <w:szCs w:val="14"/>
                <w:color w:val="54585A"/>
              </w:rPr>
              <w:t>221,940</w:t>
            </w:r>
          </w:p>
        </w:tc>
        <w:tc>
          <w:tcPr>
            <w:tcW w:w="1600" w:type="dxa"/>
            <w:vAlign w:val="bottom"/>
          </w:tcPr>
          <w:p>
            <w:pPr>
              <w:jc w:val="right"/>
              <w:ind w:right="128"/>
              <w:spacing w:after="0"/>
              <w:rPr>
                <w:sz w:val="20"/>
                <w:szCs w:val="20"/>
                <w:color w:val="auto"/>
              </w:rPr>
            </w:pPr>
            <w:r>
              <w:rPr>
                <w:rFonts w:ascii="Arial" w:cs="Arial" w:eastAsia="Arial" w:hAnsi="Arial"/>
                <w:sz w:val="14"/>
                <w:szCs w:val="14"/>
                <w:color w:val="54585A"/>
              </w:rPr>
              <w:t>572,579</w:t>
            </w:r>
          </w:p>
        </w:tc>
      </w:tr>
      <w:tr>
        <w:trPr>
          <w:trHeight w:val="22"/>
        </w:trPr>
        <w:tc>
          <w:tcPr>
            <w:tcW w:w="640" w:type="dxa"/>
            <w:vAlign w:val="bottom"/>
            <w:tcBorders>
              <w:bottom w:val="single" w:sz="8" w:color="54585A"/>
            </w:tcBorders>
          </w:tcPr>
          <w:p>
            <w:pPr>
              <w:spacing w:after="0" w:line="20" w:lineRule="exact"/>
              <w:rPr>
                <w:sz w:val="1"/>
                <w:szCs w:val="1"/>
                <w:color w:val="auto"/>
              </w:rPr>
            </w:pPr>
          </w:p>
        </w:tc>
        <w:tc>
          <w:tcPr>
            <w:tcW w:w="1840" w:type="dxa"/>
            <w:vAlign w:val="bottom"/>
            <w:tcBorders>
              <w:bottom w:val="single" w:sz="8" w:color="54585A"/>
            </w:tcBorders>
          </w:tcPr>
          <w:p>
            <w:pPr>
              <w:spacing w:after="0" w:line="20" w:lineRule="exact"/>
              <w:rPr>
                <w:sz w:val="1"/>
                <w:szCs w:val="1"/>
                <w:color w:val="auto"/>
              </w:rPr>
            </w:pPr>
          </w:p>
        </w:tc>
        <w:tc>
          <w:tcPr>
            <w:tcW w:w="182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2160" w:type="dxa"/>
            <w:vAlign w:val="bottom"/>
            <w:tcBorders>
              <w:bottom w:val="single" w:sz="8" w:color="54585A"/>
            </w:tcBorders>
          </w:tcPr>
          <w:p>
            <w:pPr>
              <w:spacing w:after="0" w:line="20" w:lineRule="exact"/>
              <w:rPr>
                <w:sz w:val="1"/>
                <w:szCs w:val="1"/>
                <w:color w:val="auto"/>
              </w:rPr>
            </w:pPr>
          </w:p>
        </w:tc>
        <w:tc>
          <w:tcPr>
            <w:tcW w:w="1600" w:type="dxa"/>
            <w:vAlign w:val="bottom"/>
            <w:tcBorders>
              <w:bottom w:val="single" w:sz="8" w:color="54585A"/>
            </w:tcBorders>
          </w:tcPr>
          <w:p>
            <w:pPr>
              <w:spacing w:after="0" w:line="20" w:lineRule="exact"/>
              <w:rPr>
                <w:sz w:val="1"/>
                <w:szCs w:val="1"/>
                <w:color w:val="auto"/>
              </w:rPr>
            </w:pPr>
          </w:p>
        </w:tc>
      </w:tr>
      <w:tr>
        <w:trPr>
          <w:trHeight w:val="201"/>
        </w:trPr>
        <w:tc>
          <w:tcPr>
            <w:tcW w:w="640" w:type="dxa"/>
            <w:vAlign w:val="bottom"/>
          </w:tcPr>
          <w:p>
            <w:pPr>
              <w:ind w:left="160"/>
              <w:spacing w:after="0"/>
              <w:rPr>
                <w:sz w:val="20"/>
                <w:szCs w:val="20"/>
                <w:color w:val="auto"/>
              </w:rPr>
            </w:pPr>
            <w:r>
              <w:rPr>
                <w:rFonts w:ascii="Arial" w:cs="Arial" w:eastAsia="Arial" w:hAnsi="Arial"/>
                <w:sz w:val="14"/>
                <w:szCs w:val="14"/>
                <w:color w:val="54585A"/>
              </w:rPr>
              <w:t>2020</w:t>
            </w:r>
          </w:p>
        </w:tc>
        <w:tc>
          <w:tcPr>
            <w:tcW w:w="1840" w:type="dxa"/>
            <w:vAlign w:val="bottom"/>
          </w:tcPr>
          <w:p>
            <w:pPr>
              <w:jc w:val="right"/>
              <w:ind w:right="48"/>
              <w:spacing w:after="0"/>
              <w:rPr>
                <w:sz w:val="20"/>
                <w:szCs w:val="20"/>
                <w:color w:val="auto"/>
              </w:rPr>
            </w:pPr>
            <w:r>
              <w:rPr>
                <w:rFonts w:ascii="Arial" w:cs="Arial" w:eastAsia="Arial" w:hAnsi="Arial"/>
                <w:sz w:val="14"/>
                <w:szCs w:val="14"/>
                <w:color w:val="54585A"/>
              </w:rPr>
              <w:t>55,536</w:t>
            </w:r>
          </w:p>
        </w:tc>
        <w:tc>
          <w:tcPr>
            <w:tcW w:w="1820" w:type="dxa"/>
            <w:vAlign w:val="bottom"/>
          </w:tcPr>
          <w:p>
            <w:pPr>
              <w:jc w:val="right"/>
              <w:ind w:right="28"/>
              <w:spacing w:after="0"/>
              <w:rPr>
                <w:sz w:val="20"/>
                <w:szCs w:val="20"/>
                <w:color w:val="auto"/>
              </w:rPr>
            </w:pPr>
            <w:r>
              <w:rPr>
                <w:rFonts w:ascii="Arial" w:cs="Arial" w:eastAsia="Arial" w:hAnsi="Arial"/>
                <w:sz w:val="14"/>
                <w:szCs w:val="14"/>
                <w:color w:val="54585A"/>
              </w:rPr>
              <w:t>(17,090)</w:t>
            </w:r>
          </w:p>
        </w:tc>
        <w:tc>
          <w:tcPr>
            <w:tcW w:w="1780" w:type="dxa"/>
            <w:vAlign w:val="bottom"/>
          </w:tcPr>
          <w:p>
            <w:pPr>
              <w:jc w:val="right"/>
              <w:ind w:right="48"/>
              <w:spacing w:after="0"/>
              <w:rPr>
                <w:sz w:val="20"/>
                <w:szCs w:val="20"/>
                <w:color w:val="auto"/>
              </w:rPr>
            </w:pPr>
            <w:r>
              <w:rPr>
                <w:rFonts w:ascii="Arial" w:cs="Arial" w:eastAsia="Arial" w:hAnsi="Arial"/>
                <w:sz w:val="14"/>
                <w:szCs w:val="14"/>
                <w:color w:val="54585A"/>
              </w:rPr>
              <w:t>170,481</w:t>
            </w:r>
          </w:p>
        </w:tc>
        <w:tc>
          <w:tcPr>
            <w:tcW w:w="2160" w:type="dxa"/>
            <w:vAlign w:val="bottom"/>
          </w:tcPr>
          <w:p>
            <w:pPr>
              <w:jc w:val="right"/>
              <w:ind w:right="8"/>
              <w:spacing w:after="0"/>
              <w:rPr>
                <w:sz w:val="20"/>
                <w:szCs w:val="20"/>
                <w:color w:val="auto"/>
              </w:rPr>
            </w:pPr>
            <w:r>
              <w:rPr>
                <w:rFonts w:ascii="Arial" w:cs="Arial" w:eastAsia="Arial" w:hAnsi="Arial"/>
                <w:sz w:val="14"/>
                <w:szCs w:val="14"/>
                <w:color w:val="54585A"/>
              </w:rPr>
              <w:t>(145,965)</w:t>
            </w:r>
          </w:p>
        </w:tc>
        <w:tc>
          <w:tcPr>
            <w:tcW w:w="1600" w:type="dxa"/>
            <w:vAlign w:val="bottom"/>
          </w:tcPr>
          <w:p>
            <w:pPr>
              <w:jc w:val="right"/>
              <w:ind w:right="128"/>
              <w:spacing w:after="0"/>
              <w:rPr>
                <w:sz w:val="20"/>
                <w:szCs w:val="20"/>
                <w:color w:val="auto"/>
              </w:rPr>
            </w:pPr>
            <w:r>
              <w:rPr>
                <w:rFonts w:ascii="Arial" w:cs="Arial" w:eastAsia="Arial" w:hAnsi="Arial"/>
                <w:sz w:val="14"/>
                <w:szCs w:val="14"/>
                <w:color w:val="54585A"/>
              </w:rPr>
              <w:t>62,962</w:t>
            </w:r>
          </w:p>
        </w:tc>
      </w:tr>
      <w:tr>
        <w:trPr>
          <w:trHeight w:val="22"/>
        </w:trPr>
        <w:tc>
          <w:tcPr>
            <w:tcW w:w="640" w:type="dxa"/>
            <w:vAlign w:val="bottom"/>
            <w:tcBorders>
              <w:bottom w:val="single" w:sz="8" w:color="54585A"/>
            </w:tcBorders>
          </w:tcPr>
          <w:p>
            <w:pPr>
              <w:spacing w:after="0" w:line="20" w:lineRule="exact"/>
              <w:rPr>
                <w:sz w:val="1"/>
                <w:szCs w:val="1"/>
                <w:color w:val="auto"/>
              </w:rPr>
            </w:pPr>
          </w:p>
        </w:tc>
        <w:tc>
          <w:tcPr>
            <w:tcW w:w="1840" w:type="dxa"/>
            <w:vAlign w:val="bottom"/>
            <w:tcBorders>
              <w:bottom w:val="single" w:sz="8" w:color="54585A"/>
            </w:tcBorders>
          </w:tcPr>
          <w:p>
            <w:pPr>
              <w:spacing w:after="0" w:line="20" w:lineRule="exact"/>
              <w:rPr>
                <w:sz w:val="1"/>
                <w:szCs w:val="1"/>
                <w:color w:val="auto"/>
              </w:rPr>
            </w:pPr>
          </w:p>
        </w:tc>
        <w:tc>
          <w:tcPr>
            <w:tcW w:w="182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2160" w:type="dxa"/>
            <w:vAlign w:val="bottom"/>
            <w:tcBorders>
              <w:bottom w:val="single" w:sz="8" w:color="54585A"/>
            </w:tcBorders>
          </w:tcPr>
          <w:p>
            <w:pPr>
              <w:spacing w:after="0" w:line="20" w:lineRule="exact"/>
              <w:rPr>
                <w:sz w:val="1"/>
                <w:szCs w:val="1"/>
                <w:color w:val="auto"/>
              </w:rPr>
            </w:pPr>
          </w:p>
        </w:tc>
        <w:tc>
          <w:tcPr>
            <w:tcW w:w="1600" w:type="dxa"/>
            <w:vAlign w:val="bottom"/>
            <w:tcBorders>
              <w:bottom w:val="single" w:sz="8" w:color="54585A"/>
            </w:tcBorders>
          </w:tcPr>
          <w:p>
            <w:pPr>
              <w:spacing w:after="0" w:line="20" w:lineRule="exact"/>
              <w:rPr>
                <w:sz w:val="1"/>
                <w:szCs w:val="1"/>
                <w:color w:val="auto"/>
              </w:rPr>
            </w:pPr>
          </w:p>
        </w:tc>
      </w:tr>
    </w:tbl>
    <w:p>
      <w:pPr>
        <w:spacing w:after="0" w:line="220" w:lineRule="exact"/>
        <w:rPr>
          <w:sz w:val="20"/>
          <w:szCs w:val="20"/>
          <w:color w:val="auto"/>
        </w:rPr>
      </w:pPr>
    </w:p>
    <w:p>
      <w:pPr>
        <w:ind w:left="340" w:right="260" w:hanging="332"/>
        <w:spacing w:after="0" w:line="305" w:lineRule="auto"/>
        <w:tabs>
          <w:tab w:leader="none" w:pos="338" w:val="left"/>
        </w:tabs>
        <w:numPr>
          <w:ilvl w:val="0"/>
          <w:numId w:val="68"/>
        </w:numPr>
        <w:rPr>
          <w:rFonts w:ascii="Arial" w:cs="Arial" w:eastAsia="Arial" w:hAnsi="Arial"/>
          <w:sz w:val="14"/>
          <w:szCs w:val="14"/>
          <w:color w:val="54585A"/>
        </w:rPr>
      </w:pPr>
      <w:r>
        <w:rPr>
          <w:rFonts w:ascii="Arial" w:cs="Arial" w:eastAsia="Arial" w:hAnsi="Arial"/>
          <w:sz w:val="14"/>
          <w:szCs w:val="14"/>
          <w:color w:val="54585A"/>
        </w:rPr>
        <w:t>Cumulative TSR is calculated by dividing the difference between the Company’s share price at the end and the beginning of the measurement period by the Company’s share price at the beginning of the measurement period. TSR is determined based on the value of an initial fixed investment of $100.</w:t>
      </w:r>
    </w:p>
    <w:p>
      <w:pPr>
        <w:spacing w:after="0" w:line="49" w:lineRule="exact"/>
        <w:rPr>
          <w:rFonts w:ascii="Arial" w:cs="Arial" w:eastAsia="Arial" w:hAnsi="Arial"/>
          <w:sz w:val="14"/>
          <w:szCs w:val="14"/>
          <w:color w:val="54585A"/>
        </w:rPr>
      </w:pPr>
    </w:p>
    <w:p>
      <w:pPr>
        <w:ind w:left="340" w:hanging="332"/>
        <w:spacing w:after="0"/>
        <w:tabs>
          <w:tab w:leader="none" w:pos="340" w:val="left"/>
        </w:tabs>
        <w:numPr>
          <w:ilvl w:val="0"/>
          <w:numId w:val="68"/>
        </w:numPr>
        <w:rPr>
          <w:rFonts w:ascii="Arial" w:cs="Arial" w:eastAsia="Arial" w:hAnsi="Arial"/>
          <w:sz w:val="14"/>
          <w:szCs w:val="14"/>
          <w:color w:val="54585A"/>
        </w:rPr>
      </w:pPr>
      <w:r>
        <w:rPr>
          <w:rFonts w:ascii="Arial" w:cs="Arial" w:eastAsia="Arial" w:hAnsi="Arial"/>
          <w:sz w:val="14"/>
          <w:szCs w:val="14"/>
          <w:color w:val="54585A"/>
        </w:rPr>
        <w:t>The peer group used for this purpose is the Nasdaq Telecommunications index.</w:t>
      </w:r>
    </w:p>
    <w:p>
      <w:pPr>
        <w:spacing w:after="0" w:line="122" w:lineRule="exact"/>
        <w:rPr>
          <w:rFonts w:ascii="Arial" w:cs="Arial" w:eastAsia="Arial" w:hAnsi="Arial"/>
          <w:sz w:val="14"/>
          <w:szCs w:val="14"/>
          <w:color w:val="54585A"/>
        </w:rPr>
      </w:pPr>
    </w:p>
    <w:p>
      <w:pPr>
        <w:ind w:left="340" w:hanging="332"/>
        <w:spacing w:after="0"/>
        <w:tabs>
          <w:tab w:leader="none" w:pos="340" w:val="left"/>
        </w:tabs>
        <w:numPr>
          <w:ilvl w:val="0"/>
          <w:numId w:val="68"/>
        </w:numPr>
        <w:rPr>
          <w:rFonts w:ascii="Arial" w:cs="Arial" w:eastAsia="Arial" w:hAnsi="Arial"/>
          <w:sz w:val="14"/>
          <w:szCs w:val="14"/>
          <w:color w:val="54585A"/>
        </w:rPr>
      </w:pPr>
      <w:r>
        <w:rPr>
          <w:rFonts w:ascii="Arial" w:cs="Arial" w:eastAsia="Arial" w:hAnsi="Arial"/>
          <w:sz w:val="14"/>
          <w:szCs w:val="14"/>
          <w:color w:val="54585A"/>
        </w:rPr>
        <w:t>The dollar amounts reported represent the amount of net loss reflected in the Company’s audited financial statements for the applicable year.</w:t>
      </w:r>
    </w:p>
    <w:p>
      <w:pPr>
        <w:spacing w:after="0" w:line="122" w:lineRule="exact"/>
        <w:rPr>
          <w:rFonts w:ascii="Arial" w:cs="Arial" w:eastAsia="Arial" w:hAnsi="Arial"/>
          <w:sz w:val="14"/>
          <w:szCs w:val="14"/>
          <w:color w:val="54585A"/>
        </w:rPr>
      </w:pPr>
    </w:p>
    <w:p>
      <w:pPr>
        <w:ind w:left="340" w:right="100" w:hanging="332"/>
        <w:spacing w:after="0" w:line="267" w:lineRule="auto"/>
        <w:tabs>
          <w:tab w:leader="none" w:pos="338" w:val="left"/>
        </w:tabs>
        <w:numPr>
          <w:ilvl w:val="0"/>
          <w:numId w:val="68"/>
        </w:numPr>
        <w:rPr>
          <w:rFonts w:ascii="Arial" w:cs="Arial" w:eastAsia="Arial" w:hAnsi="Arial"/>
          <w:sz w:val="14"/>
          <w:szCs w:val="14"/>
          <w:color w:val="54585A"/>
        </w:rPr>
      </w:pPr>
      <w:r>
        <w:rPr>
          <w:rFonts w:ascii="Arial" w:cs="Arial" w:eastAsia="Arial" w:hAnsi="Arial"/>
          <w:sz w:val="14"/>
          <w:szCs w:val="14"/>
          <w:color w:val="54585A"/>
        </w:rPr>
        <w:t>Adjusted EBITDA is a non-GAAP measure defined as GAAP net income (loss) before interest, income taxes, depreciation, amortization, accretion and derivative (gains)/losses. Adjusted EBITDA excludes non-cash compensation expense, reduction in the value of assets, foreign exchange (gains)/losses, and certain other non-cash or non-recurring charges as applicable. We have determined that Adjusted EBITDA is the financial performance measure that, in the Company’s assessment, represents the most important performance measure (not otherwise required to be disclosed in the table) used by the Company to link compensation actually paid to the Company’s NEOs, for the most recently completed fiscal year,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397510</wp:posOffset>
            </wp:positionV>
            <wp:extent cx="257175" cy="257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ind w:left="100" w:hanging="92"/>
        <w:spacing w:after="0"/>
        <w:tabs>
          <w:tab w:leader="none" w:pos="100" w:val="left"/>
        </w:tabs>
        <w:numPr>
          <w:ilvl w:val="0"/>
          <w:numId w:val="69"/>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96" w:lineRule="auto"/>
        <w:rPr>
          <w:sz w:val="20"/>
          <w:szCs w:val="20"/>
          <w:color w:val="auto"/>
        </w:rPr>
      </w:pPr>
      <w:r>
        <w:rPr>
          <w:rFonts w:ascii="Arial" w:cs="Arial" w:eastAsia="Arial" w:hAnsi="Arial"/>
          <w:sz w:val="18"/>
          <w:szCs w:val="18"/>
          <w:b w:val="1"/>
          <w:bCs w:val="1"/>
          <w:color w:val="54585A"/>
        </w:rPr>
        <w:t>Description of Relationship Between Compensation Actually Paid to the PEOs and Average of Compensation Actually Paid to Non-PEOs and Company Cumulative Total Shareholder Return (TSR)</w:t>
      </w:r>
    </w:p>
    <w:p>
      <w:pPr>
        <w:spacing w:after="0" w:line="61" w:lineRule="exact"/>
        <w:rPr>
          <w:sz w:val="20"/>
          <w:szCs w:val="20"/>
          <w:color w:val="auto"/>
        </w:rPr>
      </w:pPr>
    </w:p>
    <w:p>
      <w:pPr>
        <w:ind w:right="160"/>
        <w:spacing w:after="0" w:line="335" w:lineRule="auto"/>
        <w:rPr>
          <w:sz w:val="20"/>
          <w:szCs w:val="20"/>
          <w:color w:val="auto"/>
        </w:rPr>
      </w:pPr>
      <w:r>
        <w:rPr>
          <w:rFonts w:ascii="Arial" w:cs="Arial" w:eastAsia="Arial" w:hAnsi="Arial"/>
          <w:sz w:val="16"/>
          <w:szCs w:val="16"/>
          <w:color w:val="54585A"/>
        </w:rPr>
        <w:t>The following chart sets forth the relationship between Compensation Actually Paid to our PEOs, the average of Compensation Actually Paid to our Non-PEO NEOs, and our cumulative TSR for the five most recently completed fiscal years. In 2023, we had two PEOs, Dr. Jacobs and Mr. Kagan, as shown in the table above, and the graph below shows the sum of the compensation actually paid to both PEOs for 2023. A significant portion of the compensation actually paid to our NEOs is comprised of equity awards with the long-term intention of such compensation directly correlated with the value of Globalstar common stock, which we believe aligns compensation actually paid and Globalstar's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76835</wp:posOffset>
            </wp:positionV>
            <wp:extent cx="5829300" cy="34290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829300" cy="342900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3908425</wp:posOffset>
            </wp:positionV>
            <wp:extent cx="257175" cy="257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42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8" w:right="39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spacing w:after="0" w:line="296" w:lineRule="auto"/>
        <w:rPr>
          <w:sz w:val="20"/>
          <w:szCs w:val="20"/>
          <w:color w:val="auto"/>
        </w:rPr>
      </w:pPr>
      <w:r>
        <w:rPr>
          <w:rFonts w:ascii="Arial" w:cs="Arial" w:eastAsia="Arial" w:hAnsi="Arial"/>
          <w:sz w:val="18"/>
          <w:szCs w:val="18"/>
          <w:b w:val="1"/>
          <w:bCs w:val="1"/>
          <w:color w:val="54585A"/>
        </w:rPr>
        <w:t>Description of Relationship Between Compensation Actually Paid to the PEO and Average of Compensation Actually Paid to Non-PEO NEOs and Company Net Loss</w:t>
      </w:r>
    </w:p>
    <w:p>
      <w:pPr>
        <w:spacing w:after="0" w:line="61" w:lineRule="exact"/>
        <w:rPr>
          <w:sz w:val="20"/>
          <w:szCs w:val="20"/>
          <w:color w:val="auto"/>
        </w:rPr>
      </w:pPr>
    </w:p>
    <w:p>
      <w:pPr>
        <w:ind w:right="300"/>
        <w:spacing w:after="0" w:line="374" w:lineRule="auto"/>
        <w:rPr>
          <w:sz w:val="20"/>
          <w:szCs w:val="20"/>
          <w:color w:val="auto"/>
        </w:rPr>
      </w:pPr>
      <w:r>
        <w:rPr>
          <w:rFonts w:ascii="Arial" w:cs="Arial" w:eastAsia="Arial" w:hAnsi="Arial"/>
          <w:sz w:val="16"/>
          <w:szCs w:val="16"/>
          <w:color w:val="54585A"/>
        </w:rPr>
        <w:t>The following chart sets forth the relationship between Compensation Actually Paid to our PEOs, the average of Compensation Actually Paid to our Non-PEO NEOs, and our Net Loss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13335</wp:posOffset>
            </wp:positionV>
            <wp:extent cx="5829300" cy="34290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29300" cy="342900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3845560</wp:posOffset>
            </wp:positionV>
            <wp:extent cx="257175" cy="2571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ind w:left="100" w:hanging="92"/>
        <w:spacing w:after="0"/>
        <w:tabs>
          <w:tab w:leader="none" w:pos="100" w:val="left"/>
        </w:tabs>
        <w:numPr>
          <w:ilvl w:val="0"/>
          <w:numId w:val="70"/>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96" w:lineRule="auto"/>
        <w:rPr>
          <w:sz w:val="20"/>
          <w:szCs w:val="20"/>
          <w:color w:val="auto"/>
        </w:rPr>
      </w:pPr>
      <w:r>
        <w:rPr>
          <w:rFonts w:ascii="Arial" w:cs="Arial" w:eastAsia="Arial" w:hAnsi="Arial"/>
          <w:sz w:val="18"/>
          <w:szCs w:val="18"/>
          <w:b w:val="1"/>
          <w:bCs w:val="1"/>
          <w:color w:val="54585A"/>
        </w:rPr>
        <w:t>Description of Relationship Between Compensation Actually Paid to the PEO and Average of Compensation Actually Paid to Non-PEO NEOs and Adjusted EBITDA</w:t>
      </w:r>
    </w:p>
    <w:p>
      <w:pPr>
        <w:spacing w:after="0" w:line="61" w:lineRule="exact"/>
        <w:rPr>
          <w:sz w:val="20"/>
          <w:szCs w:val="20"/>
          <w:color w:val="auto"/>
        </w:rPr>
      </w:pPr>
    </w:p>
    <w:p>
      <w:pPr>
        <w:spacing w:after="0" w:line="331" w:lineRule="auto"/>
        <w:rPr>
          <w:sz w:val="20"/>
          <w:szCs w:val="20"/>
          <w:color w:val="auto"/>
        </w:rPr>
      </w:pPr>
      <w:r>
        <w:rPr>
          <w:rFonts w:ascii="Arial" w:cs="Arial" w:eastAsia="Arial" w:hAnsi="Arial"/>
          <w:sz w:val="16"/>
          <w:szCs w:val="16"/>
          <w:color w:val="54585A"/>
        </w:rPr>
        <w:t>The following chart sets forth the relationship between Compensation Actually Paid to our PEOs, the average of Compensation Actually Paid to our other NEOs, and our Adjusted EBITDA for the five most recently completed fiscal years. As described above, Adjusted EBITDA is defined as GAAP net income (loss) before interest, income taxes, depreciation, amortization, accretion and derivative (gains)/losses. Adjusted EBITDA excludes non-cash compensation expense, reduction in the value of assets, foreign exchange (gains)/losses, and certain other non-cash or non-recurring charges as applicable. We have determined that Adjusted EBITDA is the financial performance measure that, in the Company’s assessment, represents the most important performance measure (not otherwise required to be disclosed in the table) used by the Company to link compensation actually paid to the Company’s NEOs, for the most recently completed fiscal year, to Company performance. Under the Company’s annual bonus plan, which is designed to reward NEOs’ efforts to meet and exceed the Company's financial performance goals, the Company used Adjusted EBITDA when determining the bonus pool available for distribution to the NEOs during the fiscal year. As described in more detail in the section “Executive Officers and Compensation – Compensation Discussion and Analysis,” for each 1% of Adjusted EBITDA above or below the plan year target Adjusted EBITDA, adjustments are made to either increase or decrease the bonus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79375</wp:posOffset>
            </wp:positionV>
            <wp:extent cx="5829300" cy="34290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29300" cy="342900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3911600</wp:posOffset>
            </wp:positionV>
            <wp:extent cx="257175" cy="2571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44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68" w:right="39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color w:val="54585A"/>
        </w:rPr>
        <w:t xml:space="preserve">Executive Officers and Compensation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Description of Relationship Between Company TSR and Peer Group TSR</w:t>
      </w:r>
    </w:p>
    <w:p>
      <w:pPr>
        <w:spacing w:after="0" w:line="149" w:lineRule="exact"/>
        <w:rPr>
          <w:sz w:val="20"/>
          <w:szCs w:val="20"/>
          <w:color w:val="auto"/>
        </w:rPr>
      </w:pPr>
    </w:p>
    <w:p>
      <w:pPr>
        <w:jc w:val="both"/>
        <w:ind w:right="200"/>
        <w:spacing w:after="0" w:line="374" w:lineRule="auto"/>
        <w:rPr>
          <w:sz w:val="20"/>
          <w:szCs w:val="20"/>
          <w:color w:val="auto"/>
        </w:rPr>
      </w:pPr>
      <w:r>
        <w:rPr>
          <w:rFonts w:ascii="Arial" w:cs="Arial" w:eastAsia="Arial" w:hAnsi="Arial"/>
          <w:sz w:val="16"/>
          <w:szCs w:val="16"/>
          <w:color w:val="54585A"/>
        </w:rPr>
        <w:t>The following chart compares our cumulative TSR over the five most recently completed fiscal years to that of the Nasdaq Telecommunications Index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47625</wp:posOffset>
            </wp:positionV>
            <wp:extent cx="5829300" cy="34290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829300"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Tabular List of Most Important Financial Performance Measures</w:t>
      </w:r>
    </w:p>
    <w:p>
      <w:pPr>
        <w:spacing w:after="0" w:line="95"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54585A"/>
        </w:rPr>
        <w:t>The following table presents the financial and non-financial performance measures that the Company considers to have been the most important in linking compensation actually paid to our PEO and other NEOs for 2024 to Company performance. The measures in this table are not ranked. Adjusted EBITDA was the sole financial performance measure that is used by the Company to link compensation actually paid to the NEOs, for the most recently completed fiscal year, to Company performance.</w:t>
      </w:r>
    </w:p>
    <w:p>
      <w:pPr>
        <w:spacing w:after="0" w:line="11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54585A"/>
        </w:rPr>
        <w:t>The Company also used non-financial performance measures (</w:t>
      </w:r>
      <w:r>
        <w:rPr>
          <w:rFonts w:ascii="Arial" w:cs="Arial" w:eastAsia="Arial" w:hAnsi="Arial"/>
          <w:sz w:val="16"/>
          <w:szCs w:val="16"/>
          <w:i w:val="1"/>
          <w:iCs w:val="1"/>
          <w:color w:val="54585A"/>
        </w:rPr>
        <w:t>i.e.</w:t>
      </w:r>
      <w:r>
        <w:rPr>
          <w:rFonts w:ascii="Arial" w:cs="Arial" w:eastAsia="Arial" w:hAnsi="Arial"/>
          <w:sz w:val="16"/>
          <w:szCs w:val="16"/>
          <w:color w:val="54585A"/>
        </w:rPr>
        <w:t>, performance measures other than those that fall within the definition of financial performance measures) to link compensation actually paid to the NEOs, for the most recently completed fiscal year, to Company performance. The Company determined that specific goal achievements and individual performance achievements, both non-financial performance measures, are among its three most important performance measures.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78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Most Important Financial Performance</w:t>
            </w:r>
          </w:p>
        </w:tc>
        <w:tc>
          <w:tcPr>
            <w:tcW w:w="1780" w:type="dxa"/>
            <w:vAlign w:val="bottom"/>
            <w:shd w:val="clear" w:color="auto" w:fill="EEEDED"/>
          </w:tcPr>
          <w:p>
            <w:pPr>
              <w:spacing w:after="0"/>
              <w:rPr>
                <w:sz w:val="15"/>
                <w:szCs w:val="15"/>
                <w:color w:val="auto"/>
              </w:rPr>
            </w:pPr>
          </w:p>
        </w:tc>
        <w:tc>
          <w:tcPr>
            <w:tcW w:w="6680" w:type="dxa"/>
            <w:vAlign w:val="bottom"/>
            <w:shd w:val="clear" w:color="auto" w:fill="EEEDED"/>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Measures</w:t>
            </w:r>
          </w:p>
        </w:tc>
        <w:tc>
          <w:tcPr>
            <w:tcW w:w="1780" w:type="dxa"/>
            <w:vAlign w:val="bottom"/>
            <w:shd w:val="clear" w:color="auto" w:fill="EEEDED"/>
          </w:tcPr>
          <w:p>
            <w:pPr>
              <w:ind w:left="20"/>
              <w:spacing w:after="0"/>
              <w:rPr>
                <w:sz w:val="20"/>
                <w:szCs w:val="20"/>
                <w:color w:val="auto"/>
              </w:rPr>
            </w:pPr>
            <w:r>
              <w:rPr>
                <w:rFonts w:ascii="Arial" w:cs="Arial" w:eastAsia="Arial" w:hAnsi="Arial"/>
                <w:sz w:val="14"/>
                <w:szCs w:val="14"/>
                <w:b w:val="1"/>
                <w:bCs w:val="1"/>
                <w:color w:val="54585A"/>
              </w:rPr>
              <w:t>Nature</w:t>
            </w:r>
          </w:p>
        </w:tc>
        <w:tc>
          <w:tcPr>
            <w:tcW w:w="6680" w:type="dxa"/>
            <w:vAlign w:val="bottom"/>
            <w:shd w:val="clear" w:color="auto" w:fill="EEEDED"/>
          </w:tcPr>
          <w:p>
            <w:pPr>
              <w:ind w:left="320"/>
              <w:spacing w:after="0"/>
              <w:rPr>
                <w:sz w:val="20"/>
                <w:szCs w:val="20"/>
                <w:color w:val="auto"/>
              </w:rPr>
            </w:pPr>
            <w:r>
              <w:rPr>
                <w:rFonts w:ascii="Arial" w:cs="Arial" w:eastAsia="Arial" w:hAnsi="Arial"/>
                <w:sz w:val="14"/>
                <w:szCs w:val="14"/>
                <w:b w:val="1"/>
                <w:bCs w:val="1"/>
                <w:color w:val="54585A"/>
              </w:rPr>
              <w:t>Explanation</w:t>
            </w:r>
          </w:p>
        </w:tc>
        <w:tc>
          <w:tcPr>
            <w:tcW w:w="0" w:type="dxa"/>
            <w:vAlign w:val="bottom"/>
          </w:tcPr>
          <w:p>
            <w:pPr>
              <w:spacing w:after="0"/>
              <w:rPr>
                <w:sz w:val="1"/>
                <w:szCs w:val="1"/>
                <w:color w:val="auto"/>
              </w:rPr>
            </w:pPr>
          </w:p>
        </w:tc>
      </w:tr>
      <w:tr>
        <w:trPr>
          <w:trHeight w:val="110"/>
        </w:trPr>
        <w:tc>
          <w:tcPr>
            <w:tcW w:w="2780" w:type="dxa"/>
            <w:vAlign w:val="bottom"/>
            <w:shd w:val="clear" w:color="auto" w:fill="EEEDED"/>
          </w:tcPr>
          <w:p>
            <w:pPr>
              <w:spacing w:after="0"/>
              <w:rPr>
                <w:sz w:val="9"/>
                <w:szCs w:val="9"/>
                <w:color w:val="auto"/>
              </w:rPr>
            </w:pPr>
          </w:p>
        </w:tc>
        <w:tc>
          <w:tcPr>
            <w:tcW w:w="1780" w:type="dxa"/>
            <w:vAlign w:val="bottom"/>
            <w:shd w:val="clear" w:color="auto" w:fill="EEEDED"/>
          </w:tcPr>
          <w:p>
            <w:pPr>
              <w:spacing w:after="0"/>
              <w:rPr>
                <w:sz w:val="9"/>
                <w:szCs w:val="9"/>
                <w:color w:val="auto"/>
              </w:rPr>
            </w:pPr>
          </w:p>
        </w:tc>
        <w:tc>
          <w:tcPr>
            <w:tcW w:w="668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80" w:type="dxa"/>
            <w:vAlign w:val="bottom"/>
          </w:tcPr>
          <w:p>
            <w:pPr>
              <w:ind w:left="320"/>
              <w:spacing w:after="0"/>
              <w:rPr>
                <w:sz w:val="20"/>
                <w:szCs w:val="20"/>
                <w:color w:val="auto"/>
              </w:rPr>
            </w:pPr>
            <w:r>
              <w:rPr>
                <w:rFonts w:ascii="Arial" w:cs="Arial" w:eastAsia="Arial" w:hAnsi="Arial"/>
                <w:sz w:val="14"/>
                <w:szCs w:val="14"/>
                <w:color w:val="54585A"/>
              </w:rPr>
              <w:t>A non-GAAP measure defined as earnings before interest, income taxes, depreciation,</w:t>
            </w:r>
          </w:p>
        </w:tc>
        <w:tc>
          <w:tcPr>
            <w:tcW w:w="0" w:type="dxa"/>
            <w:vAlign w:val="bottom"/>
          </w:tcPr>
          <w:p>
            <w:pPr>
              <w:spacing w:after="0"/>
              <w:rPr>
                <w:sz w:val="1"/>
                <w:szCs w:val="1"/>
                <w:color w:val="auto"/>
              </w:rPr>
            </w:pPr>
          </w:p>
        </w:tc>
      </w:tr>
      <w:tr>
        <w:trPr>
          <w:trHeight w:val="175"/>
        </w:trPr>
        <w:tc>
          <w:tcPr>
            <w:tcW w:w="27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6680" w:type="dxa"/>
            <w:vAlign w:val="bottom"/>
          </w:tcPr>
          <w:p>
            <w:pPr>
              <w:ind w:left="320"/>
              <w:spacing w:after="0"/>
              <w:rPr>
                <w:sz w:val="20"/>
                <w:szCs w:val="20"/>
                <w:color w:val="auto"/>
              </w:rPr>
            </w:pPr>
            <w:r>
              <w:rPr>
                <w:rFonts w:ascii="Arial" w:cs="Arial" w:eastAsia="Arial" w:hAnsi="Arial"/>
                <w:sz w:val="14"/>
                <w:szCs w:val="14"/>
                <w:color w:val="54585A"/>
              </w:rPr>
              <w:t>amortization, accretion and derivative (gains)/losses. Adjusted EBITDA excludes non-cash</w:t>
            </w:r>
          </w:p>
        </w:tc>
        <w:tc>
          <w:tcPr>
            <w:tcW w:w="0" w:type="dxa"/>
            <w:vAlign w:val="bottom"/>
          </w:tcPr>
          <w:p>
            <w:pPr>
              <w:spacing w:after="0"/>
              <w:rPr>
                <w:sz w:val="1"/>
                <w:szCs w:val="1"/>
                <w:color w:val="auto"/>
              </w:rPr>
            </w:pPr>
          </w:p>
        </w:tc>
      </w:tr>
      <w:tr>
        <w:trPr>
          <w:trHeight w:val="176"/>
        </w:trPr>
        <w:tc>
          <w:tcPr>
            <w:tcW w:w="2780" w:type="dxa"/>
            <w:vAlign w:val="bottom"/>
            <w:vMerge w:val="restart"/>
          </w:tcPr>
          <w:p>
            <w:pPr>
              <w:ind w:left="100"/>
              <w:spacing w:after="0"/>
              <w:rPr>
                <w:sz w:val="20"/>
                <w:szCs w:val="20"/>
                <w:color w:val="auto"/>
              </w:rPr>
            </w:pPr>
            <w:r>
              <w:rPr>
                <w:rFonts w:ascii="Arial" w:cs="Arial" w:eastAsia="Arial" w:hAnsi="Arial"/>
                <w:sz w:val="14"/>
                <w:szCs w:val="14"/>
                <w:color w:val="54585A"/>
              </w:rPr>
              <w:t>Adjusted EBITDA</w:t>
            </w:r>
          </w:p>
        </w:tc>
        <w:tc>
          <w:tcPr>
            <w:tcW w:w="1780" w:type="dxa"/>
            <w:vAlign w:val="bottom"/>
            <w:vMerge w:val="restart"/>
          </w:tcPr>
          <w:p>
            <w:pPr>
              <w:ind w:left="20"/>
              <w:spacing w:after="0"/>
              <w:rPr>
                <w:sz w:val="20"/>
                <w:szCs w:val="20"/>
                <w:color w:val="auto"/>
              </w:rPr>
            </w:pPr>
            <w:r>
              <w:rPr>
                <w:rFonts w:ascii="Arial" w:cs="Arial" w:eastAsia="Arial" w:hAnsi="Arial"/>
                <w:sz w:val="14"/>
                <w:szCs w:val="14"/>
                <w:color w:val="54585A"/>
              </w:rPr>
              <w:t>Financial measure</w:t>
            </w:r>
          </w:p>
        </w:tc>
        <w:tc>
          <w:tcPr>
            <w:tcW w:w="6680" w:type="dxa"/>
            <w:vAlign w:val="bottom"/>
          </w:tcPr>
          <w:p>
            <w:pPr>
              <w:ind w:left="320"/>
              <w:spacing w:after="0"/>
              <w:rPr>
                <w:sz w:val="20"/>
                <w:szCs w:val="20"/>
                <w:color w:val="auto"/>
              </w:rPr>
            </w:pPr>
            <w:r>
              <w:rPr>
                <w:rFonts w:ascii="Arial" w:cs="Arial" w:eastAsia="Arial" w:hAnsi="Arial"/>
                <w:sz w:val="14"/>
                <w:szCs w:val="14"/>
                <w:color w:val="54585A"/>
              </w:rPr>
              <w:t>compensation expense, reduction in the value of assets, foreign exchange (gains)/losses, and</w:t>
            </w:r>
          </w:p>
        </w:tc>
        <w:tc>
          <w:tcPr>
            <w:tcW w:w="0" w:type="dxa"/>
            <w:vAlign w:val="bottom"/>
          </w:tcPr>
          <w:p>
            <w:pPr>
              <w:spacing w:after="0"/>
              <w:rPr>
                <w:sz w:val="1"/>
                <w:szCs w:val="1"/>
                <w:color w:val="auto"/>
              </w:rPr>
            </w:pPr>
          </w:p>
        </w:tc>
      </w:tr>
      <w:tr>
        <w:trPr>
          <w:trHeight w:val="69"/>
        </w:trPr>
        <w:tc>
          <w:tcPr>
            <w:tcW w:w="2780" w:type="dxa"/>
            <w:vAlign w:val="bottom"/>
            <w:vMerge w:val="continue"/>
          </w:tcPr>
          <w:p>
            <w:pPr>
              <w:spacing w:after="0"/>
              <w:rPr>
                <w:sz w:val="5"/>
                <w:szCs w:val="5"/>
                <w:color w:val="auto"/>
              </w:rPr>
            </w:pPr>
          </w:p>
        </w:tc>
        <w:tc>
          <w:tcPr>
            <w:tcW w:w="1780" w:type="dxa"/>
            <w:vAlign w:val="bottom"/>
            <w:vMerge w:val="continue"/>
          </w:tcPr>
          <w:p>
            <w:pPr>
              <w:spacing w:after="0"/>
              <w:rPr>
                <w:sz w:val="5"/>
                <w:szCs w:val="5"/>
                <w:color w:val="auto"/>
              </w:rPr>
            </w:pPr>
          </w:p>
        </w:tc>
        <w:tc>
          <w:tcPr>
            <w:tcW w:w="6680" w:type="dxa"/>
            <w:vAlign w:val="bottom"/>
            <w:vMerge w:val="restart"/>
          </w:tcPr>
          <w:p>
            <w:pPr>
              <w:ind w:left="320"/>
              <w:spacing w:after="0"/>
              <w:rPr>
                <w:sz w:val="20"/>
                <w:szCs w:val="20"/>
                <w:color w:val="auto"/>
              </w:rPr>
            </w:pPr>
            <w:r>
              <w:rPr>
                <w:rFonts w:ascii="Arial" w:cs="Arial" w:eastAsia="Arial" w:hAnsi="Arial"/>
                <w:sz w:val="14"/>
                <w:szCs w:val="14"/>
                <w:color w:val="54585A"/>
              </w:rPr>
              <w:t>certain other non-cash or non-recurring charges as applicable.</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6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1"/>
        </w:trPr>
        <w:tc>
          <w:tcPr>
            <w:tcW w:w="2780" w:type="dxa"/>
            <w:vAlign w:val="bottom"/>
            <w:tcBorders>
              <w:bottom w:val="single" w:sz="8" w:color="54585A"/>
            </w:tcBorders>
          </w:tcPr>
          <w:p>
            <w:pPr>
              <w:spacing w:after="0"/>
              <w:rPr>
                <w:sz w:val="24"/>
                <w:szCs w:val="24"/>
                <w:color w:val="auto"/>
              </w:rPr>
            </w:pPr>
          </w:p>
        </w:tc>
        <w:tc>
          <w:tcPr>
            <w:tcW w:w="1780" w:type="dxa"/>
            <w:vAlign w:val="bottom"/>
            <w:tcBorders>
              <w:bottom w:val="single" w:sz="8" w:color="54585A"/>
            </w:tcBorders>
          </w:tcPr>
          <w:p>
            <w:pPr>
              <w:spacing w:after="0"/>
              <w:rPr>
                <w:sz w:val="24"/>
                <w:szCs w:val="24"/>
                <w:color w:val="auto"/>
              </w:rPr>
            </w:pPr>
          </w:p>
        </w:tc>
        <w:tc>
          <w:tcPr>
            <w:tcW w:w="6680" w:type="dxa"/>
            <w:vAlign w:val="bottom"/>
            <w:tcBorders>
              <w:bottom w:val="single" w:sz="8" w:color="54585A"/>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100"/>
              <w:spacing w:after="0"/>
              <w:rPr>
                <w:sz w:val="20"/>
                <w:szCs w:val="20"/>
                <w:color w:val="auto"/>
              </w:rPr>
            </w:pPr>
            <w:r>
              <w:rPr>
                <w:rFonts w:ascii="Arial" w:cs="Arial" w:eastAsia="Arial" w:hAnsi="Arial"/>
                <w:sz w:val="14"/>
                <w:szCs w:val="14"/>
                <w:color w:val="54585A"/>
              </w:rPr>
              <w:t>Specific Goal Achievements</w:t>
            </w:r>
          </w:p>
        </w:tc>
        <w:tc>
          <w:tcPr>
            <w:tcW w:w="1780" w:type="dxa"/>
            <w:vAlign w:val="bottom"/>
          </w:tcPr>
          <w:p>
            <w:pPr>
              <w:ind w:left="20"/>
              <w:spacing w:after="0"/>
              <w:rPr>
                <w:sz w:val="20"/>
                <w:szCs w:val="20"/>
                <w:color w:val="auto"/>
              </w:rPr>
            </w:pPr>
            <w:r>
              <w:rPr>
                <w:rFonts w:ascii="Arial" w:cs="Arial" w:eastAsia="Arial" w:hAnsi="Arial"/>
                <w:sz w:val="14"/>
                <w:szCs w:val="14"/>
                <w:color w:val="54585A"/>
              </w:rPr>
              <w:t>Financial measure</w:t>
            </w:r>
          </w:p>
        </w:tc>
        <w:tc>
          <w:tcPr>
            <w:tcW w:w="6680" w:type="dxa"/>
            <w:vAlign w:val="bottom"/>
          </w:tcPr>
          <w:p>
            <w:pPr>
              <w:ind w:left="320"/>
              <w:spacing w:after="0"/>
              <w:rPr>
                <w:sz w:val="20"/>
                <w:szCs w:val="20"/>
                <w:color w:val="auto"/>
              </w:rPr>
            </w:pPr>
            <w:r>
              <w:rPr>
                <w:rFonts w:ascii="Arial" w:cs="Arial" w:eastAsia="Arial" w:hAnsi="Arial"/>
                <w:sz w:val="14"/>
                <w:szCs w:val="14"/>
                <w:color w:val="54585A"/>
              </w:rPr>
              <w:t>Obtaining predetermined financial goals or benchmarks for individual NEOs.</w:t>
            </w:r>
          </w:p>
        </w:tc>
        <w:tc>
          <w:tcPr>
            <w:tcW w:w="0" w:type="dxa"/>
            <w:vAlign w:val="bottom"/>
          </w:tcPr>
          <w:p>
            <w:pPr>
              <w:spacing w:after="0"/>
              <w:rPr>
                <w:sz w:val="1"/>
                <w:szCs w:val="1"/>
                <w:color w:val="auto"/>
              </w:rPr>
            </w:pPr>
          </w:p>
        </w:tc>
      </w:tr>
      <w:tr>
        <w:trPr>
          <w:trHeight w:val="21"/>
        </w:trPr>
        <w:tc>
          <w:tcPr>
            <w:tcW w:w="278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66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100"/>
              <w:spacing w:after="0"/>
              <w:rPr>
                <w:sz w:val="20"/>
                <w:szCs w:val="20"/>
                <w:color w:val="auto"/>
              </w:rPr>
            </w:pPr>
            <w:r>
              <w:rPr>
                <w:rFonts w:ascii="Arial" w:cs="Arial" w:eastAsia="Arial" w:hAnsi="Arial"/>
                <w:sz w:val="14"/>
                <w:szCs w:val="14"/>
                <w:color w:val="54585A"/>
              </w:rPr>
              <w:t>Performance Achievements</w:t>
            </w:r>
          </w:p>
        </w:tc>
        <w:tc>
          <w:tcPr>
            <w:tcW w:w="1780" w:type="dxa"/>
            <w:vAlign w:val="bottom"/>
          </w:tcPr>
          <w:p>
            <w:pPr>
              <w:ind w:left="20"/>
              <w:spacing w:after="0"/>
              <w:rPr>
                <w:sz w:val="20"/>
                <w:szCs w:val="20"/>
                <w:color w:val="auto"/>
              </w:rPr>
            </w:pPr>
            <w:r>
              <w:rPr>
                <w:rFonts w:ascii="Arial" w:cs="Arial" w:eastAsia="Arial" w:hAnsi="Arial"/>
                <w:sz w:val="14"/>
                <w:szCs w:val="14"/>
                <w:color w:val="54585A"/>
              </w:rPr>
              <w:t>Non-financial measure</w:t>
            </w:r>
          </w:p>
        </w:tc>
        <w:tc>
          <w:tcPr>
            <w:tcW w:w="6680" w:type="dxa"/>
            <w:vAlign w:val="bottom"/>
          </w:tcPr>
          <w:p>
            <w:pPr>
              <w:ind w:left="320"/>
              <w:spacing w:after="0"/>
              <w:rPr>
                <w:sz w:val="20"/>
                <w:szCs w:val="20"/>
                <w:color w:val="auto"/>
              </w:rPr>
            </w:pPr>
            <w:r>
              <w:rPr>
                <w:rFonts w:ascii="Arial" w:cs="Arial" w:eastAsia="Arial" w:hAnsi="Arial"/>
                <w:sz w:val="14"/>
                <w:szCs w:val="14"/>
                <w:color w:val="54585A"/>
              </w:rPr>
              <w:t>Obtaining predetermined non-financial goals or benchmarks for individual NEOs.</w:t>
            </w:r>
          </w:p>
        </w:tc>
        <w:tc>
          <w:tcPr>
            <w:tcW w:w="0" w:type="dxa"/>
            <w:vAlign w:val="bottom"/>
          </w:tcPr>
          <w:p>
            <w:pPr>
              <w:spacing w:after="0"/>
              <w:rPr>
                <w:sz w:val="1"/>
                <w:szCs w:val="1"/>
                <w:color w:val="auto"/>
              </w:rPr>
            </w:pPr>
          </w:p>
        </w:tc>
      </w:tr>
      <w:tr>
        <w:trPr>
          <w:trHeight w:val="21"/>
        </w:trPr>
        <w:tc>
          <w:tcPr>
            <w:tcW w:w="2780" w:type="dxa"/>
            <w:vAlign w:val="bottom"/>
            <w:tcBorders>
              <w:bottom w:val="single" w:sz="8" w:color="54585A"/>
            </w:tcBorders>
          </w:tcPr>
          <w:p>
            <w:pPr>
              <w:spacing w:after="0" w:line="20" w:lineRule="exact"/>
              <w:rPr>
                <w:sz w:val="1"/>
                <w:szCs w:val="1"/>
                <w:color w:val="auto"/>
              </w:rPr>
            </w:pPr>
          </w:p>
        </w:tc>
        <w:tc>
          <w:tcPr>
            <w:tcW w:w="1780" w:type="dxa"/>
            <w:vAlign w:val="bottom"/>
            <w:tcBorders>
              <w:bottom w:val="single" w:sz="8" w:color="54585A"/>
            </w:tcBorders>
          </w:tcPr>
          <w:p>
            <w:pPr>
              <w:spacing w:after="0" w:line="20" w:lineRule="exact"/>
              <w:rPr>
                <w:sz w:val="1"/>
                <w:szCs w:val="1"/>
                <w:color w:val="auto"/>
              </w:rPr>
            </w:pPr>
          </w:p>
        </w:tc>
        <w:tc>
          <w:tcPr>
            <w:tcW w:w="668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5"/>
        </w:trPr>
        <w:tc>
          <w:tcPr>
            <w:tcW w:w="27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680" w:type="dxa"/>
            <w:vAlign w:val="bottom"/>
          </w:tcPr>
          <w:p>
            <w:pPr>
              <w:ind w:left="424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45</w:t>
            </w:r>
          </w:p>
        </w:tc>
        <w:tc>
          <w:tcPr>
            <w:tcW w:w="0" w:type="dxa"/>
            <w:vAlign w:val="bottom"/>
          </w:tcPr>
          <w:p>
            <w:pPr>
              <w:spacing w:after="0"/>
              <w:rPr>
                <w:sz w:val="1"/>
                <w:szCs w:val="1"/>
                <w:color w:val="auto"/>
              </w:rPr>
            </w:pPr>
          </w:p>
        </w:tc>
      </w:tr>
      <w:tr>
        <w:trPr>
          <w:trHeight w:val="333"/>
        </w:trPr>
        <w:tc>
          <w:tcPr>
            <w:tcW w:w="27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-454025</wp:posOffset>
            </wp:positionV>
            <wp:extent cx="257175" cy="2571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ind w:left="100" w:hanging="92"/>
        <w:spacing w:after="0"/>
        <w:tabs>
          <w:tab w:leader="none" w:pos="100" w:val="left"/>
        </w:tabs>
        <w:numPr>
          <w:ilvl w:val="0"/>
          <w:numId w:val="71"/>
        </w:numPr>
        <w:rPr>
          <w:rFonts w:ascii="Arial" w:cs="Arial" w:eastAsia="Arial" w:hAnsi="Arial"/>
          <w:sz w:val="18"/>
          <w:szCs w:val="18"/>
          <w:b w:val="1"/>
          <w:bCs w:val="1"/>
          <w:color w:val="EB6C10"/>
        </w:rPr>
      </w:pPr>
      <w:r>
        <w:rPr>
          <w:rFonts w:ascii="Arial" w:cs="Arial" w:eastAsia="Arial" w:hAnsi="Arial"/>
          <w:sz w:val="14"/>
          <w:szCs w:val="14"/>
          <w:color w:val="54585A"/>
        </w:rPr>
        <w:t>Executive Officers and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9"/>
          <w:szCs w:val="29"/>
          <w:color w:val="54585A"/>
        </w:rPr>
        <w:t>2024 Pay Ratio</w:t>
      </w:r>
    </w:p>
    <w:p>
      <w:pPr>
        <w:spacing w:after="0" w:line="225" w:lineRule="exact"/>
        <w:rPr>
          <w:sz w:val="20"/>
          <w:szCs w:val="20"/>
          <w:color w:val="auto"/>
        </w:rPr>
      </w:pPr>
    </w:p>
    <w:p>
      <w:pPr>
        <w:spacing w:after="0" w:line="356" w:lineRule="auto"/>
        <w:rPr>
          <w:sz w:val="20"/>
          <w:szCs w:val="20"/>
          <w:color w:val="auto"/>
        </w:rPr>
      </w:pPr>
      <w:r>
        <w:rPr>
          <w:rFonts w:ascii="Arial" w:cs="Arial" w:eastAsia="Arial" w:hAnsi="Arial"/>
          <w:sz w:val="16"/>
          <w:szCs w:val="16"/>
          <w:color w:val="54585A"/>
        </w:rPr>
        <w:t>The Dodd-Frank Act requires that we disclose the ratio of annual total compensation of our CEO to the annual total compensation of the median employee of Globalstar.</w:t>
      </w:r>
    </w:p>
    <w:p>
      <w:pPr>
        <w:spacing w:after="0" w:line="116" w:lineRule="exact"/>
        <w:rPr>
          <w:sz w:val="20"/>
          <w:szCs w:val="20"/>
          <w:color w:val="auto"/>
        </w:rPr>
      </w:pPr>
    </w:p>
    <w:p>
      <w:pPr>
        <w:ind w:right="860"/>
        <w:spacing w:after="0" w:line="356" w:lineRule="auto"/>
        <w:rPr>
          <w:sz w:val="20"/>
          <w:szCs w:val="20"/>
          <w:color w:val="auto"/>
        </w:rPr>
      </w:pPr>
      <w:r>
        <w:rPr>
          <w:rFonts w:ascii="Arial" w:cs="Arial" w:eastAsia="Arial" w:hAnsi="Arial"/>
          <w:sz w:val="16"/>
          <w:szCs w:val="16"/>
          <w:color w:val="54585A"/>
        </w:rPr>
        <w:t>For 2024, the total compensation for the median employee of Globalstar was $99,212. Dr Jacobs' total compensation for 2024, based on his total compensation as CEO, was $1,009,445. As such, our CEO pay ratio for 2024 was 1 to 10.</w:t>
      </w:r>
    </w:p>
    <w:p>
      <w:pPr>
        <w:spacing w:after="0" w:line="116"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54585A"/>
        </w:rPr>
        <w:t>The median employee was identified by reviewing the total cash base salary for all Globalstar employees, including its consolidated subsidiaries, on December 31, 2024. As of this date, we employed 389 individuals in fifteen countries. Any salaries denominated in foreign currencies were translated to U.S. dollars at the corresponding exchange rate as of December 31, 2024. All of the Company's full-time and part-time employees were included in the calculation and adjustments were made to annualize cash compensation for any employees not employed by Globalstar for the entire year. Dr. Jacobs was excluded from the calculation of median employee for purposes of this determination.</w:t>
      </w:r>
    </w:p>
    <w:p>
      <w:pPr>
        <w:spacing w:after="0" w:line="133"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54585A"/>
        </w:rPr>
        <w:t>After identifying the median employee based on the criteria described above, the total compensation for this employee was calculated using the same methodology that was used in the 2024 Summary Compensation Table. Total compensation during 2024 for this employee includes base salary, accrued vacation as of December 31, 2024, an equity award, matching contributions to the Company's 401(k) plan and premiums paid by Globalstar for life insurance. This employee was not granted a cash bonus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311785</wp:posOffset>
            </wp:positionV>
            <wp:extent cx="257175" cy="25717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46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8" w:right="339" w:bottom="1440" w:gutter="0" w:footer="0" w:header="0"/>
        </w:sectPr>
      </w:pPr>
    </w:p>
    <w:bookmarkStart w:id="50" w:name="page51"/>
    <w:bookmarkEnd w:id="50"/>
    <w:p>
      <w:pPr>
        <w:ind w:left="7120"/>
        <w:spacing w:after="0"/>
        <w:rPr>
          <w:sz w:val="20"/>
          <w:szCs w:val="20"/>
          <w:color w:val="auto"/>
        </w:rPr>
      </w:pPr>
      <w:r>
        <w:rPr>
          <w:rFonts w:ascii="Arial" w:cs="Arial" w:eastAsia="Arial" w:hAnsi="Arial"/>
          <w:sz w:val="14"/>
          <w:szCs w:val="14"/>
          <w:color w:val="54585A"/>
        </w:rPr>
        <w:t xml:space="preserve">Security Ownership of Principal Stockholders and Management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420"/>
        <w:spacing w:after="0" w:line="235" w:lineRule="auto"/>
        <w:rPr>
          <w:sz w:val="20"/>
          <w:szCs w:val="20"/>
          <w:color w:val="auto"/>
        </w:rPr>
      </w:pPr>
      <w:r>
        <w:rPr>
          <w:rFonts w:ascii="Georgia" w:cs="Georgia" w:eastAsia="Georgia" w:hAnsi="Georgia"/>
          <w:sz w:val="54"/>
          <w:szCs w:val="54"/>
          <w:color w:val="EB6C10"/>
        </w:rPr>
        <w:t>Security Ownership of Principal Stockholders and Management</w:t>
      </w:r>
    </w:p>
    <w:p>
      <w:pPr>
        <w:spacing w:after="0" w:line="278"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54585A"/>
        </w:rPr>
        <w:t>The following table shows the number of shares of our common stock beneficially owned as of the Record Date by (i) each of our current directors, each of our NEOs and by all of our current directors and executive officers as a group and (ii) all the persons who were known to be beneficial owners of five percent or more of our common stock, which is our only voting securities, on the Record Date based upon 126,582,094 shares of our common stock outstanding as of the Record Date. Holders of our common stock are entitled to one vote per share.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Borders>
              <w:bottom w:val="single" w:sz="8" w:color="EEEDED"/>
            </w:tcBorders>
            <w:shd w:val="clear" w:color="auto" w:fill="EEEDED"/>
          </w:tcPr>
          <w:p>
            <w:pPr>
              <w:spacing w:after="0"/>
              <w:rPr>
                <w:sz w:val="19"/>
                <w:szCs w:val="19"/>
                <w:color w:val="auto"/>
              </w:rPr>
            </w:pPr>
          </w:p>
        </w:tc>
        <w:tc>
          <w:tcPr>
            <w:tcW w:w="4140" w:type="dxa"/>
            <w:vAlign w:val="bottom"/>
            <w:tcBorders>
              <w:bottom w:val="single" w:sz="8" w:color="54585A"/>
            </w:tcBorders>
            <w:gridSpan w:val="3"/>
            <w:shd w:val="clear" w:color="auto" w:fill="EEEDED"/>
          </w:tcPr>
          <w:p>
            <w:pPr>
              <w:jc w:val="center"/>
              <w:ind w:right="68"/>
              <w:spacing w:after="0"/>
              <w:rPr>
                <w:sz w:val="20"/>
                <w:szCs w:val="20"/>
                <w:color w:val="auto"/>
              </w:rPr>
            </w:pPr>
            <w:r>
              <w:rPr>
                <w:rFonts w:ascii="Arial" w:cs="Arial" w:eastAsia="Arial" w:hAnsi="Arial"/>
                <w:sz w:val="14"/>
                <w:szCs w:val="14"/>
                <w:b w:val="1"/>
                <w:bCs w:val="1"/>
                <w:color w:val="54585A"/>
              </w:rPr>
              <w:t>Amount and Nature of Beneficial Ownership</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EEEDED"/>
            </w:tcBorders>
            <w:shd w:val="clear" w:color="auto" w:fill="EEEDED"/>
          </w:tcPr>
          <w:p>
            <w:pPr>
              <w:spacing w:after="0"/>
              <w:rPr>
                <w:sz w:val="19"/>
                <w:szCs w:val="19"/>
                <w:color w:val="auto"/>
              </w:rPr>
            </w:pPr>
          </w:p>
        </w:tc>
        <w:tc>
          <w:tcPr>
            <w:tcW w:w="2700" w:type="dxa"/>
            <w:vAlign w:val="bottom"/>
            <w:tcBorders>
              <w:bottom w:val="single" w:sz="8" w:color="54585A"/>
            </w:tcBorders>
            <w:gridSpan w:val="2"/>
            <w:shd w:val="clear" w:color="auto" w:fill="EEEDED"/>
          </w:tcPr>
          <w:p>
            <w:pPr>
              <w:jc w:val="center"/>
              <w:ind w:left="1228"/>
              <w:spacing w:after="0"/>
              <w:rPr>
                <w:sz w:val="20"/>
                <w:szCs w:val="20"/>
                <w:color w:val="auto"/>
              </w:rPr>
            </w:pPr>
            <w:r>
              <w:rPr>
                <w:rFonts w:ascii="Arial" w:cs="Arial" w:eastAsia="Arial" w:hAnsi="Arial"/>
                <w:sz w:val="14"/>
                <w:szCs w:val="14"/>
                <w:b w:val="1"/>
                <w:bCs w:val="1"/>
                <w:color w:val="54585A"/>
              </w:rPr>
              <w:t>Common Stock</w:t>
            </w:r>
          </w:p>
        </w:tc>
        <w:tc>
          <w:tcPr>
            <w:tcW w:w="1440" w:type="dxa"/>
            <w:vAlign w:val="bottom"/>
            <w:tcBorders>
              <w:bottom w:val="single" w:sz="8" w:color="54585A"/>
            </w:tcBorders>
            <w:shd w:val="clear" w:color="auto" w:fill="EEEDED"/>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7100" w:type="dxa"/>
            <w:vAlign w:val="bottom"/>
            <w:shd w:val="clear" w:color="auto" w:fill="EEEDED"/>
          </w:tcPr>
          <w:p>
            <w:pPr>
              <w:spacing w:after="0"/>
              <w:rPr>
                <w:sz w:val="16"/>
                <w:szCs w:val="16"/>
                <w:color w:val="auto"/>
              </w:rPr>
            </w:pP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Shares</w:t>
            </w:r>
          </w:p>
        </w:tc>
        <w:tc>
          <w:tcPr>
            <w:tcW w:w="760" w:type="dxa"/>
            <w:vAlign w:val="bottom"/>
            <w:shd w:val="clear" w:color="auto" w:fill="EEEDED"/>
          </w:tcPr>
          <w:p>
            <w:pPr>
              <w:spacing w:after="0"/>
              <w:rPr>
                <w:sz w:val="16"/>
                <w:szCs w:val="16"/>
                <w:color w:val="auto"/>
              </w:rPr>
            </w:pPr>
          </w:p>
        </w:tc>
        <w:tc>
          <w:tcPr>
            <w:tcW w:w="14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Percent of Class</w:t>
            </w:r>
          </w:p>
        </w:tc>
        <w:tc>
          <w:tcPr>
            <w:tcW w:w="0" w:type="dxa"/>
            <w:vAlign w:val="bottom"/>
          </w:tcPr>
          <w:p>
            <w:pPr>
              <w:spacing w:after="0"/>
              <w:rPr>
                <w:sz w:val="1"/>
                <w:szCs w:val="1"/>
                <w:color w:val="auto"/>
              </w:rPr>
            </w:pPr>
          </w:p>
        </w:tc>
      </w:tr>
      <w:tr>
        <w:trPr>
          <w:trHeight w:val="196"/>
        </w:trPr>
        <w:tc>
          <w:tcPr>
            <w:tcW w:w="7100" w:type="dxa"/>
            <w:vAlign w:val="bottom"/>
            <w:shd w:val="clear" w:color="auto" w:fill="EEEDED"/>
          </w:tcPr>
          <w:p>
            <w:pPr>
              <w:ind w:left="100"/>
              <w:spacing w:after="0"/>
              <w:rPr>
                <w:sz w:val="20"/>
                <w:szCs w:val="20"/>
                <w:color w:val="auto"/>
              </w:rPr>
            </w:pPr>
            <w:r>
              <w:rPr>
                <w:rFonts w:ascii="Arial" w:cs="Arial" w:eastAsia="Arial" w:hAnsi="Arial"/>
                <w:sz w:val="14"/>
                <w:szCs w:val="14"/>
                <w:b w:val="1"/>
                <w:bCs w:val="1"/>
                <w:color w:val="54585A"/>
              </w:rPr>
              <w:t>Name of Beneficial Owner</w:t>
            </w:r>
            <w:r>
              <w:rPr>
                <w:rFonts w:ascii="Arial" w:cs="Arial" w:eastAsia="Arial" w:hAnsi="Arial"/>
                <w:sz w:val="9"/>
                <w:szCs w:val="9"/>
                <w:b w:val="1"/>
                <w:bCs w:val="1"/>
                <w:color w:val="54585A"/>
              </w:rPr>
              <w:t>(1)</w:t>
            </w:r>
          </w:p>
        </w:tc>
        <w:tc>
          <w:tcPr>
            <w:tcW w:w="1940" w:type="dxa"/>
            <w:vAlign w:val="bottom"/>
            <w:shd w:val="clear" w:color="auto" w:fill="EEEDED"/>
          </w:tcPr>
          <w:p>
            <w:pPr>
              <w:jc w:val="right"/>
              <w:spacing w:after="0"/>
              <w:rPr>
                <w:sz w:val="20"/>
                <w:szCs w:val="20"/>
                <w:color w:val="auto"/>
              </w:rPr>
            </w:pPr>
            <w:r>
              <w:rPr>
                <w:rFonts w:ascii="Arial" w:cs="Arial" w:eastAsia="Arial" w:hAnsi="Arial"/>
                <w:sz w:val="14"/>
                <w:szCs w:val="14"/>
                <w:b w:val="1"/>
                <w:bCs w:val="1"/>
                <w:color w:val="54585A"/>
              </w:rPr>
              <w:t>(#)</w:t>
            </w:r>
          </w:p>
        </w:tc>
        <w:tc>
          <w:tcPr>
            <w:tcW w:w="760" w:type="dxa"/>
            <w:vAlign w:val="bottom"/>
            <w:shd w:val="clear" w:color="auto" w:fill="EEEDED"/>
          </w:tcPr>
          <w:p>
            <w:pPr>
              <w:spacing w:after="0"/>
              <w:rPr>
                <w:sz w:val="17"/>
                <w:szCs w:val="17"/>
                <w:color w:val="auto"/>
              </w:rPr>
            </w:pPr>
          </w:p>
        </w:tc>
        <w:tc>
          <w:tcPr>
            <w:tcW w:w="1440" w:type="dxa"/>
            <w:vAlign w:val="bottom"/>
            <w:shd w:val="clear" w:color="auto" w:fill="EEEDED"/>
          </w:tcPr>
          <w:p>
            <w:pPr>
              <w:jc w:val="right"/>
              <w:ind w:right="88"/>
              <w:spacing w:after="0"/>
              <w:rPr>
                <w:sz w:val="20"/>
                <w:szCs w:val="20"/>
                <w:color w:val="auto"/>
              </w:rPr>
            </w:pPr>
            <w:r>
              <w:rPr>
                <w:rFonts w:ascii="Arial" w:cs="Arial" w:eastAsia="Arial" w:hAnsi="Arial"/>
                <w:sz w:val="14"/>
                <w:szCs w:val="14"/>
                <w:b w:val="1"/>
                <w:bCs w:val="1"/>
                <w:color w:val="54585A"/>
              </w:rPr>
              <w:t>(%)</w:t>
            </w:r>
          </w:p>
        </w:tc>
        <w:tc>
          <w:tcPr>
            <w:tcW w:w="0" w:type="dxa"/>
            <w:vAlign w:val="bottom"/>
          </w:tcPr>
          <w:p>
            <w:pPr>
              <w:spacing w:after="0"/>
              <w:rPr>
                <w:sz w:val="1"/>
                <w:szCs w:val="1"/>
                <w:color w:val="auto"/>
              </w:rPr>
            </w:pPr>
          </w:p>
        </w:tc>
      </w:tr>
      <w:tr>
        <w:trPr>
          <w:trHeight w:val="110"/>
        </w:trPr>
        <w:tc>
          <w:tcPr>
            <w:tcW w:w="7100" w:type="dxa"/>
            <w:vAlign w:val="bottom"/>
            <w:shd w:val="clear" w:color="auto" w:fill="EEEDED"/>
          </w:tcPr>
          <w:p>
            <w:pPr>
              <w:spacing w:after="0"/>
              <w:rPr>
                <w:sz w:val="9"/>
                <w:szCs w:val="9"/>
                <w:color w:val="auto"/>
              </w:rPr>
            </w:pPr>
          </w:p>
        </w:tc>
        <w:tc>
          <w:tcPr>
            <w:tcW w:w="1940" w:type="dxa"/>
            <w:vAlign w:val="bottom"/>
            <w:shd w:val="clear" w:color="auto" w:fill="EEEDED"/>
          </w:tcPr>
          <w:p>
            <w:pPr>
              <w:spacing w:after="0"/>
              <w:rPr>
                <w:sz w:val="9"/>
                <w:szCs w:val="9"/>
                <w:color w:val="auto"/>
              </w:rPr>
            </w:pPr>
          </w:p>
        </w:tc>
        <w:tc>
          <w:tcPr>
            <w:tcW w:w="760" w:type="dxa"/>
            <w:vAlign w:val="bottom"/>
            <w:shd w:val="clear" w:color="auto" w:fill="EEEDED"/>
          </w:tcPr>
          <w:p>
            <w:pPr>
              <w:spacing w:after="0"/>
              <w:rPr>
                <w:sz w:val="9"/>
                <w:szCs w:val="9"/>
                <w:color w:val="auto"/>
              </w:rPr>
            </w:pPr>
          </w:p>
        </w:tc>
        <w:tc>
          <w:tcPr>
            <w:tcW w:w="1440" w:type="dxa"/>
            <w:vAlign w:val="bottom"/>
            <w:shd w:val="clear" w:color="auto" w:fill="EEEDED"/>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100" w:type="dxa"/>
            <w:vAlign w:val="bottom"/>
          </w:tcPr>
          <w:p>
            <w:pPr>
              <w:ind w:left="100"/>
              <w:spacing w:after="0"/>
              <w:rPr>
                <w:sz w:val="20"/>
                <w:szCs w:val="20"/>
                <w:color w:val="auto"/>
              </w:rPr>
            </w:pPr>
            <w:r>
              <w:rPr>
                <w:rFonts w:ascii="Arial" w:cs="Arial" w:eastAsia="Arial" w:hAnsi="Arial"/>
                <w:sz w:val="14"/>
                <w:szCs w:val="14"/>
                <w:b w:val="1"/>
                <w:bCs w:val="1"/>
                <w:color w:val="EB6C10"/>
              </w:rPr>
              <w:t>James Monroe III</w:t>
            </w:r>
            <w:r>
              <w:rPr>
                <w:rFonts w:ascii="Arial" w:cs="Arial" w:eastAsia="Arial" w:hAnsi="Arial"/>
                <w:sz w:val="9"/>
                <w:szCs w:val="9"/>
                <w:b w:val="1"/>
                <w:bCs w:val="1"/>
                <w:color w:val="EB6C10"/>
              </w:rPr>
              <w:t>(2)</w:t>
            </w:r>
          </w:p>
        </w:tc>
        <w:tc>
          <w:tcPr>
            <w:tcW w:w="1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100" w:type="dxa"/>
            <w:vAlign w:val="bottom"/>
          </w:tcPr>
          <w:p>
            <w:pPr>
              <w:ind w:left="180"/>
              <w:spacing w:after="0"/>
              <w:rPr>
                <w:sz w:val="20"/>
                <w:szCs w:val="20"/>
                <w:color w:val="auto"/>
              </w:rPr>
            </w:pPr>
            <w:r>
              <w:rPr>
                <w:rFonts w:ascii="Arial" w:cs="Arial" w:eastAsia="Arial" w:hAnsi="Arial"/>
                <w:sz w:val="14"/>
                <w:szCs w:val="14"/>
                <w:color w:val="54585A"/>
              </w:rPr>
              <w:t>FL Investment Holdings, LLC</w:t>
            </w: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80"/>
              <w:spacing w:after="0"/>
              <w:rPr>
                <w:sz w:val="20"/>
                <w:szCs w:val="20"/>
                <w:color w:val="auto"/>
              </w:rPr>
            </w:pPr>
            <w:r>
              <w:rPr>
                <w:rFonts w:ascii="Arial" w:cs="Arial" w:eastAsia="Arial" w:hAnsi="Arial"/>
                <w:sz w:val="14"/>
                <w:szCs w:val="14"/>
                <w:color w:val="54585A"/>
              </w:rPr>
              <w:t>Thermo Funding Company, LLC</w:t>
            </w: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00" w:type="dxa"/>
            <w:vAlign w:val="bottom"/>
          </w:tcPr>
          <w:p>
            <w:pPr>
              <w:ind w:left="180"/>
              <w:spacing w:after="0"/>
              <w:rPr>
                <w:sz w:val="20"/>
                <w:szCs w:val="20"/>
                <w:color w:val="auto"/>
              </w:rPr>
            </w:pPr>
            <w:r>
              <w:rPr>
                <w:rFonts w:ascii="Arial" w:cs="Arial" w:eastAsia="Arial" w:hAnsi="Arial"/>
                <w:sz w:val="14"/>
                <w:szCs w:val="14"/>
                <w:color w:val="54585A"/>
              </w:rPr>
              <w:t>Thermo Funding II LLC</w:t>
            </w: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7100" w:type="dxa"/>
            <w:vAlign w:val="bottom"/>
          </w:tcPr>
          <w:p>
            <w:pPr>
              <w:ind w:left="180"/>
              <w:spacing w:after="0"/>
              <w:rPr>
                <w:sz w:val="20"/>
                <w:szCs w:val="20"/>
                <w:color w:val="auto"/>
              </w:rPr>
            </w:pPr>
            <w:r>
              <w:rPr>
                <w:rFonts w:ascii="Arial" w:cs="Arial" w:eastAsia="Arial" w:hAnsi="Arial"/>
                <w:sz w:val="14"/>
                <w:szCs w:val="14"/>
                <w:color w:val="54585A"/>
              </w:rPr>
              <w:t>Globalstar Satellite, L.P.</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54585A"/>
              </w:rPr>
              <w:t>74,089,585</w:t>
            </w:r>
          </w:p>
        </w:tc>
        <w:tc>
          <w:tcPr>
            <w:tcW w:w="760" w:type="dxa"/>
            <w:vAlign w:val="bottom"/>
          </w:tcPr>
          <w:p>
            <w:pPr>
              <w:spacing w:after="0"/>
              <w:rPr>
                <w:sz w:val="14"/>
                <w:szCs w:val="14"/>
                <w:color w:val="auto"/>
              </w:rPr>
            </w:pPr>
          </w:p>
        </w:tc>
        <w:tc>
          <w:tcPr>
            <w:tcW w:w="1440" w:type="dxa"/>
            <w:vAlign w:val="bottom"/>
            <w:vMerge w:val="restart"/>
          </w:tcPr>
          <w:p>
            <w:pPr>
              <w:jc w:val="right"/>
              <w:ind w:right="88"/>
              <w:spacing w:after="0"/>
              <w:rPr>
                <w:sz w:val="20"/>
                <w:szCs w:val="20"/>
                <w:color w:val="auto"/>
              </w:rPr>
            </w:pPr>
            <w:r>
              <w:rPr>
                <w:rFonts w:ascii="Arial" w:cs="Arial" w:eastAsia="Arial" w:hAnsi="Arial"/>
                <w:sz w:val="14"/>
                <w:szCs w:val="14"/>
                <w:color w:val="54585A"/>
              </w:rPr>
              <w:t>58 %</w:t>
            </w:r>
          </w:p>
        </w:tc>
        <w:tc>
          <w:tcPr>
            <w:tcW w:w="0" w:type="dxa"/>
            <w:vAlign w:val="bottom"/>
          </w:tcPr>
          <w:p>
            <w:pPr>
              <w:spacing w:after="0"/>
              <w:rPr>
                <w:sz w:val="1"/>
                <w:szCs w:val="1"/>
                <w:color w:val="auto"/>
              </w:rPr>
            </w:pPr>
          </w:p>
        </w:tc>
      </w:tr>
      <w:tr>
        <w:trPr>
          <w:trHeight w:val="96"/>
        </w:trPr>
        <w:tc>
          <w:tcPr>
            <w:tcW w:w="7100" w:type="dxa"/>
            <w:vAlign w:val="bottom"/>
            <w:vMerge w:val="restart"/>
          </w:tcPr>
          <w:p>
            <w:pPr>
              <w:ind w:left="180"/>
              <w:spacing w:after="0"/>
              <w:rPr>
                <w:sz w:val="20"/>
                <w:szCs w:val="20"/>
                <w:color w:val="auto"/>
              </w:rPr>
            </w:pPr>
            <w:r>
              <w:rPr>
                <w:rFonts w:ascii="Arial" w:cs="Arial" w:eastAsia="Arial" w:hAnsi="Arial"/>
                <w:sz w:val="14"/>
                <w:szCs w:val="14"/>
                <w:color w:val="54585A"/>
              </w:rPr>
              <w:t>Monroe Irr. Educational Trust</w:t>
            </w:r>
          </w:p>
        </w:tc>
        <w:tc>
          <w:tcPr>
            <w:tcW w:w="19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7100" w:type="dxa"/>
            <w:vAlign w:val="bottom"/>
            <w:vMerge w:val="continue"/>
          </w:tcPr>
          <w:p>
            <w:pPr>
              <w:spacing w:after="0"/>
              <w:rPr>
                <w:sz w:val="6"/>
                <w:szCs w:val="6"/>
                <w:color w:val="auto"/>
              </w:rPr>
            </w:pPr>
          </w:p>
        </w:tc>
        <w:tc>
          <w:tcPr>
            <w:tcW w:w="19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80"/>
              <w:spacing w:after="0"/>
              <w:rPr>
                <w:sz w:val="20"/>
                <w:szCs w:val="20"/>
                <w:color w:val="auto"/>
              </w:rPr>
            </w:pPr>
            <w:r>
              <w:rPr>
                <w:rFonts w:ascii="Arial" w:cs="Arial" w:eastAsia="Arial" w:hAnsi="Arial"/>
                <w:sz w:val="14"/>
                <w:szCs w:val="14"/>
                <w:color w:val="54585A"/>
              </w:rPr>
              <w:t>Thermo Properties II LLC</w:t>
            </w: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100" w:type="dxa"/>
            <w:vAlign w:val="bottom"/>
          </w:tcPr>
          <w:p>
            <w:pPr>
              <w:ind w:left="180"/>
              <w:spacing w:after="0"/>
              <w:rPr>
                <w:sz w:val="20"/>
                <w:szCs w:val="20"/>
                <w:color w:val="auto"/>
              </w:rPr>
            </w:pPr>
            <w:r>
              <w:rPr>
                <w:rFonts w:ascii="Arial" w:cs="Arial" w:eastAsia="Arial" w:hAnsi="Arial"/>
                <w:sz w:val="14"/>
                <w:szCs w:val="14"/>
                <w:color w:val="54585A"/>
              </w:rPr>
              <w:t>James Monroe III Grantor Trust</w:t>
            </w: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100" w:type="dxa"/>
            <w:vAlign w:val="bottom"/>
          </w:tcPr>
          <w:p>
            <w:pPr>
              <w:ind w:left="180"/>
              <w:spacing w:after="0"/>
              <w:rPr>
                <w:sz w:val="20"/>
                <w:szCs w:val="20"/>
                <w:color w:val="auto"/>
              </w:rPr>
            </w:pPr>
            <w:r>
              <w:rPr>
                <w:rFonts w:ascii="Arial" w:cs="Arial" w:eastAsia="Arial" w:hAnsi="Arial"/>
                <w:sz w:val="14"/>
                <w:szCs w:val="14"/>
                <w:color w:val="54585A"/>
              </w:rPr>
              <w:t>Thermo Investments LP</w:t>
            </w:r>
          </w:p>
        </w:tc>
        <w:tc>
          <w:tcPr>
            <w:tcW w:w="1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100" w:type="dxa"/>
            <w:vAlign w:val="bottom"/>
            <w:tcBorders>
              <w:bottom w:val="single" w:sz="8" w:color="54585A"/>
            </w:tcBorders>
          </w:tcPr>
          <w:p>
            <w:pPr>
              <w:ind w:left="180"/>
              <w:spacing w:after="0"/>
              <w:rPr>
                <w:sz w:val="20"/>
                <w:szCs w:val="20"/>
                <w:color w:val="auto"/>
              </w:rPr>
            </w:pPr>
            <w:r>
              <w:rPr>
                <w:rFonts w:ascii="Arial" w:cs="Arial" w:eastAsia="Arial" w:hAnsi="Arial"/>
                <w:sz w:val="14"/>
                <w:szCs w:val="14"/>
                <w:color w:val="54585A"/>
              </w:rPr>
              <w:t>Thermo XCOM LLC</w:t>
            </w:r>
          </w:p>
        </w:tc>
        <w:tc>
          <w:tcPr>
            <w:tcW w:w="1940" w:type="dxa"/>
            <w:vAlign w:val="bottom"/>
            <w:tcBorders>
              <w:bottom w:val="single" w:sz="8" w:color="54585A"/>
            </w:tcBorders>
          </w:tcPr>
          <w:p>
            <w:pPr>
              <w:spacing w:after="0"/>
              <w:rPr>
                <w:sz w:val="16"/>
                <w:szCs w:val="16"/>
                <w:color w:val="auto"/>
              </w:rPr>
            </w:pPr>
          </w:p>
        </w:tc>
        <w:tc>
          <w:tcPr>
            <w:tcW w:w="760" w:type="dxa"/>
            <w:vAlign w:val="bottom"/>
            <w:tcBorders>
              <w:bottom w:val="single" w:sz="8" w:color="54585A"/>
            </w:tcBorders>
          </w:tcPr>
          <w:p>
            <w:pPr>
              <w:spacing w:after="0"/>
              <w:rPr>
                <w:sz w:val="16"/>
                <w:szCs w:val="16"/>
                <w:color w:val="auto"/>
              </w:rPr>
            </w:pPr>
          </w:p>
        </w:tc>
        <w:tc>
          <w:tcPr>
            <w:tcW w:w="1440" w:type="dxa"/>
            <w:vAlign w:val="bottom"/>
            <w:tcBorders>
              <w:bottom w:val="single" w:sz="8" w:color="54585A"/>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100" w:type="dxa"/>
            <w:vAlign w:val="bottom"/>
          </w:tcPr>
          <w:p>
            <w:pPr>
              <w:ind w:left="100"/>
              <w:spacing w:after="0"/>
              <w:rPr>
                <w:sz w:val="20"/>
                <w:szCs w:val="20"/>
                <w:color w:val="auto"/>
              </w:rPr>
            </w:pPr>
            <w:r>
              <w:rPr>
                <w:rFonts w:ascii="Arial" w:cs="Arial" w:eastAsia="Arial" w:hAnsi="Arial"/>
                <w:sz w:val="14"/>
                <w:szCs w:val="14"/>
                <w:b w:val="1"/>
                <w:bCs w:val="1"/>
                <w:color w:val="FF6C10"/>
              </w:rPr>
              <w:t>Dr. Paul E. Jacobs</w:t>
            </w:r>
            <w:r>
              <w:rPr>
                <w:rFonts w:ascii="Arial" w:cs="Arial" w:eastAsia="Arial" w:hAnsi="Arial"/>
                <w:sz w:val="9"/>
                <w:szCs w:val="9"/>
                <w:b w:val="1"/>
                <w:bCs w:val="1"/>
                <w:color w:val="FF6C10"/>
              </w:rPr>
              <w:t>(3)</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54585A"/>
              </w:rPr>
              <w:t>1,336,794</w:t>
            </w:r>
          </w:p>
        </w:tc>
        <w:tc>
          <w:tcPr>
            <w:tcW w:w="760" w:type="dxa"/>
            <w:vAlign w:val="bottom"/>
          </w:tcPr>
          <w:p>
            <w:pPr>
              <w:spacing w:after="0"/>
              <w:rPr>
                <w:sz w:val="15"/>
                <w:szCs w:val="15"/>
                <w:color w:val="auto"/>
              </w:rPr>
            </w:pPr>
          </w:p>
        </w:tc>
        <w:tc>
          <w:tcPr>
            <w:tcW w:w="1440" w:type="dxa"/>
            <w:vAlign w:val="bottom"/>
            <w:vMerge w:val="restart"/>
          </w:tcPr>
          <w:p>
            <w:pPr>
              <w:jc w:val="right"/>
              <w:ind w:right="88"/>
              <w:spacing w:after="0"/>
              <w:rPr>
                <w:sz w:val="20"/>
                <w:szCs w:val="20"/>
                <w:color w:val="auto"/>
              </w:rPr>
            </w:pPr>
            <w:r>
              <w:rPr>
                <w:rFonts w:ascii="Arial" w:cs="Arial" w:eastAsia="Arial" w:hAnsi="Arial"/>
                <w:sz w:val="14"/>
                <w:szCs w:val="14"/>
                <w:color w:val="54585A"/>
              </w:rPr>
              <w:t>0.01</w:t>
            </w:r>
          </w:p>
        </w:tc>
        <w:tc>
          <w:tcPr>
            <w:tcW w:w="0" w:type="dxa"/>
            <w:vAlign w:val="bottom"/>
          </w:tcPr>
          <w:p>
            <w:pPr>
              <w:spacing w:after="0"/>
              <w:rPr>
                <w:sz w:val="1"/>
                <w:szCs w:val="1"/>
                <w:color w:val="auto"/>
              </w:rPr>
            </w:pPr>
          </w:p>
        </w:tc>
      </w:tr>
      <w:tr>
        <w:trPr>
          <w:trHeight w:val="148"/>
        </w:trPr>
        <w:tc>
          <w:tcPr>
            <w:tcW w:w="7100" w:type="dxa"/>
            <w:vAlign w:val="bottom"/>
          </w:tcPr>
          <w:p>
            <w:pPr>
              <w:ind w:left="180"/>
              <w:spacing w:after="0" w:line="149" w:lineRule="exact"/>
              <w:rPr>
                <w:sz w:val="20"/>
                <w:szCs w:val="20"/>
                <w:color w:val="auto"/>
              </w:rPr>
            </w:pPr>
            <w:r>
              <w:rPr>
                <w:rFonts w:ascii="Arial" w:cs="Arial" w:eastAsia="Arial" w:hAnsi="Arial"/>
                <w:sz w:val="14"/>
                <w:szCs w:val="14"/>
                <w:color w:val="6D6D6D"/>
              </w:rPr>
              <w:t>The Paul Eric Jacobs Trust</w:t>
            </w:r>
          </w:p>
        </w:tc>
        <w:tc>
          <w:tcPr>
            <w:tcW w:w="19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100" w:type="dxa"/>
            <w:vAlign w:val="bottom"/>
            <w:tcBorders>
              <w:bottom w:val="single" w:sz="8" w:color="54585A"/>
            </w:tcBorders>
          </w:tcPr>
          <w:p>
            <w:pPr>
              <w:ind w:left="180"/>
              <w:spacing w:after="0"/>
              <w:rPr>
                <w:sz w:val="20"/>
                <w:szCs w:val="20"/>
                <w:color w:val="auto"/>
              </w:rPr>
            </w:pPr>
            <w:r>
              <w:rPr>
                <w:rFonts w:ascii="Arial" w:cs="Arial" w:eastAsia="Arial" w:hAnsi="Arial"/>
                <w:sz w:val="14"/>
                <w:szCs w:val="14"/>
                <w:color w:val="6D6D6D"/>
              </w:rPr>
              <w:t>Virewirx, Inc.</w:t>
            </w:r>
          </w:p>
        </w:tc>
        <w:tc>
          <w:tcPr>
            <w:tcW w:w="1940" w:type="dxa"/>
            <w:vAlign w:val="bottom"/>
            <w:tcBorders>
              <w:bottom w:val="single" w:sz="8" w:color="54585A"/>
            </w:tcBorders>
          </w:tcPr>
          <w:p>
            <w:pPr>
              <w:spacing w:after="0"/>
              <w:rPr>
                <w:sz w:val="16"/>
                <w:szCs w:val="16"/>
                <w:color w:val="auto"/>
              </w:rPr>
            </w:pPr>
          </w:p>
        </w:tc>
        <w:tc>
          <w:tcPr>
            <w:tcW w:w="760" w:type="dxa"/>
            <w:vAlign w:val="bottom"/>
            <w:tcBorders>
              <w:bottom w:val="single" w:sz="8" w:color="54585A"/>
            </w:tcBorders>
          </w:tcPr>
          <w:p>
            <w:pPr>
              <w:spacing w:after="0"/>
              <w:rPr>
                <w:sz w:val="16"/>
                <w:szCs w:val="16"/>
                <w:color w:val="auto"/>
              </w:rPr>
            </w:pPr>
          </w:p>
        </w:tc>
        <w:tc>
          <w:tcPr>
            <w:tcW w:w="1440" w:type="dxa"/>
            <w:vAlign w:val="bottom"/>
            <w:tcBorders>
              <w:bottom w:val="single" w:sz="8" w:color="54585A"/>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100" w:type="dxa"/>
            <w:vAlign w:val="bottom"/>
          </w:tcPr>
          <w:p>
            <w:pPr>
              <w:ind w:left="100"/>
              <w:spacing w:after="0"/>
              <w:rPr>
                <w:sz w:val="20"/>
                <w:szCs w:val="20"/>
                <w:color w:val="auto"/>
              </w:rPr>
            </w:pPr>
            <w:r>
              <w:rPr>
                <w:rFonts w:ascii="Arial" w:cs="Arial" w:eastAsia="Arial" w:hAnsi="Arial"/>
                <w:sz w:val="14"/>
                <w:szCs w:val="14"/>
                <w:b w:val="1"/>
                <w:bCs w:val="1"/>
                <w:color w:val="EB6C10"/>
              </w:rPr>
              <w:t>James F. Lynch</w:t>
            </w:r>
            <w:r>
              <w:rPr>
                <w:rFonts w:ascii="Arial" w:cs="Arial" w:eastAsia="Arial" w:hAnsi="Arial"/>
                <w:sz w:val="9"/>
                <w:szCs w:val="9"/>
                <w:b w:val="1"/>
                <w:bCs w:val="1"/>
                <w:color w:val="EB6C10"/>
              </w:rPr>
              <w:t>(4)</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54585A"/>
              </w:rPr>
              <w:t>878,290</w:t>
            </w:r>
          </w:p>
        </w:tc>
        <w:tc>
          <w:tcPr>
            <w:tcW w:w="760" w:type="dxa"/>
            <w:vAlign w:val="bottom"/>
          </w:tcPr>
          <w:p>
            <w:pPr>
              <w:spacing w:after="0"/>
              <w:rPr>
                <w:sz w:val="16"/>
                <w:szCs w:val="16"/>
                <w:color w:val="auto"/>
              </w:rPr>
            </w:pPr>
          </w:p>
        </w:tc>
        <w:tc>
          <w:tcPr>
            <w:tcW w:w="1440" w:type="dxa"/>
            <w:vAlign w:val="bottom"/>
            <w:vMerge w:val="restart"/>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96"/>
        </w:trPr>
        <w:tc>
          <w:tcPr>
            <w:tcW w:w="7100" w:type="dxa"/>
            <w:vAlign w:val="bottom"/>
            <w:vMerge w:val="restart"/>
          </w:tcPr>
          <w:p>
            <w:pPr>
              <w:ind w:left="180"/>
              <w:spacing w:after="0"/>
              <w:rPr>
                <w:sz w:val="20"/>
                <w:szCs w:val="20"/>
                <w:color w:val="auto"/>
              </w:rPr>
            </w:pPr>
            <w:r>
              <w:rPr>
                <w:rFonts w:ascii="Arial" w:cs="Arial" w:eastAsia="Arial" w:hAnsi="Arial"/>
                <w:sz w:val="14"/>
                <w:szCs w:val="14"/>
                <w:color w:val="54585A"/>
              </w:rPr>
              <w:t>Thermo Investments II LLC</w:t>
            </w:r>
          </w:p>
        </w:tc>
        <w:tc>
          <w:tcPr>
            <w:tcW w:w="19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710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760" w:type="dxa"/>
            <w:vAlign w:val="bottom"/>
            <w:tcBorders>
              <w:bottom w:val="single" w:sz="8" w:color="54585A"/>
            </w:tcBorders>
          </w:tcPr>
          <w:p>
            <w:pPr>
              <w:spacing w:after="0" w:line="20" w:lineRule="exact"/>
              <w:rPr>
                <w:sz w:val="1"/>
                <w:szCs w:val="1"/>
                <w:color w:val="auto"/>
              </w:rPr>
            </w:pPr>
          </w:p>
        </w:tc>
        <w:tc>
          <w:tcPr>
            <w:tcW w:w="144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7"/>
        </w:trPr>
        <w:tc>
          <w:tcPr>
            <w:tcW w:w="7100" w:type="dxa"/>
            <w:vAlign w:val="bottom"/>
          </w:tcPr>
          <w:p>
            <w:pPr>
              <w:ind w:left="100"/>
              <w:spacing w:after="0"/>
              <w:rPr>
                <w:sz w:val="20"/>
                <w:szCs w:val="20"/>
                <w:color w:val="auto"/>
              </w:rPr>
            </w:pPr>
            <w:r>
              <w:rPr>
                <w:rFonts w:ascii="Arial" w:cs="Arial" w:eastAsia="Arial" w:hAnsi="Arial"/>
                <w:sz w:val="14"/>
                <w:szCs w:val="14"/>
                <w:b w:val="1"/>
                <w:bCs w:val="1"/>
                <w:color w:val="EB6C10"/>
              </w:rPr>
              <w:t>Timothy E. Taylor</w:t>
            </w:r>
            <w:r>
              <w:rPr>
                <w:rFonts w:ascii="Arial" w:cs="Arial" w:eastAsia="Arial" w:hAnsi="Arial"/>
                <w:sz w:val="9"/>
                <w:szCs w:val="9"/>
                <w:b w:val="1"/>
                <w:bCs w:val="1"/>
                <w:color w:val="EB6C10"/>
              </w:rPr>
              <w:t>(5)</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54585A"/>
              </w:rPr>
              <w:t>571,826</w:t>
            </w:r>
          </w:p>
        </w:tc>
        <w:tc>
          <w:tcPr>
            <w:tcW w:w="760" w:type="dxa"/>
            <w:vAlign w:val="bottom"/>
          </w:tcPr>
          <w:p>
            <w:pPr>
              <w:spacing w:after="0"/>
              <w:rPr>
                <w:sz w:val="16"/>
                <w:szCs w:val="16"/>
                <w:color w:val="auto"/>
              </w:rPr>
            </w:pPr>
          </w:p>
        </w:tc>
        <w:tc>
          <w:tcPr>
            <w:tcW w:w="1440" w:type="dxa"/>
            <w:vAlign w:val="bottom"/>
            <w:vMerge w:val="restart"/>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96"/>
        </w:trPr>
        <w:tc>
          <w:tcPr>
            <w:tcW w:w="7100" w:type="dxa"/>
            <w:vAlign w:val="bottom"/>
            <w:vMerge w:val="restart"/>
          </w:tcPr>
          <w:p>
            <w:pPr>
              <w:ind w:left="180"/>
              <w:spacing w:after="0"/>
              <w:rPr>
                <w:sz w:val="20"/>
                <w:szCs w:val="20"/>
                <w:color w:val="auto"/>
              </w:rPr>
            </w:pPr>
            <w:r>
              <w:rPr>
                <w:rFonts w:ascii="Arial" w:cs="Arial" w:eastAsia="Arial" w:hAnsi="Arial"/>
                <w:sz w:val="14"/>
                <w:szCs w:val="14"/>
                <w:color w:val="54585A"/>
              </w:rPr>
              <w:t>Thermo Investments III LLC</w:t>
            </w:r>
          </w:p>
        </w:tc>
        <w:tc>
          <w:tcPr>
            <w:tcW w:w="19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10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7100" w:type="dxa"/>
            <w:vAlign w:val="bottom"/>
            <w:tcBorders>
              <w:bottom w:val="single" w:sz="8" w:color="54585A"/>
            </w:tcBorders>
          </w:tcPr>
          <w:p>
            <w:pPr>
              <w:spacing w:after="0" w:line="20" w:lineRule="exact"/>
              <w:rPr>
                <w:sz w:val="1"/>
                <w:szCs w:val="1"/>
                <w:color w:val="auto"/>
              </w:rPr>
            </w:pPr>
          </w:p>
        </w:tc>
        <w:tc>
          <w:tcPr>
            <w:tcW w:w="1940" w:type="dxa"/>
            <w:vAlign w:val="bottom"/>
            <w:tcBorders>
              <w:bottom w:val="single" w:sz="8" w:color="54585A"/>
            </w:tcBorders>
          </w:tcPr>
          <w:p>
            <w:pPr>
              <w:spacing w:after="0" w:line="20" w:lineRule="exact"/>
              <w:rPr>
                <w:sz w:val="1"/>
                <w:szCs w:val="1"/>
                <w:color w:val="auto"/>
              </w:rPr>
            </w:pPr>
          </w:p>
        </w:tc>
        <w:tc>
          <w:tcPr>
            <w:tcW w:w="760" w:type="dxa"/>
            <w:vAlign w:val="bottom"/>
            <w:tcBorders>
              <w:bottom w:val="single" w:sz="8" w:color="54585A"/>
            </w:tcBorders>
          </w:tcPr>
          <w:p>
            <w:pPr>
              <w:spacing w:after="0" w:line="20" w:lineRule="exact"/>
              <w:rPr>
                <w:sz w:val="1"/>
                <w:szCs w:val="1"/>
                <w:color w:val="auto"/>
              </w:rPr>
            </w:pPr>
          </w:p>
        </w:tc>
        <w:tc>
          <w:tcPr>
            <w:tcW w:w="1440" w:type="dxa"/>
            <w:vAlign w:val="bottom"/>
            <w:tcBorders>
              <w:bottom w:val="single" w:sz="8" w:color="54585A"/>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L. Barbee Ponder</w:t>
            </w:r>
          </w:p>
        </w:tc>
        <w:tc>
          <w:tcPr>
            <w:tcW w:w="194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115,245</w:t>
            </w:r>
          </w:p>
        </w:tc>
        <w:tc>
          <w:tcPr>
            <w:tcW w:w="760" w:type="dxa"/>
            <w:vAlign w:val="bottom"/>
            <w:tcBorders>
              <w:bottom w:val="single" w:sz="8" w:color="54585A"/>
            </w:tcBorders>
          </w:tcPr>
          <w:p>
            <w:pPr>
              <w:spacing w:after="0"/>
              <w:rPr>
                <w:sz w:val="18"/>
                <w:szCs w:val="18"/>
                <w:color w:val="auto"/>
              </w:rPr>
            </w:pPr>
          </w:p>
        </w:tc>
        <w:tc>
          <w:tcPr>
            <w:tcW w:w="144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Rebecca S. Clary</w:t>
            </w:r>
          </w:p>
        </w:tc>
        <w:tc>
          <w:tcPr>
            <w:tcW w:w="194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59,859</w:t>
            </w:r>
          </w:p>
        </w:tc>
        <w:tc>
          <w:tcPr>
            <w:tcW w:w="76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William A. Hasler</w:t>
            </w:r>
            <w:r>
              <w:rPr>
                <w:rFonts w:ascii="Arial" w:cs="Arial" w:eastAsia="Arial" w:hAnsi="Arial"/>
                <w:sz w:val="9"/>
                <w:szCs w:val="9"/>
                <w:b w:val="1"/>
                <w:bCs w:val="1"/>
                <w:color w:val="EB6C10"/>
              </w:rPr>
              <w:t>(6)</w:t>
            </w:r>
          </w:p>
        </w:tc>
        <w:tc>
          <w:tcPr>
            <w:tcW w:w="194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56,573</w:t>
            </w:r>
          </w:p>
        </w:tc>
        <w:tc>
          <w:tcPr>
            <w:tcW w:w="76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Keith O. Cowan</w:t>
            </w:r>
            <w:r>
              <w:rPr>
                <w:rFonts w:ascii="Arial" w:cs="Arial" w:eastAsia="Arial" w:hAnsi="Arial"/>
                <w:sz w:val="9"/>
                <w:szCs w:val="9"/>
                <w:b w:val="1"/>
                <w:bCs w:val="1"/>
                <w:color w:val="EB6C10"/>
              </w:rPr>
              <w:t>(7)</w:t>
            </w:r>
          </w:p>
        </w:tc>
        <w:tc>
          <w:tcPr>
            <w:tcW w:w="194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52,773</w:t>
            </w:r>
          </w:p>
        </w:tc>
        <w:tc>
          <w:tcPr>
            <w:tcW w:w="76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Benjamin G. Wolff</w:t>
            </w:r>
            <w:r>
              <w:rPr>
                <w:rFonts w:ascii="Arial" w:cs="Arial" w:eastAsia="Arial" w:hAnsi="Arial"/>
                <w:sz w:val="9"/>
                <w:szCs w:val="9"/>
                <w:b w:val="1"/>
                <w:bCs w:val="1"/>
                <w:color w:val="EB6C10"/>
              </w:rPr>
              <w:t>(7)</w:t>
            </w:r>
          </w:p>
        </w:tc>
        <w:tc>
          <w:tcPr>
            <w:tcW w:w="194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51,853</w:t>
            </w:r>
          </w:p>
        </w:tc>
        <w:tc>
          <w:tcPr>
            <w:tcW w:w="76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54585A"/>
            </w:tcBorders>
          </w:tcPr>
          <w:p>
            <w:pPr>
              <w:ind w:left="100"/>
              <w:spacing w:after="0"/>
              <w:rPr>
                <w:sz w:val="20"/>
                <w:szCs w:val="20"/>
                <w:color w:val="auto"/>
              </w:rPr>
            </w:pPr>
            <w:r>
              <w:rPr>
                <w:rFonts w:ascii="Arial" w:cs="Arial" w:eastAsia="Arial" w:hAnsi="Arial"/>
                <w:sz w:val="14"/>
                <w:szCs w:val="14"/>
                <w:b w:val="1"/>
                <w:bCs w:val="1"/>
                <w:color w:val="EB6C10"/>
              </w:rPr>
              <w:t>All current directors and current executive officers as a group (9 persons)</w:t>
            </w:r>
            <w:r>
              <w:rPr>
                <w:rFonts w:ascii="Arial" w:cs="Arial" w:eastAsia="Arial" w:hAnsi="Arial"/>
                <w:sz w:val="9"/>
                <w:szCs w:val="9"/>
                <w:b w:val="1"/>
                <w:bCs w:val="1"/>
                <w:color w:val="EB6C10"/>
              </w:rPr>
              <w:t>(1)(2)(3)(4)(5)(6)(7)</w:t>
            </w:r>
          </w:p>
        </w:tc>
        <w:tc>
          <w:tcPr>
            <w:tcW w:w="1940" w:type="dxa"/>
            <w:vAlign w:val="bottom"/>
            <w:tcBorders>
              <w:bottom w:val="single" w:sz="8" w:color="54585A"/>
            </w:tcBorders>
          </w:tcPr>
          <w:p>
            <w:pPr>
              <w:jc w:val="right"/>
              <w:spacing w:after="0"/>
              <w:rPr>
                <w:sz w:val="20"/>
                <w:szCs w:val="20"/>
                <w:color w:val="auto"/>
              </w:rPr>
            </w:pPr>
            <w:r>
              <w:rPr>
                <w:rFonts w:ascii="Arial" w:cs="Arial" w:eastAsia="Arial" w:hAnsi="Arial"/>
                <w:sz w:val="14"/>
                <w:szCs w:val="14"/>
                <w:color w:val="54585A"/>
              </w:rPr>
              <w:t>77,212,798</w:t>
            </w:r>
          </w:p>
        </w:tc>
        <w:tc>
          <w:tcPr>
            <w:tcW w:w="760" w:type="dxa"/>
            <w:vAlign w:val="bottom"/>
            <w:tcBorders>
              <w:bottom w:val="single" w:sz="8" w:color="54585A"/>
            </w:tcBorders>
          </w:tcPr>
          <w:p>
            <w:pPr>
              <w:spacing w:after="0"/>
              <w:rPr>
                <w:sz w:val="19"/>
                <w:szCs w:val="19"/>
                <w:color w:val="auto"/>
              </w:rPr>
            </w:pPr>
          </w:p>
        </w:tc>
        <w:tc>
          <w:tcPr>
            <w:tcW w:w="1440" w:type="dxa"/>
            <w:vAlign w:val="bottom"/>
            <w:tcBorders>
              <w:bottom w:val="single" w:sz="8" w:color="54585A"/>
            </w:tcBorders>
          </w:tcPr>
          <w:p>
            <w:pPr>
              <w:jc w:val="right"/>
              <w:ind w:right="88"/>
              <w:spacing w:after="0"/>
              <w:rPr>
                <w:sz w:val="20"/>
                <w:szCs w:val="20"/>
                <w:color w:val="auto"/>
              </w:rPr>
            </w:pPr>
            <w:r>
              <w:rPr>
                <w:rFonts w:ascii="Arial" w:cs="Arial" w:eastAsia="Arial" w:hAnsi="Arial"/>
                <w:sz w:val="14"/>
                <w:szCs w:val="14"/>
                <w:color w:val="54585A"/>
              </w:rPr>
              <w:t>61 %</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20" w:hanging="312"/>
        <w:spacing w:after="0"/>
        <w:tabs>
          <w:tab w:leader="none" w:pos="320" w:val="left"/>
        </w:tabs>
        <w:numPr>
          <w:ilvl w:val="0"/>
          <w:numId w:val="72"/>
        </w:numPr>
        <w:rPr>
          <w:rFonts w:ascii="Arial" w:cs="Arial" w:eastAsia="Arial" w:hAnsi="Arial"/>
          <w:sz w:val="14"/>
          <w:szCs w:val="14"/>
          <w:color w:val="54585A"/>
        </w:rPr>
      </w:pPr>
      <w:r>
        <w:rPr>
          <w:rFonts w:ascii="Arial" w:cs="Arial" w:eastAsia="Arial" w:hAnsi="Arial"/>
          <w:sz w:val="14"/>
          <w:szCs w:val="14"/>
          <w:color w:val="54585A"/>
        </w:rPr>
        <w:t>Less than 1% of outstanding shares.</w:t>
      </w:r>
    </w:p>
    <w:p>
      <w:pPr>
        <w:spacing w:after="0" w:line="123" w:lineRule="exact"/>
        <w:rPr>
          <w:sz w:val="20"/>
          <w:szCs w:val="20"/>
          <w:color w:val="auto"/>
        </w:rPr>
      </w:pPr>
    </w:p>
    <w:p>
      <w:pPr>
        <w:ind w:left="340" w:right="20" w:hanging="332"/>
        <w:spacing w:after="0" w:line="266" w:lineRule="auto"/>
        <w:tabs>
          <w:tab w:leader="none" w:pos="338" w:val="left"/>
        </w:tabs>
        <w:numPr>
          <w:ilvl w:val="0"/>
          <w:numId w:val="73"/>
        </w:numPr>
        <w:rPr>
          <w:rFonts w:ascii="Arial" w:cs="Arial" w:eastAsia="Arial" w:hAnsi="Arial"/>
          <w:sz w:val="14"/>
          <w:szCs w:val="14"/>
          <w:color w:val="54585A"/>
        </w:rPr>
      </w:pPr>
      <w:r>
        <w:rPr>
          <w:rFonts w:ascii="Arial" w:cs="Arial" w:eastAsia="Arial" w:hAnsi="Arial"/>
          <w:sz w:val="14"/>
          <w:szCs w:val="14"/>
          <w:color w:val="54585A"/>
        </w:rPr>
        <w:t>“Beneficial ownership” is a technical term broadly defined by the SEC to mean more than ownership in the usual sense. Stock is “beneficially owned” if a person has or shares the power to (a) vote or direct its vote or (b) sell or direct its sale, even if the person has no financial interest in the stock. Also, stock that a person has the right to acquire, such as through the exercise of options or warrants, within sixty (60) days of the Record Date is considered to be “beneficially owned.” These shares are deemed to be outstanding and beneficially owned by the person holding the derivative security for the purpose of computing the percentage ownership of that person, but they are not treated as outstanding for the purpose of computing the percentage ownership of any other person. Unless otherwise noted, each person has full voting and investment power over the stock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294640</wp:posOffset>
            </wp:positionV>
            <wp:extent cx="257175" cy="2571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ind w:left="92" w:hanging="92"/>
        <w:spacing w:after="0"/>
        <w:tabs>
          <w:tab w:leader="none" w:pos="92" w:val="left"/>
        </w:tabs>
        <w:numPr>
          <w:ilvl w:val="0"/>
          <w:numId w:val="74"/>
        </w:numPr>
        <w:rPr>
          <w:rFonts w:ascii="Arial" w:cs="Arial" w:eastAsia="Arial" w:hAnsi="Arial"/>
          <w:sz w:val="18"/>
          <w:szCs w:val="18"/>
          <w:b w:val="1"/>
          <w:bCs w:val="1"/>
          <w:color w:val="EB6C10"/>
        </w:rPr>
      </w:pPr>
      <w:r>
        <w:rPr>
          <w:rFonts w:ascii="Arial" w:cs="Arial" w:eastAsia="Arial" w:hAnsi="Arial"/>
          <w:sz w:val="14"/>
          <w:szCs w:val="14"/>
          <w:color w:val="54585A"/>
        </w:rPr>
        <w:t>Security Ownership of Principal Stockholders and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32" w:right="400" w:hanging="332"/>
        <w:spacing w:after="0" w:line="305" w:lineRule="auto"/>
        <w:tabs>
          <w:tab w:leader="none" w:pos="330" w:val="left"/>
        </w:tabs>
        <w:numPr>
          <w:ilvl w:val="0"/>
          <w:numId w:val="75"/>
        </w:numPr>
        <w:rPr>
          <w:rFonts w:ascii="Arial" w:cs="Arial" w:eastAsia="Arial" w:hAnsi="Arial"/>
          <w:sz w:val="14"/>
          <w:szCs w:val="14"/>
          <w:color w:val="54585A"/>
        </w:rPr>
      </w:pPr>
      <w:r>
        <w:rPr>
          <w:rFonts w:ascii="Arial" w:cs="Arial" w:eastAsia="Arial" w:hAnsi="Arial"/>
          <w:sz w:val="14"/>
          <w:szCs w:val="14"/>
          <w:color w:val="54585A"/>
        </w:rPr>
        <w:t>The address of Mr. Monroe, FL Investment Holdings, LLC, Thermo Funding Company, LLC, Thermo Funding II LLC, Globalstar Satellite, L.P., Monroe Irr. Educational Trust, James Monroe III Grantor Trust, Thermo Investments LP, Thermo Properties II, LLC and Thermo XCOM LLC is 1735 Nineteenth Street, Denver, CO 80202.</w:t>
      </w:r>
    </w:p>
    <w:p>
      <w:pPr>
        <w:spacing w:after="0" w:line="103" w:lineRule="exact"/>
        <w:rPr>
          <w:rFonts w:ascii="Arial" w:cs="Arial" w:eastAsia="Arial" w:hAnsi="Arial"/>
          <w:sz w:val="14"/>
          <w:szCs w:val="14"/>
          <w:color w:val="54585A"/>
        </w:rPr>
      </w:pPr>
    </w:p>
    <w:p>
      <w:pPr>
        <w:ind w:left="332"/>
        <w:spacing w:after="0" w:line="266" w:lineRule="auto"/>
        <w:rPr>
          <w:rFonts w:ascii="Arial" w:cs="Arial" w:eastAsia="Arial" w:hAnsi="Arial"/>
          <w:sz w:val="14"/>
          <w:szCs w:val="14"/>
          <w:color w:val="54585A"/>
        </w:rPr>
      </w:pPr>
      <w:r>
        <w:rPr>
          <w:rFonts w:ascii="Arial" w:cs="Arial" w:eastAsia="Arial" w:hAnsi="Arial"/>
          <w:sz w:val="14"/>
          <w:szCs w:val="14"/>
          <w:color w:val="54585A"/>
        </w:rPr>
        <w:t>This number includes 42,717 shares held by FL Investment Holdings, LLC, 13,142,665 held by Thermo Funding Company, LLC, 58,708,075 shares held by Thermo Funding II LLC, 947,273 shares held by Thermo Properties II, LLC, 41,237 shares held by Globalstar Satellite, L.P. 200,000 held by the Monroe Irr. Educational Trust, 1,956 held by James Monroe III Grantor Trust, 13,347 held by Thermo Investments LP and 580,550 held by Thermo XCOM LLC. Mr. Monroe controls, either directly or indirectly, each of FL Investment Holdings, Thermo Funding Company, LLC, Thermo Funding II LLC, Globalstar Satellite, L.P. Monroe Irr. Educational Trust, Thermo Properties II, LLC, James Monroe III Grantor Trust, Thermo Investments LP and Thermo XCOM LLC, and, therefore, is deemed the beneficial owner of the common stock held by these entities. Mr. Monroe also individually owns 45,100 shares and may acquire 33,333 shares of common stock upon the exercise of currently exercisable stock options.</w:t>
      </w:r>
    </w:p>
    <w:p>
      <w:pPr>
        <w:spacing w:after="0" w:line="144" w:lineRule="exact"/>
        <w:rPr>
          <w:rFonts w:ascii="Arial" w:cs="Arial" w:eastAsia="Arial" w:hAnsi="Arial"/>
          <w:sz w:val="14"/>
          <w:szCs w:val="14"/>
          <w:color w:val="54585A"/>
        </w:rPr>
      </w:pPr>
    </w:p>
    <w:p>
      <w:pPr>
        <w:ind w:left="332"/>
        <w:spacing w:after="0" w:line="266" w:lineRule="auto"/>
        <w:rPr>
          <w:rFonts w:ascii="Arial" w:cs="Arial" w:eastAsia="Arial" w:hAnsi="Arial"/>
          <w:sz w:val="14"/>
          <w:szCs w:val="14"/>
          <w:color w:val="54585A"/>
        </w:rPr>
      </w:pPr>
      <w:r>
        <w:rPr>
          <w:rFonts w:ascii="Arial" w:cs="Arial" w:eastAsia="Arial" w:hAnsi="Arial"/>
          <w:sz w:val="14"/>
          <w:szCs w:val="14"/>
          <w:color w:val="54585A"/>
        </w:rPr>
        <w:t>Additionally, this number includes 333,334 shares that may be issued to Thermo Funding II LLC upon exercise of the warrant issued in connection with Thermo's guarantee of the Funding Agreements as described more fully in the Company's 2024 Annual Report on Form 10-K. This number does not include the right to purchase 333,334 shares under the warrant that may vest if and when Thermo advances aggregate funds of $25.0 million or more to us or a permitted third party pursuant to the terms of Thermo's guarantee. To the extent Thermo is required to advance amounts under the guarantee, the Company is required to issue shares of Common Stock of the Company in respect of such advance in an amount equal to the amount of such payment divided by the average of the volume weighted average price of the Company’s common stock on the five trading days immediately preceding such payment.</w:t>
      </w:r>
    </w:p>
    <w:p>
      <w:pPr>
        <w:spacing w:after="0" w:line="76" w:lineRule="exact"/>
        <w:rPr>
          <w:rFonts w:ascii="Arial" w:cs="Arial" w:eastAsia="Arial" w:hAnsi="Arial"/>
          <w:sz w:val="14"/>
          <w:szCs w:val="14"/>
          <w:color w:val="54585A"/>
        </w:rPr>
      </w:pPr>
    </w:p>
    <w:p>
      <w:pPr>
        <w:ind w:left="332" w:hanging="332"/>
        <w:spacing w:after="0"/>
        <w:tabs>
          <w:tab w:leader="none" w:pos="332" w:val="left"/>
        </w:tabs>
        <w:numPr>
          <w:ilvl w:val="0"/>
          <w:numId w:val="75"/>
        </w:numPr>
        <w:rPr>
          <w:rFonts w:ascii="Arial" w:cs="Arial" w:eastAsia="Arial" w:hAnsi="Arial"/>
          <w:sz w:val="14"/>
          <w:szCs w:val="14"/>
          <w:color w:val="54585A"/>
        </w:rPr>
      </w:pPr>
      <w:r>
        <w:rPr>
          <w:rFonts w:ascii="Arial" w:cs="Arial" w:eastAsia="Arial" w:hAnsi="Arial"/>
          <w:sz w:val="14"/>
          <w:szCs w:val="14"/>
          <w:color w:val="54585A"/>
        </w:rPr>
        <w:t>This number includes 1,116,399 shares held by The Paul Eric Jacobs Trust, 209,545 share held by Virewirx, Inc. and 10,850 shares individually owned by Dr. Jacobs.</w:t>
      </w:r>
    </w:p>
    <w:p>
      <w:pPr>
        <w:spacing w:after="0" w:line="122" w:lineRule="exact"/>
        <w:rPr>
          <w:rFonts w:ascii="Arial" w:cs="Arial" w:eastAsia="Arial" w:hAnsi="Arial"/>
          <w:sz w:val="14"/>
          <w:szCs w:val="14"/>
          <w:color w:val="54585A"/>
        </w:rPr>
      </w:pPr>
    </w:p>
    <w:p>
      <w:pPr>
        <w:ind w:left="332" w:right="140" w:hanging="332"/>
        <w:spacing w:after="0" w:line="285" w:lineRule="auto"/>
        <w:tabs>
          <w:tab w:leader="none" w:pos="330" w:val="left"/>
        </w:tabs>
        <w:numPr>
          <w:ilvl w:val="0"/>
          <w:numId w:val="75"/>
        </w:numPr>
        <w:rPr>
          <w:rFonts w:ascii="Arial" w:cs="Arial" w:eastAsia="Arial" w:hAnsi="Arial"/>
          <w:sz w:val="14"/>
          <w:szCs w:val="14"/>
          <w:color w:val="54585A"/>
        </w:rPr>
      </w:pPr>
      <w:r>
        <w:rPr>
          <w:rFonts w:ascii="Arial" w:cs="Arial" w:eastAsia="Arial" w:hAnsi="Arial"/>
          <w:sz w:val="14"/>
          <w:szCs w:val="14"/>
          <w:color w:val="54585A"/>
        </w:rPr>
        <w:t>Includes 66,663 shares of common stock that he may acquire upon the exercise of currently exercisable stock options and 822,714 shares held by Thermo Investments II LLC.</w:t>
      </w:r>
    </w:p>
    <w:p>
      <w:pPr>
        <w:spacing w:after="0" w:line="63" w:lineRule="exact"/>
        <w:rPr>
          <w:rFonts w:ascii="Arial" w:cs="Arial" w:eastAsia="Arial" w:hAnsi="Arial"/>
          <w:sz w:val="14"/>
          <w:szCs w:val="14"/>
          <w:color w:val="54585A"/>
        </w:rPr>
      </w:pPr>
    </w:p>
    <w:p>
      <w:pPr>
        <w:ind w:left="332" w:right="100" w:hanging="332"/>
        <w:spacing w:after="0" w:line="305" w:lineRule="auto"/>
        <w:tabs>
          <w:tab w:leader="none" w:pos="330" w:val="left"/>
        </w:tabs>
        <w:numPr>
          <w:ilvl w:val="0"/>
          <w:numId w:val="75"/>
        </w:numPr>
        <w:rPr>
          <w:rFonts w:ascii="Arial" w:cs="Arial" w:eastAsia="Arial" w:hAnsi="Arial"/>
          <w:sz w:val="14"/>
          <w:szCs w:val="14"/>
          <w:color w:val="54585A"/>
        </w:rPr>
      </w:pPr>
      <w:r>
        <w:rPr>
          <w:rFonts w:ascii="Arial" w:cs="Arial" w:eastAsia="Arial" w:hAnsi="Arial"/>
          <w:sz w:val="14"/>
          <w:szCs w:val="14"/>
          <w:color w:val="54585A"/>
        </w:rPr>
        <w:t>Includes 35,997 shares of common stock that he may acquire upon the exercise of currently exercisable stock options and 372,910 shares held by Thermo Investments III LLC.</w:t>
      </w:r>
    </w:p>
    <w:p>
      <w:pPr>
        <w:spacing w:after="0" w:line="49" w:lineRule="exact"/>
        <w:rPr>
          <w:rFonts w:ascii="Arial" w:cs="Arial" w:eastAsia="Arial" w:hAnsi="Arial"/>
          <w:sz w:val="14"/>
          <w:szCs w:val="14"/>
          <w:color w:val="54585A"/>
        </w:rPr>
      </w:pPr>
    </w:p>
    <w:p>
      <w:pPr>
        <w:ind w:left="332" w:hanging="332"/>
        <w:spacing w:after="0"/>
        <w:tabs>
          <w:tab w:leader="none" w:pos="332" w:val="left"/>
        </w:tabs>
        <w:numPr>
          <w:ilvl w:val="0"/>
          <w:numId w:val="75"/>
        </w:numPr>
        <w:rPr>
          <w:rFonts w:ascii="Arial" w:cs="Arial" w:eastAsia="Arial" w:hAnsi="Arial"/>
          <w:sz w:val="14"/>
          <w:szCs w:val="14"/>
          <w:color w:val="54585A"/>
        </w:rPr>
      </w:pPr>
      <w:r>
        <w:rPr>
          <w:rFonts w:ascii="Arial" w:cs="Arial" w:eastAsia="Arial" w:hAnsi="Arial"/>
          <w:sz w:val="14"/>
          <w:szCs w:val="14"/>
          <w:color w:val="54585A"/>
        </w:rPr>
        <w:t>Includes 86,663 shares of common stock that he may acquire upon the exercise of currently exercisable stock options.</w:t>
      </w:r>
    </w:p>
    <w:p>
      <w:pPr>
        <w:spacing w:after="0" w:line="122" w:lineRule="exact"/>
        <w:rPr>
          <w:rFonts w:ascii="Arial" w:cs="Arial" w:eastAsia="Arial" w:hAnsi="Arial"/>
          <w:sz w:val="14"/>
          <w:szCs w:val="14"/>
          <w:color w:val="54585A"/>
        </w:rPr>
      </w:pPr>
    </w:p>
    <w:p>
      <w:pPr>
        <w:ind w:left="332" w:hanging="332"/>
        <w:spacing w:after="0"/>
        <w:tabs>
          <w:tab w:leader="none" w:pos="332" w:val="left"/>
        </w:tabs>
        <w:numPr>
          <w:ilvl w:val="0"/>
          <w:numId w:val="75"/>
        </w:numPr>
        <w:rPr>
          <w:rFonts w:ascii="Arial" w:cs="Arial" w:eastAsia="Arial" w:hAnsi="Arial"/>
          <w:sz w:val="14"/>
          <w:szCs w:val="14"/>
          <w:color w:val="54585A"/>
        </w:rPr>
      </w:pPr>
      <w:r>
        <w:rPr>
          <w:rFonts w:ascii="Arial" w:cs="Arial" w:eastAsia="Arial" w:hAnsi="Arial"/>
          <w:sz w:val="14"/>
          <w:szCs w:val="14"/>
          <w:color w:val="54585A"/>
        </w:rPr>
        <w:t>Includes 33,330 shares of common stock that he may acquire upon the exercise of currently exercisable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434975</wp:posOffset>
            </wp:positionV>
            <wp:extent cx="257175" cy="2571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
        <w:spacing w:after="0"/>
        <w:rPr>
          <w:sz w:val="20"/>
          <w:szCs w:val="20"/>
          <w:color w:val="auto"/>
        </w:rPr>
      </w:pPr>
      <w:r>
        <w:rPr>
          <w:rFonts w:ascii="Arial" w:cs="Arial" w:eastAsia="Arial" w:hAnsi="Arial"/>
          <w:sz w:val="14"/>
          <w:szCs w:val="14"/>
          <w:color w:val="54585A"/>
        </w:rPr>
        <w:t xml:space="preserve">48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6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color w:val="54585A"/>
        </w:rPr>
        <w:t xml:space="preserve">Related Person Transactions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54"/>
          <w:szCs w:val="54"/>
          <w:color w:val="EB6C10"/>
        </w:rPr>
        <w:t>Related Person Transactions</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54585A"/>
        </w:rPr>
        <w:t>Review of Transactions</w:t>
      </w:r>
    </w:p>
    <w:p>
      <w:pPr>
        <w:spacing w:after="0" w:line="225"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color w:val="54585A"/>
        </w:rPr>
        <w:t>The Board has adopted a Related Person Transactions Policy with respect to transactions in which we participate and related persons have a material interest. Related persons include our executive officers, directors, director nominees, beneficial owners of 10% or more of our common stock and immediate family members of these persons. Pursuant to the policy, the Audit Committee considers and approves or disapproves related person transactions pursuant to Item 404 of Regulation S-K. Certain related person transactions have been deemed pre-approved by the Audit Committee and do not require any other approval under the policy. If an Audit Committee member or his or her family member is involved in a related person transaction, the member will not participate in the approval or ratification of the transaction. In instances where it is not practicable or desirable to wait until the next meeting of the Audit Committee for review of a related person transaction, the policy grants to the Chair of the Audit Committee (or, if the Chair or his or her family member is involved in the related person transaction, any other member of the Audit Committee) delegated authority to act between Audit Committee meetings for these purposes. A report of any action taken pursuant to delegated authority must be made at the next Audit Committee meeting.</w:t>
      </w:r>
    </w:p>
    <w:p>
      <w:pPr>
        <w:spacing w:after="0" w:line="140"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54585A"/>
        </w:rPr>
        <w:t>For the Audit Committee to approve a related person transaction, it must be satisfied that it has been fully informed of the interests, relationships and actual or potential conflicts present in the transaction and must believe that the transaction is fair to the Company. The Audit Committee also must believe, if necessary, that we have developed a plan to manage any actual or potential conflicts of interest. The Audit Committee may ratify a related person transaction that did not receive pre-approval if it determines that there is a compelling business or legal reason for the Company to continue with the transaction, the transaction is fair to the Company and the failure to comply with the policy's pre-approval requirements was not due to fraud or deceit.</w:t>
      </w:r>
    </w:p>
    <w:p>
      <w:pPr>
        <w:spacing w:after="0" w:line="133" w:lineRule="exact"/>
        <w:rPr>
          <w:sz w:val="20"/>
          <w:szCs w:val="20"/>
          <w:color w:val="auto"/>
        </w:rPr>
      </w:pPr>
    </w:p>
    <w:p>
      <w:pPr>
        <w:ind w:right="120"/>
        <w:spacing w:after="0" w:line="335" w:lineRule="auto"/>
        <w:rPr>
          <w:sz w:val="20"/>
          <w:szCs w:val="20"/>
          <w:color w:val="auto"/>
        </w:rPr>
      </w:pPr>
      <w:r>
        <w:rPr>
          <w:rFonts w:ascii="Arial" w:cs="Arial" w:eastAsia="Arial" w:hAnsi="Arial"/>
          <w:sz w:val="16"/>
          <w:szCs w:val="16"/>
          <w:color w:val="54585A"/>
        </w:rPr>
        <w:t>Our Certificate of Incorporation and Bylaws provide that as long as Thermo and its affiliates beneficially own at least 45% of the Company’s common stock, subject to certain exceptions, approval by a majority of shares held by stockholders other than Thermo and its affiliates is required for any related-party transaction between the Company and Thermo and its affiliates. Certain related party transactions involving Thermo and its affiliates are also subject to review by the Strategic Review Committee or to the approval of our stockholders. Please see “Strategic Review Committee” under the heading “Information about the Board and Its Committees" above.</w:t>
      </w:r>
    </w:p>
    <w:p>
      <w:pPr>
        <w:spacing w:after="0" w:line="88" w:lineRule="exact"/>
        <w:rPr>
          <w:sz w:val="20"/>
          <w:szCs w:val="20"/>
          <w:color w:val="auto"/>
        </w:rPr>
      </w:pPr>
    </w:p>
    <w:p>
      <w:pPr>
        <w:ind w:right="440"/>
        <w:spacing w:after="0" w:line="276" w:lineRule="auto"/>
        <w:rPr>
          <w:sz w:val="20"/>
          <w:szCs w:val="20"/>
          <w:color w:val="auto"/>
        </w:rPr>
      </w:pPr>
      <w:r>
        <w:rPr>
          <w:rFonts w:ascii="Arial" w:cs="Arial" w:eastAsia="Arial" w:hAnsi="Arial"/>
          <w:sz w:val="29"/>
          <w:szCs w:val="29"/>
          <w:color w:val="54585A"/>
        </w:rPr>
        <w:t>Reportable Related Party Transactions and Compensation Committee Interlocks and Insider Participation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Transactions with Thermo</w:t>
      </w:r>
    </w:p>
    <w:p>
      <w:pPr>
        <w:spacing w:after="0" w:line="179" w:lineRule="exact"/>
        <w:rPr>
          <w:sz w:val="20"/>
          <w:szCs w:val="20"/>
          <w:color w:val="auto"/>
        </w:rPr>
      </w:pPr>
    </w:p>
    <w:p>
      <w:pPr>
        <w:ind w:right="20"/>
        <w:spacing w:after="0" w:line="335" w:lineRule="auto"/>
        <w:rPr>
          <w:sz w:val="20"/>
          <w:szCs w:val="20"/>
          <w:color w:val="auto"/>
        </w:rPr>
      </w:pPr>
      <w:r>
        <w:rPr>
          <w:rFonts w:ascii="Arial" w:cs="Arial" w:eastAsia="Arial" w:hAnsi="Arial"/>
          <w:sz w:val="16"/>
          <w:szCs w:val="16"/>
          <w:color w:val="54585A"/>
        </w:rPr>
        <w:t>We have an understanding with Thermo that we will reimburse Thermo for expenses incurred by Messrs. Monroe, Lynch and Taylor and any other Thermo employee in connection with their services to us, including third-party out-of-pocket temporary living expenses while at our offices or traveling on our business (with no mark-up). For the year ended December 31, 2024, we recorded approximately $75,000 for general and administrative expenses incurred by Thermo on our behalf. We also recorded approximately $157,000 for services provided to us by an officer of Thermo that was accounted for as a non-cash contribution to capital and paid approximately $621,000 for services provided by other consultants and Thermo employees. No other fees, except those described above or under “Director Compensation,” are paid to Thermo or its employees for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316230</wp:posOffset>
            </wp:positionV>
            <wp:extent cx="257175" cy="2571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226695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ind w:left="100" w:hanging="92"/>
        <w:spacing w:after="0"/>
        <w:tabs>
          <w:tab w:leader="none" w:pos="100" w:val="left"/>
        </w:tabs>
        <w:numPr>
          <w:ilvl w:val="0"/>
          <w:numId w:val="76"/>
        </w:numPr>
        <w:rPr>
          <w:rFonts w:ascii="Arial" w:cs="Arial" w:eastAsia="Arial" w:hAnsi="Arial"/>
          <w:sz w:val="18"/>
          <w:szCs w:val="18"/>
          <w:b w:val="1"/>
          <w:bCs w:val="1"/>
          <w:color w:val="EB6C10"/>
        </w:rPr>
      </w:pPr>
      <w:r>
        <w:rPr>
          <w:rFonts w:ascii="Arial" w:cs="Arial" w:eastAsia="Arial" w:hAnsi="Arial"/>
          <w:sz w:val="14"/>
          <w:szCs w:val="14"/>
          <w:color w:val="54585A"/>
        </w:rPr>
        <w:t>Related Person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Lease Agreement with Thermo Covington, LLC and Land Purchase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54585A"/>
        </w:rPr>
        <w:t>We have a lease agreement with Thermo Covington, LLC for our headquarters office for a term of ten years. Annual lease payments increase at a rate</w:t>
      </w:r>
    </w:p>
    <w:p>
      <w:pPr>
        <w:spacing w:after="0" w:line="59"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54585A"/>
        </w:rPr>
        <w:t>of 2.5% per year. The lease term is ten years and scheduled to expire in January 2029. For the year ended December 31, 2024, we made payments totaling $1.6 million associated with this lease agreement.</w:t>
      </w:r>
    </w:p>
    <w:p>
      <w:pPr>
        <w:spacing w:after="0" w:line="88" w:lineRule="exact"/>
        <w:rPr>
          <w:sz w:val="20"/>
          <w:szCs w:val="20"/>
          <w:color w:val="auto"/>
        </w:rPr>
      </w:pPr>
    </w:p>
    <w:p>
      <w:pPr>
        <w:ind w:right="480"/>
        <w:spacing w:after="0" w:line="374" w:lineRule="auto"/>
        <w:rPr>
          <w:sz w:val="20"/>
          <w:szCs w:val="20"/>
          <w:color w:val="auto"/>
        </w:rPr>
      </w:pPr>
      <w:r>
        <w:rPr>
          <w:rFonts w:ascii="Arial" w:cs="Arial" w:eastAsia="Arial" w:hAnsi="Arial"/>
          <w:sz w:val="16"/>
          <w:szCs w:val="16"/>
          <w:color w:val="54585A"/>
        </w:rPr>
        <w:t>During 2024, we purchased land with a value of $500,000 from Thermo Development, Inc. This land was purchased at cost and is used for a gateway location.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Perpetual Preferred Stock Held by Thermo</w:t>
      </w:r>
    </w:p>
    <w:p>
      <w:pPr>
        <w:spacing w:after="0" w:line="165" w:lineRule="exact"/>
        <w:rPr>
          <w:sz w:val="20"/>
          <w:szCs w:val="20"/>
          <w:color w:val="auto"/>
        </w:rPr>
      </w:pPr>
    </w:p>
    <w:p>
      <w:pPr>
        <w:spacing w:after="0" w:line="342" w:lineRule="auto"/>
        <w:rPr>
          <w:sz w:val="20"/>
          <w:szCs w:val="20"/>
          <w:color w:val="auto"/>
        </w:rPr>
      </w:pPr>
      <w:r>
        <w:rPr>
          <w:rFonts w:ascii="Arial" w:cs="Arial" w:eastAsia="Arial" w:hAnsi="Arial"/>
          <w:sz w:val="16"/>
          <w:szCs w:val="16"/>
          <w:color w:val="54585A"/>
        </w:rPr>
        <w:t>Thermo holds shares of the Company's Series A Preferred Stock with an aggregate liquidation preference of $136.7 million. Holders of Series A Preferred Stock are entitled to receive, when, as and if declared by our Board of Directors, cumulative cash dividends based on the liquidation preference of the Series A Preferred Stock, at a fixed rate equal to 7.00% per annum, payable quarterly in arrears on January 1, April 1, July 1 and October 1 of each year. During 2024, the Company made dividend payments to Thermo which were approved by the Board totaling $9.7 million.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Lock-Up and First Offer Agreement with Thermo</w:t>
      </w:r>
    </w:p>
    <w:p>
      <w:pPr>
        <w:spacing w:after="0" w:line="16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54585A"/>
        </w:rPr>
        <w:t>In connection with the Service Agreements, the Customer and Thermo entered into a lock-up and right of first offer agreement that generally (i) requires Thermo to offer any shares of Globalstar common stock to the Customer before transferring them to any other person other than affiliates of Thermo and (ii) prohibits Thermo from transferring shares of Globalstar common stock if such transfer would cause Thermo to hold less than 51.00% of the outstanding common stock of the Company for a period of five years from the launch of services in November 2022.</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Thermo's Guaranty with 2023 Funding Agreement</w:t>
      </w:r>
    </w:p>
    <w:p>
      <w:pPr>
        <w:spacing w:after="0" w:line="165" w:lineRule="exact"/>
        <w:rPr>
          <w:sz w:val="20"/>
          <w:szCs w:val="20"/>
          <w:color w:val="auto"/>
        </w:rPr>
      </w:pPr>
    </w:p>
    <w:p>
      <w:pPr>
        <w:ind w:right="180"/>
        <w:spacing w:after="0" w:line="335" w:lineRule="auto"/>
        <w:rPr>
          <w:sz w:val="20"/>
          <w:szCs w:val="20"/>
          <w:color w:val="auto"/>
        </w:rPr>
      </w:pPr>
      <w:r>
        <w:rPr>
          <w:rFonts w:ascii="Arial" w:cs="Arial" w:eastAsia="Arial" w:hAnsi="Arial"/>
          <w:sz w:val="16"/>
          <w:szCs w:val="16"/>
          <w:color w:val="54585A"/>
        </w:rPr>
        <w:t>Amounts payable by the Company in connection with the 2023 Funding Agreement and certain other obligations under the Updated Services Agreements are guaranteed by Thermo. This guarantee agreement received stockholder approval in June 2023 and became effective in December 2023. As consideration for Thermo's guarantee, the Company issued to Thermo a warrant to purchase 666,668 shares of the Company’s common stock at an exercise price equal to $30.00 per share (as calculated pursuant to the agreement). The right to purchase 333,334 shares under the warrant vested immediately upon effectiveness of Thermo's guarantee and the right to purchase the remaining 333,334 shares under the warrant may vest if and when Thermo advances aggregate funds of $25.0 million or more to the Company or a permitted third party pursuant to the terms of Thermo's guarantee. The warrant expires in December 2028. See Proposal 3 regarding the proposed amendment of the Thermo Guaranty.</w:t>
      </w:r>
    </w:p>
    <w:p>
      <w:pPr>
        <w:spacing w:after="0" w:line="119" w:lineRule="exact"/>
        <w:rPr>
          <w:sz w:val="20"/>
          <w:szCs w:val="20"/>
          <w:color w:val="auto"/>
        </w:rPr>
      </w:pPr>
    </w:p>
    <w:p>
      <w:pPr>
        <w:ind w:right="20"/>
        <w:spacing w:after="0" w:line="345" w:lineRule="auto"/>
        <w:rPr>
          <w:sz w:val="20"/>
          <w:szCs w:val="20"/>
          <w:color w:val="auto"/>
        </w:rPr>
      </w:pPr>
      <w:r>
        <w:rPr>
          <w:rFonts w:ascii="Arial" w:cs="Arial" w:eastAsia="Arial" w:hAnsi="Arial"/>
          <w:sz w:val="16"/>
          <w:szCs w:val="16"/>
          <w:color w:val="54585A"/>
        </w:rPr>
        <w:t>To the extent Thermo is required to advance amounts under the guarantee, the Company is required to issue shares of Common Stock of the Company in respect of such advance in an amount equal to the amount of such payment divided by the average of the volume weighted average price of the Company’s common stock on the five trading days immediately preceding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311150</wp:posOffset>
            </wp:positionV>
            <wp:extent cx="257175" cy="2571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50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8"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4"/>
          <w:szCs w:val="14"/>
          <w:color w:val="54585A"/>
        </w:rPr>
        <w:t xml:space="preserve">Related Person Transactions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54585A"/>
        </w:rPr>
        <w:t>Agreements with Virewirx</w:t>
      </w:r>
    </w:p>
    <w:p>
      <w:pPr>
        <w:spacing w:after="0" w:line="17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54585A"/>
        </w:rPr>
        <w:t>Dr. Jacobs serves as the Executive Chairman of Virewirx, Inc. ("Virewirx") and is the controlling stockholder of Virewirx. In connection with the August 2023 License Agreement, Globalstar issued 4.0 million shares of its common stock, representing a transaction value of approximately $68.7 million, to Virewirx. We have a Support Services Agreement ("SSA") with Virewirx pursuant to which Virewirx is required to provide certain services to us. Fees payable by us pursuant to the SSA are based on costs incurred. In August 2023 and June 2024, we issued 0.7 million shares and 0.5 million shares, respectively, to Virewirx as payment for costs incurred under the SSA and the release of holdback shares under the License Agreement. In June 2024 and March 2025, Virewirx sold 0.3 million and 0.2 million shares, respectively, of the total shares issued in a private placement transaction to an affiliate of the Thermo Companies. Dr. Jacobs does not have any family relationships with any director of executive officer of the Company and has not been directly or indirectly involved in any related party transactions with the Company, except for the License Agreement, the SSA and the transactions contemplated thereunder.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54585A"/>
        </w:rPr>
        <w:t>Further discussion on other agreements we have with Thermo and Virewirx are disclosed in our Form 10-K for the fiscal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381000</wp:posOffset>
            </wp:positionV>
            <wp:extent cx="257175"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80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ind w:left="100" w:hanging="92"/>
        <w:spacing w:after="0"/>
        <w:tabs>
          <w:tab w:leader="none" w:pos="100" w:val="left"/>
        </w:tabs>
        <w:numPr>
          <w:ilvl w:val="0"/>
          <w:numId w:val="77"/>
        </w:numPr>
        <w:rPr>
          <w:rFonts w:ascii="Arial" w:cs="Arial" w:eastAsia="Arial" w:hAnsi="Arial"/>
          <w:sz w:val="18"/>
          <w:szCs w:val="18"/>
          <w:b w:val="1"/>
          <w:bCs w:val="1"/>
          <w:color w:val="EB6C10"/>
        </w:rPr>
      </w:pPr>
      <w:r>
        <w:rPr>
          <w:rFonts w:ascii="Arial" w:cs="Arial" w:eastAsia="Arial" w:hAnsi="Arial"/>
          <w:sz w:val="14"/>
          <w:szCs w:val="14"/>
          <w:color w:val="54585A"/>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Georgia" w:cs="Georgia" w:eastAsia="Georgia" w:hAnsi="Georgia"/>
          <w:sz w:val="54"/>
          <w:szCs w:val="54"/>
          <w:color w:val="EB6C10"/>
        </w:rPr>
        <w:t>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color w:val="54585A"/>
        </w:rPr>
        <w:t>Stockholder Proposals at the 2026 Annual Meeting</w:t>
      </w:r>
    </w:p>
    <w:p>
      <w:pPr>
        <w:spacing w:after="0" w:line="198" w:lineRule="exact"/>
        <w:rPr>
          <w:sz w:val="20"/>
          <w:szCs w:val="20"/>
          <w:color w:val="auto"/>
        </w:rPr>
      </w:pPr>
    </w:p>
    <w:p>
      <w:pPr>
        <w:spacing w:after="0" w:line="342" w:lineRule="auto"/>
        <w:rPr>
          <w:sz w:val="20"/>
          <w:szCs w:val="20"/>
          <w:color w:val="auto"/>
        </w:rPr>
      </w:pPr>
      <w:r>
        <w:rPr>
          <w:rFonts w:ascii="Arial" w:cs="Arial" w:eastAsia="Arial" w:hAnsi="Arial"/>
          <w:sz w:val="16"/>
          <w:szCs w:val="16"/>
          <w:color w:val="54585A"/>
        </w:rPr>
        <w:t>In order for any stockholder proposal to be eligible for inclusion in our proxy statement and on our proxy card for the 2026 Annual Meeting of Stockholders, it must be received at the address in the Householding section below not later than December 10, 2025. The timely submission of a proposal does not guarantee that it will be included in the Company’s proxy statement and proxy card. Additionally, the proposal must otherwise comply with the requirements of Rule 14a-8 under the Exchange Act.</w:t>
      </w:r>
    </w:p>
    <w:p>
      <w:pPr>
        <w:spacing w:after="0" w:line="126" w:lineRule="exact"/>
        <w:rPr>
          <w:sz w:val="20"/>
          <w:szCs w:val="20"/>
          <w:color w:val="auto"/>
        </w:rPr>
      </w:pPr>
    </w:p>
    <w:p>
      <w:pPr>
        <w:ind w:right="120"/>
        <w:spacing w:after="0" w:line="336" w:lineRule="auto"/>
        <w:rPr>
          <w:sz w:val="20"/>
          <w:szCs w:val="20"/>
          <w:color w:val="auto"/>
        </w:rPr>
      </w:pPr>
      <w:r>
        <w:rPr>
          <w:rFonts w:ascii="Arial" w:cs="Arial" w:eastAsia="Arial" w:hAnsi="Arial"/>
          <w:sz w:val="16"/>
          <w:szCs w:val="16"/>
          <w:color w:val="54585A"/>
        </w:rPr>
        <w:t>If we do not receive timely notice of a matter from a stockholder at the address in the Householding section below by February 23, 2026, the proxy card we distribute for the 2026 annual meeting of stockholders may include discretionary authority to vote on any matter that is presented to stockholders at that meeting (other than by the Board). If you intend to solicit proxies in support of director nominees other than our nominees, you must comply with the requirements of SEC Rule 14a-19(b) under the Exchange Act to comply with the universal proxy rules, which includes notice no later than March 21, 2026.</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54585A"/>
        </w:rPr>
        <w:t>Householding</w:t>
      </w:r>
    </w:p>
    <w:p>
      <w:pPr>
        <w:spacing w:after="0" w:line="198" w:lineRule="exact"/>
        <w:rPr>
          <w:sz w:val="20"/>
          <w:szCs w:val="20"/>
          <w:color w:val="auto"/>
        </w:rPr>
      </w:pPr>
    </w:p>
    <w:p>
      <w:pPr>
        <w:spacing w:after="0" w:line="332" w:lineRule="auto"/>
        <w:rPr>
          <w:sz w:val="20"/>
          <w:szCs w:val="20"/>
          <w:color w:val="auto"/>
        </w:rPr>
      </w:pPr>
      <w:r>
        <w:rPr>
          <w:rFonts w:ascii="Arial" w:cs="Arial" w:eastAsia="Arial" w:hAnsi="Arial"/>
          <w:sz w:val="16"/>
          <w:szCs w:val="16"/>
          <w:color w:val="54585A"/>
        </w:rPr>
        <w:t>Under SEC rules, only one annual report and proxy statement or N&amp;A Notice, as applicable, need be sent to any household at which two or more of our stockholders reside if they appear to be members of the same family and contrary instructions have not been received from an affected stockholder. This procedure, referred to as householding, reduces the volume of duplicate information stockholders receive and reduces mailing and printing expenses for us. Brokers with account holders who are our stockholders may be householding these materials. Once you have received notice from your broker that it will be householding communications to your address, householding will continue until you are notified otherwise or until you revoke your consent. If, now or at any time in the future, you no longer wish to participate in householding and would like to receive a separate annual report and proxy statement or N&amp;A Notice, as applicable, or if you currently receive multiple copies of these documents at your address and would prefer that the communications be householded, you should contact us at investorrelations@globalstar.com or Globalstar, Inc., Attention: Investor Relations, 1351 Holiday Square Blvd., Covington, Louisiana 70433.</w:t>
      </w:r>
    </w:p>
    <w:p>
      <w:pPr>
        <w:spacing w:after="0" w:line="94" w:lineRule="exact"/>
        <w:rPr>
          <w:sz w:val="20"/>
          <w:szCs w:val="20"/>
          <w:color w:val="auto"/>
        </w:rPr>
      </w:pPr>
    </w:p>
    <w:p>
      <w:pPr>
        <w:spacing w:after="0"/>
        <w:rPr>
          <w:sz w:val="20"/>
          <w:szCs w:val="20"/>
          <w:color w:val="auto"/>
        </w:rPr>
      </w:pPr>
      <w:r>
        <w:rPr>
          <w:rFonts w:ascii="Arial" w:cs="Arial" w:eastAsia="Arial" w:hAnsi="Arial"/>
          <w:sz w:val="29"/>
          <w:szCs w:val="29"/>
          <w:color w:val="54585A"/>
        </w:rPr>
        <w:t>Requests for Certain Documents</w:t>
      </w:r>
    </w:p>
    <w:p>
      <w:pPr>
        <w:spacing w:after="0" w:line="198" w:lineRule="exact"/>
        <w:rPr>
          <w:sz w:val="20"/>
          <w:szCs w:val="20"/>
          <w:color w:val="auto"/>
        </w:rPr>
      </w:pPr>
    </w:p>
    <w:p>
      <w:pPr>
        <w:jc w:val="both"/>
        <w:ind w:right="20"/>
        <w:spacing w:after="0" w:line="345" w:lineRule="auto"/>
        <w:rPr>
          <w:sz w:val="20"/>
          <w:szCs w:val="20"/>
          <w:color w:val="auto"/>
        </w:rPr>
      </w:pPr>
      <w:r>
        <w:rPr>
          <w:rFonts w:ascii="Arial" w:cs="Arial" w:eastAsia="Arial" w:hAnsi="Arial"/>
          <w:sz w:val="16"/>
          <w:szCs w:val="16"/>
          <w:color w:val="54585A"/>
        </w:rPr>
        <w:t>We file annual, quarterly and current reports, proxy statements and other information with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www.sec.gov.</w:t>
      </w:r>
    </w:p>
    <w:p>
      <w:pPr>
        <w:spacing w:after="0" w:line="125" w:lineRule="exact"/>
        <w:rPr>
          <w:sz w:val="20"/>
          <w:szCs w:val="20"/>
          <w:color w:val="auto"/>
        </w:rPr>
      </w:pPr>
    </w:p>
    <w:p>
      <w:pPr>
        <w:ind w:right="40"/>
        <w:spacing w:after="0" w:line="335" w:lineRule="auto"/>
        <w:rPr>
          <w:sz w:val="20"/>
          <w:szCs w:val="20"/>
          <w:color w:val="auto"/>
        </w:rPr>
      </w:pPr>
      <w:r>
        <w:rPr>
          <w:rFonts w:ascii="Arial" w:cs="Arial" w:eastAsia="Arial" w:hAnsi="Arial"/>
          <w:sz w:val="16"/>
          <w:szCs w:val="16"/>
          <w:color w:val="54585A"/>
        </w:rPr>
        <w:t>We make available free of charge financial information, news releases, SEC filings, including our annual report on Form 10-K, quarterly reports on Form 10-Q, current reports on Form 8-K and amendments to these reports and any proxy and information statements as soon as reasonably practical after we electronically file such material with, or furnish it to, the SEC, on our website at www.globalstar.com. The documents available on, and the contents of, our website are not incorporated by reference into this proxy statement. You may request a copy of these documents by contacting us by phone at (985) 335-1500 or by mail at Globalstar, Inc., Attention: Investor Relations, 1351 Holiday Square Blvd., Covington, Louisiana 70433.</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54585A"/>
        </w:rPr>
        <w:t>By order of the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54585A"/>
        </w:rPr>
        <w:t>Richard S. Roberts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i w:val="1"/>
          <w:iCs w:val="1"/>
          <w:color w:val="54585A"/>
        </w:rPr>
        <w:t>Corporate Secretary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54585A"/>
        </w:rPr>
        <w:t>Covington, Louisiana</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54585A"/>
        </w:rPr>
        <w:t>April 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6871335</wp:posOffset>
            </wp:positionH>
            <wp:positionV relativeFrom="paragraph">
              <wp:posOffset>322580</wp:posOffset>
            </wp:positionV>
            <wp:extent cx="257175" cy="2571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color w:val="54585A"/>
        </w:rPr>
        <w:t xml:space="preserve">52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8" w:right="379" w:bottom="1440" w:gutter="0" w:footer="0" w:header="0"/>
        </w:sectPr>
      </w:pPr>
    </w:p>
    <w:bookmarkStart w:id="56" w:name="page57"/>
    <w:bookmarkEnd w:id="56"/>
    <w:p>
      <w:pPr>
        <w:jc w:val="right"/>
        <w:spacing w:after="0"/>
        <w:rPr>
          <w:sz w:val="20"/>
          <w:szCs w:val="20"/>
          <w:color w:val="auto"/>
        </w:rPr>
      </w:pPr>
      <w:r>
        <w:rPr>
          <w:rFonts w:ascii="Arial" w:cs="Arial" w:eastAsia="Arial" w:hAnsi="Arial"/>
          <w:sz w:val="14"/>
          <w:szCs w:val="14"/>
          <w:color w:val="54585A"/>
        </w:rPr>
        <w:t xml:space="preserve">Appendix A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Georgia" w:cs="Georgia" w:eastAsia="Georgia" w:hAnsi="Georgia"/>
          <w:sz w:val="54"/>
          <w:szCs w:val="54"/>
          <w:color w:val="EB6C10"/>
        </w:rPr>
        <w:t>Appendix A</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54585A"/>
        </w:rPr>
        <w:t>Amendment to Guaranty</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54585A"/>
        </w:rPr>
        <w:t>This Amendment to Guaranty (this “</w:t>
      </w:r>
      <w:r>
        <w:rPr>
          <w:rFonts w:ascii="Arial" w:cs="Arial" w:eastAsia="Arial" w:hAnsi="Arial"/>
          <w:sz w:val="16"/>
          <w:szCs w:val="16"/>
          <w:b w:val="1"/>
          <w:bCs w:val="1"/>
          <w:i w:val="1"/>
          <w:iCs w:val="1"/>
          <w:color w:val="54585A"/>
        </w:rPr>
        <w:t>Amendment</w:t>
      </w:r>
      <w:r>
        <w:rPr>
          <w:rFonts w:ascii="Arial" w:cs="Arial" w:eastAsia="Arial" w:hAnsi="Arial"/>
          <w:sz w:val="16"/>
          <w:szCs w:val="16"/>
          <w:color w:val="54585A"/>
        </w:rPr>
        <w:t>”), dated as of [____], 2025, is made by Thermo Funding II, LLC, a Colorado limited liability</w:t>
      </w:r>
    </w:p>
    <w:p>
      <w:pPr>
        <w:spacing w:after="0" w:line="73" w:lineRule="exact"/>
        <w:rPr>
          <w:sz w:val="20"/>
          <w:szCs w:val="20"/>
          <w:color w:val="auto"/>
        </w:rPr>
      </w:pPr>
    </w:p>
    <w:p>
      <w:pPr>
        <w:jc w:val="both"/>
        <w:spacing w:after="0" w:line="350" w:lineRule="auto"/>
        <w:rPr>
          <w:sz w:val="20"/>
          <w:szCs w:val="20"/>
          <w:color w:val="auto"/>
        </w:rPr>
      </w:pPr>
      <w:r>
        <w:rPr>
          <w:rFonts w:ascii="Arial" w:cs="Arial" w:eastAsia="Arial" w:hAnsi="Arial"/>
          <w:sz w:val="16"/>
          <w:szCs w:val="16"/>
          <w:color w:val="54585A"/>
        </w:rPr>
        <w:t>company, located at 1735 19 Street, #200, Denver, CO 80202 (“</w:t>
      </w:r>
      <w:r>
        <w:rPr>
          <w:rFonts w:ascii="Arial" w:cs="Arial" w:eastAsia="Arial" w:hAnsi="Arial"/>
          <w:sz w:val="16"/>
          <w:szCs w:val="16"/>
          <w:b w:val="1"/>
          <w:bCs w:val="1"/>
          <w:i w:val="1"/>
          <w:iCs w:val="1"/>
          <w:color w:val="54585A"/>
        </w:rPr>
        <w:t>Thermo Funding</w:t>
      </w:r>
      <w:r>
        <w:rPr>
          <w:rFonts w:ascii="Arial" w:cs="Arial" w:eastAsia="Arial" w:hAnsi="Arial"/>
          <w:sz w:val="16"/>
          <w:szCs w:val="16"/>
          <w:color w:val="54585A"/>
        </w:rPr>
        <w:t>”), in favor of Globalstar, Inc., a Delaware corporation located at 1351 Holiday Square Blvd., Covington, Louisiana 70433 (“</w:t>
      </w:r>
      <w:r>
        <w:rPr>
          <w:rFonts w:ascii="Arial" w:cs="Arial" w:eastAsia="Arial" w:hAnsi="Arial"/>
          <w:sz w:val="16"/>
          <w:szCs w:val="16"/>
          <w:b w:val="1"/>
          <w:bCs w:val="1"/>
          <w:i w:val="1"/>
          <w:iCs w:val="1"/>
          <w:color w:val="54585A"/>
        </w:rPr>
        <w:t>Globalstar</w:t>
      </w:r>
      <w:r>
        <w:rPr>
          <w:rFonts w:ascii="Arial" w:cs="Arial" w:eastAsia="Arial" w:hAnsi="Arial"/>
          <w:sz w:val="16"/>
          <w:szCs w:val="16"/>
          <w:color w:val="54585A"/>
        </w:rPr>
        <w:t>”) and solely for the purposes of Sections 23 and 24 of the Guaranty (as defined below), Apple Inc., a California corporation ("</w:t>
      </w:r>
      <w:r>
        <w:rPr>
          <w:rFonts w:ascii="Arial" w:cs="Arial" w:eastAsia="Arial" w:hAnsi="Arial"/>
          <w:sz w:val="16"/>
          <w:szCs w:val="16"/>
          <w:b w:val="1"/>
          <w:bCs w:val="1"/>
          <w:i w:val="1"/>
          <w:iCs w:val="1"/>
          <w:color w:val="54585A"/>
        </w:rPr>
        <w:t>Apple</w:t>
      </w:r>
      <w:r>
        <w:rPr>
          <w:rFonts w:ascii="Arial" w:cs="Arial" w:eastAsia="Arial" w:hAnsi="Arial"/>
          <w:sz w:val="16"/>
          <w:szCs w:val="16"/>
          <w:color w:val="54585A"/>
        </w:rPr>
        <w:t>").</w:t>
      </w:r>
    </w:p>
    <w:p>
      <w:pPr>
        <w:spacing w:after="0" w:line="113"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color w:val="54585A"/>
        </w:rPr>
        <w:t>WHEREAS, reference is made to that certain Secured Guaranty by Thermo Funding in favor of Globalstar, dated December 7, 2023, pursuant to which Thermo Funding guaranteed certain obligations to Globalstar (as amended, the “</w:t>
      </w:r>
      <w:r>
        <w:rPr>
          <w:rFonts w:ascii="Arial" w:cs="Arial" w:eastAsia="Arial" w:hAnsi="Arial"/>
          <w:sz w:val="16"/>
          <w:szCs w:val="16"/>
          <w:b w:val="1"/>
          <w:bCs w:val="1"/>
          <w:i w:val="1"/>
          <w:iCs w:val="1"/>
          <w:color w:val="54585A"/>
        </w:rPr>
        <w:t>Guaranty</w:t>
      </w:r>
      <w:r>
        <w:rPr>
          <w:rFonts w:ascii="Arial" w:cs="Arial" w:eastAsia="Arial" w:hAnsi="Arial"/>
          <w:sz w:val="16"/>
          <w:szCs w:val="16"/>
          <w:color w:val="54585A"/>
        </w:rPr>
        <w:t>”). Capitalized terms used herein and not otherwise defined herein shall have the meanings given to them in the Guaranty.</w:t>
      </w:r>
    </w:p>
    <w:p>
      <w:pPr>
        <w:spacing w:after="0" w:line="111" w:lineRule="exact"/>
        <w:rPr>
          <w:sz w:val="20"/>
          <w:szCs w:val="20"/>
          <w:color w:val="auto"/>
        </w:rPr>
      </w:pPr>
    </w:p>
    <w:p>
      <w:pPr>
        <w:jc w:val="both"/>
        <w:ind w:firstLine="648"/>
        <w:spacing w:after="0" w:line="374" w:lineRule="auto"/>
        <w:rPr>
          <w:sz w:val="20"/>
          <w:szCs w:val="20"/>
          <w:color w:val="auto"/>
        </w:rPr>
      </w:pPr>
      <w:r>
        <w:rPr>
          <w:rFonts w:ascii="Arial" w:cs="Arial" w:eastAsia="Arial" w:hAnsi="Arial"/>
          <w:sz w:val="16"/>
          <w:szCs w:val="16"/>
          <w:color w:val="54585A"/>
        </w:rPr>
        <w:t>WHEREAS, Globalstar and Thermo Funding have agreed to cap the amount Guaranteed Obligations covered by the Guaranty, and Apple has agreed to consent to this Amendment.</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6"/>
          <w:szCs w:val="16"/>
          <w:color w:val="54585A"/>
        </w:rPr>
        <w:t>NOW THEREFORE, for good and valuable consideration, the adequacy and receipt of which is hereby acknowledged, the parties agree as follows:</w:t>
      </w:r>
    </w:p>
    <w:p>
      <w:pPr>
        <w:spacing w:after="0" w:line="221" w:lineRule="exact"/>
        <w:rPr>
          <w:sz w:val="20"/>
          <w:szCs w:val="20"/>
          <w:color w:val="auto"/>
        </w:rPr>
      </w:pPr>
    </w:p>
    <w:p>
      <w:pPr>
        <w:ind w:left="1020" w:hanging="364"/>
        <w:spacing w:after="0"/>
        <w:tabs>
          <w:tab w:leader="none" w:pos="1020" w:val="left"/>
        </w:tabs>
        <w:numPr>
          <w:ilvl w:val="0"/>
          <w:numId w:val="78"/>
        </w:numPr>
        <w:rPr>
          <w:rFonts w:ascii="Arial" w:cs="Arial" w:eastAsia="Arial" w:hAnsi="Arial"/>
          <w:sz w:val="16"/>
          <w:szCs w:val="16"/>
          <w:color w:val="54585A"/>
        </w:rPr>
      </w:pPr>
      <w:r>
        <w:rPr>
          <w:rFonts w:ascii="Arial" w:cs="Arial" w:eastAsia="Arial" w:hAnsi="Arial"/>
          <w:sz w:val="16"/>
          <w:szCs w:val="16"/>
          <w:u w:val="single" w:color="auto"/>
          <w:color w:val="54585A"/>
        </w:rPr>
        <w:t>Amendment to Guaranty</w:t>
      </w:r>
    </w:p>
    <w:p>
      <w:pPr>
        <w:spacing w:after="0" w:line="235"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6"/>
          <w:szCs w:val="16"/>
          <w:color w:val="54585A"/>
        </w:rPr>
      </w:pPr>
      <w:r>
        <w:rPr>
          <w:rFonts w:ascii="Arial" w:cs="Arial" w:eastAsia="Arial" w:hAnsi="Arial"/>
          <w:sz w:val="16"/>
          <w:szCs w:val="16"/>
          <w:color w:val="54585A"/>
        </w:rPr>
        <w:t>Section 1(b) of the Guaranty is hereby amended to delete the current language in its entirety and restate it as follows:</w:t>
      </w:r>
    </w:p>
    <w:p>
      <w:pPr>
        <w:spacing w:after="0" w:line="221" w:lineRule="exact"/>
        <w:rPr>
          <w:rFonts w:ascii="Arial" w:cs="Arial" w:eastAsia="Arial" w:hAnsi="Arial"/>
          <w:sz w:val="16"/>
          <w:szCs w:val="16"/>
          <w:color w:val="54585A"/>
        </w:rPr>
      </w:pPr>
    </w:p>
    <w:p>
      <w:pPr>
        <w:jc w:val="both"/>
        <w:ind w:left="1220" w:firstLine="3"/>
        <w:spacing w:after="0" w:line="334" w:lineRule="auto"/>
        <w:tabs>
          <w:tab w:leader="none" w:pos="1476" w:val="left"/>
        </w:tabs>
        <w:numPr>
          <w:ilvl w:val="1"/>
          <w:numId w:val="79"/>
        </w:numPr>
        <w:rPr>
          <w:rFonts w:ascii="Arial" w:cs="Arial" w:eastAsia="Arial" w:hAnsi="Arial"/>
          <w:sz w:val="16"/>
          <w:szCs w:val="16"/>
          <w:color w:val="54585A"/>
        </w:rPr>
      </w:pPr>
      <w:r>
        <w:rPr>
          <w:rFonts w:ascii="Arial" w:cs="Arial" w:eastAsia="Arial" w:hAnsi="Arial"/>
          <w:sz w:val="16"/>
          <w:szCs w:val="16"/>
          <w:color w:val="54585A"/>
        </w:rPr>
        <w:t>MDA Satellites. Thermo Funding hereby absolutely, unconditionally and irrevocably, as a primary obligor and not merely as a surety, guarantees to Globalstar the repayment, in full upon demand by Apple, of any amounts paid by Apple to cure any default of Globalstar in the performance or punctual payment when due of all Globalstar payment obligations under the MDA Satellites Agreements. Thermo Funding hereby guarantees that if Globalstar does not make a payment within 5 Business Days as required under the MDA Satellites Agreements or any other agreement related to P2 Capex (as defined in the 2023 Prepayment Agreement) up to $252 million, as may be adjusted pursuant to the Supply Agreements; provided, that the $252 million shall be automatically adjusted upwards to an amount not to exceed $364.5 million (i.e., 50% of $729 million) as amendments to the MDA Satellites Agreements and/or other agreements related to P2 Capex are entered into by Globalstar that increase the total dollar amount of P2 Capex, then upon written notice by Apple to Thermo Funding of such failure to pay, Thermo Funding will make such payments either to Globalstar or directly to the P2 Capex vendor in 5 Business Days ((a)-(b), the “</w:t>
      </w:r>
      <w:r>
        <w:rPr>
          <w:rFonts w:ascii="Arial" w:cs="Arial" w:eastAsia="Arial" w:hAnsi="Arial"/>
          <w:sz w:val="16"/>
          <w:szCs w:val="16"/>
          <w:b w:val="1"/>
          <w:bCs w:val="1"/>
          <w:i w:val="1"/>
          <w:iCs w:val="1"/>
          <w:color w:val="54585A"/>
        </w:rPr>
        <w:t>Guaranteed Obligations</w:t>
      </w:r>
      <w:r>
        <w:rPr>
          <w:rFonts w:ascii="Arial" w:cs="Arial" w:eastAsia="Arial" w:hAnsi="Arial"/>
          <w:sz w:val="16"/>
          <w:szCs w:val="16"/>
          <w:color w:val="54585A"/>
        </w:rPr>
        <w:t>”).</w:t>
      </w:r>
    </w:p>
    <w:p>
      <w:pPr>
        <w:spacing w:after="0" w:line="112" w:lineRule="exact"/>
        <w:rPr>
          <w:rFonts w:ascii="Arial" w:cs="Arial" w:eastAsia="Arial" w:hAnsi="Arial"/>
          <w:sz w:val="16"/>
          <w:szCs w:val="16"/>
          <w:color w:val="54585A"/>
        </w:rPr>
      </w:pPr>
    </w:p>
    <w:p>
      <w:pPr>
        <w:ind w:left="980" w:right="40" w:hanging="324"/>
        <w:spacing w:after="0" w:line="354" w:lineRule="auto"/>
        <w:tabs>
          <w:tab w:leader="none" w:pos="975" w:val="left"/>
        </w:tabs>
        <w:numPr>
          <w:ilvl w:val="0"/>
          <w:numId w:val="79"/>
        </w:numPr>
        <w:rPr>
          <w:rFonts w:ascii="Arial" w:cs="Arial" w:eastAsia="Arial" w:hAnsi="Arial"/>
          <w:sz w:val="16"/>
          <w:szCs w:val="16"/>
          <w:color w:val="54585A"/>
        </w:rPr>
      </w:pPr>
      <w:r>
        <w:rPr>
          <w:rFonts w:ascii="Arial" w:cs="Arial" w:eastAsia="Arial" w:hAnsi="Arial"/>
          <w:sz w:val="16"/>
          <w:szCs w:val="16"/>
          <w:color w:val="54585A"/>
        </w:rPr>
        <w:t>The following language is hereby added to the end of Section 1 of the Guaranty: “provided, that, that Thermo Funding’s guarantee of the Guaranteed Obligations hereunder is limited to $100,000,000.00 (One Hundred Million United States Dollars), or such other amount as may be agreed in writing from time to time by Thermo Funding and Globalstar).”</w:t>
      </w:r>
    </w:p>
    <w:p>
      <w:pPr>
        <w:spacing w:after="0" w:line="103" w:lineRule="exact"/>
        <w:rPr>
          <w:rFonts w:ascii="Arial" w:cs="Arial" w:eastAsia="Arial" w:hAnsi="Arial"/>
          <w:sz w:val="16"/>
          <w:szCs w:val="16"/>
          <w:color w:val="54585A"/>
        </w:rPr>
      </w:pPr>
    </w:p>
    <w:p>
      <w:pPr>
        <w:ind w:left="980" w:hanging="324"/>
        <w:spacing w:after="0"/>
        <w:tabs>
          <w:tab w:leader="none" w:pos="980" w:val="left"/>
        </w:tabs>
        <w:numPr>
          <w:ilvl w:val="0"/>
          <w:numId w:val="79"/>
        </w:numPr>
        <w:rPr>
          <w:rFonts w:ascii="Arial" w:cs="Arial" w:eastAsia="Arial" w:hAnsi="Arial"/>
          <w:sz w:val="16"/>
          <w:szCs w:val="16"/>
          <w:color w:val="54585A"/>
        </w:rPr>
      </w:pPr>
      <w:r>
        <w:rPr>
          <w:rFonts w:ascii="Arial" w:cs="Arial" w:eastAsia="Arial" w:hAnsi="Arial"/>
          <w:sz w:val="16"/>
          <w:szCs w:val="16"/>
          <w:color w:val="54585A"/>
        </w:rPr>
        <w:t>Apple hereby consents to this Amendment, with respect to its rights pursuant to Sections 23 and 24 of the Guaranty.</w:t>
      </w:r>
    </w:p>
    <w:p>
      <w:pPr>
        <w:spacing w:after="0" w:line="234" w:lineRule="exact"/>
        <w:rPr>
          <w:rFonts w:ascii="Arial" w:cs="Arial" w:eastAsia="Arial" w:hAnsi="Arial"/>
          <w:sz w:val="16"/>
          <w:szCs w:val="16"/>
          <w:color w:val="54585A"/>
        </w:rPr>
      </w:pPr>
    </w:p>
    <w:p>
      <w:pPr>
        <w:ind w:left="980" w:hanging="324"/>
        <w:spacing w:after="0"/>
        <w:tabs>
          <w:tab w:leader="none" w:pos="980" w:val="left"/>
        </w:tabs>
        <w:numPr>
          <w:ilvl w:val="0"/>
          <w:numId w:val="79"/>
        </w:numPr>
        <w:rPr>
          <w:rFonts w:ascii="Arial" w:cs="Arial" w:eastAsia="Arial" w:hAnsi="Arial"/>
          <w:sz w:val="16"/>
          <w:szCs w:val="16"/>
          <w:color w:val="54585A"/>
        </w:rPr>
      </w:pPr>
      <w:r>
        <w:rPr>
          <w:rFonts w:ascii="Arial" w:cs="Arial" w:eastAsia="Arial" w:hAnsi="Arial"/>
          <w:sz w:val="16"/>
          <w:szCs w:val="16"/>
          <w:color w:val="54585A"/>
        </w:rPr>
        <w:t>Thermo Funding hereby ratifies and approves the Guaranty as such agreement existed both before and after the execution of this Amendment.</w:t>
      </w:r>
    </w:p>
    <w:p>
      <w:pPr>
        <w:spacing w:after="0" w:line="221" w:lineRule="exact"/>
        <w:rPr>
          <w:rFonts w:ascii="Arial" w:cs="Arial" w:eastAsia="Arial" w:hAnsi="Arial"/>
          <w:sz w:val="16"/>
          <w:szCs w:val="16"/>
          <w:color w:val="54585A"/>
        </w:rPr>
      </w:pPr>
    </w:p>
    <w:p>
      <w:pPr>
        <w:ind w:left="980" w:right="740" w:hanging="324"/>
        <w:spacing w:after="0" w:line="374" w:lineRule="auto"/>
        <w:tabs>
          <w:tab w:leader="none" w:pos="975" w:val="left"/>
        </w:tabs>
        <w:numPr>
          <w:ilvl w:val="0"/>
          <w:numId w:val="79"/>
        </w:numPr>
        <w:rPr>
          <w:rFonts w:ascii="Arial" w:cs="Arial" w:eastAsia="Arial" w:hAnsi="Arial"/>
          <w:sz w:val="16"/>
          <w:szCs w:val="16"/>
          <w:color w:val="54585A"/>
        </w:rPr>
      </w:pPr>
      <w:r>
        <w:rPr>
          <w:rFonts w:ascii="Arial" w:cs="Arial" w:eastAsia="Arial" w:hAnsi="Arial"/>
          <w:sz w:val="16"/>
          <w:szCs w:val="16"/>
          <w:color w:val="54585A"/>
        </w:rPr>
        <w:t>This Amendment is limited as specified herein and shall not otherwise constitute a modification or waiver of any other provision of the Guaranty, all of which other provisions are hereby ratified and confirmed and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296545</wp:posOffset>
            </wp:positionV>
            <wp:extent cx="25717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ind w:left="872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ind w:left="92" w:hanging="92"/>
        <w:spacing w:after="0"/>
        <w:tabs>
          <w:tab w:leader="none" w:pos="92" w:val="left"/>
        </w:tabs>
        <w:numPr>
          <w:ilvl w:val="0"/>
          <w:numId w:val="80"/>
        </w:numPr>
        <w:rPr>
          <w:rFonts w:ascii="Arial" w:cs="Arial" w:eastAsia="Arial" w:hAnsi="Arial"/>
          <w:sz w:val="18"/>
          <w:szCs w:val="18"/>
          <w:b w:val="1"/>
          <w:bCs w:val="1"/>
          <w:color w:val="EB6C10"/>
        </w:rPr>
      </w:pPr>
      <w:r>
        <w:rPr>
          <w:rFonts w:ascii="Arial" w:cs="Arial" w:eastAsia="Arial" w:hAnsi="Arial"/>
          <w:sz w:val="14"/>
          <w:szCs w:val="14"/>
          <w:color w:val="54585A"/>
        </w:rPr>
        <w:t>Appendix A</w:t>
      </w: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00" w:lineRule="exact"/>
        <w:rPr>
          <w:rFonts w:ascii="Arial" w:cs="Arial" w:eastAsia="Arial" w:hAnsi="Arial"/>
          <w:sz w:val="18"/>
          <w:szCs w:val="18"/>
          <w:b w:val="1"/>
          <w:bCs w:val="1"/>
          <w:color w:val="EB6C10"/>
        </w:rPr>
      </w:pPr>
    </w:p>
    <w:p>
      <w:pPr>
        <w:spacing w:after="0" w:line="235" w:lineRule="exact"/>
        <w:rPr>
          <w:rFonts w:ascii="Arial" w:cs="Arial" w:eastAsia="Arial" w:hAnsi="Arial"/>
          <w:sz w:val="18"/>
          <w:szCs w:val="18"/>
          <w:b w:val="1"/>
          <w:bCs w:val="1"/>
          <w:color w:val="EB6C10"/>
        </w:rPr>
      </w:pPr>
    </w:p>
    <w:p>
      <w:pPr>
        <w:ind w:left="972" w:hanging="324"/>
        <w:spacing w:after="0"/>
        <w:tabs>
          <w:tab w:leader="none" w:pos="972" w:val="left"/>
        </w:tabs>
        <w:numPr>
          <w:ilvl w:val="1"/>
          <w:numId w:val="80"/>
        </w:numPr>
        <w:rPr>
          <w:rFonts w:ascii="Arial" w:cs="Arial" w:eastAsia="Arial" w:hAnsi="Arial"/>
          <w:sz w:val="16"/>
          <w:szCs w:val="16"/>
          <w:color w:val="54585A"/>
        </w:rPr>
      </w:pPr>
      <w:r>
        <w:rPr>
          <w:rFonts w:ascii="Arial" w:cs="Arial" w:eastAsia="Arial" w:hAnsi="Arial"/>
          <w:sz w:val="16"/>
          <w:szCs w:val="16"/>
          <w:color w:val="54585A"/>
        </w:rPr>
        <w:t>This Amendment shall be governed by, and construed in accordance with, the law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732"/>
        <w:spacing w:after="0"/>
        <w:rPr>
          <w:sz w:val="20"/>
          <w:szCs w:val="20"/>
          <w:color w:val="auto"/>
        </w:rPr>
      </w:pPr>
      <w:r>
        <w:rPr>
          <w:rFonts w:ascii="Arial" w:cs="Arial" w:eastAsia="Arial" w:hAnsi="Arial"/>
          <w:sz w:val="16"/>
          <w:szCs w:val="16"/>
          <w:i w:val="1"/>
          <w:iCs w:val="1"/>
          <w:color w:val="54585A"/>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6866255</wp:posOffset>
            </wp:positionH>
            <wp:positionV relativeFrom="paragraph">
              <wp:posOffset>379730</wp:posOffset>
            </wp:positionV>
            <wp:extent cx="257175" cy="257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
        <w:spacing w:after="0"/>
        <w:rPr>
          <w:sz w:val="20"/>
          <w:szCs w:val="20"/>
          <w:color w:val="auto"/>
        </w:rPr>
      </w:pPr>
      <w:r>
        <w:rPr>
          <w:rFonts w:ascii="Arial" w:cs="Arial" w:eastAsia="Arial" w:hAnsi="Arial"/>
          <w:sz w:val="14"/>
          <w:szCs w:val="14"/>
          <w:color w:val="54585A"/>
        </w:rPr>
        <w:t xml:space="preserve">A-2 </w:t>
      </w:r>
      <w:r>
        <w:rPr>
          <w:rFonts w:ascii="Arial" w:cs="Arial" w:eastAsia="Arial" w:hAnsi="Arial"/>
          <w:sz w:val="17"/>
          <w:szCs w:val="17"/>
          <w:b w:val="1"/>
          <w:bCs w:val="1"/>
          <w:color w:val="EB6C10"/>
        </w:rPr>
        <w:t>/</w:t>
      </w:r>
      <w:r>
        <w:rPr>
          <w:rFonts w:ascii="Arial" w:cs="Arial" w:eastAsia="Arial" w:hAnsi="Arial"/>
          <w:sz w:val="14"/>
          <w:szCs w:val="14"/>
          <w:color w:val="54585A"/>
        </w:rPr>
        <w:t xml:space="preserve"> Globalstar Proxy Statement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168"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4"/>
          <w:szCs w:val="14"/>
          <w:color w:val="54585A"/>
        </w:rPr>
        <w:t xml:space="preserve">Appendix A </w:t>
      </w:r>
      <w:r>
        <w:rPr>
          <w:rFonts w:ascii="Arial" w:cs="Arial" w:eastAsia="Arial" w:hAnsi="Arial"/>
          <w:sz w:val="17"/>
          <w:szCs w:val="17"/>
          <w:b w:val="1"/>
          <w:bCs w:val="1"/>
          <w:color w:val="EB6C1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firstLine="648"/>
        <w:spacing w:after="0" w:line="374" w:lineRule="auto"/>
        <w:rPr>
          <w:sz w:val="20"/>
          <w:szCs w:val="20"/>
          <w:color w:val="auto"/>
        </w:rPr>
      </w:pPr>
      <w:r>
        <w:rPr>
          <w:rFonts w:ascii="Arial" w:cs="Arial" w:eastAsia="Arial" w:hAnsi="Arial"/>
          <w:sz w:val="16"/>
          <w:szCs w:val="16"/>
          <w:color w:val="54585A"/>
        </w:rPr>
        <w:t>IN WITNESS WHEREOF, each of the parties has duly executed and delivered this Amendment through its undersigned designee duly authorized to be effective as of the date first above written.</w:t>
      </w:r>
    </w:p>
    <w:p>
      <w:pPr>
        <w:spacing w:after="0" w:line="88"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54585A"/>
        </w:rPr>
        <w:t>THERMO FUNDING II, LLC</w:t>
      </w:r>
    </w:p>
    <w:p>
      <w:pPr>
        <w:spacing w:after="0" w:line="235"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By:</w:t>
      </w:r>
    </w:p>
    <w:p>
      <w:pPr>
        <w:spacing w:after="0" w:line="59"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Name:</w:t>
      </w:r>
    </w:p>
    <w:p>
      <w:pPr>
        <w:spacing w:after="0" w:line="73"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Title:</w:t>
      </w:r>
    </w:p>
    <w:p>
      <w:pPr>
        <w:spacing w:after="0" w:line="200" w:lineRule="exact"/>
        <w:rPr>
          <w:sz w:val="20"/>
          <w:szCs w:val="20"/>
          <w:color w:val="auto"/>
        </w:rPr>
      </w:pPr>
    </w:p>
    <w:p>
      <w:pPr>
        <w:spacing w:after="0" w:line="305"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54585A"/>
        </w:rPr>
        <w:t>GLOBALSTAR, INC.</w:t>
      </w:r>
    </w:p>
    <w:p>
      <w:pPr>
        <w:spacing w:after="0" w:line="221"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By:</w:t>
      </w:r>
    </w:p>
    <w:p>
      <w:pPr>
        <w:spacing w:after="0" w:line="73"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Name:</w:t>
      </w:r>
    </w:p>
    <w:p>
      <w:pPr>
        <w:spacing w:after="0" w:line="59"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Title:</w:t>
      </w:r>
    </w:p>
    <w:p>
      <w:pPr>
        <w:spacing w:after="0" w:line="200" w:lineRule="exact"/>
        <w:rPr>
          <w:sz w:val="20"/>
          <w:szCs w:val="20"/>
          <w:color w:val="auto"/>
        </w:rPr>
      </w:pPr>
    </w:p>
    <w:p>
      <w:pPr>
        <w:spacing w:after="0" w:line="305" w:lineRule="exact"/>
        <w:rPr>
          <w:sz w:val="20"/>
          <w:szCs w:val="20"/>
          <w:color w:val="auto"/>
        </w:rPr>
      </w:pPr>
    </w:p>
    <w:p>
      <w:pPr>
        <w:ind w:left="4540" w:right="540"/>
        <w:spacing w:after="0" w:line="374" w:lineRule="auto"/>
        <w:rPr>
          <w:sz w:val="20"/>
          <w:szCs w:val="20"/>
          <w:color w:val="auto"/>
        </w:rPr>
      </w:pPr>
      <w:r>
        <w:rPr>
          <w:rFonts w:ascii="Arial" w:cs="Arial" w:eastAsia="Arial" w:hAnsi="Arial"/>
          <w:sz w:val="16"/>
          <w:szCs w:val="16"/>
          <w:color w:val="54585A"/>
        </w:rPr>
        <w:t>Solely for the purposes of consenting to this Amendment with respect to Apple’s rights pursuant to Sections 23 and 24 of the Guaranty:</w:t>
      </w:r>
    </w:p>
    <w:p>
      <w:pPr>
        <w:spacing w:after="0" w:line="250"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54585A"/>
        </w:rPr>
        <w:t>APPLE INC.</w:t>
      </w:r>
    </w:p>
    <w:p>
      <w:pPr>
        <w:spacing w:after="0" w:line="194"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By:</w:t>
      </w:r>
    </w:p>
    <w:p>
      <w:pPr>
        <w:spacing w:after="0" w:line="46"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Name:</w:t>
      </w:r>
    </w:p>
    <w:p>
      <w:pPr>
        <w:spacing w:after="0" w:line="59" w:lineRule="exact"/>
        <w:rPr>
          <w:sz w:val="20"/>
          <w:szCs w:val="20"/>
          <w:color w:val="auto"/>
        </w:rPr>
      </w:pPr>
    </w:p>
    <w:p>
      <w:pPr>
        <w:ind w:left="4540"/>
        <w:spacing w:after="0"/>
        <w:rPr>
          <w:sz w:val="20"/>
          <w:szCs w:val="20"/>
          <w:color w:val="auto"/>
        </w:rPr>
      </w:pPr>
      <w:r>
        <w:rPr>
          <w:rFonts w:ascii="Arial" w:cs="Arial" w:eastAsia="Arial" w:hAnsi="Arial"/>
          <w:sz w:val="16"/>
          <w:szCs w:val="16"/>
          <w:color w:val="54585A"/>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552450</wp:posOffset>
            </wp:positionV>
            <wp:extent cx="257175" cy="2571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720"/>
        <w:spacing w:after="0"/>
        <w:rPr>
          <w:sz w:val="20"/>
          <w:szCs w:val="20"/>
          <w:color w:val="auto"/>
        </w:rPr>
      </w:pPr>
      <w:r>
        <w:rPr>
          <w:rFonts w:ascii="Arial" w:cs="Arial" w:eastAsia="Arial" w:hAnsi="Arial"/>
          <w:sz w:val="14"/>
          <w:szCs w:val="14"/>
          <w:color w:val="54585A"/>
        </w:rPr>
        <w:t xml:space="preserve">Globalstar Proxy Statement 2025 </w:t>
      </w:r>
      <w:r>
        <w:rPr>
          <w:rFonts w:ascii="Arial" w:cs="Arial" w:eastAsia="Arial" w:hAnsi="Arial"/>
          <w:sz w:val="17"/>
          <w:szCs w:val="17"/>
          <w:b w:val="1"/>
          <w:bCs w:val="1"/>
          <w:color w:val="EB6C10"/>
        </w:rPr>
        <w:t>/</w:t>
      </w:r>
      <w:r>
        <w:rPr>
          <w:rFonts w:ascii="Arial" w:cs="Arial" w:eastAsia="Arial" w:hAnsi="Arial"/>
          <w:sz w:val="14"/>
          <w:szCs w:val="14"/>
          <w:color w:val="54585A"/>
        </w:rPr>
        <w:t xml:space="preserve">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243205</wp:posOffset>
            </wp:positionV>
            <wp:extent cx="7157720" cy="88855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8885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422275</wp:posOffset>
            </wp:positionH>
            <wp:positionV relativeFrom="page">
              <wp:posOffset>243205</wp:posOffset>
            </wp:positionV>
            <wp:extent cx="6703695" cy="87864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703695" cy="87864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80BD78F"/>
    <w:multiLevelType w:val="hybridMultilevel"/>
    <w:lvl w:ilvl="0">
      <w:lvlJc w:val="left"/>
      <w:lvlText w:val="x"/>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x"/>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lvl w:ilvl="1">
      <w:lvlJc w:val="left"/>
      <w:lvlText w:val="•"/>
      <w:numFmt w:val="bullet"/>
      <w:start w:val="1"/>
    </w:lvl>
  </w:abstractNum>
  <w:abstractNum w:abstractNumId="6">
    <w:nsid w:val="1D4ED43B"/>
    <w:multiLevelType w:val="hybridMultilevel"/>
    <w:lvl w:ilvl="0">
      <w:lvlJc w:val="left"/>
      <w:lvlText w:val="%1."/>
      <w:numFmt w:val="decimal"/>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
      <w:numFmt w:val="bullet"/>
      <w:start w:val="1"/>
    </w:lvl>
  </w:abstractNum>
  <w:abstractNum w:abstractNumId="11">
    <w:nsid w:val="4B588F54"/>
    <w:multiLevelType w:val="hybridMultilevel"/>
    <w:lvl w:ilvl="0">
      <w:lvlJc w:val="left"/>
      <w:lvlText w:val="/"/>
      <w:numFmt w:val="bullet"/>
      <w:start w:val="1"/>
    </w:lvl>
  </w:abstractNum>
  <w:abstractNum w:abstractNumId="12">
    <w:nsid w:val="542289EC"/>
    <w:multiLevelType w:val="hybridMultilevel"/>
    <w:lvl w:ilvl="0">
      <w:lvlJc w:val="left"/>
      <w:lvlText w:val="%1."/>
      <w:numFmt w:val="decimal"/>
      <w:start w:val="1"/>
    </w:lvl>
  </w:abstractNum>
  <w:abstractNum w:abstractNumId="13">
    <w:nsid w:val="6DE91B18"/>
    <w:multiLevelType w:val="hybridMultilevel"/>
    <w:lvl w:ilvl="0">
      <w:lvlJc w:val="left"/>
      <w:lvlText w:val="/"/>
      <w:numFmt w:val="bullet"/>
      <w:start w:val="1"/>
    </w:lvl>
  </w:abstractNum>
  <w:abstractNum w:abstractNumId="14">
    <w:nsid w:val="38437FDB"/>
    <w:multiLevelType w:val="hybridMultilevel"/>
    <w:lvl w:ilvl="0">
      <w:lvlJc w:val="left"/>
      <w:lvlText w:val="•"/>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
      <w:numFmt w:val="bullet"/>
      <w:start w:val="1"/>
    </w:lvl>
  </w:abstractNum>
  <w:abstractNum w:abstractNumId="27">
    <w:nsid w:val="374A3FE6"/>
    <w:multiLevelType w:val="hybridMultilevel"/>
    <w:lvl w:ilvl="0">
      <w:lvlJc w:val="left"/>
      <w:lvlText w:val="/"/>
      <w:numFmt w:val="bullet"/>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abstractNum>
  <w:abstractNum w:abstractNumId="31">
    <w:nsid w:val="275AC794"/>
    <w:multiLevelType w:val="hybridMultilevel"/>
    <w:lvl w:ilvl="0">
      <w:lvlJc w:val="left"/>
      <w:lvlText w:val="•"/>
      <w:numFmt w:val="bullet"/>
      <w:start w:val="1"/>
    </w:lvl>
    <w:lvl w:ilvl="1">
      <w:lvlJc w:val="left"/>
      <w:lvlText w:val="•"/>
      <w:numFmt w:val="bullet"/>
      <w:start w:val="1"/>
    </w:lvl>
  </w:abstractNum>
  <w:abstractNum w:abstractNumId="32">
    <w:nsid w:val="39386575"/>
    <w:multiLevelType w:val="hybridMultilevel"/>
    <w:lvl w:ilvl="0">
      <w:lvlJc w:val="left"/>
      <w:lvlText w:val="•"/>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
      <w:numFmt w:val="bullet"/>
      <w:start w:val="1"/>
    </w:lvl>
  </w:abstractNum>
  <w:abstractNum w:abstractNumId="35">
    <w:nsid w:val="235BA861"/>
    <w:multiLevelType w:val="hybridMultilevel"/>
    <w:lvl w:ilvl="0">
      <w:lvlJc w:val="left"/>
      <w:lvlText w:val="/"/>
      <w:numFmt w:val="bullet"/>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1."/>
      <w:numFmt w:val="decimal"/>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1."/>
      <w:numFmt w:val="decimal"/>
      <w:start w:val="3"/>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
      <w:numFmt w:val="bullet"/>
      <w:start w:val="1"/>
    </w:lvl>
  </w:abstractNum>
  <w:abstractNum w:abstractNumId="45">
    <w:nsid w:val="77AE35EB"/>
    <w:multiLevelType w:val="hybridMultilevel"/>
    <w:lvl w:ilvl="0">
      <w:lvlJc w:val="left"/>
      <w:lvlText w:val="/"/>
      <w:numFmt w:val="bullet"/>
      <w:start w:val="1"/>
    </w:lvl>
  </w:abstractNum>
  <w:abstractNum w:abstractNumId="46">
    <w:nsid w:val="579BE4F1"/>
    <w:multiLevelType w:val="hybridMultilevel"/>
    <w:lvl w:ilvl="0">
      <w:lvlJc w:val="left"/>
      <w:lvlText w:val="/"/>
      <w:numFmt w:val="bullet"/>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
      <w:numFmt w:val="bullet"/>
      <w:start w:val="1"/>
    </w:lvl>
  </w:abstractNum>
  <w:abstractNum w:abstractNumId="51">
    <w:nsid w:val="1DBABF00"/>
    <w:multiLevelType w:val="hybridMultilevel"/>
    <w:lvl w:ilvl="0">
      <w:lvlJc w:val="left"/>
      <w:lvlText w:val="/"/>
      <w:numFmt w:val="bullet"/>
      <w:start w:val="1"/>
    </w:lvl>
  </w:abstractNum>
  <w:abstractNum w:abstractNumId="52">
    <w:nsid w:val="4AD084E9"/>
    <w:multiLevelType w:val="hybridMultilevel"/>
    <w:lvl w:ilvl="0">
      <w:lvlJc w:val="left"/>
      <w:lvlText w:val="/"/>
      <w:numFmt w:val="bullet"/>
      <w:start w:val="1"/>
    </w:lvl>
  </w:abstractNum>
  <w:abstractNum w:abstractNumId="53">
    <w:nsid w:val="1F48EAA1"/>
    <w:multiLevelType w:val="hybridMultilevel"/>
    <w:lvl w:ilvl="0">
      <w:lvlJc w:val="left"/>
      <w:lvlText w:val="%1."/>
      <w:numFmt w:val="decimal"/>
      <w:start w:val="1"/>
    </w:lvl>
  </w:abstractNum>
  <w:abstractNum w:abstractNumId="54">
    <w:nsid w:val="1381823A"/>
    <w:multiLevelType w:val="hybridMultilevel"/>
    <w:lvl w:ilvl="0">
      <w:lvlJc w:val="left"/>
      <w:lvlText w:val="/"/>
      <w:numFmt w:val="bullet"/>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decimal"/>
      <w:start w:val="1"/>
    </w:lvl>
  </w:abstractNum>
  <w:abstractNum w:abstractNumId="57">
    <w:nsid w:val="6590700B"/>
    <w:multiLevelType w:val="hybridMultilevel"/>
    <w:lvl w:ilvl="0">
      <w:lvlJc w:val="left"/>
      <w:lvlText w:val="/"/>
      <w:numFmt w:val="bullet"/>
      <w:start w:val="1"/>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
      <w:numFmt w:val="bullet"/>
      <w:start w:val="1"/>
    </w:lvl>
  </w:abstractNum>
  <w:abstractNum w:abstractNumId="60">
    <w:nsid w:val="98A3148"/>
    <w:multiLevelType w:val="hybridMultilevel"/>
    <w:lvl w:ilvl="0">
      <w:lvlJc w:val="left"/>
      <w:lvlText w:val="%1."/>
      <w:numFmt w:val="decimal"/>
      <w:start w:val="1"/>
    </w:lvl>
  </w:abstractNum>
  <w:abstractNum w:abstractNumId="61">
    <w:nsid w:val="799D0247"/>
    <w:multiLevelType w:val="hybridMultilevel"/>
    <w:lvl w:ilvl="0">
      <w:lvlJc w:val="left"/>
      <w:lvlText w:val="%1."/>
      <w:numFmt w:val="decimal"/>
      <w:start w:val="1"/>
    </w:lvl>
  </w:abstractNum>
  <w:abstractNum w:abstractNumId="62">
    <w:nsid w:val="6B94764"/>
    <w:multiLevelType w:val="hybridMultilevel"/>
    <w:lvl w:ilvl="0">
      <w:lvlJc w:val="left"/>
      <w:lvlText w:val="%1."/>
      <w:numFmt w:val="lowerLetter"/>
      <w:start w:val="1"/>
    </w:lvl>
  </w:abstractNum>
  <w:abstractNum w:abstractNumId="63">
    <w:nsid w:val="42C296BD"/>
    <w:multiLevelType w:val="hybridMultilevel"/>
    <w:lvl w:ilvl="0">
      <w:lvlJc w:val="left"/>
      <w:lvlText w:val="/"/>
      <w:numFmt w:val="bullet"/>
      <w:start w:val="1"/>
    </w:lvl>
    <w:lvl w:ilvl="1">
      <w:lvlJc w:val="left"/>
      <w:lvlText w:val="%2."/>
      <w:numFmt w:val="lowerLetter"/>
      <w:start w:val="2"/>
    </w:lvl>
  </w:abstractNum>
  <w:abstractNum w:abstractNumId="64">
    <w:nsid w:val="168E121F"/>
    <w:multiLevelType w:val="hybridMultilevel"/>
    <w:lvl w:ilvl="0">
      <w:lvlJc w:val="left"/>
      <w:lvlText w:val="%1."/>
      <w:numFmt w:val="decimal"/>
      <w:start w:val="3"/>
    </w:lvl>
  </w:abstractNum>
  <w:abstractNum w:abstractNumId="65">
    <w:nsid w:val="1EBA5D23"/>
    <w:multiLevelType w:val="hybridMultilevel"/>
    <w:lvl w:ilvl="0">
      <w:lvlJc w:val="left"/>
      <w:lvlText w:val="%1."/>
      <w:numFmt w:val="decimal"/>
      <w:start w:val="4"/>
    </w:lvl>
  </w:abstractNum>
  <w:abstractNum w:abstractNumId="66">
    <w:nsid w:val="661E3F1E"/>
    <w:multiLevelType w:val="hybridMultilevel"/>
    <w:lvl w:ilvl="0">
      <w:lvlJc w:val="left"/>
      <w:lvlText w:val="%1."/>
      <w:numFmt w:val="lowerLetter"/>
      <w:start w:val="1"/>
    </w:lvl>
  </w:abstractNum>
  <w:abstractNum w:abstractNumId="67">
    <w:nsid w:val="5DC79EA8"/>
    <w:multiLevelType w:val="hybridMultilevel"/>
    <w:lvl w:ilvl="0">
      <w:lvlJc w:val="left"/>
      <w:lvlText w:val="%1."/>
      <w:numFmt w:val="decimal"/>
      <w:start w:val="5"/>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1."/>
      <w:numFmt w:val="decimal"/>
      <w:start w:val="1"/>
    </w:lvl>
  </w:abstractNum>
  <w:abstractNum w:abstractNumId="73">
    <w:nsid w:val="11447B73"/>
    <w:multiLevelType w:val="hybridMultilevel"/>
    <w:lvl w:ilvl="0">
      <w:lvlJc w:val="left"/>
      <w:lvlText w:val="/"/>
      <w:numFmt w:val="bullet"/>
      <w:start w:val="1"/>
    </w:lvl>
  </w:abstractNum>
  <w:abstractNum w:abstractNumId="74">
    <w:nsid w:val="42963E5A"/>
    <w:multiLevelType w:val="hybridMultilevel"/>
    <w:lvl w:ilvl="0">
      <w:lvlJc w:val="left"/>
      <w:lvlText w:val="%1."/>
      <w:numFmt w:val="decimal"/>
      <w:start w:val="2"/>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1)"/>
      <w:numFmt w:val="lowerLetter"/>
      <w:start w:val="1"/>
    </w:lvl>
    <w:lvl w:ilvl="1">
      <w:lvlJc w:val="left"/>
      <w:lvlText w:val="(%2)"/>
      <w:numFmt w:val="lowerLetter"/>
      <w:start w:val="2"/>
    </w:lvl>
  </w:abstractNum>
  <w:abstractNum w:abstractNumId="79">
    <w:nsid w:val="68EB2F63"/>
    <w:multiLevelType w:val="hybridMultilevel"/>
    <w:lvl w:ilvl="0">
      <w:lvlJc w:val="left"/>
      <w:lvlText w:val="/"/>
      <w:numFmt w:val="bullet"/>
      <w:start w:val="1"/>
    </w:lvl>
    <w:lvl w:ilvl="1">
      <w:lvlJc w:val="left"/>
      <w:lvlText w:val="(%2)"/>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2025-03-28T16:33:02Z</dcterms:created>
  <dcterms:modified xsi:type="dcterms:W3CDTF">2025-03-28T16:33:02Z</dcterms:modified>
</cp:coreProperties>
</file>