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5, 2026</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9"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38"/>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414"/>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30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43"/>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30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5, 2026, Globalstar, Inc. (the "Company") issued a press release announcing the Company's financial and operating results for the three and nine months ended September 30, 2026. A copy of the press release is furnished hereto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furnished pursuant to the rules and regulations of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5, 2026</w:t>
            </w:r>
          </w:p>
        </w:tc>
      </w:tr>
      <w:tr>
        <w:trPr>
          <w:trHeight w:val="20"/>
        </w:trPr>
        <w:tc>
          <w:tcPr>
            <w:tcW w:w="12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18"/>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2"/>
        </w:trPr>
        <w:tc>
          <w:tcPr>
            <w:tcW w:w="12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ectPr>
          <w:pgSz w:w="11900" w:h="16838" w:orient="portrait"/>
          <w:cols w:equalWidth="0" w:num="1">
            <w:col w:w="11240"/>
          </w:cols>
          <w:pgMar w:left="320" w:top="1346"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7145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GLOBALSTAR ANNOUNCES THIRD QUARTER 2026 FINANCIAL RESULTS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Successful satellite launch, key regulatory approvals, and strong Commercial IoT device sales highlight third-quarter achievements</w:t>
      </w:r>
    </w:p>
    <w:p>
      <w:pPr>
        <w:spacing w:after="0" w:line="26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Generated third quarter 2026 revenue of $70.9 million with another quarter of strong Commercial IoT subscriber activations.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Successfully launched first set of HIBLEO-4 replacement satellites, marking a major milestone in supporting the continued reliability and performance of Globalstar's existing mobile satellite services network.</w:t>
      </w: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Advanced next-generation C-3 constellation development through key regulatory authorizations in the U.S. and Germany, alongside continued expansion of ground station infrastructure, including construction completion in U.S., Canada and Greece.</w:t>
      </w: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October, FCC Space Bureau approved Amazon's application to acquire Globalstar's FCC licensing, a major step forward to complete our previously announced Merger Agreement. As previously disclosed, the pending transaction with Amazon is expected to close in 2027 and remains subject to the satisfaction of the remaining closing conditions, including, among others, receipt of outstanding regulatory approvals and Globalstar's achievement of certain HIBLEO-4 satellite milestones.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Covington, LA, November 5, 2026 </w:t>
      </w:r>
      <w:r>
        <w:rPr>
          <w:rFonts w:ascii="Times New Roman" w:cs="Times New Roman" w:eastAsia="Times New Roman" w:hAnsi="Times New Roman"/>
          <w:sz w:val="18"/>
          <w:szCs w:val="18"/>
          <w:color w:val="auto"/>
        </w:rPr>
        <w:t>-- Globalstar, Inc. (Nasdaq: GSAT) ("Globalstar" or the "Company"), a next-generation telecommunications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and technology provider, today announced its financial results for the third quarter ended September 30, 2026. Capitalized terms not defined herein have the meaning given to such terms in our periodic reports.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significant progress during the third quarter, highlighted by the successful launch of the first set of our replacement satellites and important regulatory and infrastructure milestones supporting our next-generation constellation," said Dr. Paul E. Jacobs, Chief Executive Officer of Globalstar. "These achievements are expected to strengthen the foundation of our satellite network as we prepare for the next era of connectivity."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OPERATIONAL HIGHLIGHTS</w:t>
      </w:r>
    </w:p>
    <w:p>
      <w:pPr>
        <w:spacing w:after="0" w:line="256"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HIBLEO-4 Satellite Launch: Globalstar successfully launched the first set of HIBLEO-4 replacement satellites, marking a significant milestone in maintaining the reliability and continuity of its existing MSS network. The launch supports Globalstar's ongoing commitment to delivering dependable satellite connectivity while advancing its next-generation constellation initiatives.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Next-Generation C-3 Infrastructure: Globalstar achieved a significant milestone in the development of its third-generation C-3 satellite constellation, receiving a key regulatory authorization from the U.S. Federal Communications Commission ("FCC"). This approval supports Globalstar’s plans to deploy its next-generation network, designed to deliver greater capacity, improved performance, and expanded direct-to-device connectivity capabilities. Globalstar also completed a major expansion of its ground station in Greece, a key achievement in its ongoing global infrastructure modernization efforts to support the C-3 constellation. This milestone marks progress on our initiative which began in late 2025 to update ground station infrastructure across approximately 35 ground stations in 25 countries and territories.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of 2026 was $70.9 million, including $65.4 million of service revenue and $5.5 million of revenue generated from subscriber equipment sales.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Service revenue decreased $4.2 million during the third quarter of 2026 compared to the prior year's third quarter, primarily due to a decrease in wholesale capacity service revenue resulting from the timing of incurring network-related costs and receipt of the associated service fees for the reimbursement of such costs. Declines in Duplex and SPOT service revenue, primarily due to subscriber churn over the last twelve months, also contributed to the decrease in service revenue. Partially offsetting these decreases was an increase in Commercial IoT service revenue due to growth in the subscriber base during the third quarter of 2026. We achieved record high Commercial IoT subscriber activations on a last twelve-months basis, resulting in a 25% increase in gross activations over the same period.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subscriber equipment sales increased 31% compared to the prior year's third quarter primarily due to a higher volume of Commercial IoT device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was $7.6 million during the third quarter of 2026, compared to $10.2 million during the prior year's third quarter, primarily reflecting the decrease in revenue discussed above, partially offset by lower operating expenses.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expenses was due to lower depreciation expense as well as lower stock-based compensation expense. These decreases were partially offset by higher marketing, general and administrative ("MG&amp;A") expenses and cost of services. MG&amp;A expenses were higher than the prior year's third quarter due primarily to increased legal and other professional fees related to the pending Amazon transaction. Consistent with previous quarters, higher cost of services resulted primarily from network operating costs to support the build out of our next-generation ground network infrastructure, a significant portion of which are reimbursed to us and recognized as revenue. Costs to support XCOM technology development also increased during the third quarter of 2026 compared to the same period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was $15.7 million for the third quarter of 2026, compared to net income of $1.1 million for the prior year's third quarter. Net loss was impacted primarily by higher interest expense resulting from our recognition of non-cash imputed interest related to the 2024 Prepayment Agreement. Net loss was also impacted by unfavorable changes in income from operations (discussed above) during the quarter.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was $30.3 million during the third quarter of 2026 compared to $37.6 million during the prior year's third quarter. This decrease was due to higher operating expenses (excluding adjustments for non-cash or non-recurring items) and lower revenue.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For more information, refer to "Reconciliation of GAAP Net Income (Loss) to Non-GAAP Adjusted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FINANCIAL REVIEW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first nine months of 2026 was $205.7 million, including $192.1 million of service revenue and $13.6 million of revenue generated from subscriber equipment sales, compared to total revenue of $201.0 million for the first nine months of 2025.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 revenue increased $2.2 million during the first nine months of 2026, compared to the same period in 2025, primarily due to higher wholesale capacity services resulting from additional service fees associated with the reimbursement of network-related costs and performance incentive bonuses. The second quarter of 2025 included out of period wholesale capacity services revenue of $6.6 million; excluding this item, service revenue during the first nine months of 2026 would have increased $8.8 million compared to the prior period. Consistent with the quarterly results discussed above, higher Commercial IoT subscribers contributed to the increase in service revenue for the first nine months of 2026, partially offset by lower service revenue due to fewer Duplex and SPOT subscribers. Also contributing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2</w:t>
      </w:r>
    </w:p>
    <w:p>
      <w:pPr>
        <w:sectPr>
          <w:pgSz w:w="11900" w:h="16838" w:orient="portrait"/>
          <w:cols w:equalWidth="0" w:num="1">
            <w:col w:w="11240"/>
          </w:cols>
          <w:pgMar w:left="320" w:top="117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service revenue for the period was higher revenue from governmental service contracts, including our service agreement with Parsons as we moved beyond the proof of concept phase and into the first year of service.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subscriber equipment sales increased 23% for the first nine months of 2026, compared to the same period in 2025, due to a higher volume of Commercial IoT device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was $11.0 million during the first nine months of 2026, compared to $7.8 million during the same period in 2025. During the first nine months of 2026, higher revenue was partially offset by higher operating expenses, as discussed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Higher MG&amp;A expenses and cost of services more than offset lower stock-based compensation and depreciation expense. Contributing to the increase in cost of services and MG&amp;A expenses was the recognition of employee retention credits received in both the first and second quarters of 2025 that did not recur in 2026. The fluctuation in operating expenses was favorably impacted by a noncash disposal of assets recognized during the first quarter of 2025 that did not recur in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$57.0 million for the first nine months of 2026, compared to net income of $3.0 million during the same period in 2025. In addition to the variances discussed above, net loss was also impacted by unfavorable changes in foreign currency exchange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was $89.7 million during the first nine months of 2026, compared to $103.7 million during the same period in 2025. Higher revenue was more than offset by higher operating expenses (excluding adjustments for non-cash or non-recurring items). Specifically, while we continue to enhance and develop our XCOM RAN product and service offerings, we have incurred costs, primarily for personnel, in advance of significant revenue. Also, as previously described, 2025 Adjusted EBITDA benefited from out of period service revenue of $6.6 million that was recognized in the second quarter of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held cash and cash equivalents of $329.9 million, compared to $447.5 million as of December 31, 2025.</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nine months of 2026, net cash flows generated from operations were approximately $296.9 million, capital expenditures were $414.2 million and net cash flows used in financing activities were $0.5 million. Cash and cash equivalents were also positively impacted by a $0.2 million effect of exchange rate changes. Operating cash flows during the first nine months of 2026 included $209.6 million received in connection with the Infrastructure Prepayment, $22.5 million in accelerated service fee payments from the Customer pursuant to the Updated Services Agreements as well as other cash flows generated from the business. Capital expenditures were primarily associated with our commitments under the Updated Services Agreements related to the deployment of the replacement satellites and Extended MSS Network. Financing activities for the first nine months of 2026 reflected a draw pursuant to the 2023 Funding Agreement which was offset by scheduled recoupments under both the 2021 and 2023 Funding Agreements as well as preferred stock dividend payments.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free cash flow during the first nine months of 2026 was $66.8 million compared to $133.3 million during the same period in 2025. This decrease was primarily due to the timing of cash receipts pursuant to the Updated Services Agreements, in part due to $22.5 million in accelerated service fees paid to us during the first nine months of 2026 compared to $37.5 million during the first nine months of 2025. Higher operating expenses, primarily due to transaction costs, and routine capital expenditures also unfavorably impacted free cash flow during the first nine months of 2026. Adjusted free cash flow is a non-GAAP financial measure. For more information, refer to "Reconciliation of Non-GAAP 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3</w:t>
      </w:r>
    </w:p>
    <w:p>
      <w:pPr>
        <w:sectPr>
          <w:pgSz w:w="11900" w:h="16838" w:orient="portrait"/>
          <w:cols w:equalWidth="0" w:num="1">
            <w:col w:w="11240"/>
          </w:cols>
          <w:pgMar w:left="320" w:top="117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amount of our debt was $414.7 million at September 30, 2026, compared to $410.0 million at December 31, 2025. This increase was due to the issuance of debt under the 2023 Funding Agreement totaling $19.9 million during 2026 offset by the first recoupment during the third quarter of 2026 of $9.0 million under the 2023 Funding Agreement and the final recoupment during the first quarter of 2026 of $6.3 million under the 2021 Funding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SUSPENSION OF FINANCIAL OUTLOOK AND CONFERENCE CALLS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pending transaction with Amazon, Globalstar does not intend to hold future earnings conference calls or provide updates to forward-looking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4</w:t>
      </w:r>
    </w:p>
    <w:p>
      <w:pPr>
        <w:sectPr>
          <w:pgSz w:w="11900" w:h="16838" w:orient="portrait"/>
          <w:cols w:equalWidth="0" w:num="1">
            <w:col w:w="11240"/>
          </w:cols>
          <w:pgMar w:left="320" w:top="11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Globalstar, Inc.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Globalstar is a global telecommunications provider connecting what matters most. Through our industry-leading low Earth orbit (LEO) satellite constellation and licensed Band 53/n53 spectrum, we deliver reliable satellite and terrestrial connectivity solutions that empower customers worldwide to connect, transmit, and communicate smarter. </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comprehensive connectivity ecosystem includes software-defined, purpose-built private wireless network platform, coupled with Globalstar Band 53 in XCOM RAN™ and trusted GPS messengers Saved by SPOT™ for safety and personal communication for business and enterprise applications. </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Serving business, enterprise, and consumer markets across the globe, Globalstar supports applications that track and protect assets, enable automation, enhance operational efficiency, and safeguard lives. With unmatched reach and a relentless focus on innovation, and mission-critical performance, we're redefining what's possible for global connectivity. </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www.globalstar.com.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investorrelations@globalstar.com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About Forward-Looking Statements</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contained in this press release other than purely historical information, including, but not limited to, estimates, projections or statements relating to the Mergers, future revenue, financial performance, financial condition, liquidity, adjusted free cash flow, projections, estimates and guidance, statements relating to our business plans, objectives and expected operating results, our anticipated financial resources, our expectations about the future operational performance of our satellites (including their projected operational lives) and the completion and launch of new satellites, our expectations regarding the outcomes of regulatory and licensing proceedings, the expected growth prospects of our existing customers and the markets that we serve, our expectations relating to the impact of trade policies (including tariffs), our expectations about our ability to integrate the licensed technology into our current line of business, the expected benefits of the updated services agreements, and the assumptions upon which those statements are based, are "forward-looking statements" within the meaning of the Private Securities Litigation Reform Act of 1995. These forward-looking statements generally are identified by the words "believe," "project," "might," "could,"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Risks and uncertainties that could cause or contribute to such differences include, without limitation,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our ability to meet our obligations to attain the anticipated benefits under the Updated Services Agreements and avoid the potential adjustment of the Merger Consideration if we fail to meet certain milestones based on the Company's agreements with the Customer, and those described under Item 1A. Risk Factors of the Company’s Annual Report on Form 10-K for the fiscal year ended December 31, 2025 and as updated in the Company’s other filings with the SEC. The Company undertakes no obligation to update any of the forward-looking statements after the date of this press release to reflect actual results, future events or circumstances or changes in our assumptions, business plans or other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5</w:t>
      </w:r>
    </w:p>
    <w:p>
      <w:pPr>
        <w:sectPr>
          <w:pgSz w:w="11900" w:h="16838" w:orient="portrait"/>
          <w:cols w:equalWidth="0" w:num="1">
            <w:col w:w="11240"/>
          </w:cols>
          <w:pgMar w:left="320" w:top="1170"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measures such as EBITDA, Adjusted EBITDA, and Adjusted free cash flow, which are not recognized under U.S. generally accepted accounting principles (GAAP). Reconciliations of these non-GAAP measures to amounts reported in the Company’s consolidated financial statements are provided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6</w:t>
      </w:r>
    </w:p>
    <w:p>
      <w:pPr>
        <w:sectPr>
          <w:pgSz w:w="11900" w:h="16838" w:orient="portrait"/>
          <w:cols w:equalWidth="0" w:num="1">
            <w:col w:w="11240"/>
          </w:cols>
          <w:pgMar w:left="320" w:top="117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52"/>
        </w:trPr>
        <w:tc>
          <w:tcPr>
            <w:tcW w:w="5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revenue</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65,386</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192,085</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189,918</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5,517</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13,654</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11,107</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70,903</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73,845</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205,739</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201,025</w:t>
            </w: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Cost of services (exclusive of depreciation, amortization, and accretion</w:t>
            </w:r>
          </w:p>
        </w:tc>
        <w:tc>
          <w:tcPr>
            <w:tcW w:w="3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22,206</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71,974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60,310</w:t>
            </w:r>
          </w:p>
        </w:tc>
        <w:tc>
          <w:tcPr>
            <w:tcW w:w="0" w:type="dxa"/>
            <w:vAlign w:val="bottom"/>
          </w:tcPr>
          <w:p>
            <w:pPr>
              <w:spacing w:after="0"/>
              <w:rPr>
                <w:sz w:val="1"/>
                <w:szCs w:val="1"/>
                <w:color w:val="auto"/>
              </w:rPr>
            </w:pPr>
          </w:p>
        </w:tc>
      </w:tr>
      <w:tr>
        <w:trPr>
          <w:trHeight w:val="128"/>
        </w:trPr>
        <w:tc>
          <w:tcPr>
            <w:tcW w:w="53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shown separately below)</w:t>
            </w:r>
          </w:p>
        </w:tc>
        <w:tc>
          <w:tcPr>
            <w:tcW w:w="3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34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8,350</w:t>
            </w: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52,628</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32,619</w:t>
            </w:r>
          </w:p>
        </w:tc>
        <w:tc>
          <w:tcPr>
            <w:tcW w:w="0" w:type="dxa"/>
            <w:vAlign w:val="bottom"/>
          </w:tcPr>
          <w:p>
            <w:pPr>
              <w:spacing w:after="0"/>
              <w:rPr>
                <w:sz w:val="1"/>
                <w:szCs w:val="1"/>
                <w:color w:val="auto"/>
              </w:rPr>
            </w:pPr>
          </w:p>
        </w:tc>
      </w:tr>
      <w:tr>
        <w:trPr>
          <w:trHeight w:val="235"/>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17,812</w:t>
            </w: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the value and disposal of long-lived assets</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16,935</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21,693</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52,134</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66,980</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63,292</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194,733</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193,224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7,611</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10,156</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11,006</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(23,910)</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(64,384)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(loss) gain</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15,484</w:t>
            </w:r>
          </w:p>
        </w:tc>
        <w:tc>
          <w:tcPr>
            <w:tcW w:w="0" w:type="dxa"/>
            <w:vAlign w:val="bottom"/>
          </w:tcPr>
          <w:p>
            <w:pPr>
              <w:spacing w:after="0"/>
              <w:rPr>
                <w:sz w:val="1"/>
                <w:szCs w:val="1"/>
                <w:color w:val="auto"/>
              </w:rPr>
            </w:pPr>
          </w:p>
        </w:tc>
      </w:tr>
      <w:tr>
        <w:trPr>
          <w:trHeight w:val="235"/>
        </w:trPr>
        <w:tc>
          <w:tcPr>
            <w:tcW w:w="5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Gain on contingent interest feature within 2024 Debt Repayment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(expense) income and derivative gain</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other expense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(21,928)</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(7,966)</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(61,174)</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(14,317)</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(50,168)</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6,871</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3,851</w:t>
            </w:r>
          </w:p>
        </w:tc>
        <w:tc>
          <w:tcPr>
            <w:tcW w:w="0" w:type="dxa"/>
            <w:vAlign w:val="bottom"/>
          </w:tcPr>
          <w:p>
            <w:pPr>
              <w:spacing w:after="0"/>
              <w:rPr>
                <w:sz w:val="1"/>
                <w:szCs w:val="1"/>
                <w:color w:val="auto"/>
              </w:rPr>
            </w:pPr>
          </w:p>
        </w:tc>
      </w:tr>
      <w:tr>
        <w:trPr>
          <w:trHeight w:val="26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(15,682)</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(57,039)</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(64,971)</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w:t>
            </w:r>
          </w:p>
        </w:tc>
        <w:tc>
          <w:tcPr>
            <w:tcW w:w="0" w:type="dxa"/>
            <w:vAlign w:val="bottom"/>
          </w:tcPr>
          <w:p>
            <w:pPr>
              <w:spacing w:after="0"/>
              <w:rPr>
                <w:sz w:val="1"/>
                <w:szCs w:val="1"/>
                <w:color w:val="auto"/>
              </w:rPr>
            </w:pPr>
          </w:p>
        </w:tc>
      </w:tr>
      <w:tr>
        <w:trPr>
          <w:trHeight w:val="235"/>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340" w:type="dxa"/>
            <w:vAlign w:val="bottom"/>
            <w:shd w:val="clear" w:color="auto" w:fill="CCEEFF"/>
          </w:tcPr>
          <w:p>
            <w:pPr>
              <w:ind w:left="220"/>
              <w:spacing w:after="0" w:line="250"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line="243"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20"/>
              <w:spacing w:after="0" w:line="243" w:lineRule="exact"/>
              <w:rPr>
                <w:sz w:val="20"/>
                <w:szCs w:val="20"/>
                <w:color w:val="auto"/>
              </w:rPr>
            </w:pPr>
            <w:r>
              <w:rPr>
                <w:rFonts w:ascii="Times New Roman" w:cs="Times New Roman" w:eastAsia="Times New Roman" w:hAnsi="Times New Roman"/>
                <w:sz w:val="17"/>
                <w:szCs w:val="17"/>
                <w:color w:val="auto"/>
              </w:rPr>
              <w:t xml:space="preserve">Basic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129,581</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126,688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126,593</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129,581</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126,688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129,044</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400" w:right="60" w:hanging="374"/>
        <w:spacing w:after="0" w:line="245" w:lineRule="auto"/>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historical share and per share amounts for the periods prior to the completion of the 1:15 reverse stock split on February 10, 2025 reflected in this press release have been adjusted to reflect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7</w:t>
      </w:r>
    </w:p>
    <w:p>
      <w:pPr>
        <w:sectPr>
          <w:pgSz w:w="11900" w:h="16838" w:orient="portrait"/>
          <w:cols w:equalWidth="0" w:num="1">
            <w:col w:w="11240"/>
          </w:cols>
          <w:pgMar w:left="320" w:top="1224"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par value and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7" w:lineRule="exact"/>
        <w:rPr>
          <w:sz w:val="20"/>
          <w:szCs w:val="20"/>
          <w:color w:val="auto"/>
        </w:rPr>
      </w:pPr>
    </w:p>
    <w:p>
      <w:pPr>
        <w:jc w:val="right"/>
        <w:ind w:right="2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September 30, 2026</w:t>
      </w:r>
      <w:r>
        <w:rPr>
          <w:sz w:val="20"/>
          <w:szCs w:val="20"/>
          <w:color w:val="auto"/>
        </w:rPr>
        <w:tab/>
      </w:r>
      <w:r>
        <w:rPr>
          <w:rFonts w:ascii="Times New Roman" w:cs="Times New Roman" w:eastAsia="Times New Roman" w:hAnsi="Times New Roman"/>
          <w:sz w:val="17"/>
          <w:szCs w:val="17"/>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29210</wp:posOffset>
            </wp:positionV>
            <wp:extent cx="2468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40" w:top="1170" w:right="33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assets:</w:t>
      </w:r>
    </w:p>
    <w:p>
      <w:pPr>
        <w:spacing w:after="0" w:line="48" w:lineRule="exact"/>
        <w:rPr>
          <w:sz w:val="20"/>
          <w:szCs w:val="20"/>
          <w:color w:val="auto"/>
        </w:rPr>
      </w:pPr>
    </w:p>
    <w:p>
      <w:pPr>
        <w:ind w:left="200"/>
        <w:spacing w:after="0"/>
        <w:tabs>
          <w:tab w:leader="none" w:pos="7340" w:val="left"/>
        </w:tabs>
        <w:rPr>
          <w:sz w:val="20"/>
          <w:szCs w:val="20"/>
          <w:color w:val="auto"/>
        </w:rPr>
      </w:pPr>
      <w:r>
        <w:rPr>
          <w:rFonts w:ascii="Times New Roman" w:cs="Times New Roman" w:eastAsia="Times New Roman" w:hAnsi="Times New Roman"/>
          <w:sz w:val="17"/>
          <w:szCs w:val="17"/>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$1,420 and $1,468, respectively</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right of 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network costs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Derivative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$17,450 and $12,511, respectively</w:t>
      </w:r>
    </w:p>
    <w:p>
      <w:pPr>
        <w:spacing w:after="0" w:line="61" w:lineRule="exact"/>
        <w:rPr>
          <w:sz w:val="20"/>
          <w:szCs w:val="20"/>
          <w:color w:val="auto"/>
        </w:rPr>
      </w:pPr>
    </w:p>
    <w:p>
      <w:pPr>
        <w:ind w:left="460"/>
        <w:spacing w:after="0"/>
        <w:tabs>
          <w:tab w:leader="none" w:pos="7340" w:val="left"/>
        </w:tabs>
        <w:rPr>
          <w:sz w:val="20"/>
          <w:szCs w:val="20"/>
          <w:color w:val="auto"/>
        </w:rPr>
      </w:pPr>
      <w:r>
        <w:rPr>
          <w:rFonts w:ascii="Times New Roman" w:cs="Times New Roman" w:eastAsia="Times New Roman" w:hAnsi="Times New Roman"/>
          <w:sz w:val="17"/>
          <w:szCs w:val="17"/>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0"/>
        <w:spacing w:after="0"/>
        <w:tabs>
          <w:tab w:leader="none" w:pos="7340" w:val="left"/>
        </w:tabs>
        <w:rPr>
          <w:sz w:val="20"/>
          <w:szCs w:val="20"/>
          <w:color w:val="auto"/>
        </w:rPr>
      </w:pPr>
      <w:r>
        <w:rPr>
          <w:rFonts w:ascii="Times New Roman" w:cs="Times New Roman" w:eastAsia="Times New Roman" w:hAnsi="Times New Roman"/>
          <w:sz w:val="17"/>
          <w:szCs w:val="17"/>
          <w:color w:val="auto"/>
        </w:rPr>
        <w:t>Current portion of long-term debt</w:t>
      </w:r>
      <w:r>
        <w:rPr>
          <w:sz w:val="20"/>
          <w:szCs w:val="20"/>
          <w:color w:val="auto"/>
        </w:rPr>
        <w:tab/>
      </w:r>
      <w:r>
        <w:rPr>
          <w:rFonts w:ascii="Times New Roman" w:cs="Times New Roman" w:eastAsia="Times New Roman" w:hAnsi="Times New Roman"/>
          <w:sz w:val="16"/>
          <w:szCs w:val="16"/>
          <w:color w:val="auto"/>
        </w:rPr>
        <w:t>$</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Accrued network construction costs</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Payables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Deferred revenue, net</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revenue, net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equity:</w:t>
      </w:r>
    </w:p>
    <w:p>
      <w:pPr>
        <w:spacing w:after="0" w:line="48" w:lineRule="exact"/>
        <w:rPr>
          <w:sz w:val="20"/>
          <w:szCs w:val="20"/>
          <w:color w:val="auto"/>
        </w:rPr>
      </w:pPr>
    </w:p>
    <w:p>
      <w:pPr>
        <w:ind w:left="200" w:right="400"/>
        <w:spacing w:after="0" w:line="248" w:lineRule="auto"/>
        <w:rPr>
          <w:sz w:val="20"/>
          <w:szCs w:val="20"/>
          <w:color w:val="auto"/>
        </w:rPr>
      </w:pPr>
      <w:r>
        <w:rPr>
          <w:rFonts w:ascii="Times New Roman" w:cs="Times New Roman" w:eastAsia="Times New Roman" w:hAnsi="Times New Roman"/>
          <w:sz w:val="17"/>
          <w:szCs w:val="17"/>
          <w:color w:val="auto"/>
        </w:rPr>
        <w:t>Series A Perpetual Preferred Stock of $0.0001 par value; 300,000 shares authorized and 149,425 issued and outstanding at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20" w:right="360"/>
        <w:spacing w:after="0" w:line="248" w:lineRule="auto"/>
        <w:rPr>
          <w:sz w:val="20"/>
          <w:szCs w:val="20"/>
          <w:color w:val="auto"/>
        </w:rPr>
      </w:pPr>
      <w:r>
        <w:rPr>
          <w:rFonts w:ascii="Times New Roman" w:cs="Times New Roman" w:eastAsia="Times New Roman" w:hAnsi="Times New Roman"/>
          <w:sz w:val="17"/>
          <w:szCs w:val="17"/>
          <w:color w:val="auto"/>
        </w:rPr>
        <w:t>Voting Common Stock of $0.0001 par value; 143,333,334 shares authorized; 129,617,331 and 128,050,400 shares issued and outstanding at September 30, 2026 and December 31, 2025, respectively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Retained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stockholders’ equity</w:t>
      </w:r>
    </w:p>
    <w:p>
      <w:pPr>
        <w:spacing w:after="0" w:line="75" w:lineRule="exact"/>
        <w:rPr>
          <w:sz w:val="20"/>
          <w:szCs w:val="20"/>
          <w:color w:val="auto"/>
        </w:rPr>
      </w:pPr>
    </w:p>
    <w:p>
      <w:pPr>
        <w:ind w:left="660"/>
        <w:spacing w:after="0"/>
        <w:tabs>
          <w:tab w:leader="none" w:pos="7340" w:val="left"/>
        </w:tabs>
        <w:rPr>
          <w:sz w:val="20"/>
          <w:szCs w:val="20"/>
          <w:color w:val="auto"/>
        </w:rPr>
      </w:pPr>
      <w:r>
        <w:rPr>
          <w:rFonts w:ascii="Times New Roman" w:cs="Times New Roman" w:eastAsia="Times New Roman" w:hAnsi="Times New Roman"/>
          <w:sz w:val="17"/>
          <w:szCs w:val="17"/>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329,935</w:t>
            </w:r>
          </w:p>
        </w:tc>
        <w:tc>
          <w:tcPr>
            <w:tcW w:w="6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447,471</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22,314</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19,976</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11,198</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9,614</w:t>
            </w:r>
          </w:p>
        </w:tc>
        <w:tc>
          <w:tcPr>
            <w:tcW w:w="0" w:type="dxa"/>
            <w:vAlign w:val="bottom"/>
          </w:tcPr>
          <w:p>
            <w:pPr>
              <w:spacing w:after="0"/>
              <w:rPr>
                <w:sz w:val="1"/>
                <w:szCs w:val="1"/>
                <w:color w:val="auto"/>
              </w:rPr>
            </w:pPr>
          </w:p>
        </w:tc>
      </w:tr>
      <w:tr>
        <w:trPr>
          <w:trHeight w:val="25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19,248</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19,667</w:t>
            </w:r>
          </w:p>
        </w:tc>
        <w:tc>
          <w:tcPr>
            <w:tcW w:w="0" w:type="dxa"/>
            <w:vAlign w:val="bottom"/>
          </w:tcPr>
          <w:p>
            <w:pPr>
              <w:spacing w:after="0"/>
              <w:rPr>
                <w:sz w:val="1"/>
                <w:szCs w:val="1"/>
                <w:color w:val="auto"/>
              </w:rPr>
            </w:pPr>
          </w:p>
        </w:tc>
      </w:tr>
      <w:tr>
        <w:trPr>
          <w:trHeight w:val="237"/>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382,695</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496,728</w:t>
            </w:r>
          </w:p>
        </w:tc>
        <w:tc>
          <w:tcPr>
            <w:tcW w:w="0" w:type="dxa"/>
            <w:vAlign w:val="bottom"/>
          </w:tcPr>
          <w:p>
            <w:pPr>
              <w:spacing w:after="0"/>
              <w:rPr>
                <w:sz w:val="1"/>
                <w:szCs w:val="1"/>
                <w:color w:val="auto"/>
              </w:rPr>
            </w:pPr>
          </w:p>
        </w:tc>
      </w:tr>
      <w:tr>
        <w:trPr>
          <w:trHeight w:val="228"/>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1,659,028</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1,305,458</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65,899</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66,698</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247,902</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198,375</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114,461</w:t>
            </w:r>
          </w:p>
        </w:tc>
        <w:tc>
          <w:tcPr>
            <w:tcW w:w="0" w:type="dxa"/>
            <w:vAlign w:val="bottom"/>
          </w:tcPr>
          <w:p>
            <w:pPr>
              <w:spacing w:after="0"/>
              <w:rPr>
                <w:sz w:val="1"/>
                <w:szCs w:val="1"/>
                <w:color w:val="auto"/>
              </w:rPr>
            </w:pPr>
          </w:p>
        </w:tc>
      </w:tr>
      <w:tr>
        <w:trPr>
          <w:trHeight w:val="25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145,687</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144,545</w:t>
            </w:r>
          </w:p>
        </w:tc>
        <w:tc>
          <w:tcPr>
            <w:tcW w:w="0" w:type="dxa"/>
            <w:vAlign w:val="bottom"/>
          </w:tcPr>
          <w:p>
            <w:pPr>
              <w:spacing w:after="0"/>
              <w:rPr>
                <w:sz w:val="1"/>
                <w:szCs w:val="1"/>
                <w:color w:val="auto"/>
              </w:rPr>
            </w:pPr>
          </w:p>
        </w:tc>
      </w:tr>
      <w:tr>
        <w:trPr>
          <w:trHeight w:val="237"/>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2,501,211</w:t>
            </w:r>
          </w:p>
        </w:tc>
        <w:tc>
          <w:tcPr>
            <w:tcW w:w="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0"/>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59,100</w:t>
            </w:r>
          </w:p>
        </w:tc>
        <w:tc>
          <w:tcPr>
            <w:tcW w:w="6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31,835</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71,900</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56,022</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65,469</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55,218</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227</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5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44,166</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62,020</w:t>
            </w:r>
          </w:p>
        </w:tc>
        <w:tc>
          <w:tcPr>
            <w:tcW w:w="0" w:type="dxa"/>
            <w:vAlign w:val="bottom"/>
          </w:tcPr>
          <w:p>
            <w:pPr>
              <w:spacing w:after="0"/>
              <w:rPr>
                <w:sz w:val="1"/>
                <w:szCs w:val="1"/>
                <w:color w:val="auto"/>
              </w:rPr>
            </w:pPr>
          </w:p>
        </w:tc>
      </w:tr>
      <w:tr>
        <w:trPr>
          <w:trHeight w:val="236"/>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240,862</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205,486</w:t>
            </w:r>
          </w:p>
        </w:tc>
        <w:tc>
          <w:tcPr>
            <w:tcW w:w="0" w:type="dxa"/>
            <w:vAlign w:val="bottom"/>
          </w:tcPr>
          <w:p>
            <w:pPr>
              <w:spacing w:after="0"/>
              <w:rPr>
                <w:sz w:val="1"/>
                <w:szCs w:val="1"/>
                <w:color w:val="auto"/>
              </w:rPr>
            </w:pPr>
          </w:p>
        </w:tc>
      </w:tr>
      <w:tr>
        <w:trPr>
          <w:trHeight w:val="228"/>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293,750</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451,953</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56,519</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54,549</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1,168,695</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806,930</w:t>
            </w:r>
          </w:p>
        </w:tc>
        <w:tc>
          <w:tcPr>
            <w:tcW w:w="0" w:type="dxa"/>
            <w:vAlign w:val="bottom"/>
          </w:tcPr>
          <w:p>
            <w:pPr>
              <w:spacing w:after="0"/>
              <w:rPr>
                <w:sz w:val="1"/>
                <w:szCs w:val="1"/>
                <w:color w:val="auto"/>
              </w:rPr>
            </w:pPr>
          </w:p>
        </w:tc>
      </w:tr>
      <w:tr>
        <w:trPr>
          <w:trHeight w:val="25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464,184</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451,618</w:t>
            </w:r>
          </w:p>
        </w:tc>
        <w:tc>
          <w:tcPr>
            <w:tcW w:w="0" w:type="dxa"/>
            <w:vAlign w:val="bottom"/>
          </w:tcPr>
          <w:p>
            <w:pPr>
              <w:spacing w:after="0"/>
              <w:rPr>
                <w:sz w:val="1"/>
                <w:szCs w:val="1"/>
                <w:color w:val="auto"/>
              </w:rPr>
            </w:pPr>
          </w:p>
        </w:tc>
      </w:tr>
      <w:tr>
        <w:trPr>
          <w:trHeight w:val="237"/>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1,983,148</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1,765,050</w:t>
            </w:r>
          </w:p>
        </w:tc>
        <w:tc>
          <w:tcPr>
            <w:tcW w:w="0" w:type="dxa"/>
            <w:vAlign w:val="bottom"/>
          </w:tcPr>
          <w:p>
            <w:pPr>
              <w:spacing w:after="0"/>
              <w:rPr>
                <w:sz w:val="1"/>
                <w:szCs w:val="1"/>
                <w:color w:val="auto"/>
              </w:rPr>
            </w:pPr>
          </w:p>
        </w:tc>
      </w:tr>
      <w:tr>
        <w:trPr>
          <w:trHeight w:val="40"/>
        </w:trPr>
        <w:tc>
          <w:tcPr>
            <w:tcW w:w="92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2,224,010</w:t>
            </w:r>
          </w:p>
        </w:tc>
        <w:tc>
          <w:tcPr>
            <w:tcW w:w="6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1,970,536</w:t>
            </w:r>
          </w:p>
        </w:tc>
        <w:tc>
          <w:tcPr>
            <w:tcW w:w="0" w:type="dxa"/>
            <w:vAlign w:val="bottom"/>
          </w:tcPr>
          <w:p>
            <w:pPr>
              <w:spacing w:after="0"/>
              <w:rPr>
                <w:sz w:val="1"/>
                <w:szCs w:val="1"/>
                <w:color w:val="auto"/>
              </w:rPr>
            </w:pPr>
          </w:p>
        </w:tc>
      </w:tr>
      <w:tr>
        <w:trPr>
          <w:trHeight w:val="592"/>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5"/>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w:t>
            </w:r>
          </w:p>
        </w:tc>
        <w:tc>
          <w:tcPr>
            <w:tcW w:w="6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324"/>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2,492,740</w:t>
            </w:r>
          </w:p>
        </w:tc>
        <w:tc>
          <w:tcPr>
            <w:tcW w:w="6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2,489,227</w:t>
            </w:r>
          </w:p>
        </w:tc>
        <w:tc>
          <w:tcPr>
            <w:tcW w:w="0" w:type="dxa"/>
            <w:vAlign w:val="bottom"/>
          </w:tcPr>
          <w:p>
            <w:pPr>
              <w:spacing w:after="0"/>
              <w:rPr>
                <w:sz w:val="1"/>
                <w:szCs w:val="1"/>
                <w:color w:val="auto"/>
              </w:rPr>
            </w:pPr>
          </w:p>
        </w:tc>
      </w:tr>
      <w:tr>
        <w:trPr>
          <w:trHeight w:val="243"/>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6,700</w:t>
            </w:r>
          </w:p>
        </w:tc>
        <w:tc>
          <w:tcPr>
            <w:tcW w:w="6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0" w:type="dxa"/>
            <w:vAlign w:val="bottom"/>
          </w:tcPr>
          <w:p>
            <w:pPr>
              <w:spacing w:after="0"/>
              <w:rPr>
                <w:sz w:val="1"/>
                <w:szCs w:val="1"/>
                <w:color w:val="auto"/>
              </w:rPr>
            </w:pPr>
          </w:p>
        </w:tc>
      </w:tr>
      <w:tr>
        <w:trPr>
          <w:trHeight w:val="252"/>
        </w:trPr>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(2,222,252)</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(2,136,797)</w:t>
            </w:r>
          </w:p>
        </w:tc>
        <w:tc>
          <w:tcPr>
            <w:tcW w:w="0" w:type="dxa"/>
            <w:vAlign w:val="bottom"/>
          </w:tcPr>
          <w:p>
            <w:pPr>
              <w:spacing w:after="0"/>
              <w:rPr>
                <w:sz w:val="1"/>
                <w:szCs w:val="1"/>
                <w:color w:val="auto"/>
              </w:rPr>
            </w:pPr>
          </w:p>
        </w:tc>
      </w:tr>
      <w:tr>
        <w:trPr>
          <w:trHeight w:val="236"/>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277,201</w:t>
            </w: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355,729</w:t>
            </w:r>
          </w:p>
        </w:tc>
        <w:tc>
          <w:tcPr>
            <w:tcW w:w="0" w:type="dxa"/>
            <w:vAlign w:val="bottom"/>
          </w:tcPr>
          <w:p>
            <w:pPr>
              <w:spacing w:after="0"/>
              <w:rPr>
                <w:sz w:val="1"/>
                <w:szCs w:val="1"/>
                <w:color w:val="auto"/>
              </w:rPr>
            </w:pPr>
          </w:p>
        </w:tc>
      </w:tr>
      <w:tr>
        <w:trPr>
          <w:trHeight w:val="237"/>
        </w:trPr>
        <w:tc>
          <w:tcPr>
            <w:tcW w:w="9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2,501,211</w:t>
            </w:r>
          </w:p>
        </w:tc>
        <w:tc>
          <w:tcPr>
            <w:tcW w:w="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2,326,265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-33655</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-7620</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-196215</wp:posOffset>
            </wp:positionV>
            <wp:extent cx="1200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-1525270</wp:posOffset>
            </wp:positionV>
            <wp:extent cx="1200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-1722120</wp:posOffset>
            </wp:positionV>
            <wp:extent cx="1200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-2673985</wp:posOffset>
            </wp:positionV>
            <wp:extent cx="1200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-3771265</wp:posOffset>
            </wp:positionV>
            <wp:extent cx="1200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-3933825</wp:posOffset>
            </wp:positionV>
            <wp:extent cx="1200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-4876800</wp:posOffset>
            </wp:positionV>
            <wp:extent cx="1200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20"/>
          </w:cols>
          <w:pgMar w:left="340" w:top="11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8</w:t>
      </w:r>
    </w:p>
    <w:p>
      <w:pPr>
        <w:sectPr>
          <w:pgSz w:w="11900" w:h="16838" w:orient="portrait"/>
          <w:cols w:equalWidth="0" w:num="1">
            <w:col w:w="11220"/>
          </w:cols>
          <w:pgMar w:left="340" w:top="117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EBITDA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(57,039)</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gain</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90,714</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 in the value and disposal of long-lived assets</w:t>
            </w:r>
          </w:p>
        </w:tc>
        <w:tc>
          <w:tcPr>
            <w:tcW w:w="3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Non-cash expenses associated with the License Agreement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43"/>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Non-cash gain on contingent interest feature within the 2024 Debt</w:t>
            </w:r>
          </w:p>
        </w:tc>
        <w:tc>
          <w:tcPr>
            <w:tcW w:w="3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w:t>
            </w:r>
          </w:p>
        </w:tc>
        <w:tc>
          <w:tcPr>
            <w:tcW w:w="3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520" w:type="dxa"/>
            <w:vAlign w:val="bottom"/>
            <w:vMerge w:val="continue"/>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89,696</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103,714</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left="400" w:right="40" w:hanging="361"/>
        <w:spacing w:after="0" w:line="223" w:lineRule="auto"/>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loss. These terms, as defined by us, may not be comparable to similarly titled measures used by other companies.</w:t>
      </w:r>
    </w:p>
    <w:p>
      <w:pPr>
        <w:spacing w:after="0" w:line="117" w:lineRule="exact"/>
        <w:rPr>
          <w:rFonts w:ascii="Times New Roman" w:cs="Times New Roman" w:eastAsia="Times New Roman" w:hAnsi="Times New Roman"/>
          <w:sz w:val="16"/>
          <w:szCs w:val="16"/>
          <w:color w:val="auto"/>
        </w:rPr>
      </w:pPr>
    </w:p>
    <w:p>
      <w:pPr>
        <w:jc w:val="both"/>
        <w:ind w:left="400" w:right="40"/>
        <w:spacing w:after="0" w:line="21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pacing w:after="0" w:line="20" w:lineRule="exact"/>
        <w:rPr>
          <w:rFonts w:ascii="Times New Roman" w:cs="Times New Roman" w:eastAsia="Times New Roman" w:hAnsi="Times New Roman"/>
          <w:sz w:val="16"/>
          <w:szCs w:val="16"/>
          <w:color w:val="auto"/>
        </w:rPr>
      </w:pPr>
    </w:p>
    <w:p>
      <w:pPr>
        <w:jc w:val="both"/>
        <w:ind w:left="400" w:right="40" w:hanging="361"/>
        <w:spacing w:after="0" w:line="232" w:lineRule="auto"/>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License Agreement with XCOM, the Company entered into a Support Services Agreement (the "SSA"). Fees payable by Globalstar pursuant to the SSA were paid in shares of its common stock prior to its termination in 2025. Costs also include the non-cash intangible asset technology amortization associated with the initial purchase of certain intangible assets made in the form of Globalstar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9</w:t>
      </w:r>
    </w:p>
    <w:p>
      <w:pPr>
        <w:sectPr>
          <w:pgSz w:w="11900" w:h="16838" w:orient="portrait"/>
          <w:cols w:equalWidth="0" w:num="1">
            <w:col w:w="11240"/>
          </w:cols>
          <w:pgMar w:left="320" w:top="13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SELECTED OPERATING METRICS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subscriber and ARPU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20" w:type="dxa"/>
            <w:vAlign w:val="bottom"/>
            <w:tcBorders>
              <w:bottom w:val="single" w:sz="8" w:color="auto"/>
            </w:tcBorders>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5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 capacity services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44,603</w:t>
            </w:r>
          </w:p>
        </w:tc>
        <w:tc>
          <w:tcPr>
            <w:tcW w:w="10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130,984</w:t>
            </w:r>
          </w:p>
        </w:tc>
        <w:tc>
          <w:tcPr>
            <w:tcW w:w="10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126,440</w:t>
            </w: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Subscriber services</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3"/>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IoT</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w:t>
            </w:r>
          </w:p>
        </w:tc>
      </w:tr>
      <w:tr>
        <w:trPr>
          <w:trHeight w:val="24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SPOT</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r>
      <w:tr>
        <w:trPr>
          <w:trHeight w:val="243"/>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Duplex</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w:t>
            </w:r>
          </w:p>
        </w:tc>
      </w:tr>
      <w:tr>
        <w:trPr>
          <w:trHeight w:val="24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Government and other services</w:t>
            </w: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service revenue</w:t>
            </w: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189,918</w:t>
            </w:r>
          </w:p>
        </w:tc>
      </w:tr>
      <w:tr>
        <w:trPr>
          <w:trHeight w:val="108"/>
        </w:trPr>
        <w:tc>
          <w:tcPr>
            <w:tcW w:w="4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243"/>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r>
      <w:tr>
        <w:trPr>
          <w:trHeight w:val="88"/>
        </w:trPr>
        <w:tc>
          <w:tcPr>
            <w:tcW w:w="412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70,903</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201,025</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20" w:type="dxa"/>
            <w:vAlign w:val="bottom"/>
            <w:tcBorders>
              <w:bottom w:val="single" w:sz="8" w:color="auto"/>
            </w:tcBorders>
          </w:tcPr>
          <w:p>
            <w:pPr>
              <w:spacing w:after="0"/>
              <w:rPr>
                <w:sz w:val="20"/>
                <w:szCs w:val="20"/>
                <w:color w:val="auto"/>
              </w:rPr>
            </w:pPr>
          </w:p>
        </w:tc>
      </w:tr>
      <w:tr>
        <w:trPr>
          <w:trHeight w:val="236"/>
        </w:trPr>
        <w:tc>
          <w:tcPr>
            <w:tcW w:w="412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subscribers for the period:</w:t>
            </w:r>
          </w:p>
        </w:tc>
        <w:tc>
          <w:tcPr>
            <w:tcW w:w="5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576,532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531,559</w:t>
            </w: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225,236</w:t>
            </w: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w:t>
            </w: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7"/>
        </w:trPr>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808,921</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783,773</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798,890</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778,603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43"/>
        </w:trPr>
        <w:tc>
          <w:tcPr>
            <w:tcW w:w="4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ARPU (monthly) </w:t>
            </w:r>
            <w:r>
              <w:rPr>
                <w:rFonts w:ascii="Times New Roman" w:cs="Times New Roman" w:eastAsia="Times New Roman" w:hAnsi="Times New Roman"/>
                <w:sz w:val="23"/>
                <w:szCs w:val="23"/>
                <w:color w:val="auto"/>
                <w:vertAlign w:val="superscript"/>
              </w:rPr>
              <w:t>(1)</w:t>
            </w: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r>
    </w:tbl>
    <w:p>
      <w:pPr>
        <w:spacing w:after="0" w:line="200" w:lineRule="exact"/>
        <w:rPr>
          <w:sz w:val="20"/>
          <w:szCs w:val="20"/>
          <w:color w:val="auto"/>
        </w:rPr>
      </w:pPr>
    </w:p>
    <w:p>
      <w:pPr>
        <w:spacing w:after="0" w:line="286" w:lineRule="exact"/>
        <w:rPr>
          <w:sz w:val="20"/>
          <w:szCs w:val="20"/>
          <w:color w:val="auto"/>
        </w:rPr>
      </w:pPr>
    </w:p>
    <w:p>
      <w:pPr>
        <w:jc w:val="both"/>
        <w:ind w:left="400" w:right="540" w:hanging="374"/>
        <w:spacing w:after="0" w:line="223" w:lineRule="auto"/>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ARPU measures service revenue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10</w:t>
      </w:r>
    </w:p>
    <w:p>
      <w:pPr>
        <w:sectPr>
          <w:pgSz w:w="11900" w:h="16838" w:orient="portrait"/>
          <w:cols w:equalWidth="0" w:num="1">
            <w:col w:w="11240"/>
          </w:cols>
          <w:pgMar w:left="320" w:top="117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ADJUSTED FREE CASH FLOW</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6"/>
                <w:szCs w:val="16"/>
                <w:color w:val="auto"/>
              </w:rPr>
            </w:pPr>
          </w:p>
        </w:tc>
        <w:tc>
          <w:tcPr>
            <w:tcW w:w="14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790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296,873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445,762</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payments received pursuant to the Infrastructure Prepayment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(299,575)</w:t>
            </w:r>
          </w:p>
        </w:tc>
      </w:tr>
      <w:tr>
        <w:trPr>
          <w:trHeight w:val="243"/>
        </w:trPr>
        <w:tc>
          <w:tcPr>
            <w:tcW w:w="79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Less: capital expenditures, excluding reimbursable network purchases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r>
      <w:tr>
        <w:trPr>
          <w:trHeight w:val="237"/>
        </w:trPr>
        <w:tc>
          <w:tcPr>
            <w:tcW w:w="790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133,251</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420" w:hanging="374"/>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provided by operating activities is calculated under GAAP and is reflected in the Company's consolidated statements of cash flows.</w:t>
      </w:r>
    </w:p>
    <w:p>
      <w:pPr>
        <w:spacing w:after="0" w:line="45" w:lineRule="exact"/>
        <w:rPr>
          <w:rFonts w:ascii="Times New Roman" w:cs="Times New Roman" w:eastAsia="Times New Roman" w:hAnsi="Times New Roman"/>
          <w:sz w:val="16"/>
          <w:szCs w:val="16"/>
          <w:color w:val="auto"/>
        </w:rPr>
      </w:pPr>
    </w:p>
    <w:p>
      <w:pPr>
        <w:ind w:left="420" w:right="40" w:hanging="374"/>
        <w:spacing w:after="0" w:line="245" w:lineRule="auto"/>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reimbursable portion of upfront network purchases for the Phase 2 Service Period and the Extended MSS Network pursuant to the Updated Services Agreements. The costs are reimbursed under such agreements in future periods.</w:t>
      </w:r>
    </w:p>
    <w:p>
      <w:pPr>
        <w:spacing w:after="0" w:line="15" w:lineRule="exact"/>
        <w:rPr>
          <w:rFonts w:ascii="Times New Roman" w:cs="Times New Roman" w:eastAsia="Times New Roman" w:hAnsi="Times New Roman"/>
          <w:sz w:val="16"/>
          <w:szCs w:val="16"/>
          <w:color w:val="auto"/>
        </w:rPr>
      </w:pPr>
    </w:p>
    <w:p>
      <w:pPr>
        <w:jc w:val="both"/>
        <w:ind w:left="420" w:right="40" w:hanging="374"/>
        <w:spacing w:after="0" w:line="220" w:lineRule="auto"/>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is calculated using net cash provided by operating activities less capital expenditures (which may also be referred to as network upgrades). The Company excludes capital expenditure payments made pursuant to the Updated Services Agreements; amounts which are prepaid by the Customer pursuant to such agreements, that are recorded as operating cash flows, are also excluded from this calculation as those amounts are used to fund associated capital expenditures. Free cash flow as so defined may not be similar to free cash flow as defined by other companies, is not a measurement under GAAP and should be considered in addition to, but not as a substitute for, the information contained in the Company's consolidated financial statements. The Company believes that free cash flow is a useful financial metric concerning liquidity, reflecting available cash after capital expenditures, that may be used to fund general corporate expenditures as well as for investments in strategic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11</w:t>
      </w: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2026-11-05T07:04:10Z</dcterms:created>
  <dcterms:modified xsi:type="dcterms:W3CDTF">2026-11-05T07:04:10Z</dcterms:modified>
</cp:coreProperties>
</file>