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ind w:left="5120"/>
        <w:spacing w:after="0"/>
        <w:rPr>
          <w:sz w:val="20"/>
          <w:szCs w:val="20"/>
          <w:color w:val="auto"/>
        </w:rPr>
      </w:pPr>
      <w:r>
        <w:rPr>
          <w:rFonts w:ascii="Arial" w:cs="Arial" w:eastAsia="Arial" w:hAnsi="Arial"/>
          <w:sz w:val="22"/>
          <w:szCs w:val="22"/>
          <w:b w:val="1"/>
          <w:bCs w:val="1"/>
          <w:color w:val="auto"/>
        </w:rPr>
        <w:t>___________</w:t>
      </w:r>
    </w:p>
    <w:p>
      <w:pPr>
        <w:spacing w:after="0" w:line="236"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FORM 8-K</w:t>
      </w:r>
    </w:p>
    <w:p>
      <w:pPr>
        <w:spacing w:after="0" w:line="200" w:lineRule="exact"/>
        <w:rPr>
          <w:sz w:val="24"/>
          <w:szCs w:val="24"/>
          <w:color w:val="auto"/>
        </w:rPr>
      </w:pPr>
    </w:p>
    <w:p>
      <w:pPr>
        <w:spacing w:after="0" w:line="317"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Pursuant to Section 13 or 15(d) of the</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Securities Exchange Act of 1934</w:t>
      </w:r>
    </w:p>
    <w:p>
      <w:pPr>
        <w:spacing w:after="0" w:line="242" w:lineRule="exact"/>
        <w:rPr>
          <w:sz w:val="24"/>
          <w:szCs w:val="24"/>
          <w:color w:val="auto"/>
        </w:rPr>
      </w:pPr>
    </w:p>
    <w:p>
      <w:pPr>
        <w:jc w:val="center"/>
        <w:ind w:right="-79"/>
        <w:spacing w:after="0"/>
        <w:rPr>
          <w:sz w:val="20"/>
          <w:szCs w:val="20"/>
          <w:color w:val="auto"/>
        </w:rPr>
      </w:pPr>
      <w:r>
        <w:rPr>
          <w:rFonts w:ascii="Arial" w:cs="Arial" w:eastAsia="Arial" w:hAnsi="Arial"/>
          <w:sz w:val="19"/>
          <w:szCs w:val="19"/>
          <w:color w:val="auto"/>
        </w:rPr>
        <w:t>Date of Report (Date of earliest event reported): May 22, 2018 (May 23, 2018)</w:t>
      </w:r>
    </w:p>
    <w:p>
      <w:pPr>
        <w:spacing w:after="0" w:line="289"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GLOBALSTAR, INC.</w:t>
      </w:r>
    </w:p>
    <w:p>
      <w:pPr>
        <w:spacing w:after="0" w:line="28"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(Exact name of registrant as specified in its charter)</w:t>
      </w:r>
    </w:p>
    <w:p>
      <w:pPr>
        <w:sectPr>
          <w:pgSz w:w="11900" w:h="16838" w:orient="portrait"/>
          <w:cols w:equalWidth="0" w:num="1">
            <w:col w:w="11340"/>
          </w:cols>
          <w:pgMar w:left="240" w:top="733" w:right="319" w:bottom="1440" w:gutter="0" w:footer="0" w:header="0"/>
        </w:sectPr>
      </w:pPr>
    </w:p>
    <w:p>
      <w:pPr>
        <w:spacing w:after="0" w:line="391" w:lineRule="exact"/>
        <w:rPr>
          <w:sz w:val="24"/>
          <w:szCs w:val="24"/>
          <w:color w:val="auto"/>
        </w:rPr>
      </w:pPr>
    </w:p>
    <w:p>
      <w:pPr>
        <w:ind w:left="2060"/>
        <w:spacing w:after="0"/>
        <w:rPr>
          <w:sz w:val="20"/>
          <w:szCs w:val="20"/>
          <w:color w:val="auto"/>
        </w:rPr>
      </w:pPr>
      <w:r>
        <w:rPr>
          <w:rFonts w:ascii="Arial" w:cs="Arial" w:eastAsia="Arial" w:hAnsi="Arial"/>
          <w:sz w:val="22"/>
          <w:szCs w:val="22"/>
          <w:color w:val="auto"/>
        </w:rPr>
        <w:t>Delaware</w:t>
      </w:r>
    </w:p>
    <w:p>
      <w:pPr>
        <w:spacing w:after="0" w:line="8" w:lineRule="exact"/>
        <w:rPr>
          <w:sz w:val="24"/>
          <w:szCs w:val="24"/>
          <w:color w:val="auto"/>
        </w:rPr>
      </w:pPr>
    </w:p>
    <w:p>
      <w:pPr>
        <w:ind w:left="1180"/>
        <w:spacing w:after="0"/>
        <w:rPr>
          <w:sz w:val="20"/>
          <w:szCs w:val="20"/>
          <w:color w:val="auto"/>
        </w:rPr>
      </w:pPr>
      <w:r>
        <w:rPr>
          <w:rFonts w:ascii="Arial" w:cs="Arial" w:eastAsia="Arial" w:hAnsi="Arial"/>
          <w:sz w:val="19"/>
          <w:szCs w:val="19"/>
          <w:color w:val="auto"/>
        </w:rPr>
        <w:t>(State or Other Jurisdiction of</w:t>
      </w:r>
    </w:p>
    <w:p>
      <w:pPr>
        <w:spacing w:after="0" w:line="25" w:lineRule="exact"/>
        <w:rPr>
          <w:sz w:val="24"/>
          <w:szCs w:val="24"/>
          <w:color w:val="auto"/>
        </w:rPr>
      </w:pPr>
    </w:p>
    <w:p>
      <w:pPr>
        <w:ind w:left="1860"/>
        <w:spacing w:after="0"/>
        <w:rPr>
          <w:sz w:val="20"/>
          <w:szCs w:val="20"/>
          <w:color w:val="auto"/>
        </w:rPr>
      </w:pPr>
      <w:r>
        <w:rPr>
          <w:rFonts w:ascii="Arial" w:cs="Arial" w:eastAsia="Arial" w:hAnsi="Arial"/>
          <w:sz w:val="22"/>
          <w:szCs w:val="22"/>
          <w:color w:val="auto"/>
        </w:rPr>
        <w:t>Incorporation)</w:t>
      </w:r>
    </w:p>
    <w:p>
      <w:pPr>
        <w:spacing w:after="0" w:line="20" w:lineRule="exact"/>
        <w:rPr>
          <w:sz w:val="24"/>
          <w:szCs w:val="24"/>
          <w:color w:val="auto"/>
        </w:rPr>
      </w:pPr>
      <w:r>
        <w:rPr>
          <w:sz w:val="24"/>
          <w:szCs w:val="24"/>
          <w:color w:val="auto"/>
        </w:rPr>
        <w:br w:type="column"/>
      </w:r>
    </w:p>
    <w:p>
      <w:pPr>
        <w:spacing w:after="0" w:line="371" w:lineRule="exact"/>
        <w:rPr>
          <w:sz w:val="24"/>
          <w:szCs w:val="24"/>
          <w:color w:val="auto"/>
        </w:rPr>
      </w:pPr>
    </w:p>
    <w:p>
      <w:pPr>
        <w:jc w:val="center"/>
        <w:ind w:right="1120"/>
        <w:spacing w:after="0"/>
        <w:rPr>
          <w:sz w:val="20"/>
          <w:szCs w:val="20"/>
          <w:color w:val="auto"/>
        </w:rPr>
      </w:pPr>
      <w:r>
        <w:rPr>
          <w:rFonts w:ascii="Arial" w:cs="Arial" w:eastAsia="Arial" w:hAnsi="Arial"/>
          <w:sz w:val="22"/>
          <w:szCs w:val="22"/>
          <w:color w:val="auto"/>
        </w:rPr>
        <w:t>001-33117</w:t>
      </w:r>
    </w:p>
    <w:p>
      <w:pPr>
        <w:spacing w:after="0" w:line="8" w:lineRule="exact"/>
        <w:rPr>
          <w:sz w:val="24"/>
          <w:szCs w:val="24"/>
          <w:color w:val="auto"/>
        </w:rPr>
      </w:pPr>
    </w:p>
    <w:p>
      <w:pPr>
        <w:jc w:val="center"/>
        <w:ind w:right="1120"/>
        <w:spacing w:after="0"/>
        <w:rPr>
          <w:sz w:val="20"/>
          <w:szCs w:val="20"/>
          <w:color w:val="auto"/>
        </w:rPr>
      </w:pPr>
      <w:r>
        <w:rPr>
          <w:rFonts w:ascii="Arial" w:cs="Arial" w:eastAsia="Arial" w:hAnsi="Arial"/>
          <w:sz w:val="19"/>
          <w:szCs w:val="19"/>
          <w:color w:val="auto"/>
        </w:rPr>
        <w:t>(Commission</w:t>
      </w:r>
    </w:p>
    <w:p>
      <w:pPr>
        <w:spacing w:after="0" w:line="25" w:lineRule="exact"/>
        <w:rPr>
          <w:sz w:val="24"/>
          <w:szCs w:val="24"/>
          <w:color w:val="auto"/>
        </w:rPr>
      </w:pPr>
    </w:p>
    <w:p>
      <w:pPr>
        <w:jc w:val="center"/>
        <w:ind w:right="1120"/>
        <w:spacing w:after="0"/>
        <w:rPr>
          <w:sz w:val="20"/>
          <w:szCs w:val="20"/>
          <w:color w:val="auto"/>
        </w:rPr>
      </w:pPr>
      <w:r>
        <w:rPr>
          <w:rFonts w:ascii="Arial" w:cs="Arial" w:eastAsia="Arial" w:hAnsi="Arial"/>
          <w:sz w:val="19"/>
          <w:szCs w:val="19"/>
          <w:color w:val="auto"/>
        </w:rPr>
        <w:t>File Number)</w:t>
      </w:r>
    </w:p>
    <w:p>
      <w:pPr>
        <w:spacing w:after="0" w:line="20" w:lineRule="exact"/>
        <w:rPr>
          <w:sz w:val="24"/>
          <w:szCs w:val="24"/>
          <w:color w:val="auto"/>
        </w:rPr>
      </w:pPr>
      <w:r>
        <w:rPr>
          <w:sz w:val="24"/>
          <w:szCs w:val="24"/>
          <w:color w:val="auto"/>
        </w:rPr>
        <w:br w:type="column"/>
      </w:r>
    </w:p>
    <w:p>
      <w:pPr>
        <w:spacing w:after="0" w:line="371" w:lineRule="exact"/>
        <w:rPr>
          <w:sz w:val="24"/>
          <w:szCs w:val="24"/>
          <w:color w:val="auto"/>
        </w:rPr>
      </w:pPr>
    </w:p>
    <w:p>
      <w:pPr>
        <w:jc w:val="center"/>
        <w:ind w:right="1520"/>
        <w:spacing w:after="0"/>
        <w:rPr>
          <w:sz w:val="20"/>
          <w:szCs w:val="20"/>
          <w:color w:val="auto"/>
        </w:rPr>
      </w:pPr>
      <w:r>
        <w:rPr>
          <w:rFonts w:ascii="Arial" w:cs="Arial" w:eastAsia="Arial" w:hAnsi="Arial"/>
          <w:sz w:val="22"/>
          <w:szCs w:val="22"/>
          <w:color w:val="auto"/>
        </w:rPr>
        <w:t>41-2116508</w:t>
      </w:r>
    </w:p>
    <w:p>
      <w:pPr>
        <w:jc w:val="center"/>
        <w:ind w:right="1520"/>
        <w:spacing w:after="0" w:line="238" w:lineRule="auto"/>
        <w:rPr>
          <w:sz w:val="20"/>
          <w:szCs w:val="20"/>
          <w:color w:val="auto"/>
        </w:rPr>
      </w:pPr>
      <w:r>
        <w:rPr>
          <w:rFonts w:ascii="Arial" w:cs="Arial" w:eastAsia="Arial" w:hAnsi="Arial"/>
          <w:sz w:val="22"/>
          <w:szCs w:val="22"/>
          <w:color w:val="auto"/>
        </w:rPr>
        <w:t>(IRS Employer</w:t>
      </w:r>
    </w:p>
    <w:p>
      <w:pPr>
        <w:jc w:val="center"/>
        <w:ind w:right="1520"/>
        <w:spacing w:after="0"/>
        <w:rPr>
          <w:sz w:val="20"/>
          <w:szCs w:val="20"/>
          <w:color w:val="auto"/>
        </w:rPr>
      </w:pPr>
      <w:r>
        <w:rPr>
          <w:rFonts w:ascii="Arial" w:cs="Arial" w:eastAsia="Arial" w:hAnsi="Arial"/>
          <w:sz w:val="19"/>
          <w:szCs w:val="19"/>
          <w:color w:val="auto"/>
        </w:rPr>
        <w:t>Identification No.)</w:t>
      </w:r>
    </w:p>
    <w:p>
      <w:pPr>
        <w:spacing w:after="0" w:line="234" w:lineRule="exact"/>
        <w:rPr>
          <w:sz w:val="24"/>
          <w:szCs w:val="24"/>
          <w:color w:val="auto"/>
        </w:rPr>
      </w:pPr>
    </w:p>
    <w:p>
      <w:pPr>
        <w:sectPr>
          <w:pgSz w:w="11900" w:h="16838" w:orient="portrait"/>
          <w:cols w:equalWidth="0" w:num="3">
            <w:col w:w="4460" w:space="720"/>
            <w:col w:w="2300" w:space="720"/>
            <w:col w:w="3140"/>
          </w:cols>
          <w:pgMar w:left="240" w:top="733" w:right="319" w:bottom="1440" w:gutter="0" w:footer="0" w:header="0"/>
          <w:type w:val="continuous"/>
        </w:sectPr>
      </w:pPr>
    </w:p>
    <w:p>
      <w:pPr>
        <w:spacing w:after="0" w:line="200" w:lineRule="exact"/>
        <w:rPr>
          <w:sz w:val="24"/>
          <w:szCs w:val="24"/>
          <w:color w:val="auto"/>
        </w:rPr>
      </w:pPr>
    </w:p>
    <w:p>
      <w:pPr>
        <w:spacing w:after="0" w:line="261" w:lineRule="exact"/>
        <w:rPr>
          <w:sz w:val="24"/>
          <w:szCs w:val="24"/>
          <w:color w:val="auto"/>
        </w:rPr>
      </w:pPr>
    </w:p>
    <w:p>
      <w:pPr>
        <w:ind w:left="1060"/>
        <w:spacing w:after="0"/>
        <w:rPr>
          <w:sz w:val="20"/>
          <w:szCs w:val="20"/>
          <w:color w:val="auto"/>
        </w:rPr>
      </w:pPr>
      <w:r>
        <w:rPr>
          <w:rFonts w:ascii="Arial" w:cs="Arial" w:eastAsia="Arial" w:hAnsi="Arial"/>
          <w:sz w:val="19"/>
          <w:szCs w:val="19"/>
          <w:color w:val="auto"/>
        </w:rPr>
        <w:t>300 Holiday Square Blvd. Covington, LA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70433</w:t>
      </w:r>
    </w:p>
    <w:p>
      <w:pPr>
        <w:spacing w:after="0" w:line="79" w:lineRule="exact"/>
        <w:rPr>
          <w:sz w:val="24"/>
          <w:szCs w:val="24"/>
          <w:color w:val="auto"/>
        </w:rPr>
      </w:pPr>
    </w:p>
    <w:p>
      <w:pPr>
        <w:sectPr>
          <w:pgSz w:w="11900" w:h="16838" w:orient="portrait"/>
          <w:cols w:equalWidth="0" w:num="2">
            <w:col w:w="7580" w:space="720"/>
            <w:col w:w="3040"/>
          </w:cols>
          <w:pgMar w:left="240" w:top="733" w:right="319" w:bottom="1440" w:gutter="0" w:footer="0" w:header="0"/>
          <w:type w:val="continuous"/>
        </w:sectPr>
      </w:pPr>
    </w:p>
    <w:p>
      <w:pPr>
        <w:ind w:left="1100"/>
        <w:spacing w:after="0"/>
        <w:rPr>
          <w:sz w:val="20"/>
          <w:szCs w:val="20"/>
          <w:color w:val="auto"/>
        </w:rPr>
      </w:pPr>
      <w:r>
        <w:rPr>
          <w:rFonts w:ascii="Arial" w:cs="Arial" w:eastAsia="Arial" w:hAnsi="Arial"/>
          <w:sz w:val="19"/>
          <w:szCs w:val="19"/>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9"/>
          <w:szCs w:val="19"/>
          <w:color w:val="auto"/>
        </w:rPr>
        <w:t>(Zip Code)</w:t>
      </w:r>
    </w:p>
    <w:p>
      <w:pPr>
        <w:spacing w:after="0" w:line="200" w:lineRule="exact"/>
        <w:rPr>
          <w:sz w:val="24"/>
          <w:szCs w:val="24"/>
          <w:color w:val="auto"/>
        </w:rPr>
      </w:pPr>
    </w:p>
    <w:p>
      <w:pPr>
        <w:sectPr>
          <w:pgSz w:w="11900" w:h="16838" w:orient="portrait"/>
          <w:cols w:equalWidth="0" w:num="2">
            <w:col w:w="7380" w:space="720"/>
            <w:col w:w="3240"/>
          </w:cols>
          <w:pgMar w:left="240" w:top="733" w:right="319" w:bottom="1440" w:gutter="0" w:footer="0" w:header="0"/>
          <w:type w:val="continuous"/>
        </w:sectPr>
      </w:pPr>
    </w:p>
    <w:p>
      <w:pPr>
        <w:spacing w:after="0" w:line="365"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Registrant’s telephone number, including area code: (985) 335-1500</w:t>
      </w:r>
    </w:p>
    <w:p>
      <w:pPr>
        <w:spacing w:after="0" w:line="260"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N/A</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42" w:lineRule="exact"/>
        <w:rPr>
          <w:sz w:val="24"/>
          <w:szCs w:val="24"/>
          <w:color w:val="auto"/>
        </w:rPr>
      </w:pPr>
    </w:p>
    <w:p>
      <w:pPr>
        <w:ind w:right="140"/>
        <w:spacing w:after="0" w:line="263"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15" w:lineRule="exact"/>
        <w:rPr>
          <w:sz w:val="24"/>
          <w:szCs w:val="24"/>
          <w:color w:val="auto"/>
        </w:rPr>
      </w:pPr>
    </w:p>
    <w:p>
      <w:pPr>
        <w:ind w:left="520" w:hanging="188"/>
        <w:spacing w:after="0"/>
        <w:tabs>
          <w:tab w:leader="none" w:pos="52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1" w:lineRule="exact"/>
        <w:rPr>
          <w:rFonts w:ascii="Arial" w:cs="Arial" w:eastAsia="Arial" w:hAnsi="Arial"/>
          <w:sz w:val="22"/>
          <w:szCs w:val="22"/>
          <w:color w:val="auto"/>
        </w:rPr>
      </w:pPr>
    </w:p>
    <w:p>
      <w:pPr>
        <w:ind w:left="520" w:hanging="188"/>
        <w:spacing w:after="0"/>
        <w:tabs>
          <w:tab w:leader="none" w:pos="52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3" w:lineRule="exact"/>
        <w:rPr>
          <w:rFonts w:ascii="Arial" w:cs="Arial" w:eastAsia="Arial" w:hAnsi="Arial"/>
          <w:sz w:val="22"/>
          <w:szCs w:val="22"/>
          <w:color w:val="auto"/>
        </w:rPr>
      </w:pPr>
    </w:p>
    <w:p>
      <w:pPr>
        <w:ind w:left="520" w:hanging="188"/>
        <w:spacing w:after="0"/>
        <w:tabs>
          <w:tab w:leader="none" w:pos="52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14d-2(b) under the Exchange Act (17 CFR 240.14d-2(b))</w:t>
      </w:r>
    </w:p>
    <w:p>
      <w:pPr>
        <w:spacing w:after="0" w:line="15" w:lineRule="exact"/>
        <w:rPr>
          <w:rFonts w:ascii="Arial" w:cs="Arial" w:eastAsia="Arial" w:hAnsi="Arial"/>
          <w:sz w:val="21"/>
          <w:szCs w:val="21"/>
          <w:color w:val="auto"/>
        </w:rPr>
      </w:pPr>
    </w:p>
    <w:p>
      <w:pPr>
        <w:ind w:left="520" w:hanging="188"/>
        <w:spacing w:after="0"/>
        <w:tabs>
          <w:tab w:leader="none" w:pos="52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13e-4(c) under the Exchange Act (17 CFR 240.13e-4(c))</w:t>
      </w:r>
    </w:p>
    <w:p>
      <w:pPr>
        <w:spacing w:after="0" w:line="254" w:lineRule="exact"/>
        <w:rPr>
          <w:sz w:val="24"/>
          <w:szCs w:val="24"/>
          <w:color w:val="auto"/>
        </w:rPr>
      </w:pPr>
    </w:p>
    <w:p>
      <w:pPr>
        <w:spacing w:after="0" w:line="277" w:lineRule="exact"/>
        <w:rPr>
          <w:sz w:val="20"/>
          <w:szCs w:val="20"/>
          <w:color w:val="auto"/>
        </w:rPr>
      </w:pPr>
      <w:r>
        <w:rPr>
          <w:rFonts w:ascii="Arial" w:cs="Arial" w:eastAsia="Arial" w:hAnsi="Arial"/>
          <w:sz w:val="19"/>
          <w:szCs w:val="19"/>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9"/>
          <w:szCs w:val="19"/>
          <w:color w:val="auto"/>
        </w:rPr>
        <w:t>☐</w:t>
      </w:r>
    </w:p>
    <w:p>
      <w:pPr>
        <w:spacing w:after="0" w:line="216" w:lineRule="exact"/>
        <w:rPr>
          <w:sz w:val="24"/>
          <w:szCs w:val="24"/>
          <w:color w:val="auto"/>
        </w:rPr>
      </w:pPr>
    </w:p>
    <w:p>
      <w:pPr>
        <w:ind w:right="240"/>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ectPr>
          <w:pgSz w:w="11900" w:h="16838" w:orient="portrait"/>
          <w:cols w:equalWidth="0" w:num="1">
            <w:col w:w="11340"/>
          </w:cols>
          <w:pgMar w:left="240" w:top="733" w:right="3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5.07 Submission of Matters to a Vote of Security Holders</w:t>
      </w:r>
    </w:p>
    <w:p>
      <w:pPr>
        <w:spacing w:after="0" w:line="33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Globalstar, Inc. (the "Company") held its Annual Meeting of Stockholders on May 22, 2018, at which 1,198,947,049 shares were represented in person or by proxy. The Company submitted two matters to the vote of stockholders. A summary of the matters voted upon by stockholders is set forth below.</w:t>
      </w:r>
    </w:p>
    <w:p>
      <w:pPr>
        <w:spacing w:after="0" w:line="294" w:lineRule="exact"/>
        <w:rPr>
          <w:sz w:val="20"/>
          <w:szCs w:val="20"/>
          <w:color w:val="auto"/>
        </w:rPr>
      </w:pPr>
    </w:p>
    <w:p>
      <w:pPr>
        <w:ind w:firstLine="8"/>
        <w:spacing w:after="0" w:line="263" w:lineRule="auto"/>
        <w:tabs>
          <w:tab w:leader="none" w:pos="216" w:val="left"/>
        </w:tabs>
        <w:numPr>
          <w:ilvl w:val="0"/>
          <w:numId w:val="2"/>
        </w:numPr>
        <w:rPr>
          <w:rFonts w:ascii="Arial" w:cs="Arial" w:eastAsia="Arial" w:hAnsi="Arial"/>
          <w:sz w:val="22"/>
          <w:szCs w:val="22"/>
          <w:color w:val="auto"/>
        </w:rPr>
      </w:pPr>
      <w:r>
        <w:rPr>
          <w:rFonts w:ascii="Arial" w:cs="Arial" w:eastAsia="Arial" w:hAnsi="Arial"/>
          <w:sz w:val="22"/>
          <w:szCs w:val="22"/>
          <w:color w:val="auto"/>
        </w:rPr>
        <w:t>Stockholders elected each of the three nominees for Class C director to serve for a term to expire at the 2021 Annual Meeting of Stockholders by the following votes:</w:t>
      </w:r>
    </w:p>
    <w:p>
      <w:pPr>
        <w:spacing w:after="0" w:line="338" w:lineRule="exact"/>
        <w:rPr>
          <w:sz w:val="20"/>
          <w:szCs w:val="20"/>
          <w:color w:val="auto"/>
        </w:rPr>
      </w:pPr>
    </w:p>
    <w:tbl>
      <w:tblPr>
        <w:tblLayout w:type="fixed"/>
        <w:tblInd w:w="70" w:type="dxa"/>
        <w:tblCellMar>
          <w:top w:w="0" w:type="dxa"/>
          <w:left w:w="0" w:type="dxa"/>
          <w:bottom w:w="0" w:type="dxa"/>
          <w:right w:w="0" w:type="dxa"/>
        </w:tblCellMar>
      </w:tblPr>
      <w:tr>
        <w:trPr>
          <w:trHeight w:val="304"/>
        </w:trPr>
        <w:tc>
          <w:tcPr>
            <w:tcW w:w="23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Name</w:t>
            </w:r>
          </w:p>
        </w:tc>
        <w:tc>
          <w:tcPr>
            <w:tcW w:w="2280" w:type="dxa"/>
            <w:vAlign w:val="bottom"/>
            <w:tcBorders>
              <w:top w:val="single" w:sz="8" w:color="auto"/>
              <w:bottom w:val="single" w:sz="8" w:color="auto"/>
              <w:right w:val="single" w:sz="8" w:color="auto"/>
            </w:tcBorders>
          </w:tcPr>
          <w:p>
            <w:pPr>
              <w:jc w:val="right"/>
              <w:ind w:right="612"/>
              <w:spacing w:after="0"/>
              <w:rPr>
                <w:sz w:val="20"/>
                <w:szCs w:val="20"/>
                <w:color w:val="auto"/>
              </w:rPr>
            </w:pPr>
            <w:r>
              <w:rPr>
                <w:rFonts w:ascii="Arial" w:cs="Arial" w:eastAsia="Arial" w:hAnsi="Arial"/>
                <w:sz w:val="22"/>
                <w:szCs w:val="22"/>
                <w:b w:val="1"/>
                <w:bCs w:val="1"/>
                <w:color w:val="auto"/>
              </w:rPr>
              <w:t>Votes For</w:t>
            </w:r>
          </w:p>
        </w:tc>
        <w:tc>
          <w:tcPr>
            <w:tcW w:w="2240" w:type="dxa"/>
            <w:vAlign w:val="bottom"/>
            <w:tcBorders>
              <w:top w:val="single" w:sz="8" w:color="auto"/>
              <w:bottom w:val="single" w:sz="8" w:color="auto"/>
              <w:right w:val="single" w:sz="8" w:color="auto"/>
            </w:tcBorders>
          </w:tcPr>
          <w:p>
            <w:pPr>
              <w:jc w:val="right"/>
              <w:ind w:right="392"/>
              <w:spacing w:after="0"/>
              <w:rPr>
                <w:sz w:val="20"/>
                <w:szCs w:val="20"/>
                <w:color w:val="auto"/>
              </w:rPr>
            </w:pPr>
            <w:r>
              <w:rPr>
                <w:rFonts w:ascii="Arial" w:cs="Arial" w:eastAsia="Arial" w:hAnsi="Arial"/>
                <w:sz w:val="22"/>
                <w:szCs w:val="22"/>
                <w:b w:val="1"/>
                <w:bCs w:val="1"/>
                <w:color w:val="auto"/>
              </w:rPr>
              <w:t>Votes Against</w:t>
            </w:r>
          </w:p>
        </w:tc>
        <w:tc>
          <w:tcPr>
            <w:tcW w:w="2260" w:type="dxa"/>
            <w:vAlign w:val="bottom"/>
            <w:tcBorders>
              <w:top w:val="single" w:sz="8" w:color="auto"/>
              <w:bottom w:val="single" w:sz="8" w:color="auto"/>
              <w:right w:val="single" w:sz="8" w:color="auto"/>
            </w:tcBorders>
          </w:tcPr>
          <w:p>
            <w:pPr>
              <w:jc w:val="right"/>
              <w:ind w:right="492"/>
              <w:spacing w:after="0"/>
              <w:rPr>
                <w:sz w:val="20"/>
                <w:szCs w:val="20"/>
                <w:color w:val="auto"/>
              </w:rPr>
            </w:pPr>
            <w:r>
              <w:rPr>
                <w:rFonts w:ascii="Arial" w:cs="Arial" w:eastAsia="Arial" w:hAnsi="Arial"/>
                <w:sz w:val="22"/>
                <w:szCs w:val="22"/>
                <w:b w:val="1"/>
                <w:bCs w:val="1"/>
                <w:color w:val="auto"/>
              </w:rPr>
              <w:t>Abstentions</w:t>
            </w:r>
          </w:p>
        </w:tc>
        <w:tc>
          <w:tcPr>
            <w:tcW w:w="2260" w:type="dxa"/>
            <w:vAlign w:val="bottom"/>
            <w:tcBorders>
              <w:top w:val="single" w:sz="8" w:color="auto"/>
              <w:bottom w:val="single" w:sz="8" w:color="auto"/>
              <w:right w:val="single" w:sz="8" w:color="auto"/>
            </w:tcBorders>
          </w:tcPr>
          <w:p>
            <w:pPr>
              <w:jc w:val="right"/>
              <w:ind w:right="212"/>
              <w:spacing w:after="0"/>
              <w:rPr>
                <w:sz w:val="20"/>
                <w:szCs w:val="20"/>
                <w:color w:val="auto"/>
              </w:rPr>
            </w:pPr>
            <w:r>
              <w:rPr>
                <w:rFonts w:ascii="Arial" w:cs="Arial" w:eastAsia="Arial" w:hAnsi="Arial"/>
                <w:sz w:val="22"/>
                <w:szCs w:val="22"/>
                <w:b w:val="1"/>
                <w:bCs w:val="1"/>
                <w:color w:val="auto"/>
              </w:rPr>
              <w:t>Broker Non-Votes</w:t>
            </w:r>
          </w:p>
        </w:tc>
      </w:tr>
      <w:tr>
        <w:trPr>
          <w:trHeight w:val="291"/>
        </w:trPr>
        <w:tc>
          <w:tcPr>
            <w:tcW w:w="230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2"/>
                <w:szCs w:val="22"/>
                <w:color w:val="auto"/>
              </w:rPr>
              <w:t>William A. Hasler</w:t>
            </w:r>
          </w:p>
        </w:tc>
        <w:tc>
          <w:tcPr>
            <w:tcW w:w="2280" w:type="dxa"/>
            <w:vAlign w:val="bottom"/>
            <w:tcBorders>
              <w:bottom w:val="single" w:sz="8" w:color="auto"/>
              <w:right w:val="single" w:sz="8" w:color="auto"/>
            </w:tcBorders>
            <w:shd w:val="clear" w:color="auto" w:fill="CCEEFF"/>
          </w:tcPr>
          <w:p>
            <w:pPr>
              <w:jc w:val="right"/>
              <w:ind w:right="52"/>
              <w:spacing w:after="0"/>
              <w:rPr>
                <w:sz w:val="20"/>
                <w:szCs w:val="20"/>
                <w:color w:val="auto"/>
              </w:rPr>
            </w:pPr>
            <w:r>
              <w:rPr>
                <w:rFonts w:ascii="Arial" w:cs="Arial" w:eastAsia="Arial" w:hAnsi="Arial"/>
                <w:sz w:val="22"/>
                <w:szCs w:val="22"/>
                <w:color w:val="auto"/>
              </w:rPr>
              <w:t>922,707,109</w:t>
            </w:r>
          </w:p>
        </w:tc>
        <w:tc>
          <w:tcPr>
            <w:tcW w:w="2240" w:type="dxa"/>
            <w:vAlign w:val="bottom"/>
            <w:tcBorders>
              <w:bottom w:val="single" w:sz="8" w:color="auto"/>
              <w:right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127,132,198</w:t>
            </w:r>
          </w:p>
        </w:tc>
        <w:tc>
          <w:tcPr>
            <w:tcW w:w="2260" w:type="dxa"/>
            <w:vAlign w:val="bottom"/>
            <w:tcBorders>
              <w:bottom w:val="single" w:sz="8" w:color="auto"/>
              <w:right w:val="single" w:sz="8" w:color="auto"/>
            </w:tcBorders>
            <w:shd w:val="clear" w:color="auto" w:fill="CCEEFF"/>
          </w:tcPr>
          <w:p>
            <w:pPr>
              <w:jc w:val="right"/>
              <w:ind w:right="32"/>
              <w:spacing w:after="0"/>
              <w:rPr>
                <w:sz w:val="20"/>
                <w:szCs w:val="20"/>
                <w:color w:val="auto"/>
              </w:rPr>
            </w:pPr>
            <w:r>
              <w:rPr>
                <w:rFonts w:ascii="Arial" w:cs="Arial" w:eastAsia="Arial" w:hAnsi="Arial"/>
                <w:sz w:val="22"/>
                <w:szCs w:val="22"/>
                <w:color w:val="auto"/>
              </w:rPr>
              <w:t>258,101</w:t>
            </w:r>
          </w:p>
        </w:tc>
        <w:tc>
          <w:tcPr>
            <w:tcW w:w="2260" w:type="dxa"/>
            <w:vAlign w:val="bottom"/>
            <w:tcBorders>
              <w:bottom w:val="single" w:sz="8" w:color="auto"/>
              <w:right w:val="single" w:sz="8" w:color="auto"/>
            </w:tcBorders>
            <w:shd w:val="clear" w:color="auto" w:fill="CCEEFF"/>
          </w:tcPr>
          <w:p>
            <w:pPr>
              <w:jc w:val="right"/>
              <w:ind w:right="32"/>
              <w:spacing w:after="0"/>
              <w:rPr>
                <w:sz w:val="20"/>
                <w:szCs w:val="20"/>
                <w:color w:val="auto"/>
              </w:rPr>
            </w:pPr>
            <w:r>
              <w:rPr>
                <w:rFonts w:ascii="Arial" w:cs="Arial" w:eastAsia="Arial" w:hAnsi="Arial"/>
                <w:sz w:val="22"/>
                <w:szCs w:val="22"/>
                <w:color w:val="auto"/>
              </w:rPr>
              <w:t>148,849,641</w:t>
            </w:r>
          </w:p>
        </w:tc>
      </w:tr>
      <w:tr>
        <w:trPr>
          <w:trHeight w:val="291"/>
        </w:trPr>
        <w:tc>
          <w:tcPr>
            <w:tcW w:w="2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James Monroe III</w:t>
            </w:r>
          </w:p>
        </w:tc>
        <w:tc>
          <w:tcPr>
            <w:tcW w:w="228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22"/>
                <w:szCs w:val="22"/>
                <w:color w:val="auto"/>
              </w:rPr>
              <w:t>830,021,119</w:t>
            </w:r>
          </w:p>
        </w:tc>
        <w:tc>
          <w:tcPr>
            <w:tcW w:w="224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22"/>
                <w:szCs w:val="22"/>
                <w:color w:val="auto"/>
              </w:rPr>
              <w:t>219,654,545</w:t>
            </w:r>
          </w:p>
        </w:tc>
        <w:tc>
          <w:tcPr>
            <w:tcW w:w="226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22"/>
                <w:szCs w:val="22"/>
                <w:color w:val="auto"/>
              </w:rPr>
              <w:t>421,744</w:t>
            </w:r>
          </w:p>
        </w:tc>
        <w:tc>
          <w:tcPr>
            <w:tcW w:w="226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22"/>
                <w:szCs w:val="22"/>
                <w:color w:val="auto"/>
              </w:rPr>
              <w:t>148,849,641</w:t>
            </w:r>
          </w:p>
        </w:tc>
      </w:tr>
      <w:tr>
        <w:trPr>
          <w:trHeight w:val="291"/>
        </w:trPr>
        <w:tc>
          <w:tcPr>
            <w:tcW w:w="230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2"/>
                <w:szCs w:val="22"/>
                <w:color w:val="auto"/>
              </w:rPr>
              <w:t>Kenneth M. Young</w:t>
            </w:r>
          </w:p>
        </w:tc>
        <w:tc>
          <w:tcPr>
            <w:tcW w:w="2280" w:type="dxa"/>
            <w:vAlign w:val="bottom"/>
            <w:tcBorders>
              <w:bottom w:val="single" w:sz="8" w:color="auto"/>
              <w:right w:val="single" w:sz="8" w:color="auto"/>
            </w:tcBorders>
            <w:shd w:val="clear" w:color="auto" w:fill="CCEEFF"/>
          </w:tcPr>
          <w:p>
            <w:pPr>
              <w:jc w:val="right"/>
              <w:ind w:right="52"/>
              <w:spacing w:after="0"/>
              <w:rPr>
                <w:sz w:val="20"/>
                <w:szCs w:val="20"/>
                <w:color w:val="auto"/>
              </w:rPr>
            </w:pPr>
            <w:r>
              <w:rPr>
                <w:rFonts w:ascii="Arial" w:cs="Arial" w:eastAsia="Arial" w:hAnsi="Arial"/>
                <w:sz w:val="22"/>
                <w:szCs w:val="22"/>
                <w:color w:val="auto"/>
              </w:rPr>
              <w:t>899,854,776</w:t>
            </w:r>
          </w:p>
        </w:tc>
        <w:tc>
          <w:tcPr>
            <w:tcW w:w="2240" w:type="dxa"/>
            <w:vAlign w:val="bottom"/>
            <w:tcBorders>
              <w:bottom w:val="single" w:sz="8" w:color="auto"/>
              <w:right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141,923,084</w:t>
            </w:r>
          </w:p>
        </w:tc>
        <w:tc>
          <w:tcPr>
            <w:tcW w:w="2260" w:type="dxa"/>
            <w:vAlign w:val="bottom"/>
            <w:tcBorders>
              <w:bottom w:val="single" w:sz="8" w:color="auto"/>
              <w:right w:val="single" w:sz="8" w:color="auto"/>
            </w:tcBorders>
            <w:shd w:val="clear" w:color="auto" w:fill="CCEEFF"/>
          </w:tcPr>
          <w:p>
            <w:pPr>
              <w:jc w:val="right"/>
              <w:ind w:right="32"/>
              <w:spacing w:after="0"/>
              <w:rPr>
                <w:sz w:val="20"/>
                <w:szCs w:val="20"/>
                <w:color w:val="auto"/>
              </w:rPr>
            </w:pPr>
            <w:r>
              <w:rPr>
                <w:rFonts w:ascii="Arial" w:cs="Arial" w:eastAsia="Arial" w:hAnsi="Arial"/>
                <w:sz w:val="22"/>
                <w:szCs w:val="22"/>
                <w:color w:val="auto"/>
              </w:rPr>
              <w:t>8,319,548</w:t>
            </w:r>
          </w:p>
        </w:tc>
        <w:tc>
          <w:tcPr>
            <w:tcW w:w="2260" w:type="dxa"/>
            <w:vAlign w:val="bottom"/>
            <w:tcBorders>
              <w:bottom w:val="single" w:sz="8" w:color="auto"/>
              <w:right w:val="single" w:sz="8" w:color="auto"/>
            </w:tcBorders>
            <w:shd w:val="clear" w:color="auto" w:fill="CCEEFF"/>
          </w:tcPr>
          <w:p>
            <w:pPr>
              <w:jc w:val="right"/>
              <w:ind w:right="32"/>
              <w:spacing w:after="0"/>
              <w:rPr>
                <w:sz w:val="20"/>
                <w:szCs w:val="20"/>
                <w:color w:val="auto"/>
              </w:rPr>
            </w:pPr>
            <w:r>
              <w:rPr>
                <w:rFonts w:ascii="Arial" w:cs="Arial" w:eastAsia="Arial" w:hAnsi="Arial"/>
                <w:sz w:val="22"/>
                <w:szCs w:val="22"/>
                <w:color w:val="auto"/>
              </w:rPr>
              <w:t>148,849,641</w:t>
            </w:r>
          </w:p>
        </w:tc>
      </w:tr>
    </w:tbl>
    <w:p>
      <w:pPr>
        <w:spacing w:after="0" w:line="249" w:lineRule="exact"/>
        <w:rPr>
          <w:sz w:val="20"/>
          <w:szCs w:val="20"/>
          <w:color w:val="auto"/>
        </w:rPr>
      </w:pPr>
    </w:p>
    <w:p>
      <w:pPr>
        <w:ind w:firstLine="8"/>
        <w:spacing w:after="0" w:line="263" w:lineRule="auto"/>
        <w:tabs>
          <w:tab w:leader="none" w:pos="216" w:val="left"/>
        </w:tabs>
        <w:numPr>
          <w:ilvl w:val="0"/>
          <w:numId w:val="3"/>
        </w:numPr>
        <w:rPr>
          <w:rFonts w:ascii="Arial" w:cs="Arial" w:eastAsia="Arial" w:hAnsi="Arial"/>
          <w:sz w:val="22"/>
          <w:szCs w:val="22"/>
          <w:color w:val="auto"/>
        </w:rPr>
      </w:pPr>
      <w:r>
        <w:rPr>
          <w:rFonts w:ascii="Arial" w:cs="Arial" w:eastAsia="Arial" w:hAnsi="Arial"/>
          <w:sz w:val="22"/>
          <w:szCs w:val="22"/>
          <w:color w:val="auto"/>
        </w:rPr>
        <w:t>Stockholders ratified the appointment of Crowe Horwath LLP as the Company’s independent registered accounting firm for the fiscal year ending December 31, 2018 by the following votes:</w:t>
      </w:r>
    </w:p>
    <w:p>
      <w:pPr>
        <w:spacing w:after="0" w:line="338" w:lineRule="exact"/>
        <w:rPr>
          <w:sz w:val="20"/>
          <w:szCs w:val="20"/>
          <w:color w:val="auto"/>
        </w:rPr>
      </w:pPr>
    </w:p>
    <w:tbl>
      <w:tblPr>
        <w:tblLayout w:type="fixed"/>
        <w:tblInd w:w="1010" w:type="dxa"/>
        <w:tblCellMar>
          <w:top w:w="0" w:type="dxa"/>
          <w:left w:w="0" w:type="dxa"/>
          <w:bottom w:w="0" w:type="dxa"/>
          <w:right w:w="0" w:type="dxa"/>
        </w:tblCellMar>
      </w:tblPr>
      <w:tr>
        <w:trPr>
          <w:trHeight w:val="304"/>
        </w:trPr>
        <w:tc>
          <w:tcPr>
            <w:tcW w:w="2380" w:type="dxa"/>
            <w:vAlign w:val="bottom"/>
            <w:tcBorders>
              <w:top w:val="single" w:sz="8" w:color="auto"/>
              <w:left w:val="single" w:sz="8" w:color="auto"/>
              <w:bottom w:val="single" w:sz="8" w:color="auto"/>
              <w:right w:val="single" w:sz="8" w:color="auto"/>
            </w:tcBorders>
          </w:tcPr>
          <w:p>
            <w:pPr>
              <w:jc w:val="right"/>
              <w:ind w:right="652"/>
              <w:spacing w:after="0"/>
              <w:rPr>
                <w:sz w:val="20"/>
                <w:szCs w:val="20"/>
                <w:color w:val="auto"/>
              </w:rPr>
            </w:pPr>
            <w:r>
              <w:rPr>
                <w:rFonts w:ascii="Arial" w:cs="Arial" w:eastAsia="Arial" w:hAnsi="Arial"/>
                <w:sz w:val="22"/>
                <w:szCs w:val="22"/>
                <w:b w:val="1"/>
                <w:bCs w:val="1"/>
                <w:color w:val="auto"/>
              </w:rPr>
              <w:t>Votes For</w:t>
            </w:r>
          </w:p>
        </w:tc>
        <w:tc>
          <w:tcPr>
            <w:tcW w:w="2360" w:type="dxa"/>
            <w:vAlign w:val="bottom"/>
            <w:tcBorders>
              <w:top w:val="single" w:sz="8" w:color="auto"/>
              <w:bottom w:val="single" w:sz="8" w:color="auto"/>
              <w:right w:val="single" w:sz="8" w:color="auto"/>
            </w:tcBorders>
          </w:tcPr>
          <w:p>
            <w:pPr>
              <w:jc w:val="right"/>
              <w:ind w:right="452"/>
              <w:spacing w:after="0"/>
              <w:rPr>
                <w:sz w:val="20"/>
                <w:szCs w:val="20"/>
                <w:color w:val="auto"/>
              </w:rPr>
            </w:pPr>
            <w:r>
              <w:rPr>
                <w:rFonts w:ascii="Arial" w:cs="Arial" w:eastAsia="Arial" w:hAnsi="Arial"/>
                <w:sz w:val="22"/>
                <w:szCs w:val="22"/>
                <w:b w:val="1"/>
                <w:bCs w:val="1"/>
                <w:color w:val="auto"/>
              </w:rPr>
              <w:t>Votes Against</w:t>
            </w:r>
          </w:p>
        </w:tc>
        <w:tc>
          <w:tcPr>
            <w:tcW w:w="2360" w:type="dxa"/>
            <w:vAlign w:val="bottom"/>
            <w:tcBorders>
              <w:top w:val="single" w:sz="8" w:color="auto"/>
              <w:bottom w:val="single" w:sz="8" w:color="auto"/>
              <w:right w:val="single" w:sz="8" w:color="auto"/>
            </w:tcBorders>
          </w:tcPr>
          <w:p>
            <w:pPr>
              <w:jc w:val="right"/>
              <w:ind w:right="532"/>
              <w:spacing w:after="0"/>
              <w:rPr>
                <w:sz w:val="20"/>
                <w:szCs w:val="20"/>
                <w:color w:val="auto"/>
              </w:rPr>
            </w:pPr>
            <w:r>
              <w:rPr>
                <w:rFonts w:ascii="Arial" w:cs="Arial" w:eastAsia="Arial" w:hAnsi="Arial"/>
                <w:sz w:val="22"/>
                <w:szCs w:val="22"/>
                <w:b w:val="1"/>
                <w:bCs w:val="1"/>
                <w:color w:val="auto"/>
              </w:rPr>
              <w:t>Abstentions</w:t>
            </w:r>
          </w:p>
        </w:tc>
        <w:tc>
          <w:tcPr>
            <w:tcW w:w="2360" w:type="dxa"/>
            <w:vAlign w:val="bottom"/>
            <w:tcBorders>
              <w:top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22"/>
                <w:szCs w:val="22"/>
                <w:b w:val="1"/>
                <w:bCs w:val="1"/>
                <w:color w:val="auto"/>
              </w:rPr>
              <w:t>Broker Non-Votes</w:t>
            </w:r>
          </w:p>
        </w:tc>
      </w:tr>
      <w:tr>
        <w:trPr>
          <w:trHeight w:val="291"/>
        </w:trPr>
        <w:tc>
          <w:tcPr>
            <w:tcW w:w="2380" w:type="dxa"/>
            <w:vAlign w:val="bottom"/>
            <w:tcBorders>
              <w:left w:val="single" w:sz="8" w:color="auto"/>
              <w:bottom w:val="single" w:sz="8" w:color="auto"/>
              <w:right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1,117,991,009</w:t>
            </w:r>
          </w:p>
        </w:tc>
        <w:tc>
          <w:tcPr>
            <w:tcW w:w="2360" w:type="dxa"/>
            <w:vAlign w:val="bottom"/>
            <w:tcBorders>
              <w:bottom w:val="single" w:sz="8" w:color="auto"/>
              <w:right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79,853,738</w:t>
            </w:r>
          </w:p>
        </w:tc>
        <w:tc>
          <w:tcPr>
            <w:tcW w:w="2360" w:type="dxa"/>
            <w:vAlign w:val="bottom"/>
            <w:tcBorders>
              <w:bottom w:val="single" w:sz="8" w:color="auto"/>
              <w:right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1,102,302</w:t>
            </w:r>
          </w:p>
        </w:tc>
        <w:tc>
          <w:tcPr>
            <w:tcW w:w="2360" w:type="dxa"/>
            <w:vAlign w:val="bottom"/>
            <w:tcBorders>
              <w:bottom w:val="single" w:sz="8" w:color="auto"/>
              <w:right w:val="single" w:sz="8" w:color="auto"/>
            </w:tcBorders>
            <w:shd w:val="clear" w:color="auto" w:fill="CCEEFF"/>
          </w:tcPr>
          <w:p>
            <w:pPr>
              <w:ind w:left="2040"/>
              <w:spacing w:after="0"/>
              <w:rPr>
                <w:sz w:val="20"/>
                <w:szCs w:val="20"/>
                <w:color w:val="auto"/>
              </w:rPr>
            </w:pPr>
            <w:r>
              <w:rPr>
                <w:rFonts w:ascii="Arial" w:cs="Arial" w:eastAsia="Arial" w:hAnsi="Arial"/>
                <w:sz w:val="22"/>
                <w:szCs w:val="22"/>
                <w:color w:val="auto"/>
              </w:rPr>
              <w:t>—</w:t>
            </w:r>
          </w:p>
        </w:tc>
      </w:tr>
    </w:tbl>
    <w:p>
      <w:pPr>
        <w:sectPr>
          <w:pgSz w:w="11900" w:h="16838" w:orient="portrait"/>
          <w:cols w:equalWidth="0" w:num="1">
            <w:col w:w="11420"/>
          </w:cols>
          <w:pgMar w:left="240" w:top="625" w:right="23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22"/>
          <w:szCs w:val="22"/>
          <w:b w:val="1"/>
          <w:bCs w:val="1"/>
          <w:color w:val="auto"/>
        </w:rPr>
        <w:t>SIGNATURES</w:t>
      </w:r>
    </w:p>
    <w:p>
      <w:pPr>
        <w:spacing w:after="0" w:line="200" w:lineRule="exact"/>
        <w:rPr>
          <w:sz w:val="20"/>
          <w:szCs w:val="20"/>
          <w:color w:val="auto"/>
        </w:rPr>
      </w:pPr>
    </w:p>
    <w:p>
      <w:pPr>
        <w:spacing w:after="0" w:line="39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7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GLOBALSTAR, INC.</w:t>
      </w:r>
    </w:p>
    <w:p>
      <w:pPr>
        <w:spacing w:after="0" w:line="200" w:lineRule="exact"/>
        <w:rPr>
          <w:sz w:val="20"/>
          <w:szCs w:val="20"/>
          <w:color w:val="auto"/>
        </w:rPr>
      </w:pPr>
    </w:p>
    <w:p>
      <w:pPr>
        <w:spacing w:after="0" w:line="317" w:lineRule="exact"/>
        <w:rPr>
          <w:sz w:val="20"/>
          <w:szCs w:val="20"/>
          <w:color w:val="auto"/>
        </w:rPr>
      </w:pPr>
    </w:p>
    <w:p>
      <w:pPr>
        <w:ind w:left="4540"/>
        <w:spacing w:after="0"/>
        <w:rPr>
          <w:sz w:val="20"/>
          <w:szCs w:val="20"/>
          <w:color w:val="auto"/>
        </w:rPr>
      </w:pPr>
      <w:r>
        <w:rPr>
          <w:rFonts w:ascii="Arial" w:cs="Arial" w:eastAsia="Arial" w:hAnsi="Arial"/>
          <w:sz w:val="22"/>
          <w:szCs w:val="22"/>
          <w:u w:val="single" w:color="auto"/>
          <w:color w:val="auto"/>
        </w:rPr>
        <w:t>/s/ James Monroe III</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James Monroe III</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Chairman and Chief Executive Officer</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Date: May 23, 2018</w:t>
      </w:r>
    </w:p>
    <w:sectPr>
      <w:pgSz w:w="11900" w:h="16838" w:orient="portrait"/>
      <w:cols w:equalWidth="0" w:num="1">
        <w:col w:w="11240"/>
      </w:cols>
      <w:pgMar w:left="240" w:top="625"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2019-12-07T05:05:11Z</dcterms:created>
  <dcterms:modified xsi:type="dcterms:W3CDTF">2019-12-07T05:05:11Z</dcterms:modified>
</cp:coreProperties>
</file>