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155575</wp:posOffset>
            </wp:positionH>
            <wp:positionV relativeFrom="page">
              <wp:posOffset>447040</wp:posOffset>
            </wp:positionV>
            <wp:extent cx="726757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551815</wp:posOffset>
            </wp:positionV>
            <wp:extent cx="72637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3765" cy="8890"/>
                    </a:xfrm>
                    <a:prstGeom prst="rect">
                      <a:avLst/>
                    </a:prstGeom>
                    <a:noFill/>
                  </pic:spPr>
                </pic:pic>
              </a:graphicData>
            </a:graphic>
          </wp:anchor>
        </w:drawing>
        <w:t>UNITED STATES</w:t>
      </w:r>
    </w:p>
    <w:p>
      <w:pPr>
        <w:spacing w:after="0" w:line="3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3107690</wp:posOffset>
            </wp:positionH>
            <wp:positionV relativeFrom="paragraph">
              <wp:posOffset>137160</wp:posOffset>
            </wp:positionV>
            <wp:extent cx="105029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pacing w:after="0" w:line="39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FORM 8-A</w:t>
      </w:r>
    </w:p>
    <w:p>
      <w:pPr>
        <w:spacing w:after="0" w:line="228" w:lineRule="exact"/>
        <w:rPr>
          <w:sz w:val="24"/>
          <w:szCs w:val="24"/>
          <w:color w:val="auto"/>
        </w:rPr>
      </w:pPr>
    </w:p>
    <w:p>
      <w:pPr>
        <w:jc w:val="center"/>
        <w:ind w:left="2220" w:right="2100"/>
        <w:spacing w:after="0" w:line="246" w:lineRule="auto"/>
        <w:rPr>
          <w:sz w:val="20"/>
          <w:szCs w:val="20"/>
          <w:color w:val="auto"/>
        </w:rPr>
      </w:pPr>
      <w:r>
        <w:rPr>
          <w:rFonts w:ascii="Times New Roman" w:cs="Times New Roman" w:eastAsia="Times New Roman" w:hAnsi="Times New Roman"/>
          <w:sz w:val="22"/>
          <w:szCs w:val="22"/>
          <w:b w:val="1"/>
          <w:bCs w:val="1"/>
          <w:color w:val="auto"/>
        </w:rPr>
        <w:t>FOR REGISTRATION OF CERTAIN CLASSES OF SECURITIES PURSUANT TO SECTION 12(b) OR 12(g)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3107690</wp:posOffset>
            </wp:positionH>
            <wp:positionV relativeFrom="paragraph">
              <wp:posOffset>124460</wp:posOffset>
            </wp:positionV>
            <wp:extent cx="105029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pacing w:after="0" w:line="37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32"/>
          <w:szCs w:val="32"/>
          <w:b w:val="1"/>
          <w:bCs w:val="1"/>
          <w:color w:val="auto"/>
        </w:rPr>
        <w:t>GLOBALSTAR, INC.</w:t>
      </w:r>
    </w:p>
    <w:p>
      <w:pPr>
        <w:spacing w:after="0" w:line="4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300"/>
          </w:cols>
          <w:pgMar w:left="240" w:top="1051" w:right="359" w:bottom="1440" w:gutter="0" w:footer="0" w:header="0"/>
        </w:sectPr>
      </w:pPr>
    </w:p>
    <w:p>
      <w:pPr>
        <w:spacing w:after="0" w:line="203" w:lineRule="exact"/>
        <w:rPr>
          <w:sz w:val="24"/>
          <w:szCs w:val="24"/>
          <w:color w:val="auto"/>
        </w:rPr>
      </w:pPr>
    </w:p>
    <w:p>
      <w:pPr>
        <w:jc w:val="center"/>
        <w:ind w:right="1500"/>
        <w:spacing w:after="0"/>
        <w:rPr>
          <w:sz w:val="20"/>
          <w:szCs w:val="20"/>
          <w:color w:val="auto"/>
        </w:rPr>
      </w:pPr>
      <w:r>
        <w:rPr>
          <w:rFonts w:ascii="Times New Roman" w:cs="Times New Roman" w:eastAsia="Times New Roman" w:hAnsi="Times New Roman"/>
          <w:sz w:val="18"/>
          <w:szCs w:val="18"/>
          <w:b w:val="1"/>
          <w:bCs w:val="1"/>
          <w:color w:val="auto"/>
        </w:rPr>
        <w:t>Delaware</w:t>
      </w:r>
    </w:p>
    <w:p>
      <w:pPr>
        <w:spacing w:after="0" w:line="23" w:lineRule="exact"/>
        <w:rPr>
          <w:sz w:val="24"/>
          <w:szCs w:val="24"/>
          <w:color w:val="auto"/>
        </w:rPr>
      </w:pPr>
    </w:p>
    <w:p>
      <w:pPr>
        <w:jc w:val="center"/>
        <w:ind w:right="1500"/>
        <w:spacing w:after="0"/>
        <w:rPr>
          <w:sz w:val="20"/>
          <w:szCs w:val="20"/>
          <w:color w:val="auto"/>
        </w:rPr>
      </w:pPr>
      <w:r>
        <w:rPr>
          <w:rFonts w:ascii="Times New Roman" w:cs="Times New Roman" w:eastAsia="Times New Roman" w:hAnsi="Times New Roman"/>
          <w:sz w:val="16"/>
          <w:szCs w:val="16"/>
          <w:color w:val="auto"/>
        </w:rPr>
        <w:t>(State of incorporation</w:t>
      </w:r>
    </w:p>
    <w:p>
      <w:pPr>
        <w:spacing w:after="0" w:line="32" w:lineRule="exact"/>
        <w:rPr>
          <w:sz w:val="24"/>
          <w:szCs w:val="24"/>
          <w:color w:val="auto"/>
        </w:rPr>
      </w:pPr>
    </w:p>
    <w:p>
      <w:pPr>
        <w:jc w:val="center"/>
        <w:ind w:right="1500"/>
        <w:spacing w:after="0"/>
        <w:rPr>
          <w:sz w:val="20"/>
          <w:szCs w:val="20"/>
          <w:color w:val="auto"/>
        </w:rPr>
      </w:pPr>
      <w:r>
        <w:rPr>
          <w:rFonts w:ascii="Times New Roman" w:cs="Times New Roman" w:eastAsia="Times New Roman" w:hAnsi="Times New Roman"/>
          <w:sz w:val="18"/>
          <w:szCs w:val="18"/>
          <w:color w:val="auto"/>
        </w:rPr>
        <w:t>or organization)</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8"/>
          <w:szCs w:val="18"/>
          <w:b w:val="1"/>
          <w:bCs w:val="1"/>
          <w:color w:val="auto"/>
        </w:rPr>
        <w:t>41-2116508</w:t>
      </w:r>
    </w:p>
    <w:p>
      <w:pPr>
        <w:spacing w:after="0" w:line="23"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8"/>
          <w:szCs w:val="18"/>
          <w:color w:val="auto"/>
        </w:rPr>
        <w:t>(I.R.S. employer</w:t>
      </w:r>
    </w:p>
    <w:p>
      <w:pPr>
        <w:spacing w:after="0" w:line="9" w:lineRule="exact"/>
        <w:rPr>
          <w:sz w:val="24"/>
          <w:szCs w:val="24"/>
          <w:color w:val="auto"/>
        </w:rPr>
      </w:pPr>
    </w:p>
    <w:p>
      <w:pPr>
        <w:jc w:val="center"/>
        <w:ind w:right="2100"/>
        <w:spacing w:after="0"/>
        <w:rPr>
          <w:sz w:val="20"/>
          <w:szCs w:val="20"/>
          <w:color w:val="auto"/>
        </w:rPr>
      </w:pPr>
      <w:r>
        <w:rPr>
          <w:rFonts w:ascii="Times New Roman" w:cs="Times New Roman" w:eastAsia="Times New Roman" w:hAnsi="Times New Roman"/>
          <w:sz w:val="16"/>
          <w:szCs w:val="16"/>
          <w:color w:val="auto"/>
        </w:rPr>
        <w:t>identification no.)</w:t>
      </w:r>
    </w:p>
    <w:p>
      <w:pPr>
        <w:spacing w:after="0" w:line="222" w:lineRule="exact"/>
        <w:rPr>
          <w:sz w:val="24"/>
          <w:szCs w:val="24"/>
          <w:color w:val="auto"/>
        </w:rPr>
      </w:pPr>
    </w:p>
    <w:p>
      <w:pPr>
        <w:sectPr>
          <w:pgSz w:w="11900" w:h="16838" w:orient="portrait"/>
          <w:cols w:equalWidth="0" w:num="2">
            <w:col w:w="7220" w:space="720"/>
            <w:col w:w="3360"/>
          </w:cols>
          <w:pgMar w:left="240" w:top="1051" w:right="359" w:bottom="1440" w:gutter="0" w:footer="0" w:header="0"/>
          <w:type w:val="continuous"/>
        </w:sectPr>
      </w:pPr>
    </w:p>
    <w:p>
      <w:pPr>
        <w:spacing w:after="0" w:line="11"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461 South Milpitas Blvd.</w:t>
      </w:r>
    </w:p>
    <w:p>
      <w:pPr>
        <w:spacing w:after="0" w:line="23"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Milpitas, California 95035</w:t>
      </w:r>
    </w:p>
    <w:p>
      <w:pPr>
        <w:spacing w:after="0" w:line="9"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6"/>
          <w:szCs w:val="16"/>
          <w:color w:val="auto"/>
        </w:rPr>
        <w:t>(Address and zip code of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3107690</wp:posOffset>
            </wp:positionH>
            <wp:positionV relativeFrom="paragraph">
              <wp:posOffset>156845</wp:posOffset>
            </wp:positionV>
            <wp:extent cx="105029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ectPr>
          <w:pgSz w:w="11900" w:h="16838" w:orient="portrait"/>
          <w:cols w:equalWidth="0" w:num="1">
            <w:col w:w="11300"/>
          </w:cols>
          <w:pgMar w:left="240" w:top="1051" w:right="359" w:bottom="1440" w:gutter="0" w:footer="0" w:header="0"/>
          <w:type w:val="continuous"/>
        </w:sectPr>
      </w:pP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to be registered pursuant to Section 12(b) of the Act:</w:t>
      </w:r>
    </w:p>
    <w:p>
      <w:pPr>
        <w:spacing w:after="0" w:line="2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260" w:type="dxa"/>
            <w:vAlign w:val="bottom"/>
          </w:tcPr>
          <w:p>
            <w:pPr>
              <w:ind w:left="162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260" w:type="dxa"/>
            <w:vAlign w:val="bottom"/>
          </w:tcPr>
          <w:p>
            <w:pPr>
              <w:spacing w:after="0"/>
              <w:rPr>
                <w:sz w:val="13"/>
                <w:szCs w:val="13"/>
                <w:color w:val="auto"/>
              </w:rPr>
            </w:pPr>
          </w:p>
        </w:tc>
        <w:tc>
          <w:tcPr>
            <w:tcW w:w="41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6"/>
              </w:rPr>
              <w:t>Name of each exchange on which</w:t>
            </w:r>
          </w:p>
        </w:tc>
      </w:tr>
      <w:tr>
        <w:trPr>
          <w:trHeight w:val="178"/>
        </w:trPr>
        <w:tc>
          <w:tcPr>
            <w:tcW w:w="4260" w:type="dxa"/>
            <w:vAlign w:val="bottom"/>
          </w:tcPr>
          <w:p>
            <w:pPr>
              <w:ind w:left="1620"/>
              <w:spacing w:after="0"/>
              <w:rPr>
                <w:sz w:val="20"/>
                <w:szCs w:val="20"/>
                <w:color w:val="auto"/>
              </w:rPr>
            </w:pPr>
            <w:r>
              <w:rPr>
                <w:rFonts w:ascii="Times New Roman" w:cs="Times New Roman" w:eastAsia="Times New Roman" w:hAnsi="Times New Roman"/>
                <w:sz w:val="14"/>
                <w:szCs w:val="14"/>
                <w:b w:val="1"/>
                <w:bCs w:val="1"/>
                <w:color w:val="auto"/>
              </w:rPr>
              <w:t>to be so registered</w:t>
            </w:r>
          </w:p>
        </w:tc>
        <w:tc>
          <w:tcPr>
            <w:tcW w:w="260" w:type="dxa"/>
            <w:vAlign w:val="bottom"/>
          </w:tcPr>
          <w:p>
            <w:pPr>
              <w:spacing w:after="0"/>
              <w:rPr>
                <w:sz w:val="15"/>
                <w:szCs w:val="15"/>
                <w:color w:val="auto"/>
              </w:rPr>
            </w:pPr>
          </w:p>
        </w:tc>
        <w:tc>
          <w:tcPr>
            <w:tcW w:w="41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each class is to be registered</w:t>
            </w:r>
          </w:p>
        </w:tc>
      </w:tr>
      <w:tr>
        <w:trPr>
          <w:trHeight w:val="105"/>
        </w:trPr>
        <w:tc>
          <w:tcPr>
            <w:tcW w:w="426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4160" w:type="dxa"/>
            <w:vAlign w:val="bottom"/>
            <w:tcBorders>
              <w:bottom w:val="single" w:sz="8" w:color="808080"/>
            </w:tcBorders>
          </w:tcPr>
          <w:p>
            <w:pPr>
              <w:spacing w:after="0"/>
              <w:rPr>
                <w:sz w:val="9"/>
                <w:szCs w:val="9"/>
                <w:color w:val="auto"/>
              </w:rPr>
            </w:pPr>
          </w:p>
        </w:tc>
      </w:tr>
      <w:tr>
        <w:trPr>
          <w:trHeight w:val="319"/>
        </w:trPr>
        <w:tc>
          <w:tcPr>
            <w:tcW w:w="4260" w:type="dxa"/>
            <w:vAlign w:val="bottom"/>
          </w:tcPr>
          <w:p>
            <w:pPr>
              <w:spacing w:after="0"/>
              <w:rPr>
                <w:sz w:val="20"/>
                <w:szCs w:val="20"/>
                <w:color w:val="auto"/>
              </w:rPr>
            </w:pPr>
            <w:r>
              <w:rPr>
                <w:rFonts w:ascii="Times New Roman" w:cs="Times New Roman" w:eastAsia="Times New Roman" w:hAnsi="Times New Roman"/>
                <w:sz w:val="18"/>
                <w:szCs w:val="18"/>
                <w:color w:val="auto"/>
              </w:rPr>
              <w:t>Common Stock, par value $0.0001</w:t>
            </w:r>
          </w:p>
        </w:tc>
        <w:tc>
          <w:tcPr>
            <w:tcW w:w="260" w:type="dxa"/>
            <w:vAlign w:val="bottom"/>
          </w:tcPr>
          <w:p>
            <w:pPr>
              <w:spacing w:after="0"/>
              <w:rPr>
                <w:sz w:val="24"/>
                <w:szCs w:val="24"/>
                <w:color w:val="auto"/>
              </w:rPr>
            </w:pPr>
          </w:p>
        </w:tc>
        <w:tc>
          <w:tcPr>
            <w:tcW w:w="4160" w:type="dxa"/>
            <w:vAlign w:val="bottom"/>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2695575</wp:posOffset>
            </wp:positionH>
            <wp:positionV relativeFrom="paragraph">
              <wp:posOffset>-216535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-216535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-216535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2867660</wp:posOffset>
            </wp:positionH>
            <wp:positionV relativeFrom="paragraph">
              <wp:posOffset>-216535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4" w:lineRule="exact"/>
        <w:rPr>
          <w:sz w:val="24"/>
          <w:szCs w:val="24"/>
          <w:color w:val="auto"/>
        </w:rPr>
      </w:pPr>
    </w:p>
    <w:p>
      <w:pPr>
        <w:spacing w:after="0" w:line="232" w:lineRule="exact"/>
        <w:rPr>
          <w:sz w:val="20"/>
          <w:szCs w:val="20"/>
          <w:color w:val="auto"/>
        </w:rPr>
      </w:pPr>
      <w:r>
        <w:rPr>
          <w:rFonts w:ascii="Times New Roman" w:cs="Times New Roman" w:eastAsia="Times New Roman" w:hAnsi="Times New Roman"/>
          <w:sz w:val="18"/>
          <w:szCs w:val="18"/>
          <w:color w:val="auto"/>
        </w:rPr>
        <w:t xml:space="preserve">If this form relates to the registration of a class of securities pursuant to Section 12(b) of the Exchange Act and is effective pursuant to General Instruction A.(c), check the following box. </w:t>
      </w:r>
      <w:r>
        <w:rPr>
          <w:rFonts w:ascii="MS PGothic" w:cs="MS PGothic" w:eastAsia="MS PGothic" w:hAnsi="MS PGothic"/>
          <w:sz w:val="18"/>
          <w:szCs w:val="18"/>
          <w:color w:val="auto"/>
        </w:rPr>
        <w:t>☒</w:t>
      </w:r>
    </w:p>
    <w:p>
      <w:pPr>
        <w:spacing w:after="0" w:line="184" w:lineRule="exact"/>
        <w:rPr>
          <w:sz w:val="24"/>
          <w:szCs w:val="24"/>
          <w:color w:val="auto"/>
        </w:rPr>
      </w:pPr>
    </w:p>
    <w:p>
      <w:pPr>
        <w:spacing w:after="0" w:line="275" w:lineRule="auto"/>
        <w:rPr>
          <w:sz w:val="20"/>
          <w:szCs w:val="20"/>
          <w:color w:val="auto"/>
        </w:rPr>
      </w:pPr>
      <w:r>
        <w:rPr>
          <w:rFonts w:ascii="Times New Roman" w:cs="Times New Roman" w:eastAsia="Times New Roman" w:hAnsi="Times New Roman"/>
          <w:sz w:val="18"/>
          <w:szCs w:val="18"/>
          <w:color w:val="auto"/>
        </w:rPr>
        <w:t>If this form relates to the registration of a class of securities pursuant to Section 12(g) of the Exchange Act and is effective pursuant to General Instruction A.(d), check the following box. o</w:t>
      </w:r>
    </w:p>
    <w:p>
      <w:pPr>
        <w:spacing w:after="0" w:line="17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Act registration statement file number to which this form relates: 333-135809</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to be registered pursuant to Section 12(g) of the Act: 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6376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376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227330</wp:posOffset>
            </wp:positionV>
            <wp:extent cx="726757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398780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051" w:right="35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1. Description of Registrant's Securities to be Registered.</w:t>
      </w:r>
    </w:p>
    <w:p>
      <w:pPr>
        <w:spacing w:after="0" w:line="227" w:lineRule="exact"/>
        <w:rPr>
          <w:sz w:val="20"/>
          <w:szCs w:val="20"/>
          <w:color w:val="auto"/>
        </w:rPr>
      </w:pPr>
    </w:p>
    <w:p>
      <w:pPr>
        <w:ind w:firstLine="348"/>
        <w:spacing w:after="0" w:line="262" w:lineRule="auto"/>
        <w:rPr>
          <w:sz w:val="20"/>
          <w:szCs w:val="20"/>
          <w:color w:val="auto"/>
        </w:rPr>
      </w:pPr>
      <w:r>
        <w:rPr>
          <w:rFonts w:ascii="Times New Roman" w:cs="Times New Roman" w:eastAsia="Times New Roman" w:hAnsi="Times New Roman"/>
          <w:sz w:val="18"/>
          <w:szCs w:val="18"/>
          <w:color w:val="auto"/>
        </w:rPr>
        <w:t>The description of the registrant's Common Stock, $0.0001 par value per share, set forth under the caption "Description of Capital Stock—Common Stock" in the registrant's Registration Statement on Form S-1, as amended, filed with the Securities and Exchange Commission (File No. 333-135809) is incorporated herein by reference.</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Exhibits.</w:t>
      </w:r>
    </w:p>
    <w:p>
      <w:pPr>
        <w:spacing w:after="0" w:line="227" w:lineRule="exact"/>
        <w:rPr>
          <w:sz w:val="20"/>
          <w:szCs w:val="20"/>
          <w:color w:val="auto"/>
        </w:rPr>
      </w:pPr>
    </w:p>
    <w:p>
      <w:pPr>
        <w:spacing w:after="0"/>
        <w:tabs>
          <w:tab w:leader="none" w:pos="520" w:val="left"/>
        </w:tabs>
        <w:rPr>
          <w:sz w:val="20"/>
          <w:szCs w:val="20"/>
          <w:color w:val="auto"/>
        </w:rPr>
      </w:pPr>
      <w:r>
        <w:rPr>
          <w:rFonts w:ascii="Times New Roman" w:cs="Times New Roman" w:eastAsia="Times New Roman" w:hAnsi="Times New Roman"/>
          <w:sz w:val="18"/>
          <w:szCs w:val="18"/>
          <w:color w:val="auto"/>
        </w:rPr>
        <w:t>99.1</w:t>
      </w:r>
      <w:r>
        <w:rPr>
          <w:sz w:val="20"/>
          <w:szCs w:val="20"/>
          <w:color w:val="auto"/>
        </w:rPr>
        <w:tab/>
      </w:r>
      <w:r>
        <w:rPr>
          <w:rFonts w:ascii="Times New Roman" w:cs="Times New Roman" w:eastAsia="Times New Roman" w:hAnsi="Times New Roman"/>
          <w:sz w:val="16"/>
          <w:szCs w:val="16"/>
          <w:color w:val="auto"/>
        </w:rPr>
        <w:t>Amended and Restated Certificate of Incorporation of Globalstar, Inc. (incorporated by reference to Exhibit 3.1 to the Registration Statement).</w:t>
      </w:r>
    </w:p>
    <w:p>
      <w:pPr>
        <w:spacing w:after="0" w:line="239" w:lineRule="exact"/>
        <w:rPr>
          <w:sz w:val="20"/>
          <w:szCs w:val="20"/>
          <w:color w:val="auto"/>
        </w:rPr>
      </w:pPr>
    </w:p>
    <w:p>
      <w:pPr>
        <w:spacing w:after="0"/>
        <w:tabs>
          <w:tab w:leader="none" w:pos="520" w:val="left"/>
        </w:tabs>
        <w:rPr>
          <w:sz w:val="20"/>
          <w:szCs w:val="20"/>
          <w:color w:val="auto"/>
        </w:rPr>
      </w:pPr>
      <w:r>
        <w:rPr>
          <w:rFonts w:ascii="Times New Roman" w:cs="Times New Roman" w:eastAsia="Times New Roman" w:hAnsi="Times New Roman"/>
          <w:sz w:val="18"/>
          <w:szCs w:val="18"/>
          <w:color w:val="auto"/>
        </w:rPr>
        <w:t>99.2</w:t>
      </w:r>
      <w:r>
        <w:rPr>
          <w:sz w:val="20"/>
          <w:szCs w:val="20"/>
          <w:color w:val="auto"/>
        </w:rPr>
        <w:tab/>
      </w:r>
      <w:r>
        <w:rPr>
          <w:rFonts w:ascii="Times New Roman" w:cs="Times New Roman" w:eastAsia="Times New Roman" w:hAnsi="Times New Roman"/>
          <w:sz w:val="16"/>
          <w:szCs w:val="16"/>
          <w:color w:val="auto"/>
        </w:rPr>
        <w:t>Amended and Restated Bylaws of Globalstar, Inc. (incorporated by reference to Exhibit 3.2 to the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167005</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23" w:right="379" w:bottom="1440" w:gutter="0" w:footer="0" w:header="0"/>
        </w:sectPr>
      </w:pPr>
    </w:p>
    <w:bookmarkStart w:id="2" w:name="page3"/>
    <w:bookmarkEnd w:id="2"/>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7" w:lineRule="exact"/>
        <w:rPr>
          <w:sz w:val="20"/>
          <w:szCs w:val="20"/>
          <w:color w:val="auto"/>
        </w:rPr>
      </w:pPr>
    </w:p>
    <w:p>
      <w:pPr>
        <w:ind w:firstLine="351"/>
        <w:spacing w:after="0" w:line="275" w:lineRule="auto"/>
        <w:rPr>
          <w:sz w:val="20"/>
          <w:szCs w:val="20"/>
          <w:color w:val="auto"/>
        </w:rPr>
      </w:pPr>
      <w:r>
        <w:rPr>
          <w:rFonts w:ascii="Times New Roman" w:cs="Times New Roman" w:eastAsia="Times New Roman" w:hAnsi="Times New Roman"/>
          <w:sz w:val="18"/>
          <w:szCs w:val="18"/>
          <w:color w:val="auto"/>
        </w:rPr>
        <w:t>Pursuant to the requirements of Section 12 of the Securities Exchange Act of 1934, the registrant has duly caused this registration statement to be signed on its behalf by the undersigned, thereto duly authorized.</w:t>
      </w:r>
    </w:p>
    <w:p>
      <w:pPr>
        <w:spacing w:after="0" w:line="174" w:lineRule="exact"/>
        <w:rPr>
          <w:sz w:val="20"/>
          <w:szCs w:val="20"/>
          <w:color w:val="auto"/>
        </w:rPr>
      </w:pPr>
    </w:p>
    <w:p>
      <w:pPr>
        <w:ind w:left="5500"/>
        <w:spacing w:after="0"/>
        <w:rPr>
          <w:sz w:val="20"/>
          <w:szCs w:val="20"/>
          <w:color w:val="auto"/>
        </w:rPr>
      </w:pPr>
      <w:r>
        <w:rPr>
          <w:rFonts w:ascii="Times New Roman" w:cs="Times New Roman" w:eastAsia="Times New Roman" w:hAnsi="Times New Roman"/>
          <w:sz w:val="18"/>
          <w:szCs w:val="18"/>
          <w:color w:val="auto"/>
        </w:rPr>
        <w:t>GLOBALSTAR, INC.</w:t>
      </w:r>
    </w:p>
    <w:p>
      <w:pPr>
        <w:spacing w:after="0" w:line="225" w:lineRule="exact"/>
        <w:rPr>
          <w:sz w:val="20"/>
          <w:szCs w:val="20"/>
          <w:color w:val="auto"/>
        </w:rPr>
      </w:pPr>
    </w:p>
    <w:p>
      <w:pPr>
        <w:ind w:left="5500"/>
        <w:spacing w:after="0"/>
        <w:tabs>
          <w:tab w:leader="none" w:pos="604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3844925</wp:posOffset>
            </wp:positionH>
            <wp:positionV relativeFrom="paragraph">
              <wp:posOffset>81280</wp:posOffset>
            </wp:positionV>
            <wp:extent cx="340868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08680" cy="21590"/>
                    </a:xfrm>
                    <a:prstGeom prst="rect">
                      <a:avLst/>
                    </a:prstGeom>
                    <a:noFill/>
                  </pic:spPr>
                </pic:pic>
              </a:graphicData>
            </a:graphic>
          </wp:anchor>
        </w:drawing>
      </w:r>
    </w:p>
    <w:p>
      <w:pPr>
        <w:spacing w:after="0" w:line="232" w:lineRule="exact"/>
        <w:rPr>
          <w:sz w:val="20"/>
          <w:szCs w:val="20"/>
          <w:color w:val="auto"/>
        </w:rPr>
      </w:pPr>
    </w:p>
    <w:p>
      <w:pPr>
        <w:ind w:left="5500"/>
        <w:spacing w:after="0"/>
        <w:rPr>
          <w:sz w:val="20"/>
          <w:szCs w:val="20"/>
          <w:color w:val="auto"/>
        </w:rPr>
      </w:pPr>
      <w:r>
        <w:rPr>
          <w:rFonts w:ascii="Times New Roman" w:cs="Times New Roman" w:eastAsia="Times New Roman" w:hAnsi="Times New Roman"/>
          <w:sz w:val="18"/>
          <w:szCs w:val="18"/>
          <w:color w:val="auto"/>
        </w:rPr>
        <w:t>Name: Fuad Ahmad</w:t>
      </w:r>
    </w:p>
    <w:p>
      <w:pPr>
        <w:spacing w:after="0" w:line="21" w:lineRule="exact"/>
        <w:rPr>
          <w:sz w:val="20"/>
          <w:szCs w:val="20"/>
          <w:color w:val="auto"/>
        </w:rPr>
      </w:pPr>
    </w:p>
    <w:p>
      <w:pPr>
        <w:ind w:left="5500"/>
        <w:spacing w:after="0"/>
        <w:rPr>
          <w:sz w:val="20"/>
          <w:szCs w:val="20"/>
          <w:color w:val="auto"/>
        </w:rPr>
      </w:pPr>
      <w:r>
        <w:rPr>
          <w:rFonts w:ascii="Times New Roman" w:cs="Times New Roman" w:eastAsia="Times New Roman" w:hAnsi="Times New Roman"/>
          <w:sz w:val="18"/>
          <w:szCs w:val="18"/>
          <w:color w:val="auto"/>
        </w:rPr>
        <w:t>Title: Vice President and Chief Financial Officer</w:t>
      </w:r>
    </w:p>
    <w:p>
      <w:pPr>
        <w:spacing w:after="0" w:line="2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October 30,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23" w:right="359" w:bottom="1440" w:gutter="0" w:footer="0" w:header="0"/>
        </w:sectPr>
      </w:pPr>
    </w:p>
    <w:bookmarkStart w:id="3" w:name="page4"/>
    <w:bookmarkEnd w:id="3"/>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2019-12-15T14:51:55Z</dcterms:created>
  <dcterms:modified xsi:type="dcterms:W3CDTF">2019-12-15T14:51:55Z</dcterms:modified>
</cp:coreProperties>
</file>