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Kagan David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HOLIDAY SQUARE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Globalstar,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GSAT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COVINGTON</w:t>
            </w:r>
          </w:p>
        </w:tc>
        <w:tc>
          <w:tcPr>
            <w:tcW w:w="960" w:type="dxa"/>
            <w:vAlign w:val="bottom"/>
          </w:tcPr>
          <w:p>
            <w:pPr>
              <w:ind w:left="120"/>
              <w:spacing w:after="0"/>
              <w:rPr>
                <w:sz w:val="20"/>
                <w:szCs w:val="20"/>
                <w:color w:val="auto"/>
              </w:rPr>
            </w:pPr>
            <w:r>
              <w:rPr>
                <w:rFonts w:ascii="Arial" w:cs="Arial" w:eastAsia="Arial" w:hAnsi="Arial"/>
                <w:sz w:val="17"/>
                <w:szCs w:val="17"/>
                <w:color w:val="0000FF"/>
              </w:rPr>
              <w:t>LA</w:t>
            </w:r>
          </w:p>
        </w:tc>
        <w:tc>
          <w:tcPr>
            <w:tcW w:w="1680" w:type="dxa"/>
            <w:vAlign w:val="bottom"/>
          </w:tcPr>
          <w:p>
            <w:pPr>
              <w:ind w:left="440"/>
              <w:spacing w:after="0"/>
              <w:rPr>
                <w:sz w:val="20"/>
                <w:szCs w:val="20"/>
                <w:color w:val="auto"/>
              </w:rPr>
            </w:pPr>
            <w:r>
              <w:rPr>
                <w:rFonts w:ascii="Arial" w:cs="Arial" w:eastAsia="Arial" w:hAnsi="Arial"/>
                <w:sz w:val="17"/>
                <w:szCs w:val="17"/>
                <w:color w:val="0000FF"/>
              </w:rPr>
              <w:t>70433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2860" w:type="dxa"/>
            <w:vAlign w:val="bottom"/>
            <w:gridSpan w:val="7"/>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3"/>
          </w:tcPr>
          <w:p>
            <w:pPr>
              <w:ind w:left="380"/>
              <w:spacing w:after="0" w:line="134"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02/27/2018</w:t>
            </w: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22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7"/>
                <w:szCs w:val="17"/>
                <w:color w:val="0000FF"/>
              </w:rPr>
              <w:t>26,455</w:t>
            </w:r>
            <w:r>
              <w:rPr>
                <w:rFonts w:ascii="Arial" w:cs="Arial" w:eastAsia="Arial" w:hAnsi="Arial"/>
                <w:sz w:val="22"/>
                <w:szCs w:val="22"/>
                <w:color w:val="008000"/>
                <w:vertAlign w:val="superscript"/>
              </w:rPr>
              <w:t>(1)</w:t>
            </w:r>
          </w:p>
        </w:tc>
        <w:tc>
          <w:tcPr>
            <w:tcW w:w="1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867,154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02/27/2018</w:t>
            </w: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220" w:type="dxa"/>
            <w:vAlign w:val="bottom"/>
            <w:tcBorders>
              <w:bottom w:val="single" w:sz="8" w:color="2C2C2C"/>
            </w:tcBorders>
            <w:gridSpan w:val="2"/>
          </w:tcPr>
          <w:p>
            <w:pPr>
              <w:jc w:val="center"/>
              <w:ind w:right="277"/>
              <w:spacing w:after="0"/>
              <w:rPr>
                <w:sz w:val="20"/>
                <w:szCs w:val="20"/>
                <w:color w:val="auto"/>
              </w:rPr>
            </w:pPr>
            <w:r>
              <w:rPr>
                <w:rFonts w:ascii="Arial" w:cs="Arial" w:eastAsia="Arial" w:hAnsi="Arial"/>
                <w:sz w:val="17"/>
                <w:szCs w:val="17"/>
                <w:color w:val="0000FF"/>
              </w:rPr>
              <w:t>9,180</w:t>
            </w:r>
            <w:r>
              <w:rPr>
                <w:rFonts w:ascii="Arial" w:cs="Arial" w:eastAsia="Arial" w:hAnsi="Arial"/>
                <w:sz w:val="22"/>
                <w:szCs w:val="22"/>
                <w:color w:val="008000"/>
                <w:vertAlign w:val="superscript"/>
              </w:rPr>
              <w:t>(2)</w:t>
            </w:r>
          </w:p>
        </w:tc>
        <w:tc>
          <w:tcPr>
            <w:tcW w:w="1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0.945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857,974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center"/>
              <w:ind w:left="37"/>
              <w:spacing w:after="0"/>
              <w:rPr>
                <w:sz w:val="20"/>
                <w:szCs w:val="20"/>
                <w:color w:val="auto"/>
              </w:rPr>
            </w:pPr>
            <w:r>
              <w:rPr>
                <w:rFonts w:ascii="Arial" w:cs="Arial" w:eastAsia="Arial" w:hAnsi="Arial"/>
                <w:sz w:val="13"/>
                <w:szCs w:val="13"/>
                <w:color w:val="0000FF"/>
                <w:w w:val="97"/>
              </w:rPr>
              <w:t>Voting</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250,000</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restart"/>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1.21</w:t>
            </w: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gridSpan w:val="2"/>
            <w:vMerge w:val="restart"/>
          </w:tcPr>
          <w:p>
            <w:pPr>
              <w:jc w:val="right"/>
              <w:ind w:right="99"/>
              <w:spacing w:after="0" w:line="148" w:lineRule="exact"/>
              <w:rPr>
                <w:sz w:val="20"/>
                <w:szCs w:val="20"/>
                <w:color w:val="auto"/>
              </w:rPr>
            </w:pPr>
            <w:r>
              <w:rPr>
                <w:rFonts w:ascii="Arial" w:cs="Arial" w:eastAsia="Arial" w:hAnsi="Arial"/>
                <w:sz w:val="13"/>
                <w:szCs w:val="13"/>
                <w:color w:val="0000FF"/>
              </w:rPr>
              <w:t>01/13/2017</w:t>
            </w:r>
          </w:p>
        </w:tc>
        <w:tc>
          <w:tcPr>
            <w:tcW w:w="72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01/13/2026</w:t>
            </w:r>
          </w:p>
        </w:tc>
        <w:tc>
          <w:tcPr>
            <w:tcW w:w="6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200"/>
              <w:spacing w:after="0" w:line="148" w:lineRule="exact"/>
              <w:rPr>
                <w:sz w:val="20"/>
                <w:szCs w:val="20"/>
                <w:color w:val="auto"/>
              </w:rPr>
            </w:pPr>
            <w:r>
              <w:rPr>
                <w:rFonts w:ascii="Arial" w:cs="Arial" w:eastAsia="Arial" w:hAnsi="Arial"/>
                <w:sz w:val="13"/>
                <w:szCs w:val="13"/>
                <w:color w:val="0000FF"/>
              </w:rPr>
              <w:t>250,000</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vMerge w:val="restart"/>
          </w:tcPr>
          <w:p>
            <w:pPr>
              <w:jc w:val="center"/>
              <w:ind w:left="57"/>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vMerge w:val="restart"/>
          </w:tcPr>
          <w:p>
            <w:pPr>
              <w:jc w:val="center"/>
              <w:ind w:left="37"/>
              <w:spacing w:after="0"/>
              <w:rPr>
                <w:sz w:val="20"/>
                <w:szCs w:val="20"/>
                <w:color w:val="auto"/>
              </w:rPr>
            </w:pPr>
            <w:r>
              <w:rPr>
                <w:rFonts w:ascii="Arial" w:cs="Arial" w:eastAsia="Arial" w:hAnsi="Arial"/>
                <w:sz w:val="13"/>
                <w:szCs w:val="13"/>
                <w:color w:val="0000FF"/>
                <w:w w:val="97"/>
              </w:rPr>
              <w:t>Voting</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restart"/>
          </w:tcPr>
          <w:p>
            <w:pPr>
              <w:jc w:val="right"/>
              <w:ind w:right="339"/>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750,000</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restart"/>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1.36</w:t>
            </w: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12/06/2027</w:t>
            </w:r>
          </w:p>
        </w:tc>
        <w:tc>
          <w:tcPr>
            <w:tcW w:w="6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2"/>
            <w:vMerge w:val="restart"/>
          </w:tcPr>
          <w:p>
            <w:pPr>
              <w:ind w:left="200"/>
              <w:spacing w:after="0" w:line="148" w:lineRule="exact"/>
              <w:rPr>
                <w:sz w:val="20"/>
                <w:szCs w:val="20"/>
                <w:color w:val="auto"/>
              </w:rPr>
            </w:pPr>
            <w:r>
              <w:rPr>
                <w:rFonts w:ascii="Arial" w:cs="Arial" w:eastAsia="Arial" w:hAnsi="Arial"/>
                <w:sz w:val="13"/>
                <w:szCs w:val="13"/>
                <w:color w:val="0000FF"/>
              </w:rPr>
              <w:t>750,000</w:t>
            </w: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vMerge w:val="restart"/>
          </w:tcPr>
          <w:p>
            <w:pPr>
              <w:jc w:val="center"/>
              <w:ind w:left="57"/>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under the Company's 2017 Key Employee Bonus Plan.</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based on the fair market value of the Common Stock on February 27, 2018, to pay required withholding taxes upon the vesting of shares pursuant to an award under the Company's 2017 Key Employee Bonus Plan.</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under 2006 Equity Incentive Plan. Award vests as to 10% after year 1, 15% after year 2 (25% cumulative), 25% after year 3 (50% cumulative) and the remaining 50% after year 4, or upon a change of control.</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David B.</w:t>
      </w:r>
      <w:r>
        <w:rPr>
          <w:sz w:val="20"/>
          <w:szCs w:val="20"/>
          <w:color w:val="auto"/>
        </w:rPr>
        <w:tab/>
      </w:r>
      <w:r>
        <w:rPr>
          <w:rFonts w:ascii="Arial" w:cs="Arial" w:eastAsia="Arial" w:hAnsi="Arial"/>
          <w:sz w:val="15"/>
          <w:szCs w:val="15"/>
          <w:color w:val="0000FF"/>
        </w:rPr>
        <w:t>03/01/2018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88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4362"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2019-12-07T05:04:51Z</dcterms:created>
  <dcterms:modified xsi:type="dcterms:W3CDTF">2019-12-07T05:04:51Z</dcterms:modified>
</cp:coreProperties>
</file>