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1,846,418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1,801,904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in connection with the achievement of certain performance incentives. Two-thirds of the awarded shares vested immediately, and the remaining one-third vests on November 15,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withheld, based on the fair market value of the Voting Common Stock on the grant date, to pay withholding taxes on the portion of the award that vested immediately.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L. Barbee</w:t>
        <w:tab/>
        <w:t>11/17/2022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Ponder 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686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2022-11-17T14:35:46Z</dcterms:created>
  <dcterms:modified xsi:type="dcterms:W3CDTF">2022-11-17T14:35:46Z</dcterms:modified>
</cp:coreProperties>
</file>