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8798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8798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300"/>
          </w:cols>
          <w:pgMar w:left="460" w:top="226" w:right="459" w:bottom="195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Monroe James III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1735 NINETEENTH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DENVER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Globalstar,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GSAT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2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40"/>
          </w:cols>
          <w:pgMar w:left="460" w:top="226" w:right="459" w:bottom="195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center"/>
              <w:ind w:left="42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1.1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97,338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5,681,736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Properties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06/02/2023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5,931,736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Properties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1.15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jc w:val="center"/>
              <w:ind w:left="4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06/05/2023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184,054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6,115,790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Properties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II,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875,540,711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FL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640,750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200,200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618,558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Globalstar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Satellite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626,930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Thermo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197,139,972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Funding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James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29,334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Monroe III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Monroe Irr.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Voting Common Stock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3,000,000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Educational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6" w:right="459" w:bottom="195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284480</wp:posOffset>
            </wp:positionH>
            <wp:positionV relativeFrom="page">
              <wp:posOffset>88900</wp:posOffset>
            </wp:positionV>
            <wp:extent cx="7043420" cy="191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200" w:firstLine="9"/>
        <w:spacing w:after="0" w:line="305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purchased in multiple transactions at prices ranging from $1.10 to $1.11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</w:r>
    </w:p>
    <w:p>
      <w:pPr>
        <w:ind w:right="200" w:firstLine="9"/>
        <w:spacing w:after="0" w:line="298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purchased in multiple transactions at prices ranging from $1.12 to $1.20 per share. The price reported reflects the volume weighted average purchase price for the transactions. The reporting person undertakes to provide upon request by the SEC staff, the issuer or a security holder of the issuer, full information regarding the number of shares purchased at each separate price.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Arthur McMahon, III,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-13970</wp:posOffset>
            </wp:positionV>
            <wp:extent cx="11125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Monroe 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-17780</wp:posOffset>
            </wp:positionV>
            <wp:extent cx="49276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14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202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9664" TargetMode="External"/><Relationship Id="rId13" Type="http://schemas.openxmlformats.org/officeDocument/2006/relationships/hyperlink" Target="http://www.sec.gov/cgi-bin/browse-edgar?action=getcompany&amp;CIK=0001366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2023-06-05T17:51:02Z</dcterms:created>
  <dcterms:modified xsi:type="dcterms:W3CDTF">2023-06-05T17:51:02Z</dcterms:modified>
</cp:coreProperties>
</file>