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May 5, 2023</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6"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Delaware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9"/>
              </w:rPr>
              <w:t>001-33117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41-2116508</w:t>
            </w:r>
          </w:p>
        </w:tc>
      </w:tr>
      <w:tr>
        <w:trPr>
          <w:trHeight w:val="225"/>
        </w:trPr>
        <w:tc>
          <w:tcPr>
            <w:tcW w:w="38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(Commission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tcPr>
          <w:p>
            <w:pPr>
              <w:spacing w:after="0"/>
              <w:rPr>
                <w:sz w:val="20"/>
                <w:szCs w:val="20"/>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File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5"/>
        </w:trPr>
        <w:tc>
          <w:tcPr>
            <w:tcW w:w="3840" w:type="dxa"/>
            <w:vAlign w:val="bottom"/>
          </w:tcPr>
          <w:p>
            <w:pPr>
              <w:spacing w:after="0"/>
              <w:rPr>
                <w:sz w:val="24"/>
                <w:szCs w:val="24"/>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9"/>
              </w:rPr>
              <w:t>1351 Holiday Square Blvd.</w:t>
            </w:r>
          </w:p>
        </w:tc>
        <w:tc>
          <w:tcPr>
            <w:tcW w:w="270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Covington, LA 70433</w:t>
            </w:r>
          </w:p>
        </w:tc>
        <w:tc>
          <w:tcPr>
            <w:tcW w:w="270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00" w:type="dxa"/>
            <w:vAlign w:val="bottom"/>
          </w:tcPr>
          <w:p>
            <w:pPr>
              <w:spacing w:after="0"/>
              <w:rPr>
                <w:sz w:val="18"/>
                <w:szCs w:val="18"/>
                <w:color w:val="auto"/>
              </w:rPr>
            </w:pPr>
          </w:p>
        </w:tc>
      </w:tr>
      <w:tr>
        <w:trPr>
          <w:trHeight w:val="234"/>
        </w:trPr>
        <w:tc>
          <w:tcPr>
            <w:tcW w:w="106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(985) 335-1500</w:t>
            </w:r>
          </w:p>
        </w:tc>
      </w:tr>
      <w:tr>
        <w:trPr>
          <w:trHeight w:val="414"/>
        </w:trPr>
        <w:tc>
          <w:tcPr>
            <w:tcW w:w="3840" w:type="dxa"/>
            <w:vAlign w:val="bottom"/>
          </w:tcPr>
          <w:p>
            <w:pPr>
              <w:spacing w:after="0"/>
              <w:rPr>
                <w:sz w:val="24"/>
                <w:szCs w:val="24"/>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Pr>
          <w:p>
            <w:pPr>
              <w:spacing w:after="0"/>
              <w:rPr>
                <w:sz w:val="24"/>
                <w:szCs w:val="24"/>
                <w:color w:val="auto"/>
              </w:rPr>
            </w:pPr>
          </w:p>
        </w:tc>
      </w:tr>
      <w:tr>
        <w:trPr>
          <w:trHeight w:val="234"/>
        </w:trPr>
        <w:tc>
          <w:tcPr>
            <w:tcW w:w="7960" w:type="dxa"/>
            <w:vAlign w:val="bottom"/>
            <w:gridSpan w:val="2"/>
          </w:tcPr>
          <w:p>
            <w:pPr>
              <w:jc w:val="center"/>
              <w:ind w:left="3092"/>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00" w:type="dxa"/>
            <w:vAlign w:val="bottom"/>
          </w:tcPr>
          <w:p>
            <w:pPr>
              <w:spacing w:after="0"/>
              <w:rPr>
                <w:sz w:val="20"/>
                <w:szCs w:val="20"/>
                <w:color w:val="auto"/>
              </w:rPr>
            </w:pPr>
          </w:p>
        </w:tc>
      </w:tr>
      <w:tr>
        <w:trPr>
          <w:trHeight w:val="289"/>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Securities registered pursuant to section 12(b) of the</w:t>
            </w:r>
          </w:p>
        </w:tc>
        <w:tc>
          <w:tcPr>
            <w:tcW w:w="4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Act:</w:t>
            </w:r>
          </w:p>
        </w:tc>
        <w:tc>
          <w:tcPr>
            <w:tcW w:w="4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22"/>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color w:val="auto"/>
                <w:w w:val="99"/>
              </w:rPr>
              <w:t>Trading Symbol</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exchange on which registered</w:t>
            </w:r>
          </w:p>
        </w:tc>
      </w:tr>
      <w:tr>
        <w:trPr>
          <w:trHeight w:val="230"/>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b w:val="1"/>
                <w:bCs w:val="1"/>
                <w:color w:val="auto"/>
                <w:w w:val="99"/>
              </w:rPr>
              <w:t>GSAT</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NYSE American</w:t>
            </w:r>
          </w:p>
        </w:tc>
      </w:tr>
    </w:tbl>
    <w:p>
      <w:pPr>
        <w:spacing w:after="0" w:line="30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38"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5, 2023, Globalstar, Inc. (the "Company") issued a press release to report first quarter 2023 operating and financial results. The text of the press release is furnished as Exhibit 99.1 to this Form 8-K. The documents available on, and the contents of, our website are not incorporated by reference into this Report.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62" w:lineRule="exact"/>
        <w:rPr>
          <w:sz w:val="20"/>
          <w:szCs w:val="20"/>
          <w:color w:val="auto"/>
        </w:rPr>
      </w:pPr>
    </w:p>
    <w:p>
      <w:pPr>
        <w:ind w:left="300"/>
        <w:spacing w:after="0"/>
        <w:tabs>
          <w:tab w:leader="none" w:pos="12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B. Kagan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ectPr>
          <w:pgSz w:w="11900" w:h="16838" w:orient="portrait"/>
          <w:cols w:equalWidth="0" w:num="1">
            <w:col w:w="10820"/>
          </w:cols>
          <w:pgMar w:left="320" w:top="1346" w:right="7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71450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9146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GLOBALSTAR ANNOUNCES FIRST QUARTER 2023 RESULTS</w:t>
      </w:r>
    </w:p>
    <w:p>
      <w:pPr>
        <w:spacing w:after="0" w:line="23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Covington, LA, May 5, 2023 </w:t>
      </w:r>
      <w:r>
        <w:rPr>
          <w:rFonts w:ascii="Times New Roman" w:cs="Times New Roman" w:eastAsia="Times New Roman" w:hAnsi="Times New Roman"/>
          <w:sz w:val="18"/>
          <w:szCs w:val="18"/>
          <w:color w:val="auto"/>
        </w:rPr>
        <w:t>-- Globalstar, Inc. (NYSE American: GSAT) today announced its operating and financial results for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2023.</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"Globalstar had record growth in the first quarter, with operating income up over 150% and an over 80% reduction in GAAP net loss, each led by a nearly 80% increase in total revenue over the first quarter of 2022, and we are poised to deliver sustainable revenue growth throughout 2023. Notably, Adjusted EBITDA increased over 200% with a healthy margin of 56%, up from 31% over the prior year's quarter" commented Dave Kagan, Chief Executive Officer of Globalstar. Kagan continued, “In addition to record financial growth and as highlighted in this release, we continue to execute along our four pillars - wholesale, legacy, IoT and terrestrial spectrum - which together make Globalstar a disruptive player in our industry."</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Jay Monroe, Globalstar Executive Chairman, concluded, “It would be hard to ignore the market and speculative implications around the almost daily satellite headlines related to competitive service offerings from new or existing satellite providers. While most alternatives are still in concept and testing mode, Globalstar is today enabling groundbreaking service offerings that are saving lives across our product portfolio. Of course, we do not believe the current market price of our stock reflects our company's value. All we can do is continue to execute.”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Improvements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we paid off the remaining balances due under the 2019 Facility Agreement and the vendor financing arrangement with MDA, using proceeds from the sale of $200.0 million in aggregate principal amount of non-convertible notes, which were issued net of a 5% OID and financing costs. This final step in a series of achievements completed our balance sheet improvements.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IoT</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recently announced the Realm enablement suite, which is expected to drive efficiency and time to market for the millions of IoT devices in our active sales pipeline. This technology is expected to continue the growth in Commercial IoT, which we discuss further in the Financial Review section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Terrestrial Spectrum Authority</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Mr. Monroe commented, "I recently mentioned publicly that we were in negotiations with several potential users of Band 53. The recently completed deals outlined below are just examples of what have resulted from these negotiations. We are excited about our progress, but nowhere near finished. With our Band 53 ecosystem now in place, we are bringing in deals, and it’s important to note our discussions are with a global audience. These milestones, particularly for a company of our size, are significant and testaments to the importance of our spectrum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accomplishments include:</w:t>
      </w:r>
    </w:p>
    <w:p>
      <w:pPr>
        <w:spacing w:after="0" w:line="279" w:lineRule="exact"/>
        <w:rPr>
          <w:sz w:val="20"/>
          <w:szCs w:val="20"/>
          <w:color w:val="auto"/>
        </w:rPr>
      </w:pPr>
    </w:p>
    <w:p>
      <w:pPr>
        <w:jc w:val="both"/>
        <w:ind w:left="660" w:hanging="328"/>
        <w:spacing w:after="0" w:line="227"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This week we signed an agreement for a unique terrestrial service utilizing Band 53 that is expected to generate significant near-term revenue as engineering analysis is completed and validated, after which the agreement would convert to a long-term lease generating additional revenue during the lease term. This service is incremental to our revenue as the nature of the network architecture does not affect current or future terrestrial or satellite services.</w:t>
      </w:r>
    </w:p>
    <w:p>
      <w:pPr>
        <w:spacing w:after="0" w:line="212" w:lineRule="exact"/>
        <w:rPr>
          <w:rFonts w:ascii="Arial" w:cs="Arial" w:eastAsia="Arial" w:hAnsi="Arial"/>
          <w:sz w:val="22"/>
          <w:szCs w:val="22"/>
          <w:color w:val="auto"/>
        </w:rPr>
      </w:pPr>
    </w:p>
    <w:p>
      <w:pPr>
        <w:ind w:left="660" w:right="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terrestrial authority for Band 53 in Spain. With close to 50 million POPs, Spain has brought the total number of authorized countries to 11, and we have approval processes ongoing in multiple European markets.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5" w:lineRule="exact"/>
        <w:rPr>
          <w:sz w:val="20"/>
          <w:szCs w:val="20"/>
          <w:color w:val="auto"/>
        </w:rPr>
      </w:pPr>
    </w:p>
    <w:p>
      <w:pPr>
        <w:jc w:val="both"/>
        <w:ind w:left="660" w:hanging="328"/>
        <w:spacing w:after="0" w:line="231"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signed and announced a collaboration agreement with Qualcomm for them to complete Band n53 enablement in their chipsets for both infrastructure and mobile devices. Together with Qualcomm, we are approaching their global system integrator network with an easy to deploy, private 5G service over Band n53. With Qualcomm’s support, we are adding more device and equipment OEMs to broaden our current product portfolio. We expect that operations in dynamic, remote and automated environments will be early adopters of the new Qualcomm-based equipment as Band n53 is a resource they can deploy across geographies.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revenue increased $25.9 million, or 79%, to $58.6 million during the first quarter of 2023 due to increases in both service revenue and revenue generated from subscriber equipment sales compared to the first quarter of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Service revenue increased $23.6 million or 80% during the first quarter of 2023 due primarily to higher wholesale capacity service revenue. This category of revenue includes fees earned under the previously disclosed Service Agreements. The increase from the prior year quarter resulted primarily from the launch of Phase 1 service in November 2022. Additionally, in connection with the amendment of the Service Agreements in February 2023, Partner agreed to pay us $6.5 million as consideration related to performance obligations completed in prior periods. Accordingly, we recognized this revenue during the first quarter of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subscriber service revenue also increased as a category led by Commercial IoT, an important area of growth for our business.</w:t>
      </w:r>
    </w:p>
    <w:p>
      <w:pPr>
        <w:spacing w:after="0" w:line="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Commercial IoT service revenue increased 11% from the first quarter of 2022 due to positive variances in both our average subscriber base and ARPU. Contrary to the headwinds that we experienced last year due to production delays, we are now seeing steady growth in net subscriber additions, resulting from a 74% increase in gross activations over the last twelve months compared to the preceding twelve-month period. We have now fulfilled the back orders that accumulated in 2022 following production delays for certain of our Commercial IoT products and expect to continue this momentum as we place manufacturing orders in volumes significantly above our historical levels in an effort to keep up with growing demand.</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Looking to legacy services, SPOT increased modestly due to an increase in average pricing, offset partially by lower average subscribers. Gross activations over the last twelve months were slower following several months without equipment sales of two of our core SPOT products. We are now in full production of these devices and, importantly, saw gross adds in the month of March that were nearly double the prior month. Duplex service revenue declined at an expected rate due to attrition in that subscriber base, offset partially by an ARPU increase.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Subscriber Equipment Sales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Subscriber equipment sales increased $2.3 million or 66% in the first quarter of 2023 compared to the first quarter of 2022 reaching its highest level in several years. Device sales have improved significantly in 2023, following resolution of the supply chain disruptions that negatively impacted sales during 2022.</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Commercial IoT equipment sales revenue increased more than 100% from the prior year's quarter for the second consecutive quarter. While this trend is driven partially by the fulfillment of sales orders placed in a previous period, much of it results from overall higher demand of our IoT products and services. This demand is accelerating as our VARs experience continued success across various verticals and applications.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SPOT equipment revenue increased 31% from the prior year's first quarter as we resumed production of one of our core devices. Today, all SPOT products are being manufactured in the ordinary course of business; therefore, we expect equipment sales to continue to increase as we move through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was $7.2 million during the first quarter of 2023 compared to loss from operations of $13.7 million during the first quarter of 2022. This improvement was due predominantly to an increase in revenue (discussed above) offset partially by an increase in operating expenses due primarily to higher cost of services, cost of subscriber equipment sales, and management, general and administrative costs (MG&amp;A).</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services was higher due primarily to lease and related occupancy costs associated with new gateway sites as we expanded and upgraded our global ground network to support wholesale capacity services. A significant portion of these costs are reimbursed to us in connection with the Service Agreements, and this consideration is being recognized as revenue.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cost of subscriber equipment sales is in line with the increase in equipment revenue, yielding consistent margin percentages in both periods.</w:t>
      </w:r>
    </w:p>
    <w:p>
      <w:pPr>
        <w:spacing w:after="0" w:line="2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MG&amp;A costs were higher during the first quarter of 2023 due primarily to stock-based compensation costs incurred from certain performance-based restricted stock awards that vested upon the achievement of specific targets, including EBITDA and execution of terrestrial spectrum agreements. The increase was also attributable to the release of a $1.0 million accrual for professional services that we determined was no longer owed in the first quarter of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Net loss decreased to $3.5 million for the first quarter of 2023 compared to $20.5 million for the first quarter of 2022. The net loss during the first three months of 2023 was due primarily to a $10.4 million non-cash loss on extinguishment of debt following the payoff of the 2019 Facility Agreement. This extinguishment loss offset higher income from operations of $20.9 million and lower interest expense of $7.5 million compared to the prior year's first quarter. The decrease in interest expense resulted from: (i) higher capitalized interest of $4.3 million (which decreases interest expense) due to an increase in capital expenditures as we complete work related to our new satellites, and (ii) lower gross interest costs totaling $3.2 million following the payoff of roughly half of the 2019 Facility Agreement in November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Adjusted EBITDA was $32.6 million during the first quarter of 2023 up $22.3 million, or 216%, compared to the prior year's quarter due to higher revenue offset partially by higher operating expenses (excluding EBITDA adjustments) for the reasons previously discussed. Adjusted EBITDA is a non-GAAP financial measure. For more information on its usage and</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presentation, as well as a reconciliation to GAAP net income (loss), refer to “Reconciliation of GAAP Net Income (Loss) to Non-GAAP Adjusted EBITDA”.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March 31, 2023, we held cash and cash equivalents of $20.5 million compared to $32.1 million as of December 31, 2022. Over the next twelve months, our sources of cash are expected to include primarily operating cash flows generated from the business as well as service prepayments from our Partner under the Service Agreements that will be used to fund capital expenditures associated with the new satellites. Other uses of cash will include the operating costs of the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reiterate our previously issued financial guidance for full year 2023 (excluding revenue from terrestrial spectrum opportunities) with anticipated results included below.</w:t>
      </w:r>
    </w:p>
    <w:p>
      <w:pPr>
        <w:spacing w:after="0" w:line="189"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between $185 million and $230 million</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of approximately 55%</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these financial metrics to continue to improve significantly by 2026, which is expected to be the first full year in which the new satellites are operational, with total revenue expected to increase by approximately 35% compared to the 2023 forecast.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previously announced, the Company will host a conference call to discuss its results at 9:00 a.m. Eastern Time (ET) on Friday, May 5, 2023. Details are as follows:</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61" w:right="339" w:bottom="1440" w:gutter="0" w:footer="0" w:header="0"/>
          <w:type w:val="continuous"/>
        </w:sectPr>
      </w:pPr>
    </w:p>
    <w:bookmarkStart w:id="6" w:name="page7"/>
    <w:bookmarkEnd w:id="6"/>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003415" cy="173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1739900"/>
                    </a:xfrm>
                    <a:prstGeom prst="rect">
                      <a:avLst/>
                    </a:prstGeom>
                    <a:noFill/>
                  </pic:spPr>
                </pic:pic>
              </a:graphicData>
            </a:graphic>
          </wp:anchor>
        </w:drawing>
      </w:r>
    </w:p>
    <w:p>
      <w:pPr>
        <w:spacing w:after="0"/>
        <w:tabs>
          <w:tab w:leader="none" w:pos="1080" w:val="left"/>
        </w:tabs>
        <w:rPr>
          <w:sz w:val="20"/>
          <w:szCs w:val="20"/>
          <w:color w:val="auto"/>
        </w:rPr>
      </w:pPr>
      <w:r>
        <w:rPr>
          <w:rFonts w:ascii="Times New Roman" w:cs="Times New Roman" w:eastAsia="Times New Roman" w:hAnsi="Times New Roman"/>
          <w:sz w:val="18"/>
          <w:szCs w:val="18"/>
          <w:i w:val="1"/>
          <w:iCs w:val="1"/>
          <w:color w:val="auto"/>
        </w:rPr>
        <w:t>Earnings</w:t>
      </w:r>
      <w:r>
        <w:rPr>
          <w:sz w:val="20"/>
          <w:szCs w:val="20"/>
          <w:color w:val="auto"/>
        </w:rPr>
        <w:tab/>
      </w:r>
      <w:r>
        <w:rPr>
          <w:rFonts w:ascii="Times New Roman" w:cs="Times New Roman" w:eastAsia="Times New Roman" w:hAnsi="Times New Roman"/>
          <w:sz w:val="18"/>
          <w:szCs w:val="18"/>
          <w:color w:val="auto"/>
        </w:rPr>
        <w:t>The earnings call will be available via webcast from the following link.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w:t>
      </w:r>
    </w:p>
    <w:p>
      <w:pPr>
        <w:spacing w:after="0" w:line="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Webcast Link: https://edge.media-server.com/mmc/p/cvpcsoxe</w:t>
      </w:r>
    </w:p>
    <w:p>
      <w:pPr>
        <w:spacing w:after="0" w:line="23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To participate in the earnings call via teleconference, participants should register at the following link to receive an email containing the dial-in number and unique passcode.</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Participant Teleconference Registration Link:</w:t>
      </w:r>
    </w:p>
    <w:p>
      <w:pPr>
        <w:spacing w:after="0" w:line="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https://register.vevent.com/register/BIb386fd8b68b24f689b10161c374e40a6</w:t>
      </w:r>
    </w:p>
    <w:p>
      <w:pPr>
        <w:spacing w:after="0" w:line="284" w:lineRule="exact"/>
        <w:rPr>
          <w:sz w:val="20"/>
          <w:szCs w:val="20"/>
          <w:color w:val="auto"/>
        </w:rPr>
      </w:pPr>
    </w:p>
    <w:p>
      <w:pPr>
        <w:ind w:left="1100" w:right="720" w:hanging="1093"/>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Audio Replay: </w:t>
      </w:r>
      <w:r>
        <w:rPr>
          <w:rFonts w:ascii="Times New Roman" w:cs="Times New Roman" w:eastAsia="Times New Roman" w:hAnsi="Times New Roman"/>
          <w:sz w:val="18"/>
          <w:szCs w:val="18"/>
          <w:color w:val="auto"/>
        </w:rPr>
        <w:t>For those unable to participate in the live call, a replay of the webcast will be available in the Investor Relations section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60" w:top="1440"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Globalstar, Inc.</w:t>
      </w:r>
    </w:p>
    <w:p>
      <w:pPr>
        <w:spacing w:after="0" w:line="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Globalstar empowers its customers to connect, transmit and communicate in smarter ways – easily, quickly, securely, and affordably – offering reliable satellite and terrestrial connectivity services as an international telecom infrastructure provider. The Company’s LEO satellite constellation assures secure data transmission for connecting and protecting assets, delivering key operational data, and saving lives – from any location – for consumers, businesses, and government agencies across the globe. Globalstar’s terrestrial spectrum, Band 53/n53, offers carriers, cable companies, and system integrators a versatile, fully licensed channel with a growing ecosystem to improve customer wireless connectivity. In addition to SPOT GPS messengers, Globalstar offers next-generation IoT hardware and software products for efficiently tracking and monitoring assets, processing smart data at the edge, and managing analytics with cloud-based telematics solutions to drive safety, productivity, and profitability.</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 that all SPOT products described in this press release are the products of SPOT LLC, which is not affiliated in any manner with Spot Image of Toulouse, France or Spot Image Corporation of Chantilly, Virginia.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www.globalstar.com.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investorrelations@globalstar.com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Language for Globalstar Releases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expectations with respect to the pursuit of terrestrial spectrum authorities globally, the success of current and potential future applications for our terrestrial spectrum, future increases in our revenue and profitability, our ability to meet our obligations under, and profit from, the Service Agreements,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58,644</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0" w:type="dxa"/>
            <w:vAlign w:val="bottom"/>
          </w:tcPr>
          <w:p>
            <w:pPr>
              <w:spacing w:after="0"/>
              <w:rPr>
                <w:sz w:val="1"/>
                <w:szCs w:val="1"/>
                <w:color w:val="auto"/>
              </w:rPr>
            </w:pPr>
          </w:p>
        </w:tc>
      </w:tr>
      <w:tr>
        <w:trPr>
          <w:trHeight w:val="20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(exclusive of depreciation, amortization, and accretion shown separately below)</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0" w:type="dxa"/>
            <w:vAlign w:val="bottom"/>
          </w:tcPr>
          <w:p>
            <w:pPr>
              <w:spacing w:after="0"/>
              <w:rPr>
                <w:sz w:val="1"/>
                <w:szCs w:val="1"/>
                <w:color w:val="auto"/>
              </w:rPr>
            </w:pP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46,484</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and expense, net of amounts capitalized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0" w:type="dxa"/>
            <w:vAlign w:val="bottom"/>
          </w:tcPr>
          <w:p>
            <w:pPr>
              <w:spacing w:after="0"/>
              <w:rPr>
                <w:sz w:val="1"/>
                <w:szCs w:val="1"/>
                <w:color w:val="auto"/>
              </w:rPr>
            </w:pP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loss</w:t>
            </w:r>
          </w:p>
        </w:tc>
        <w:tc>
          <w:tcPr>
            <w:tcW w:w="3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gain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(20,462)</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(20,462)</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1,811,831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1,797,671</w:t>
            </w:r>
          </w:p>
        </w:tc>
        <w:tc>
          <w:tcPr>
            <w:tcW w:w="0" w:type="dxa"/>
            <w:vAlign w:val="bottom"/>
          </w:tcPr>
          <w:p>
            <w:pPr>
              <w:spacing w:after="0"/>
              <w:rPr>
                <w:sz w:val="1"/>
                <w:szCs w:val="1"/>
                <w:color w:val="auto"/>
              </w:rPr>
            </w:pPr>
          </w:p>
        </w:tc>
      </w:tr>
      <w:tr>
        <w:trPr>
          <w:trHeight w:val="234"/>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1,811,831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80" w:top="1224" w:right="399" w:bottom="1440" w:gutter="0" w:footer="0" w:header="0"/>
        </w:sectPr>
      </w:pPr>
    </w:p>
    <w:bookmarkStart w:id="9" w:name="page10"/>
    <w:bookmarkEnd w:id="9"/>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RECONCILIATION OF GAAP NET INCOME (LOSS) TO NON-GAAP ADJUSTED EBITDA</w:t>
      </w:r>
    </w:p>
    <w:p>
      <w:pPr>
        <w:spacing w:after="0" w:line="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(Unaudited)</w:t>
      </w:r>
    </w:p>
    <w:p>
      <w:pPr>
        <w:spacing w:after="0" w:line="343"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324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8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r>
      <w:tr>
        <w:trPr>
          <w:trHeight w:val="223"/>
        </w:trPr>
        <w:tc>
          <w:tcPr>
            <w:tcW w:w="78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(3,480)</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(20,462)</w:t>
            </w:r>
          </w:p>
        </w:tc>
      </w:tr>
      <w:tr>
        <w:trPr>
          <w:trHeight w:val="270"/>
        </w:trPr>
        <w:tc>
          <w:tcPr>
            <w:tcW w:w="78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r>
      <w:tr>
        <w:trPr>
          <w:trHeight w:val="23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loss</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21,933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20,529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r>
      <w:tr>
        <w:trPr>
          <w:trHeight w:val="270"/>
        </w:trPr>
        <w:tc>
          <w:tcPr>
            <w:tcW w:w="78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3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gain and other</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(1,808)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78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Non-cash consideration, net, associated with wholesale capacity contract </w:t>
            </w:r>
            <w:r>
              <w:rPr>
                <w:rFonts w:ascii="Times New Roman" w:cs="Times New Roman" w:eastAsia="Times New Roman" w:hAnsi="Times New Roman"/>
                <w:sz w:val="23"/>
                <w:szCs w:val="23"/>
                <w:color w:val="auto"/>
                <w:vertAlign w:val="superscript"/>
              </w:rPr>
              <w:t>(2)</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shareholder litigation cost recovery</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10,403</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32,574</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467" w:hanging="467"/>
        <w:spacing w:after="0" w:line="223" w:lineRule="auto"/>
        <w:tabs>
          <w:tab w:leader="none" w:pos="4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Management uses Adjusted EBITDA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spacing w:after="0" w:line="117" w:lineRule="exact"/>
        <w:rPr>
          <w:rFonts w:ascii="Times New Roman" w:cs="Times New Roman" w:eastAsia="Times New Roman" w:hAnsi="Times New Roman"/>
          <w:sz w:val="16"/>
          <w:szCs w:val="16"/>
          <w:color w:val="auto"/>
        </w:rPr>
      </w:pPr>
    </w:p>
    <w:p>
      <w:pPr>
        <w:jc w:val="both"/>
        <w:ind w:left="467"/>
        <w:spacing w:after="0" w:line="21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spacing w:after="0" w:line="6" w:lineRule="exact"/>
        <w:rPr>
          <w:rFonts w:ascii="Times New Roman" w:cs="Times New Roman" w:eastAsia="Times New Roman" w:hAnsi="Times New Roman"/>
          <w:sz w:val="16"/>
          <w:szCs w:val="16"/>
          <w:color w:val="auto"/>
        </w:rPr>
      </w:pPr>
    </w:p>
    <w:p>
      <w:pPr>
        <w:jc w:val="both"/>
        <w:ind w:left="467" w:hanging="467"/>
        <w:spacing w:after="0"/>
        <w:tabs>
          <w:tab w:leader="none" w:pos="4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significant financing component associated with prepayments made by the customer under the Service Agreements recorded as deferred revenue as well as a reduction to revenue associated with the non-cash fair value associated with consideration paid to the customer under the Service Agreements in the form of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7"/>
          </w:cols>
          <w:pgMar w:left="393" w:top="1170" w:right="39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Subscriber</w:t>
      </w:r>
    </w:p>
    <w:p>
      <w:pPr>
        <w:spacing w:after="0" w:line="23"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Duplex</w:t>
      </w:r>
    </w:p>
    <w:p>
      <w:pPr>
        <w:spacing w:after="0" w:line="23"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SPOT</w:t>
      </w:r>
    </w:p>
    <w:p>
      <w:pPr>
        <w:spacing w:after="0" w:line="23"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Commercial IoT</w:t>
      </w:r>
    </w:p>
    <w:p>
      <w:pPr>
        <w:spacing w:after="0" w:line="23"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Wholesale capacity</w:t>
      </w:r>
    </w:p>
    <w:p>
      <w:pPr>
        <w:spacing w:after="0" w:line="23"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Engineering and other</w:t>
      </w:r>
    </w:p>
    <w:p>
      <w:pPr>
        <w:spacing w:after="0" w:line="58"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Total revenue</w:t>
      </w:r>
    </w:p>
    <w:p>
      <w:pPr>
        <w:spacing w:after="0" w:line="29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Average subscribers</w:t>
      </w:r>
    </w:p>
    <w:p>
      <w:pPr>
        <w:spacing w:after="0" w:line="27"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Duplex</w:t>
      </w:r>
    </w:p>
    <w:p>
      <w:pPr>
        <w:spacing w:after="0" w:line="23"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SPOT</w:t>
      </w:r>
    </w:p>
    <w:p>
      <w:pPr>
        <w:spacing w:after="0" w:line="23"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Commercial IoT</w:t>
      </w:r>
    </w:p>
    <w:p>
      <w:pPr>
        <w:spacing w:after="0" w:line="23"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Total average subscribers</w:t>
      </w:r>
    </w:p>
    <w:p>
      <w:pPr>
        <w:spacing w:after="0" w:line="278"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 xml:space="preserve">ARPU </w:t>
      </w:r>
      <w:r>
        <w:rPr>
          <w:rFonts w:ascii="Times New Roman" w:cs="Times New Roman" w:eastAsia="Times New Roman" w:hAnsi="Times New Roman"/>
          <w:sz w:val="23"/>
          <w:szCs w:val="23"/>
          <w:color w:val="auto"/>
          <w:vertAlign w:val="superscript"/>
        </w:rPr>
        <w:t>(1)</w:t>
      </w:r>
    </w:p>
    <w:p>
      <w:pPr>
        <w:ind w:left="132"/>
        <w:spacing w:after="0"/>
        <w:rPr>
          <w:sz w:val="20"/>
          <w:szCs w:val="20"/>
          <w:color w:val="auto"/>
        </w:rPr>
      </w:pPr>
      <w:r>
        <w:rPr>
          <w:rFonts w:ascii="Times New Roman" w:cs="Times New Roman" w:eastAsia="Times New Roman" w:hAnsi="Times New Roman"/>
          <w:sz w:val="18"/>
          <w:szCs w:val="18"/>
          <w:color w:val="auto"/>
        </w:rPr>
        <w:t>Duplex</w:t>
      </w:r>
    </w:p>
    <w:p>
      <w:pPr>
        <w:spacing w:after="0" w:line="7"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SPOT</w:t>
      </w:r>
    </w:p>
    <w:p>
      <w:pPr>
        <w:spacing w:after="0" w:line="23"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8"/>
          <w:szCs w:val="18"/>
          <w:color w:val="auto"/>
        </w:rPr>
        <w:t>Commercial IoT</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b w:val="1"/>
          <w:bCs w:val="1"/>
          <w:color w:val="auto"/>
        </w:rPr>
        <w:t>SCHEDULE OF SELECTED OPERATING METRICS</w:t>
      </w:r>
    </w:p>
    <w:p>
      <w:pPr>
        <w:spacing w:after="0" w:line="79"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color w:val="auto"/>
        </w:rPr>
        <w:t>(In thousands, except subscriber and ARPU data)</w:t>
      </w:r>
    </w:p>
    <w:p>
      <w:pPr>
        <w:spacing w:after="0" w:line="63"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color w:val="auto"/>
        </w:rPr>
        <w:t>(Unaudited)</w:t>
      </w:r>
    </w:p>
    <w:p>
      <w:pPr>
        <w:spacing w:after="0" w:line="140" w:lineRule="exact"/>
        <w:rPr>
          <w:sz w:val="20"/>
          <w:szCs w:val="20"/>
          <w:color w:val="auto"/>
        </w:rPr>
      </w:pPr>
    </w:p>
    <w:p>
      <w:pPr>
        <w:jc w:val="center"/>
        <w:ind w:left="-189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89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top w:val="single" w:sz="8" w:color="auto"/>
              <w:bottom w:val="single" w:sz="8" w:color="auto"/>
            </w:tcBorders>
          </w:tcPr>
          <w:p>
            <w:pPr>
              <w:spacing w:after="0"/>
              <w:rPr>
                <w:sz w:val="19"/>
                <w:szCs w:val="19"/>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Equipment</w:t>
            </w:r>
          </w:p>
        </w:tc>
      </w:tr>
      <w:tr>
        <w:trPr>
          <w:trHeight w:val="66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30"/>
        </w:trPr>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29"/>
        </w:trPr>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91"/>
        </w:trPr>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91"/>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-2871470</wp:posOffset>
            </wp:positionV>
            <wp:extent cx="710628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-2579370</wp:posOffset>
            </wp:positionV>
            <wp:extent cx="710628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-2287905</wp:posOffset>
            </wp:positionV>
            <wp:extent cx="710628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-1997075</wp:posOffset>
            </wp:positionV>
            <wp:extent cx="710628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-1654175</wp:posOffset>
            </wp:positionV>
            <wp:extent cx="710628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-1362710</wp:posOffset>
            </wp:positionV>
            <wp:extent cx="710628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-1071245</wp:posOffset>
            </wp:positionV>
            <wp:extent cx="710628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-753745</wp:posOffset>
            </wp:positionV>
            <wp:extent cx="71062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-436880</wp:posOffset>
            </wp:positionV>
            <wp:extent cx="710628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-145415</wp:posOffset>
            </wp:positionV>
            <wp:extent cx="710628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52" w:space="720"/>
            <w:col w:w="7760"/>
          </w:cols>
          <w:pgMar w:left="328" w:top="1170" w:right="339" w:bottom="1440" w:gutter="0" w:footer="0" w:header="0"/>
        </w:sectPr>
      </w:pPr>
    </w:p>
    <w:p>
      <w:pPr>
        <w:spacing w:after="0" w:line="89" w:lineRule="exact"/>
        <w:rPr>
          <w:sz w:val="20"/>
          <w:szCs w:val="20"/>
          <w:color w:val="auto"/>
        </w:rPr>
      </w:pPr>
    </w:p>
    <w:p>
      <w:pPr>
        <w:ind w:left="492" w:hanging="492"/>
        <w:spacing w:after="0" w:line="223" w:lineRule="auto"/>
        <w:tabs>
          <w:tab w:leader="none" w:pos="40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32"/>
      </w:cols>
      <w:pgMar w:left="328" w:top="117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2023-05-05T07:09:48Z</dcterms:created>
  <dcterms:modified xsi:type="dcterms:W3CDTF">2023-05-05T07:09:48Z</dcterms:modified>
</cp:coreProperties>
</file>