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109" w:lineRule="exact"/>
        <w:rPr>
          <w:sz w:val="24"/>
          <w:szCs w:val="24"/>
          <w:color w:val="auto"/>
        </w:rPr>
      </w:pPr>
    </w:p>
    <w:p>
      <w:pPr>
        <w:ind w:left="1260" w:hanging="1166"/>
        <w:spacing w:after="0"/>
        <w:tabs>
          <w:tab w:leader="none" w:pos="12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2026</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OR</w:t>
      </w:r>
    </w:p>
    <w:p>
      <w:pPr>
        <w:spacing w:after="0" w:line="109" w:lineRule="exact"/>
        <w:rPr>
          <w:sz w:val="24"/>
          <w:szCs w:val="24"/>
          <w:color w:val="auto"/>
        </w:rPr>
      </w:pPr>
    </w:p>
    <w:p>
      <w:pPr>
        <w:ind w:left="1260" w:hanging="1166"/>
        <w:spacing w:after="0"/>
        <w:tabs>
          <w:tab w:leader="none" w:pos="12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880"/>
        <w:spacing w:after="0"/>
        <w:tabs>
          <w:tab w:leader="none" w:pos="6560" w:val="left"/>
        </w:tabs>
        <w:rPr>
          <w:sz w:val="20"/>
          <w:szCs w:val="20"/>
          <w:color w:val="auto"/>
        </w:rPr>
      </w:pPr>
      <w:r>
        <w:rPr>
          <w:rFonts w:ascii="Times New Roman" w:cs="Times New Roman" w:eastAsia="Times New Roman" w:hAnsi="Times New Roman"/>
          <w:sz w:val="17"/>
          <w:szCs w:val="17"/>
          <w:color w:val="auto"/>
        </w:rPr>
        <w:t>For the Transition Period from</w:t>
      </w:r>
      <w:r>
        <w:rPr>
          <w:sz w:val="20"/>
          <w:szCs w:val="20"/>
          <w:color w:val="auto"/>
        </w:rPr>
        <w:tab/>
      </w:r>
      <w:r>
        <w:rPr>
          <w:rFonts w:ascii="Times New Roman" w:cs="Times New Roman" w:eastAsia="Times New Roman" w:hAnsi="Times New Roman"/>
          <w:sz w:val="14"/>
          <w:szCs w:val="14"/>
          <w:color w:val="auto"/>
        </w:rPr>
        <w:t>to</w:t>
      </w:r>
    </w:p>
    <w:p>
      <w:pPr>
        <w:spacing w:after="0" w:line="2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Commission File Number 001-33117</w:t>
      </w:r>
    </w:p>
    <w:p>
      <w:pPr>
        <w:spacing w:after="0" w:line="1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40"/>
          </w:cols>
          <w:pgMar w:left="320" w:top="963" w:right="339" w:bottom="1440" w:gutter="0" w:footer="0" w:header="0"/>
        </w:sectPr>
      </w:pPr>
    </w:p>
    <w:p>
      <w:pPr>
        <w:spacing w:after="0" w:line="10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31"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3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7"/>
          <w:szCs w:val="17"/>
          <w:b w:val="1"/>
          <w:bCs w:val="1"/>
          <w:color w:val="auto"/>
        </w:rPr>
        <w:t>41-2116508</w:t>
      </w:r>
    </w:p>
    <w:p>
      <w:pPr>
        <w:spacing w:after="0" w:line="31"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422" w:lineRule="exact"/>
        <w:rPr>
          <w:sz w:val="24"/>
          <w:szCs w:val="24"/>
          <w:color w:val="auto"/>
        </w:rPr>
      </w:pPr>
    </w:p>
    <w:p>
      <w:pPr>
        <w:sectPr>
          <w:pgSz w:w="11900" w:h="16838" w:orient="portrait"/>
          <w:cols w:equalWidth="0" w:num="2">
            <w:col w:w="6580" w:space="720"/>
            <w:col w:w="3940"/>
          </w:cols>
          <w:pgMar w:left="320" w:top="963" w:right="339" w:bottom="1440" w:gutter="0" w:footer="0" w:header="0"/>
          <w:type w:val="continuous"/>
        </w:sectPr>
      </w:pP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1351 Holiday Square Blvd.</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Covington, Louisiana 70433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(985) 335-1500</w:t>
      </w:r>
    </w:p>
    <w:p>
      <w:pPr>
        <w:spacing w:after="0" w:line="125" w:lineRule="exact"/>
        <w:rPr>
          <w:sz w:val="24"/>
          <w:szCs w:val="24"/>
          <w:color w:val="auto"/>
        </w:rPr>
      </w:pPr>
    </w:p>
    <w:p>
      <w:pPr>
        <w:jc w:val="center"/>
        <w:ind w:right="7540"/>
        <w:spacing w:after="0"/>
        <w:rPr>
          <w:sz w:val="20"/>
          <w:szCs w:val="20"/>
          <w:color w:val="auto"/>
        </w:rPr>
      </w:pPr>
      <w:r>
        <w:rPr>
          <w:rFonts w:ascii="Times New Roman" w:cs="Times New Roman" w:eastAsia="Times New Roman" w:hAnsi="Times New Roman"/>
          <w:sz w:val="16"/>
          <w:szCs w:val="16"/>
          <w:color w:val="auto"/>
        </w:rPr>
        <w:t>Securities registered pursuant to section 12(b) of the</w:t>
      </w:r>
    </w:p>
    <w:p>
      <w:pPr>
        <w:spacing w:after="0" w:line="4" w:lineRule="exact"/>
        <w:rPr>
          <w:sz w:val="24"/>
          <w:szCs w:val="24"/>
          <w:color w:val="auto"/>
        </w:rPr>
      </w:pPr>
    </w:p>
    <w:p>
      <w:pPr>
        <w:jc w:val="center"/>
        <w:ind w:right="7540"/>
        <w:spacing w:after="0"/>
        <w:rPr>
          <w:sz w:val="20"/>
          <w:szCs w:val="20"/>
          <w:color w:val="auto"/>
        </w:rPr>
      </w:pPr>
      <w:r>
        <w:rPr>
          <w:rFonts w:ascii="Times New Roman" w:cs="Times New Roman" w:eastAsia="Times New Roman" w:hAnsi="Times New Roman"/>
          <w:sz w:val="17"/>
          <w:szCs w:val="17"/>
          <w:color w:val="auto"/>
        </w:rPr>
        <w:t>Act:</w:t>
      </w:r>
    </w:p>
    <w:p>
      <w:pPr>
        <w:sectPr>
          <w:pgSz w:w="11900" w:h="16838" w:orient="portrait"/>
          <w:cols w:equalWidth="0" w:num="1">
            <w:col w:w="11240"/>
          </w:cols>
          <w:pgMar w:left="320" w:top="963" w:right="339" w:bottom="1440" w:gutter="0" w:footer="0" w:header="0"/>
          <w:type w:val="continuous"/>
        </w:sectPr>
      </w:pPr>
    </w:p>
    <w:p>
      <w:pPr>
        <w:spacing w:after="0" w:line="2"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16"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Common Stock, par value $0.0001 per share</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Times New Roman" w:cs="Times New Roman" w:eastAsia="Times New Roman" w:hAnsi="Times New Roman"/>
          <w:sz w:val="16"/>
          <w:szCs w:val="16"/>
          <w:color w:val="auto"/>
        </w:rPr>
        <w:t>Trading Symbol</w:t>
      </w:r>
    </w:p>
    <w:p>
      <w:pPr>
        <w:spacing w:after="0" w:line="28"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7"/>
          <w:szCs w:val="17"/>
          <w:b w:val="1"/>
          <w:bCs w:val="1"/>
          <w:color w:val="auto"/>
        </w:rPr>
        <w:t>GSAT</w:t>
      </w:r>
    </w:p>
    <w:p>
      <w:pPr>
        <w:spacing w:after="0" w:line="20" w:lineRule="exact"/>
        <w:rPr>
          <w:sz w:val="24"/>
          <w:szCs w:val="24"/>
          <w:color w:val="auto"/>
        </w:rPr>
      </w:pPr>
      <w:r>
        <w:rPr>
          <w:sz w:val="24"/>
          <w:szCs w:val="24"/>
          <w:color w:val="auto"/>
        </w:rPr>
        <w:br w:type="column"/>
      </w:r>
    </w:p>
    <w:p>
      <w:pPr>
        <w:jc w:val="center"/>
        <w:ind w:right="560"/>
        <w:spacing w:after="0"/>
        <w:rPr>
          <w:sz w:val="20"/>
          <w:szCs w:val="20"/>
          <w:color w:val="auto"/>
        </w:rPr>
      </w:pPr>
      <w:r>
        <w:rPr>
          <w:rFonts w:ascii="Times New Roman" w:cs="Times New Roman" w:eastAsia="Times New Roman" w:hAnsi="Times New Roman"/>
          <w:sz w:val="16"/>
          <w:szCs w:val="16"/>
          <w:color w:val="auto"/>
        </w:rPr>
        <w:t>Name of exchange on which registered</w:t>
      </w:r>
    </w:p>
    <w:p>
      <w:pPr>
        <w:spacing w:after="0" w:line="28"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109" w:lineRule="exact"/>
        <w:rPr>
          <w:sz w:val="24"/>
          <w:szCs w:val="24"/>
          <w:color w:val="auto"/>
        </w:rPr>
      </w:pPr>
    </w:p>
    <w:p>
      <w:pPr>
        <w:sectPr>
          <w:pgSz w:w="11900" w:h="16838" w:orient="portrait"/>
          <w:cols w:equalWidth="0" w:num="3">
            <w:col w:w="4360" w:space="720"/>
            <w:col w:w="2300" w:space="720"/>
            <w:col w:w="3140"/>
          </w:cols>
          <w:pgMar w:left="320" w:top="963" w:right="339" w:bottom="1440" w:gutter="0" w:footer="0" w:header="0"/>
          <w:type w:val="continuous"/>
        </w:sectPr>
      </w:pPr>
    </w:p>
    <w:p>
      <w:pPr>
        <w:jc w:val="both"/>
        <w:ind w:firstLine="235"/>
        <w:spacing w:after="0" w:line="21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4" w:lineRule="exact"/>
        <w:rPr>
          <w:sz w:val="24"/>
          <w:szCs w:val="24"/>
          <w:color w:val="auto"/>
        </w:rPr>
      </w:pPr>
    </w:p>
    <w:p>
      <w:pPr>
        <w:jc w:val="both"/>
        <w:ind w:firstLine="235"/>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1" w:lineRule="exact"/>
        <w:rPr>
          <w:sz w:val="24"/>
          <w:szCs w:val="24"/>
          <w:color w:val="auto"/>
        </w:rPr>
      </w:pPr>
    </w:p>
    <w:p>
      <w:pPr>
        <w:jc w:val="both"/>
        <w:ind w:firstLine="235"/>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1560" w:type="dxa"/>
        <w:tblCellMar>
          <w:top w:w="0" w:type="dxa"/>
          <w:left w:w="0" w:type="dxa"/>
          <w:bottom w:w="0" w:type="dxa"/>
          <w:right w:w="0" w:type="dxa"/>
        </w:tblCellMar>
      </w:tblPr>
      <w:tr>
        <w:trPr>
          <w:trHeight w:val="222"/>
        </w:trPr>
        <w:tc>
          <w:tcPr>
            <w:tcW w:w="2280" w:type="dxa"/>
            <w:vAlign w:val="bottom"/>
          </w:tcPr>
          <w:p>
            <w:pPr>
              <w:jc w:val="center"/>
              <w:ind w:right="717"/>
              <w:spacing w:after="0"/>
              <w:rPr>
                <w:sz w:val="20"/>
                <w:szCs w:val="20"/>
                <w:color w:val="auto"/>
              </w:rPr>
            </w:pPr>
            <w:r>
              <w:rPr>
                <w:rFonts w:ascii="Times New Roman" w:cs="Times New Roman" w:eastAsia="Times New Roman" w:hAnsi="Times New Roman"/>
                <w:sz w:val="17"/>
                <w:szCs w:val="17"/>
                <w:color w:val="auto"/>
                <w:w w:val="96"/>
              </w:rPr>
              <w:t>Large accelerated filer</w:t>
            </w:r>
          </w:p>
        </w:tc>
        <w:tc>
          <w:tcPr>
            <w:tcW w:w="2200" w:type="dxa"/>
            <w:vAlign w:val="bottom"/>
          </w:tcPr>
          <w:p>
            <w:pPr>
              <w:ind w:left="820"/>
              <w:spacing w:after="0" w:line="171" w:lineRule="exact"/>
              <w:rPr>
                <w:sz w:val="20"/>
                <w:szCs w:val="20"/>
                <w:color w:val="auto"/>
              </w:rPr>
            </w:pPr>
            <w:r>
              <w:rPr>
                <w:rFonts w:ascii="MS PGothic" w:cs="MS PGothic" w:eastAsia="MS PGothic" w:hAnsi="MS PGothic"/>
                <w:sz w:val="17"/>
                <w:szCs w:val="17"/>
                <w:color w:val="auto"/>
              </w:rPr>
              <w:t>☒</w:t>
            </w:r>
          </w:p>
        </w:tc>
        <w:tc>
          <w:tcPr>
            <w:tcW w:w="3520" w:type="dxa"/>
            <w:vAlign w:val="bottom"/>
          </w:tcPr>
          <w:p>
            <w:pPr>
              <w:jc w:val="center"/>
              <w:ind w:left="677"/>
              <w:spacing w:after="0"/>
              <w:rPr>
                <w:sz w:val="20"/>
                <w:szCs w:val="20"/>
                <w:color w:val="auto"/>
              </w:rPr>
            </w:pPr>
            <w:r>
              <w:rPr>
                <w:rFonts w:ascii="Times New Roman" w:cs="Times New Roman" w:eastAsia="Times New Roman" w:hAnsi="Times New Roman"/>
                <w:sz w:val="17"/>
                <w:szCs w:val="17"/>
                <w:color w:val="auto"/>
                <w:w w:val="98"/>
              </w:rPr>
              <w:t>Accelerated filer</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22"/>
        </w:trPr>
        <w:tc>
          <w:tcPr>
            <w:tcW w:w="2280" w:type="dxa"/>
            <w:vAlign w:val="bottom"/>
          </w:tcPr>
          <w:p>
            <w:pPr>
              <w:jc w:val="center"/>
              <w:ind w:right="717"/>
              <w:spacing w:after="0"/>
              <w:rPr>
                <w:sz w:val="20"/>
                <w:szCs w:val="20"/>
                <w:color w:val="auto"/>
              </w:rPr>
            </w:pPr>
            <w:r>
              <w:rPr>
                <w:rFonts w:ascii="Times New Roman" w:cs="Times New Roman" w:eastAsia="Times New Roman" w:hAnsi="Times New Roman"/>
                <w:sz w:val="17"/>
                <w:szCs w:val="17"/>
                <w:color w:val="auto"/>
                <w:w w:val="97"/>
              </w:rPr>
              <w:t>Non-accelerated filer</w:t>
            </w:r>
          </w:p>
        </w:tc>
        <w:tc>
          <w:tcPr>
            <w:tcW w:w="2200" w:type="dxa"/>
            <w:vAlign w:val="bottom"/>
          </w:tcPr>
          <w:p>
            <w:pPr>
              <w:ind w:left="820"/>
              <w:spacing w:after="0" w:line="171" w:lineRule="exact"/>
              <w:rPr>
                <w:sz w:val="20"/>
                <w:szCs w:val="20"/>
                <w:color w:val="auto"/>
              </w:rPr>
            </w:pPr>
            <w:r>
              <w:rPr>
                <w:rFonts w:ascii="MS PGothic" w:cs="MS PGothic" w:eastAsia="MS PGothic" w:hAnsi="MS PGothic"/>
                <w:sz w:val="17"/>
                <w:szCs w:val="17"/>
                <w:color w:val="auto"/>
              </w:rPr>
              <w:t>☐</w:t>
            </w:r>
          </w:p>
        </w:tc>
        <w:tc>
          <w:tcPr>
            <w:tcW w:w="3520" w:type="dxa"/>
            <w:vAlign w:val="bottom"/>
          </w:tcPr>
          <w:p>
            <w:pPr>
              <w:jc w:val="center"/>
              <w:ind w:left="677"/>
              <w:spacing w:after="0"/>
              <w:rPr>
                <w:sz w:val="20"/>
                <w:szCs w:val="20"/>
                <w:color w:val="auto"/>
              </w:rPr>
            </w:pPr>
            <w:r>
              <w:rPr>
                <w:rFonts w:ascii="Times New Roman" w:cs="Times New Roman" w:eastAsia="Times New Roman" w:hAnsi="Times New Roman"/>
                <w:sz w:val="17"/>
                <w:szCs w:val="17"/>
                <w:color w:val="auto"/>
                <w:w w:val="96"/>
              </w:rPr>
              <w:t>Smaller reporting company</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0"/>
        </w:trPr>
        <w:tc>
          <w:tcPr>
            <w:tcW w:w="2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520" w:type="dxa"/>
            <w:vAlign w:val="bottom"/>
          </w:tcPr>
          <w:p>
            <w:pPr>
              <w:jc w:val="center"/>
              <w:ind w:left="677"/>
              <w:spacing w:after="0"/>
              <w:rPr>
                <w:sz w:val="20"/>
                <w:szCs w:val="20"/>
                <w:color w:val="auto"/>
              </w:rPr>
            </w:pPr>
            <w:r>
              <w:rPr>
                <w:rFonts w:ascii="Times New Roman" w:cs="Times New Roman" w:eastAsia="Times New Roman" w:hAnsi="Times New Roman"/>
                <w:sz w:val="17"/>
                <w:szCs w:val="17"/>
                <w:color w:val="auto"/>
                <w:w w:val="96"/>
              </w:rPr>
              <w:t>Emerging growth company</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59" w:lineRule="exact"/>
        <w:rPr>
          <w:sz w:val="24"/>
          <w:szCs w:val="24"/>
          <w:color w:val="auto"/>
        </w:rPr>
      </w:pPr>
    </w:p>
    <w:p>
      <w:pPr>
        <w:ind w:firstLine="525"/>
        <w:spacing w:after="0" w:line="21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3" w:lineRule="exact"/>
        <w:rPr>
          <w:sz w:val="24"/>
          <w:szCs w:val="24"/>
          <w:color w:val="auto"/>
        </w:rPr>
      </w:pPr>
    </w:p>
    <w:p>
      <w:pPr>
        <w:ind w:left="24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by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248"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7"/>
          <w:szCs w:val="17"/>
          <w:color w:val="auto"/>
        </w:rPr>
        <w:t>As of May 1, 2026, 128,788,931 shares of common stock were outstanding and 149,425 shares of preferred stock were outstanding.</w:t>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900" w:type="dxa"/>
            <w:vAlign w:val="bottom"/>
          </w:tcPr>
          <w:p>
            <w:pPr>
              <w:spacing w:after="0"/>
              <w:rPr>
                <w:sz w:val="19"/>
                <w:szCs w:val="19"/>
                <w:color w:val="auto"/>
              </w:rPr>
            </w:pPr>
          </w:p>
        </w:tc>
        <w:tc>
          <w:tcPr>
            <w:tcW w:w="9040" w:type="dxa"/>
            <w:vAlign w:val="bottom"/>
          </w:tcPr>
          <w:p>
            <w:pPr>
              <w:jc w:val="center"/>
              <w:ind w:left="573"/>
              <w:spacing w:after="0"/>
              <w:rPr>
                <w:sz w:val="20"/>
                <w:szCs w:val="20"/>
                <w:color w:val="auto"/>
              </w:rPr>
            </w:pPr>
            <w:r>
              <w:rPr>
                <w:rFonts w:ascii="Times New Roman" w:cs="Times New Roman" w:eastAsia="Times New Roman" w:hAnsi="Times New Roman"/>
                <w:sz w:val="17"/>
                <w:szCs w:val="17"/>
                <w:b w:val="1"/>
                <w:bCs w:val="1"/>
                <w:color w:val="auto"/>
              </w:rPr>
              <w:t>FORM 10-Q</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900" w:type="dxa"/>
            <w:vAlign w:val="bottom"/>
          </w:tcPr>
          <w:p>
            <w:pPr>
              <w:spacing w:after="0"/>
              <w:rPr>
                <w:sz w:val="24"/>
                <w:szCs w:val="24"/>
                <w:color w:val="auto"/>
              </w:rPr>
            </w:pPr>
          </w:p>
        </w:tc>
        <w:tc>
          <w:tcPr>
            <w:tcW w:w="9040" w:type="dxa"/>
            <w:vAlign w:val="bottom"/>
          </w:tcPr>
          <w:p>
            <w:pPr>
              <w:jc w:val="center"/>
              <w:ind w:left="553"/>
              <w:spacing w:after="0"/>
              <w:rPr>
                <w:sz w:val="20"/>
                <w:szCs w:val="20"/>
                <w:color w:val="auto"/>
              </w:rPr>
            </w:pPr>
            <w:r>
              <w:rPr>
                <w:rFonts w:ascii="Times New Roman" w:cs="Times New Roman" w:eastAsia="Times New Roman" w:hAnsi="Times New Roman"/>
                <w:sz w:val="17"/>
                <w:szCs w:val="17"/>
                <w:b w:val="1"/>
                <w:bCs w:val="1"/>
                <w:color w:val="auto"/>
              </w:rPr>
              <w:t>GLOBALSTAR, INC.</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040" w:type="dxa"/>
            <w:vAlign w:val="bottom"/>
          </w:tcPr>
          <w:p>
            <w:pPr>
              <w:jc w:val="center"/>
              <w:ind w:left="553"/>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9"/>
        </w:trPr>
        <w:tc>
          <w:tcPr>
            <w:tcW w:w="900" w:type="dxa"/>
            <w:vAlign w:val="bottom"/>
          </w:tcPr>
          <w:p>
            <w:pPr>
              <w:spacing w:after="0"/>
              <w:rPr>
                <w:sz w:val="24"/>
                <w:szCs w:val="24"/>
                <w:color w:val="auto"/>
              </w:rPr>
            </w:pPr>
          </w:p>
        </w:tc>
        <w:tc>
          <w:tcPr>
            <w:tcW w:w="9040" w:type="dxa"/>
            <w:vAlign w:val="bottom"/>
            <w:vMerge w:val="restart"/>
          </w:tcPr>
          <w:p>
            <w:pPr>
              <w:ind w:left="2560"/>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tc>
        <w:tc>
          <w:tcPr>
            <w:tcW w:w="12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904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Cautionary Statement About Forward-Looking Statements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Financial Statements.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Controls and Procedures.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9040" w:type="dxa"/>
            <w:vAlign w:val="bottom"/>
          </w:tcPr>
          <w:p>
            <w:pPr>
              <w:ind w:left="2700"/>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Legal Proceedings.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1A.</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Risk Factors.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Unregistered Sales of Equity Securities and Use of Proceeds.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Defaults Upon Senior Securities.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Mine Safety Disclosures.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5.</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Information.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6.</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Exhibits.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Signatures</w:t>
            </w:r>
          </w:p>
        </w:tc>
        <w:tc>
          <w:tcPr>
            <w:tcW w:w="90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CAUTIONARY STATEMENT ABOUT FORWARD-LOOKING STATEMENTS</w:t>
      </w:r>
    </w:p>
    <w:p>
      <w:pPr>
        <w:spacing w:after="0" w:line="251"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Certain statements contained in or incorporated by reference into this Quarterly Report on Form 10-Q (this "Report"), other than purely historical information, including, but not limited to, estimates, projections, or statements relating to the pending Mergers with Amazon (each as defined herein), our business plans, objectives and expected operating results, our anticipated financial resources, our expectations about the future operational performance of our satellites (including their projected operational lives) and the completion, delivery and launch of new satellites, our expectations regarding the outcomes of regulatory and licensing proceedings, the expected growth prospects of our existing customers and the markets that we serve, and the assumptions upon which those statements are based, are forward-looking statements within the meaning of the Private Securities Litigation Reform Act of 1995. These forward-looking statements generally are identified by the words "believe," "might," "could," "project," "expect,"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We caution readers that forward-looking statements are not guarantees of future performance and actual results may differ materially from those anticipated, expected, projected or assumed in the forward-looking statements.</w:t>
      </w:r>
    </w:p>
    <w:p>
      <w:pPr>
        <w:spacing w:after="0" w:line="193" w:lineRule="exact"/>
        <w:rPr>
          <w:sz w:val="20"/>
          <w:szCs w:val="20"/>
          <w:color w:val="auto"/>
        </w:rPr>
      </w:pPr>
    </w:p>
    <w:p>
      <w:pPr>
        <w:jc w:val="both"/>
        <w:ind w:firstLine="314"/>
        <w:spacing w:after="0"/>
        <w:rPr>
          <w:sz w:val="20"/>
          <w:szCs w:val="20"/>
          <w:color w:val="auto"/>
        </w:rPr>
      </w:pPr>
      <w:r>
        <w:rPr>
          <w:rFonts w:ascii="Times New Roman" w:cs="Times New Roman" w:eastAsia="Times New Roman" w:hAnsi="Times New Roman"/>
          <w:sz w:val="17"/>
          <w:szCs w:val="17"/>
          <w:color w:val="auto"/>
        </w:rPr>
        <w:t>Important factors that may cause our actual results to differ materially from those anticipated in forward-looking statements, include, but are not limited to, our ability to complete the Mergers on the anticipated terms and timing, or at all, including obtaining required regulatory approvals and the satisfaction of other conditions to the completion of the Mergers, potential litigation relating to the Mergers, including the effects of any outcomes related thereto, the risk that disruptions from the Mergers (such as the ability of certain of our customers to terminate or amend contracts upon a change of control, or to withhold consent to such change of control) will harm our business, including current plans and operations, our ability to retain and hire key personnel, the diversion of management’s time and attention from ordinary course business operations, potential adverse reactions or changes to business relationships resulting from the announcement or completion of the Mergers, contractual provisions that may impact our ability to pursue certain business opportunities or strategic transactions during the pendency, and/or following the completion of, the Mergers, the occurrence of any event, change, or other circumstance that could give rise to the termination of the Mergers, including in circumstances requiring us to pay a termination fee under the Merger Agreement (as defined herein), our ability to meet our obligations to attain the anticipated benefits under the Updated Services Agreements (as defined herein) and avoid the potential adjustment of the Merger Consideration (as defined herein) if we fail to meet certain milestones based on the Company's agreements with the Customer, our ability to retain existing customers, including the Customer (as defined herein), the operational performance and orbital lives of our satellites, including damage to, failure of, or disruptions or other problems at our satellites or associated ground facilities and network operations control centers, our ability to successfully or timely launch satellites, changes in our operating plans or corporate strategies, commercial acceptance of and demand for our products and services, our ability to adequately anticipate our satellite capacity needs and maintain sufficient satellite capacity to meet current and increased demand (including the impact of delays in the completion, delivery or launch of new satellites), our ability to exploit and respond to technological innovation, including integrating licensed technology into our products and services and developing, acquiring, maintaining and protecting information and intellectual property rights, our ability to effectively compete in the markets in which we operate, geopolitical and economic conditions and risks associated with doing business on a global basis, including in developing markets, the availability of equipment, component parts and other materials used in our business operations, the reliance on key suppliers, our ability to raise capital on reasonable terms, our ability to manage costs, our ability to develop and expand our business (including our ability to maintain, expand and monetize our spectrum rights), our compliance with and interpretation of laws and regulations (including tax laws and regulations), including those related to the use of our spectrum, our ability to comply with the restrictive covenants of our financing arrangements and limitations on our ability to incur additional indebtedness, any cyber-related attacks and other security breaches, our ability to obtain and maintain adequate insurance coverages, volatility of spectrum values, changes in tax rates and the results of tax examinations, litigation or investigations, regulatory restrictions, liabilities or penalties, reduction of spectrum authority, additional spectrum sharing agreements, or revocation, modification or non-renewal of necessary licenses, the opportunities for strategic business transactions and the effects of consolidation in our industry on us and our competitors, business interruptions due to natural disasters and unexpected events, volatility in the trading price of our common stock (including the risk that our stock price may decline if the Mergers are not consummated) and other factors described in more detail in Item 1A. Risk Factors in our Annual Report on Form 10-K for the fiscal year ended December 31, 2025, as filed with the U.S. Securities and Exchange Commission (the "SEC") on February 27, 2026 (the "2025 Annual Report"), as updated under “Risk Factors” in Part II, Item 1A of this Report and as may be further updated by subsequent filings with the SEC. Further, new risk factors emerge from time to time, and it is not possible for us to predict all risk factors, nor can we accurately assess the ultimate impact of all factors on our business or the extent to which any factor, or combination of factors, may cause actual results to differ materially from those contained in any forward-looking statements. We undertake no obligation to update any of our forward-looking statements after the date of this Report to reflect actual results, future events or circumstances, or changes in our assumptions, business plans or other changes.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INCOME (LOSS)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48" w:lineRule="exact"/>
        <w:rPr>
          <w:sz w:val="20"/>
          <w:szCs w:val="20"/>
          <w:color w:val="auto"/>
        </w:rPr>
      </w:pPr>
    </w:p>
    <w:tbl>
      <w:tblPr>
        <w:tblLayout w:type="fixed"/>
        <w:tblInd w:w="700" w:type="dxa"/>
        <w:tblCellMar>
          <w:top w:w="0" w:type="dxa"/>
          <w:left w:w="0" w:type="dxa"/>
          <w:bottom w:w="0" w:type="dxa"/>
          <w:right w:w="0" w:type="dxa"/>
        </w:tblCellMar>
      </w:tblPr>
      <w:tr>
        <w:trPr>
          <w:trHeight w:val="228"/>
        </w:trPr>
        <w:tc>
          <w:tcPr>
            <w:tcW w:w="6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4"/>
          </w:tcPr>
          <w:p>
            <w:pPr>
              <w:jc w:val="right"/>
              <w:ind w:right="957"/>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tcPr>
          <w:p>
            <w:pPr>
              <w:ind w:left="200"/>
              <w:spacing w:after="0" w:line="158" w:lineRule="exact"/>
              <w:rPr>
                <w:sz w:val="20"/>
                <w:szCs w:val="20"/>
                <w:color w:val="auto"/>
              </w:rPr>
            </w:pPr>
            <w:r>
              <w:rPr>
                <w:rFonts w:ascii="Times New Roman" w:cs="Times New Roman" w:eastAsia="Times New Roman" w:hAnsi="Times New Roman"/>
                <w:sz w:val="17"/>
                <w:szCs w:val="17"/>
                <w:b w:val="1"/>
                <w:bCs w:val="1"/>
                <w:color w:val="auto"/>
              </w:rPr>
              <w:t>March 31,</w:t>
            </w:r>
          </w:p>
        </w:tc>
        <w:tc>
          <w:tcPr>
            <w:tcW w:w="300" w:type="dxa"/>
            <w:vAlign w:val="bottom"/>
          </w:tcPr>
          <w:p>
            <w:pPr>
              <w:spacing w:after="0"/>
              <w:rPr>
                <w:sz w:val="13"/>
                <w:szCs w:val="13"/>
                <w:color w:val="auto"/>
              </w:rPr>
            </w:pPr>
          </w:p>
        </w:tc>
        <w:tc>
          <w:tcPr>
            <w:tcW w:w="1440" w:type="dxa"/>
            <w:vAlign w:val="bottom"/>
          </w:tcPr>
          <w:p>
            <w:pPr>
              <w:jc w:val="right"/>
              <w:ind w:right="437"/>
              <w:spacing w:after="0" w:line="158" w:lineRule="exact"/>
              <w:rPr>
                <w:sz w:val="20"/>
                <w:szCs w:val="20"/>
                <w:color w:val="auto"/>
              </w:rPr>
            </w:pPr>
            <w:r>
              <w:rPr>
                <w:rFonts w:ascii="Times New Roman" w:cs="Times New Roman" w:eastAsia="Times New Roman" w:hAnsi="Times New Roman"/>
                <w:sz w:val="17"/>
                <w:szCs w:val="17"/>
                <w:b w:val="1"/>
                <w:bCs w:val="1"/>
                <w:color w:val="auto"/>
              </w:rPr>
              <w:t>March 31,</w:t>
            </w:r>
          </w:p>
        </w:tc>
        <w:tc>
          <w:tcPr>
            <w:tcW w:w="0" w:type="dxa"/>
            <w:vAlign w:val="bottom"/>
          </w:tcPr>
          <w:p>
            <w:pPr>
              <w:spacing w:after="0"/>
              <w:rPr>
                <w:sz w:val="1"/>
                <w:szCs w:val="1"/>
                <w:color w:val="auto"/>
              </w:rPr>
            </w:pPr>
          </w:p>
        </w:tc>
      </w:tr>
      <w:tr>
        <w:trPr>
          <w:trHeight w:val="221"/>
        </w:trPr>
        <w:tc>
          <w:tcPr>
            <w:tcW w:w="63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Revenue:</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196"/>
        </w:trPr>
        <w:tc>
          <w:tcPr>
            <w:tcW w:w="63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Service revenue</w:t>
            </w: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66,701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57,067</w:t>
            </w:r>
          </w:p>
        </w:tc>
        <w:tc>
          <w:tcPr>
            <w:tcW w:w="0" w:type="dxa"/>
            <w:vAlign w:val="bottom"/>
          </w:tcPr>
          <w:p>
            <w:pPr>
              <w:spacing w:after="0"/>
              <w:rPr>
                <w:sz w:val="1"/>
                <w:szCs w:val="1"/>
                <w:color w:val="auto"/>
              </w:rPr>
            </w:pPr>
          </w:p>
        </w:tc>
      </w:tr>
      <w:tr>
        <w:trPr>
          <w:trHeight w:val="219"/>
        </w:trPr>
        <w:tc>
          <w:tcPr>
            <w:tcW w:w="6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Subscriber equipment sales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2,965</w:t>
            </w:r>
          </w:p>
        </w:tc>
        <w:tc>
          <w:tcPr>
            <w:tcW w:w="0" w:type="dxa"/>
            <w:vAlign w:val="bottom"/>
          </w:tcPr>
          <w:p>
            <w:pPr>
              <w:spacing w:after="0"/>
              <w:rPr>
                <w:sz w:val="1"/>
                <w:szCs w:val="1"/>
                <w:color w:val="auto"/>
              </w:rPr>
            </w:pPr>
          </w:p>
        </w:tc>
      </w:tr>
      <w:tr>
        <w:trPr>
          <w:trHeight w:val="219"/>
        </w:trPr>
        <w:tc>
          <w:tcPr>
            <w:tcW w:w="6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revenue</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70,064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60,032</w:t>
            </w:r>
          </w:p>
        </w:tc>
        <w:tc>
          <w:tcPr>
            <w:tcW w:w="0" w:type="dxa"/>
            <w:vAlign w:val="bottom"/>
          </w:tcPr>
          <w:p>
            <w:pPr>
              <w:spacing w:after="0"/>
              <w:rPr>
                <w:sz w:val="1"/>
                <w:szCs w:val="1"/>
                <w:color w:val="auto"/>
              </w:rPr>
            </w:pPr>
          </w:p>
        </w:tc>
      </w:tr>
      <w:tr>
        <w:trPr>
          <w:trHeight w:val="199"/>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630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7"/>
                <w:szCs w:val="17"/>
                <w:color w:val="auto"/>
              </w:rPr>
              <w:t>Cost of services (exclusive of depreciation, amortization, and accretion shown separately</w:t>
            </w:r>
          </w:p>
        </w:tc>
        <w:tc>
          <w:tcPr>
            <w:tcW w:w="3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18,625</w:t>
            </w:r>
          </w:p>
        </w:tc>
        <w:tc>
          <w:tcPr>
            <w:tcW w:w="0" w:type="dxa"/>
            <w:vAlign w:val="bottom"/>
          </w:tcPr>
          <w:p>
            <w:pPr>
              <w:spacing w:after="0"/>
              <w:rPr>
                <w:sz w:val="1"/>
                <w:szCs w:val="1"/>
                <w:color w:val="auto"/>
              </w:rPr>
            </w:pPr>
          </w:p>
        </w:tc>
      </w:tr>
      <w:tr>
        <w:trPr>
          <w:trHeight w:val="218"/>
        </w:trPr>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below)</w:t>
            </w:r>
          </w:p>
        </w:tc>
        <w:tc>
          <w:tcPr>
            <w:tcW w:w="30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Cost of subscriber equipment sales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2,047</w:t>
            </w:r>
          </w:p>
        </w:tc>
        <w:tc>
          <w:tcPr>
            <w:tcW w:w="0" w:type="dxa"/>
            <w:vAlign w:val="bottom"/>
          </w:tcPr>
          <w:p>
            <w:pPr>
              <w:spacing w:after="0"/>
              <w:rPr>
                <w:sz w:val="1"/>
                <w:szCs w:val="1"/>
                <w:color w:val="auto"/>
              </w:rPr>
            </w:pPr>
          </w:p>
        </w:tc>
      </w:tr>
      <w:tr>
        <w:trPr>
          <w:trHeight w:val="226"/>
        </w:trPr>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Marketing, general and administrative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14,828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11,589</w:t>
            </w:r>
          </w:p>
        </w:tc>
        <w:tc>
          <w:tcPr>
            <w:tcW w:w="0" w:type="dxa"/>
            <w:vAlign w:val="bottom"/>
          </w:tcPr>
          <w:p>
            <w:pPr>
              <w:spacing w:after="0"/>
              <w:rPr>
                <w:sz w:val="1"/>
                <w:szCs w:val="1"/>
                <w:color w:val="auto"/>
              </w:rPr>
            </w:pPr>
          </w:p>
        </w:tc>
      </w:tr>
      <w:tr>
        <w:trPr>
          <w:trHeight w:val="219"/>
        </w:trPr>
        <w:tc>
          <w:tcPr>
            <w:tcW w:w="6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Stock-based compensation</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6,957</w:t>
            </w:r>
          </w:p>
        </w:tc>
        <w:tc>
          <w:tcPr>
            <w:tcW w:w="0" w:type="dxa"/>
            <w:vAlign w:val="bottom"/>
          </w:tcPr>
          <w:p>
            <w:pPr>
              <w:spacing w:after="0"/>
              <w:rPr>
                <w:sz w:val="1"/>
                <w:szCs w:val="1"/>
                <w:color w:val="auto"/>
              </w:rPr>
            </w:pPr>
          </w:p>
        </w:tc>
      </w:tr>
      <w:tr>
        <w:trPr>
          <w:trHeight w:val="226"/>
        </w:trPr>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Reduction in the value and disposal of long-lived assets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7,038</w:t>
            </w:r>
          </w:p>
        </w:tc>
        <w:tc>
          <w:tcPr>
            <w:tcW w:w="0" w:type="dxa"/>
            <w:vAlign w:val="bottom"/>
          </w:tcPr>
          <w:p>
            <w:pPr>
              <w:spacing w:after="0"/>
              <w:rPr>
                <w:sz w:val="1"/>
                <w:szCs w:val="1"/>
                <w:color w:val="auto"/>
              </w:rPr>
            </w:pPr>
          </w:p>
        </w:tc>
      </w:tr>
      <w:tr>
        <w:trPr>
          <w:trHeight w:val="219"/>
        </w:trPr>
        <w:tc>
          <w:tcPr>
            <w:tcW w:w="6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Depreciation, amortization and accretion</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18,397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22,277</w:t>
            </w:r>
          </w:p>
        </w:tc>
        <w:tc>
          <w:tcPr>
            <w:tcW w:w="0" w:type="dxa"/>
            <w:vAlign w:val="bottom"/>
          </w:tcPr>
          <w:p>
            <w:pPr>
              <w:spacing w:after="0"/>
              <w:rPr>
                <w:sz w:val="1"/>
                <w:szCs w:val="1"/>
                <w:color w:val="auto"/>
              </w:rPr>
            </w:pPr>
          </w:p>
        </w:tc>
      </w:tr>
      <w:tr>
        <w:trPr>
          <w:trHeight w:val="219"/>
        </w:trPr>
        <w:tc>
          <w:tcPr>
            <w:tcW w:w="6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61,894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68,533</w:t>
            </w:r>
          </w:p>
        </w:tc>
        <w:tc>
          <w:tcPr>
            <w:tcW w:w="0" w:type="dxa"/>
            <w:vAlign w:val="bottom"/>
          </w:tcPr>
          <w:p>
            <w:pPr>
              <w:spacing w:after="0"/>
              <w:rPr>
                <w:sz w:val="1"/>
                <w:szCs w:val="1"/>
                <w:color w:val="auto"/>
              </w:rPr>
            </w:pPr>
          </w:p>
        </w:tc>
      </w:tr>
      <w:tr>
        <w:trPr>
          <w:trHeight w:val="212"/>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8,170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(8,501)</w:t>
            </w:r>
          </w:p>
        </w:tc>
        <w:tc>
          <w:tcPr>
            <w:tcW w:w="0" w:type="dxa"/>
            <w:vAlign w:val="bottom"/>
          </w:tcPr>
          <w:p>
            <w:pPr>
              <w:spacing w:after="0"/>
              <w:rPr>
                <w:sz w:val="1"/>
                <w:szCs w:val="1"/>
                <w:color w:val="auto"/>
              </w:rPr>
            </w:pPr>
          </w:p>
        </w:tc>
      </w:tr>
      <w:tr>
        <w:trPr>
          <w:trHeight w:val="20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income and expense, net of amounts capitalized</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(19,814)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(7,945)</w:t>
            </w:r>
          </w:p>
        </w:tc>
        <w:tc>
          <w:tcPr>
            <w:tcW w:w="0" w:type="dxa"/>
            <w:vAlign w:val="bottom"/>
          </w:tcPr>
          <w:p>
            <w:pPr>
              <w:spacing w:after="0"/>
              <w:rPr>
                <w:sz w:val="1"/>
                <w:szCs w:val="1"/>
                <w:color w:val="auto"/>
              </w:rPr>
            </w:pPr>
          </w:p>
        </w:tc>
      </w:tr>
      <w:tr>
        <w:trPr>
          <w:trHeight w:val="226"/>
        </w:trPr>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Foreign currency (loss) gain</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4,106</w:t>
            </w:r>
          </w:p>
        </w:tc>
        <w:tc>
          <w:tcPr>
            <w:tcW w:w="0" w:type="dxa"/>
            <w:vAlign w:val="bottom"/>
          </w:tcPr>
          <w:p>
            <w:pPr>
              <w:spacing w:after="0"/>
              <w:rPr>
                <w:sz w:val="1"/>
                <w:szCs w:val="1"/>
                <w:color w:val="auto"/>
              </w:rPr>
            </w:pPr>
          </w:p>
        </w:tc>
      </w:tr>
      <w:tr>
        <w:trPr>
          <w:trHeight w:val="219"/>
        </w:trPr>
        <w:tc>
          <w:tcPr>
            <w:tcW w:w="6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Derivative loss and other (expense) income</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0" w:type="dxa"/>
            <w:vAlign w:val="bottom"/>
          </w:tcPr>
          <w:p>
            <w:pPr>
              <w:spacing w:after="0"/>
              <w:rPr>
                <w:sz w:val="1"/>
                <w:szCs w:val="1"/>
                <w:color w:val="auto"/>
              </w:rPr>
            </w:pPr>
          </w:p>
        </w:tc>
      </w:tr>
      <w:tr>
        <w:trPr>
          <w:trHeight w:val="219"/>
        </w:trPr>
        <w:tc>
          <w:tcPr>
            <w:tcW w:w="6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other expense</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(23,993)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(4,252)</w:t>
            </w:r>
          </w:p>
        </w:tc>
        <w:tc>
          <w:tcPr>
            <w:tcW w:w="0" w:type="dxa"/>
            <w:vAlign w:val="bottom"/>
          </w:tcPr>
          <w:p>
            <w:pPr>
              <w:spacing w:after="0"/>
              <w:rPr>
                <w:sz w:val="1"/>
                <w:szCs w:val="1"/>
                <w:color w:val="auto"/>
              </w:rPr>
            </w:pPr>
          </w:p>
        </w:tc>
      </w:tr>
      <w:tr>
        <w:trPr>
          <w:trHeight w:val="212"/>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(15,823)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(12,753)</w:t>
            </w:r>
          </w:p>
        </w:tc>
        <w:tc>
          <w:tcPr>
            <w:tcW w:w="0" w:type="dxa"/>
            <w:vAlign w:val="bottom"/>
          </w:tcPr>
          <w:p>
            <w:pPr>
              <w:spacing w:after="0"/>
              <w:rPr>
                <w:sz w:val="1"/>
                <w:szCs w:val="1"/>
                <w:color w:val="auto"/>
              </w:rPr>
            </w:pPr>
          </w:p>
        </w:tc>
      </w:tr>
      <w:tr>
        <w:trPr>
          <w:trHeight w:val="22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4,578</w:t>
            </w:r>
          </w:p>
        </w:tc>
        <w:tc>
          <w:tcPr>
            <w:tcW w:w="0" w:type="dxa"/>
            <w:vAlign w:val="bottom"/>
          </w:tcPr>
          <w:p>
            <w:pPr>
              <w:spacing w:after="0"/>
              <w:rPr>
                <w:sz w:val="1"/>
                <w:szCs w:val="1"/>
                <w:color w:val="auto"/>
              </w:rPr>
            </w:pPr>
          </w:p>
        </w:tc>
      </w:tr>
      <w:tr>
        <w:trPr>
          <w:trHeight w:val="219"/>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3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(17,420)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(17,331)</w:t>
            </w:r>
          </w:p>
        </w:tc>
        <w:tc>
          <w:tcPr>
            <w:tcW w:w="0" w:type="dxa"/>
            <w:vAlign w:val="bottom"/>
          </w:tcPr>
          <w:p>
            <w:pPr>
              <w:spacing w:after="0"/>
              <w:rPr>
                <w:sz w:val="1"/>
                <w:szCs w:val="1"/>
                <w:color w:val="auto"/>
              </w:rPr>
            </w:pPr>
          </w:p>
        </w:tc>
      </w:tr>
      <w:tr>
        <w:trPr>
          <w:trHeight w:val="38"/>
        </w:trPr>
        <w:tc>
          <w:tcPr>
            <w:tcW w:w="6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(2,845)</w:t>
            </w:r>
          </w:p>
        </w:tc>
        <w:tc>
          <w:tcPr>
            <w:tcW w:w="0" w:type="dxa"/>
            <w:vAlign w:val="bottom"/>
          </w:tcPr>
          <w:p>
            <w:pPr>
              <w:spacing w:after="0"/>
              <w:rPr>
                <w:sz w:val="1"/>
                <w:szCs w:val="1"/>
                <w:color w:val="auto"/>
              </w:rPr>
            </w:pPr>
          </w:p>
        </w:tc>
      </w:tr>
      <w:tr>
        <w:trPr>
          <w:trHeight w:val="219"/>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3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(15,381)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(20,176)</w:t>
            </w:r>
          </w:p>
        </w:tc>
        <w:tc>
          <w:tcPr>
            <w:tcW w:w="0" w:type="dxa"/>
            <w:vAlign w:val="bottom"/>
          </w:tcPr>
          <w:p>
            <w:pPr>
              <w:spacing w:after="0"/>
              <w:rPr>
                <w:sz w:val="1"/>
                <w:szCs w:val="1"/>
                <w:color w:val="auto"/>
              </w:rPr>
            </w:pPr>
          </w:p>
        </w:tc>
      </w:tr>
      <w:tr>
        <w:trPr>
          <w:trHeight w:val="38"/>
        </w:trPr>
        <w:tc>
          <w:tcPr>
            <w:tcW w:w="6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loss attributable to common shareholders (Note 11)</w:t>
            </w:r>
          </w:p>
        </w:tc>
        <w:tc>
          <w:tcPr>
            <w:tcW w:w="30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(20,035)</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(19,946)</w:t>
            </w:r>
          </w:p>
        </w:tc>
        <w:tc>
          <w:tcPr>
            <w:tcW w:w="0" w:type="dxa"/>
            <w:vAlign w:val="bottom"/>
          </w:tcPr>
          <w:p>
            <w:pPr>
              <w:spacing w:after="0"/>
              <w:rPr>
                <w:sz w:val="1"/>
                <w:szCs w:val="1"/>
                <w:color w:val="auto"/>
              </w:rPr>
            </w:pPr>
          </w:p>
        </w:tc>
      </w:tr>
      <w:tr>
        <w:trPr>
          <w:trHeight w:val="219"/>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Net loss per common share:</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00" w:type="dxa"/>
            <w:vAlign w:val="bottom"/>
            <w:shd w:val="clear" w:color="auto" w:fill="CCEEFF"/>
          </w:tcPr>
          <w:p>
            <w:pPr>
              <w:ind w:left="200"/>
              <w:spacing w:after="0" w:line="226" w:lineRule="exact"/>
              <w:rPr>
                <w:sz w:val="20"/>
                <w:szCs w:val="20"/>
                <w:color w:val="auto"/>
              </w:rPr>
            </w:pPr>
            <w:r>
              <w:rPr>
                <w:rFonts w:ascii="Times New Roman" w:cs="Times New Roman" w:eastAsia="Times New Roman" w:hAnsi="Times New Roman"/>
                <w:sz w:val="17"/>
                <w:szCs w:val="17"/>
                <w:color w:val="auto"/>
              </w:rPr>
              <w:t xml:space="preserve">Basic </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0" w:type="dxa"/>
            <w:vAlign w:val="bottom"/>
          </w:tcPr>
          <w:p>
            <w:pPr>
              <w:spacing w:after="0"/>
              <w:rPr>
                <w:sz w:val="1"/>
                <w:szCs w:val="1"/>
                <w:color w:val="auto"/>
              </w:rPr>
            </w:pPr>
          </w:p>
        </w:tc>
      </w:tr>
      <w:tr>
        <w:trPr>
          <w:trHeight w:val="222"/>
        </w:trPr>
        <w:tc>
          <w:tcPr>
            <w:tcW w:w="6300" w:type="dxa"/>
            <w:vAlign w:val="bottom"/>
          </w:tcPr>
          <w:p>
            <w:pPr>
              <w:ind w:left="200"/>
              <w:spacing w:after="0" w:line="222"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0" w:type="dxa"/>
            <w:vAlign w:val="bottom"/>
          </w:tcPr>
          <w:p>
            <w:pPr>
              <w:spacing w:after="0"/>
              <w:rPr>
                <w:sz w:val="1"/>
                <w:szCs w:val="1"/>
                <w:color w:val="auto"/>
              </w:rPr>
            </w:pPr>
          </w:p>
        </w:tc>
      </w:tr>
      <w:tr>
        <w:trPr>
          <w:trHeight w:val="22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300" w:type="dxa"/>
            <w:vAlign w:val="bottom"/>
          </w:tcPr>
          <w:p>
            <w:pPr>
              <w:ind w:left="200"/>
              <w:spacing w:after="0" w:line="222" w:lineRule="exact"/>
              <w:rPr>
                <w:sz w:val="20"/>
                <w:szCs w:val="20"/>
                <w:color w:val="auto"/>
              </w:rPr>
            </w:pPr>
            <w:r>
              <w:rPr>
                <w:rFonts w:ascii="Times New Roman" w:cs="Times New Roman" w:eastAsia="Times New Roman" w:hAnsi="Times New Roman"/>
                <w:sz w:val="17"/>
                <w:szCs w:val="17"/>
                <w:color w:val="auto"/>
              </w:rPr>
              <w:t xml:space="preserve">Basic </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128,417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126,476</w:t>
            </w:r>
          </w:p>
        </w:tc>
        <w:tc>
          <w:tcPr>
            <w:tcW w:w="0" w:type="dxa"/>
            <w:vAlign w:val="bottom"/>
          </w:tcPr>
          <w:p>
            <w:pPr>
              <w:spacing w:after="0"/>
              <w:rPr>
                <w:sz w:val="1"/>
                <w:szCs w:val="1"/>
                <w:color w:val="auto"/>
              </w:rPr>
            </w:pPr>
          </w:p>
        </w:tc>
      </w:tr>
      <w:tr>
        <w:trPr>
          <w:trHeight w:val="222"/>
        </w:trPr>
        <w:tc>
          <w:tcPr>
            <w:tcW w:w="6300" w:type="dxa"/>
            <w:vAlign w:val="bottom"/>
            <w:shd w:val="clear" w:color="auto" w:fill="CCEEFF"/>
          </w:tcPr>
          <w:p>
            <w:pPr>
              <w:ind w:left="200"/>
              <w:spacing w:after="0" w:line="222"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126,476</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640" w:hanging="322"/>
        <w:spacing w:after="0" w:line="295" w:lineRule="auto"/>
        <w:tabs>
          <w:tab w:leader="none" w:pos="63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historical share and per share amounts for the periods prior to the completion of the 1:15 reverse stock split on February 10, 2025 reflected in this Report have been adjusted to reflect the reverse stock split.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interim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 except par value and share data)</w:t>
      </w:r>
    </w:p>
    <w:p>
      <w:pPr>
        <w:spacing w:after="0" w:line="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80" w:type="dxa"/>
            <w:vAlign w:val="bottom"/>
          </w:tcPr>
          <w:p>
            <w:pPr>
              <w:spacing w:after="0"/>
              <w:rPr>
                <w:sz w:val="19"/>
                <w:szCs w:val="19"/>
                <w:color w:val="auto"/>
              </w:rPr>
            </w:pPr>
          </w:p>
        </w:tc>
        <w:tc>
          <w:tcPr>
            <w:tcW w:w="1720" w:type="dxa"/>
            <w:vAlign w:val="bottom"/>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01"/>
        </w:trPr>
        <w:tc>
          <w:tcPr>
            <w:tcW w:w="7320" w:type="dxa"/>
            <w:vAlign w:val="bottom"/>
          </w:tcPr>
          <w:p>
            <w:pPr>
              <w:ind w:left="3340"/>
              <w:spacing w:after="0" w:line="194" w:lineRule="exact"/>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9"/>
        </w:trPr>
        <w:tc>
          <w:tcPr>
            <w:tcW w:w="7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358,448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447,471</w:t>
            </w:r>
          </w:p>
        </w:tc>
      </w:tr>
      <w:tr>
        <w:trPr>
          <w:trHeight w:val="22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 of allowance for credit losses of $1,244 and $1,468, respectively</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19,976</w:t>
            </w:r>
          </w:p>
        </w:tc>
      </w:tr>
      <w:tr>
        <w:trPr>
          <w:trHeight w:val="219"/>
        </w:trPr>
        <w:tc>
          <w:tcPr>
            <w:tcW w:w="7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Inventory</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9,614</w:t>
            </w:r>
          </w:p>
        </w:tc>
      </w:tr>
      <w:tr>
        <w:trPr>
          <w:trHeight w:val="22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19,667</w:t>
            </w:r>
          </w:p>
        </w:tc>
      </w:tr>
      <w:tr>
        <w:trPr>
          <w:trHeight w:val="212"/>
        </w:trPr>
        <w:tc>
          <w:tcPr>
            <w:tcW w:w="73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406,545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496,728</w:t>
            </w: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1,428,703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1,305,458</w:t>
            </w:r>
          </w:p>
        </w:tc>
      </w:tr>
      <w:tr>
        <w:trPr>
          <w:trHeight w:val="219"/>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 of use assets, net</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66,698</w:t>
            </w:r>
          </w:p>
        </w:tc>
      </w:tr>
      <w:tr>
        <w:trPr>
          <w:trHeight w:val="22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network costs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217,836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198,375</w:t>
            </w:r>
          </w:p>
        </w:tc>
      </w:tr>
      <w:tr>
        <w:trPr>
          <w:trHeight w:val="219"/>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asset</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114,461</w:t>
            </w:r>
          </w:p>
        </w:tc>
      </w:tr>
      <w:tr>
        <w:trPr>
          <w:trHeight w:val="22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and other assets, net of accumulated amortization of $14,128 and $12,511, respectively</w:t>
            </w: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145,519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144,545</w:t>
            </w:r>
          </w:p>
        </w:tc>
      </w:tr>
      <w:tr>
        <w:trPr>
          <w:trHeight w:val="212"/>
        </w:trPr>
        <w:tc>
          <w:tcPr>
            <w:tcW w:w="73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2,377,467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2,326,265</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98"/>
        </w:trPr>
        <w:tc>
          <w:tcPr>
            <w:tcW w:w="7320" w:type="dxa"/>
            <w:vAlign w:val="bottom"/>
            <w:tcBorders>
              <w:bottom w:val="single" w:sz="8" w:color="CCEEFF"/>
            </w:tcBorders>
            <w:shd w:val="clear" w:color="auto" w:fill="CCEEFF"/>
          </w:tcPr>
          <w:p>
            <w:pPr>
              <w:ind w:left="1860"/>
              <w:spacing w:after="0" w:line="189"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r>
      <w:tr>
        <w:trPr>
          <w:trHeight w:val="219"/>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31,835</w:t>
            </w:r>
          </w:p>
        </w:tc>
      </w:tr>
      <w:tr>
        <w:trPr>
          <w:trHeight w:val="219"/>
        </w:trPr>
        <w:tc>
          <w:tcPr>
            <w:tcW w:w="7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56,022</w:t>
            </w:r>
          </w:p>
        </w:tc>
      </w:tr>
      <w:tr>
        <w:trPr>
          <w:trHeight w:val="22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network construction costs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55,218</w:t>
            </w:r>
          </w:p>
        </w:tc>
      </w:tr>
      <w:tr>
        <w:trPr>
          <w:trHeight w:val="219"/>
        </w:trPr>
        <w:tc>
          <w:tcPr>
            <w:tcW w:w="7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Payables to affiliates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r>
      <w:tr>
        <w:trPr>
          <w:trHeight w:val="22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 net</w:t>
            </w: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62,020</w:t>
            </w:r>
          </w:p>
        </w:tc>
      </w:tr>
      <w:tr>
        <w:trPr>
          <w:trHeight w:val="212"/>
        </w:trPr>
        <w:tc>
          <w:tcPr>
            <w:tcW w:w="73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253,506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205,486</w:t>
            </w: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432,161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451,953</w:t>
            </w:r>
          </w:p>
        </w:tc>
      </w:tr>
      <w:tr>
        <w:trPr>
          <w:trHeight w:val="219"/>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54,549</w:t>
            </w:r>
          </w:p>
        </w:tc>
      </w:tr>
      <w:tr>
        <w:trPr>
          <w:trHeight w:val="22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 net</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837,654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806,930</w:t>
            </w:r>
          </w:p>
        </w:tc>
      </w:tr>
      <w:tr>
        <w:trPr>
          <w:trHeight w:val="219"/>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457,015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451,618</w:t>
            </w:r>
          </w:p>
        </w:tc>
      </w:tr>
      <w:tr>
        <w:trPr>
          <w:trHeight w:val="219"/>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1,781,145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1,765,050</w:t>
            </w:r>
          </w:p>
        </w:tc>
      </w:tr>
      <w:tr>
        <w:trPr>
          <w:trHeight w:val="32"/>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2,034,651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1,970,536</w:t>
            </w:r>
          </w:p>
        </w:tc>
      </w:tr>
      <w:tr>
        <w:trPr>
          <w:trHeight w:val="32"/>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9)</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52"/>
        </w:trPr>
        <w:tc>
          <w:tcPr>
            <w:tcW w:w="7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2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161"/>
        </w:trPr>
        <w:tc>
          <w:tcPr>
            <w:tcW w:w="7320" w:type="dxa"/>
            <w:vAlign w:val="bottom"/>
          </w:tcPr>
          <w:p>
            <w:pPr>
              <w:ind w:left="220"/>
              <w:spacing w:after="0" w:line="162" w:lineRule="exact"/>
              <w:rPr>
                <w:sz w:val="20"/>
                <w:szCs w:val="20"/>
                <w:color w:val="auto"/>
              </w:rPr>
            </w:pPr>
            <w:r>
              <w:rPr>
                <w:rFonts w:ascii="Times New Roman" w:cs="Times New Roman" w:eastAsia="Times New Roman" w:hAnsi="Times New Roman"/>
                <w:sz w:val="17"/>
                <w:szCs w:val="17"/>
                <w:color w:val="auto"/>
              </w:rPr>
              <w:t>Series A Perpetual Preferred Stock of $0.0001 par value; 300,000 shares authorized and 149,425 issued</w:t>
            </w:r>
          </w:p>
        </w:tc>
        <w:tc>
          <w:tcPr>
            <w:tcW w:w="240" w:type="dxa"/>
            <w:vAlign w:val="bottom"/>
          </w:tcPr>
          <w:p>
            <w:pPr>
              <w:spacing w:after="0"/>
              <w:rPr>
                <w:sz w:val="14"/>
                <w:szCs w:val="14"/>
                <w:color w:val="auto"/>
              </w:rPr>
            </w:pPr>
          </w:p>
        </w:tc>
        <w:tc>
          <w:tcPr>
            <w:tcW w:w="176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1720" w:type="dxa"/>
            <w:vAlign w:val="bottom"/>
          </w:tcPr>
          <w:p>
            <w:pPr>
              <w:jc w:val="right"/>
              <w:spacing w:after="0" w:line="162" w:lineRule="exact"/>
              <w:rPr>
                <w:sz w:val="20"/>
                <w:szCs w:val="20"/>
                <w:color w:val="auto"/>
              </w:rPr>
            </w:pPr>
            <w:r>
              <w:rPr>
                <w:rFonts w:ascii="Times New Roman" w:cs="Times New Roman" w:eastAsia="Times New Roman" w:hAnsi="Times New Roman"/>
                <w:sz w:val="17"/>
                <w:szCs w:val="17"/>
                <w:color w:val="auto"/>
              </w:rPr>
              <w:t>—</w:t>
            </w:r>
          </w:p>
        </w:tc>
      </w:tr>
      <w:tr>
        <w:trPr>
          <w:trHeight w:val="217"/>
        </w:trPr>
        <w:tc>
          <w:tcPr>
            <w:tcW w:w="7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and outstanding at March 31, 2026 and December 31, 2025, respectively</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62"/>
        </w:trPr>
        <w:tc>
          <w:tcPr>
            <w:tcW w:w="7320" w:type="dxa"/>
            <w:vAlign w:val="bottom"/>
            <w:shd w:val="clear" w:color="auto" w:fill="CCEEFF"/>
          </w:tcPr>
          <w:p>
            <w:pPr>
              <w:ind w:left="220"/>
              <w:spacing w:after="0" w:line="163" w:lineRule="exact"/>
              <w:rPr>
                <w:sz w:val="20"/>
                <w:szCs w:val="20"/>
                <w:color w:val="auto"/>
              </w:rPr>
            </w:pPr>
            <w:r>
              <w:rPr>
                <w:rFonts w:ascii="Times New Roman" w:cs="Times New Roman" w:eastAsia="Times New Roman" w:hAnsi="Times New Roman"/>
                <w:sz w:val="17"/>
                <w:szCs w:val="17"/>
                <w:color w:val="auto"/>
              </w:rPr>
              <w:t>Voting Common Stock of $0.0001 par value; 143,333,334 shares authorized; 128,591,126 and</w:t>
            </w: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7"/>
                <w:szCs w:val="17"/>
                <w:color w:val="auto"/>
              </w:rPr>
              <w:t>13</w:t>
            </w:r>
          </w:p>
        </w:tc>
      </w:tr>
      <w:tr>
        <w:trPr>
          <w:trHeight w:val="218"/>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128,050,400 shares issued and outstanding at March 31, 2026 and December 31, 2025, respectively</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9"/>
        </w:trPr>
        <w:tc>
          <w:tcPr>
            <w:tcW w:w="7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2,491,695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2,489,227</w:t>
            </w:r>
          </w:p>
        </w:tc>
      </w:tr>
      <w:tr>
        <w:trPr>
          <w:trHeight w:val="22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3,286</w:t>
            </w:r>
          </w:p>
        </w:tc>
      </w:tr>
      <w:tr>
        <w:trPr>
          <w:trHeight w:val="219"/>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Retained deficit</w:t>
            </w: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(2,154,217)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(2,136,797)</w:t>
            </w:r>
          </w:p>
        </w:tc>
      </w:tr>
      <w:tr>
        <w:trPr>
          <w:trHeight w:val="219"/>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342,816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355,729</w:t>
            </w:r>
          </w:p>
        </w:tc>
      </w:tr>
      <w:tr>
        <w:trPr>
          <w:trHeight w:val="212"/>
        </w:trPr>
        <w:tc>
          <w:tcPr>
            <w:tcW w:w="73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2,377,467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2,326,265</w:t>
            </w:r>
          </w:p>
        </w:tc>
      </w:tr>
      <w:tr>
        <w:trPr>
          <w:trHeight w:val="23"/>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unaudited interim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216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40" w:top="910"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6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6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(Unaudited)</w:t>
      </w:r>
    </w:p>
    <w:p>
      <w:pPr>
        <w:sectPr>
          <w:pgSz w:w="11900" w:h="16838" w:orient="portrait"/>
          <w:cols w:equalWidth="0" w:num="1">
            <w:col w:w="11220"/>
          </w:cols>
          <w:pgMar w:left="340" w:top="9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Balances – January 1, 2026</w:t>
      </w:r>
    </w:p>
    <w:p>
      <w:pPr>
        <w:spacing w:after="0" w:line="25" w:lineRule="exact"/>
        <w:rPr>
          <w:sz w:val="20"/>
          <w:szCs w:val="20"/>
          <w:color w:val="auto"/>
        </w:rPr>
      </w:pPr>
    </w:p>
    <w:p>
      <w:pPr>
        <w:ind w:left="220"/>
        <w:spacing w:after="0" w:line="239" w:lineRule="auto"/>
        <w:rPr>
          <w:sz w:val="20"/>
          <w:szCs w:val="20"/>
          <w:color w:val="auto"/>
        </w:rPr>
      </w:pPr>
      <w:r>
        <w:rPr>
          <w:rFonts w:ascii="Times New Roman" w:cs="Times New Roman" w:eastAsia="Times New Roman" w:hAnsi="Times New Roman"/>
          <w:sz w:val="15"/>
          <w:szCs w:val="15"/>
          <w:color w:val="auto"/>
        </w:rPr>
        <w:t>Net issuance of restricted stock awards and stock for employee stock options and recognition of stock-based compensation</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Series A Preferred Dividends</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Other</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Other comprehensive income</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Net loss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Balances –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Balances – January 1, 2025</w:t>
      </w:r>
    </w:p>
    <w:p>
      <w:pPr>
        <w:spacing w:after="0" w:line="25" w:lineRule="exact"/>
        <w:rPr>
          <w:sz w:val="20"/>
          <w:szCs w:val="20"/>
          <w:color w:val="auto"/>
        </w:rPr>
      </w:pPr>
    </w:p>
    <w:p>
      <w:pPr>
        <w:ind w:left="200" w:right="20"/>
        <w:spacing w:after="0" w:line="239" w:lineRule="auto"/>
        <w:rPr>
          <w:sz w:val="20"/>
          <w:szCs w:val="20"/>
          <w:color w:val="auto"/>
        </w:rPr>
      </w:pPr>
      <w:r>
        <w:rPr>
          <w:rFonts w:ascii="Times New Roman" w:cs="Times New Roman" w:eastAsia="Times New Roman" w:hAnsi="Times New Roman"/>
          <w:sz w:val="15"/>
          <w:szCs w:val="15"/>
          <w:color w:val="auto"/>
        </w:rPr>
        <w:t>Net issuance of restricted stock awards and stock for employee stock options and recognition of stock-based compensation</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Series A Preferred Dividends</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Other</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Net loss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Balances – March 31, 2025</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40" w:type="dxa"/>
            <w:vAlign w:val="bottom"/>
          </w:tcPr>
          <w:p>
            <w:pPr>
              <w:spacing w:after="0"/>
              <w:rPr>
                <w:sz w:val="14"/>
                <w:szCs w:val="14"/>
                <w:color w:val="auto"/>
              </w:rPr>
            </w:pPr>
          </w:p>
        </w:tc>
        <w:tc>
          <w:tcPr>
            <w:tcW w:w="180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74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00" w:type="dxa"/>
            <w:vAlign w:val="bottom"/>
            <w:gridSpan w:val="2"/>
          </w:tcPr>
          <w:p>
            <w:pPr>
              <w:jc w:val="center"/>
              <w:ind w:left="45"/>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restart"/>
          </w:tcPr>
          <w:p>
            <w:pPr>
              <w:jc w:val="right"/>
              <w:ind w:right="285"/>
              <w:spacing w:after="0" w:line="119" w:lineRule="exact"/>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5"/>
                <w:szCs w:val="5"/>
                <w:color w:val="auto"/>
              </w:rPr>
            </w:pPr>
          </w:p>
        </w:tc>
        <w:tc>
          <w:tcPr>
            <w:tcW w:w="1120" w:type="dxa"/>
            <w:vAlign w:val="bottom"/>
            <w:vMerge w:val="restart"/>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40" w:type="dxa"/>
            <w:vAlign w:val="bottom"/>
          </w:tcPr>
          <w:p>
            <w:pPr>
              <w:spacing w:after="0"/>
              <w:rPr>
                <w:sz w:val="5"/>
                <w:szCs w:val="5"/>
                <w:color w:val="auto"/>
              </w:rPr>
            </w:pPr>
          </w:p>
        </w:tc>
        <w:tc>
          <w:tcPr>
            <w:tcW w:w="960" w:type="dxa"/>
            <w:vAlign w:val="bottom"/>
            <w:vMerge w:val="restart"/>
          </w:tcPr>
          <w:p>
            <w:pPr>
              <w:ind w:left="160"/>
              <w:spacing w:after="0" w:line="119"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4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2"/>
                <w:szCs w:val="2"/>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vMerge w:val="restart"/>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2"/>
                <w:szCs w:val="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128,050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2,489,227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3,286</w:t>
            </w:r>
          </w:p>
        </w:tc>
        <w:tc>
          <w:tcPr>
            <w:tcW w:w="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(2,136,797)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355,729</w:t>
            </w:r>
          </w:p>
        </w:tc>
        <w:tc>
          <w:tcPr>
            <w:tcW w:w="0" w:type="dxa"/>
            <w:vAlign w:val="bottom"/>
          </w:tcPr>
          <w:p>
            <w:pPr>
              <w:spacing w:after="0"/>
              <w:rPr>
                <w:sz w:val="1"/>
                <w:szCs w:val="1"/>
                <w:color w:val="auto"/>
              </w:rPr>
            </w:pPr>
          </w:p>
        </w:tc>
      </w:tr>
      <w:tr>
        <w:trPr>
          <w:trHeight w:val="522"/>
        </w:trPr>
        <w:tc>
          <w:tcPr>
            <w:tcW w:w="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6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5,086</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5,086</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5"/>
              <w:spacing w:after="0"/>
              <w:rPr>
                <w:sz w:val="20"/>
                <w:szCs w:val="20"/>
                <w:color w:val="auto"/>
              </w:rPr>
            </w:pPr>
            <w:r>
              <w:rPr>
                <w:rFonts w:ascii="Times New Roman" w:cs="Times New Roman" w:eastAsia="Times New Roman" w:hAnsi="Times New Roman"/>
                <w:sz w:val="16"/>
                <w:szCs w:val="16"/>
                <w:color w:val="auto"/>
              </w:rPr>
              <w:t>(2,615)</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(2,615)</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5"/>
              <w:spacing w:after="0"/>
              <w:rPr>
                <w:sz w:val="20"/>
                <w:szCs w:val="20"/>
                <w:color w:val="auto"/>
              </w:rPr>
            </w:pPr>
            <w:r>
              <w:rPr>
                <w:rFonts w:ascii="Times New Roman" w:cs="Times New Roman" w:eastAsia="Times New Roman" w:hAnsi="Times New Roman"/>
                <w:sz w:val="16"/>
                <w:szCs w:val="16"/>
                <w:color w:val="auto"/>
              </w:rPr>
              <w:t>(3)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2,039</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(17,420)</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(17,420)</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128,591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2,491,695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5,325</w:t>
            </w:r>
          </w:p>
        </w:tc>
        <w:tc>
          <w:tcPr>
            <w:tcW w:w="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(2,154,217)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342,816</w:t>
            </w:r>
          </w:p>
        </w:tc>
        <w:tc>
          <w:tcPr>
            <w:tcW w:w="0" w:type="dxa"/>
            <w:vAlign w:val="bottom"/>
          </w:tcPr>
          <w:p>
            <w:pPr>
              <w:spacing w:after="0"/>
              <w:rPr>
                <w:sz w:val="1"/>
                <w:szCs w:val="1"/>
                <w:color w:val="auto"/>
              </w:rPr>
            </w:pPr>
          </w:p>
        </w:tc>
      </w:tr>
      <w:tr>
        <w:trPr>
          <w:trHeight w:val="871"/>
        </w:trPr>
        <w:tc>
          <w:tcPr>
            <w:tcW w:w="40" w:type="dxa"/>
            <w:vAlign w:val="bottom"/>
          </w:tcPr>
          <w:p>
            <w:pPr>
              <w:spacing w:after="0"/>
              <w:rPr>
                <w:sz w:val="24"/>
                <w:szCs w:val="24"/>
                <w:color w:val="auto"/>
              </w:rPr>
            </w:pPr>
          </w:p>
        </w:tc>
        <w:tc>
          <w:tcPr>
            <w:tcW w:w="18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74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xml:space="preserve">Common Stock </w:t>
            </w:r>
            <w:r>
              <w:rPr>
                <w:rFonts w:ascii="Times New Roman" w:cs="Times New Roman" w:eastAsia="Times New Roman" w:hAnsi="Times New Roman"/>
                <w:sz w:val="18"/>
                <w:szCs w:val="18"/>
                <w:b w:val="1"/>
                <w:bCs w:val="1"/>
                <w:color w:val="auto"/>
                <w:vertAlign w:val="superscript"/>
              </w:rPr>
              <w:t>(1)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vMerge w:val="restart"/>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vMerge w:val="restart"/>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84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345"/>
              <w:spacing w:after="0" w:line="144"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1120" w:type="dxa"/>
            <w:vAlign w:val="bottom"/>
          </w:tcPr>
          <w:p>
            <w:pPr>
              <w:jc w:val="center"/>
              <w:ind w:right="104"/>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285"/>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Capital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7"/>
                <w:szCs w:val="17"/>
                <w:color w:val="auto"/>
              </w:rPr>
            </w:pPr>
          </w:p>
        </w:tc>
        <w:tc>
          <w:tcPr>
            <w:tcW w:w="112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40" w:type="dxa"/>
            <w:vAlign w:val="bottom"/>
          </w:tcPr>
          <w:p>
            <w:pPr>
              <w:spacing w:after="0"/>
              <w:rPr>
                <w:sz w:val="17"/>
                <w:szCs w:val="17"/>
                <w:color w:val="auto"/>
              </w:rPr>
            </w:pPr>
          </w:p>
        </w:tc>
        <w:tc>
          <w:tcPr>
            <w:tcW w:w="9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149</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126,425</w:t>
            </w:r>
          </w:p>
        </w:tc>
        <w:tc>
          <w:tcPr>
            <w:tcW w:w="1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2,473,564</w:t>
            </w:r>
          </w:p>
        </w:tc>
        <w:tc>
          <w:tcPr>
            <w:tcW w:w="18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13,452</w:t>
            </w:r>
          </w:p>
        </w:tc>
        <w:tc>
          <w:tcPr>
            <w:tcW w:w="24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(2,128,146)</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358,883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2"/>
        </w:trPr>
        <w:tc>
          <w:tcPr>
            <w:tcW w:w="40" w:type="dxa"/>
            <w:vAlign w:val="bottom"/>
          </w:tcPr>
          <w:p>
            <w:pPr>
              <w:spacing w:after="0"/>
              <w:rPr>
                <w:sz w:val="24"/>
                <w:szCs w:val="24"/>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154</w:t>
            </w:r>
          </w:p>
        </w:tc>
        <w:tc>
          <w:tcPr>
            <w:tcW w:w="16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8,220</w:t>
            </w:r>
          </w:p>
        </w:tc>
        <w:tc>
          <w:tcPr>
            <w:tcW w:w="180" w:type="dxa"/>
            <w:vAlign w:val="bottom"/>
          </w:tcPr>
          <w:p>
            <w:pPr>
              <w:spacing w:after="0"/>
              <w:rPr>
                <w:sz w:val="24"/>
                <w:szCs w:val="24"/>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180" w:type="dxa"/>
            <w:vAlign w:val="bottom"/>
          </w:tcPr>
          <w:p>
            <w:pPr>
              <w:spacing w:after="0"/>
              <w:rPr>
                <w:sz w:val="18"/>
                <w:szCs w:val="18"/>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80" w:type="dxa"/>
            <w:vAlign w:val="bottom"/>
          </w:tcPr>
          <w:p>
            <w:pPr>
              <w:spacing w:after="0"/>
              <w:rPr>
                <w:sz w:val="18"/>
                <w:szCs w:val="18"/>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24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(17,331)</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149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126,579</w:t>
            </w: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2,479,201</w:t>
            </w:r>
          </w:p>
        </w:tc>
        <w:tc>
          <w:tcPr>
            <w:tcW w:w="1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10,607</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(2,145,477)</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344,344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-1833880</wp:posOffset>
            </wp:positionH>
            <wp:positionV relativeFrom="paragraph">
              <wp:posOffset>-3152775</wp:posOffset>
            </wp:positionV>
            <wp:extent cx="7103745" cy="140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3745" cy="140970"/>
                    </a:xfrm>
                    <a:prstGeom prst="rect">
                      <a:avLst/>
                    </a:prstGeom>
                    <a:noFill/>
                  </pic:spPr>
                </pic:pic>
              </a:graphicData>
            </a:graphic>
          </wp:anchor>
        </w:drawing>
        <w:drawing>
          <wp:anchor simplePos="0" relativeHeight="251657728" behindDoc="1" locked="0" layoutInCell="0" allowOverlap="1">
            <wp:simplePos x="0" y="0"/>
            <wp:positionH relativeFrom="column">
              <wp:posOffset>-1833880</wp:posOffset>
            </wp:positionH>
            <wp:positionV relativeFrom="paragraph">
              <wp:posOffset>-2679700</wp:posOffset>
            </wp:positionV>
            <wp:extent cx="7103745" cy="132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3745" cy="132715"/>
                    </a:xfrm>
                    <a:prstGeom prst="rect">
                      <a:avLst/>
                    </a:prstGeom>
                    <a:noFill/>
                  </pic:spPr>
                </pic:pic>
              </a:graphicData>
            </a:graphic>
          </wp:anchor>
        </w:drawing>
        <w:drawing>
          <wp:anchor simplePos="0" relativeHeight="251657728" behindDoc="1" locked="0" layoutInCell="0" allowOverlap="1">
            <wp:simplePos x="0" y="0"/>
            <wp:positionH relativeFrom="column">
              <wp:posOffset>-1833880</wp:posOffset>
            </wp:positionH>
            <wp:positionV relativeFrom="paragraph">
              <wp:posOffset>-2414270</wp:posOffset>
            </wp:positionV>
            <wp:extent cx="7103745" cy="132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3745" cy="132715"/>
                    </a:xfrm>
                    <a:prstGeom prst="rect">
                      <a:avLst/>
                    </a:prstGeom>
                    <a:noFill/>
                  </pic:spPr>
                </pic:pic>
              </a:graphicData>
            </a:graphic>
          </wp:anchor>
        </w:drawing>
        <w:drawing>
          <wp:anchor simplePos="0" relativeHeight="251657728" behindDoc="1" locked="0" layoutInCell="0" allowOverlap="1">
            <wp:simplePos x="0" y="0"/>
            <wp:positionH relativeFrom="column">
              <wp:posOffset>-1833880</wp:posOffset>
            </wp:positionH>
            <wp:positionV relativeFrom="paragraph">
              <wp:posOffset>-2148840</wp:posOffset>
            </wp:positionV>
            <wp:extent cx="7103745" cy="14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3745" cy="140970"/>
                    </a:xfrm>
                    <a:prstGeom prst="rect">
                      <a:avLst/>
                    </a:prstGeom>
                    <a:noFill/>
                  </pic:spPr>
                </pic:pic>
              </a:graphicData>
            </a:graphic>
          </wp:anchor>
        </w:drawing>
        <w:drawing>
          <wp:anchor simplePos="0" relativeHeight="251657728" behindDoc="1" locked="0" layoutInCell="0" allowOverlap="1">
            <wp:simplePos x="0" y="0"/>
            <wp:positionH relativeFrom="column">
              <wp:posOffset>-1850390</wp:posOffset>
            </wp:positionH>
            <wp:positionV relativeFrom="paragraph">
              <wp:posOffset>-1153160</wp:posOffset>
            </wp:positionV>
            <wp:extent cx="7070090" cy="140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70090" cy="140970"/>
                    </a:xfrm>
                    <a:prstGeom prst="rect">
                      <a:avLst/>
                    </a:prstGeom>
                    <a:noFill/>
                  </pic:spPr>
                </pic:pic>
              </a:graphicData>
            </a:graphic>
          </wp:anchor>
        </w:drawing>
        <w:drawing>
          <wp:anchor simplePos="0" relativeHeight="251657728" behindDoc="1" locked="0" layoutInCell="0" allowOverlap="1">
            <wp:simplePos x="0" y="0"/>
            <wp:positionH relativeFrom="column">
              <wp:posOffset>-1850390</wp:posOffset>
            </wp:positionH>
            <wp:positionV relativeFrom="paragraph">
              <wp:posOffset>-680085</wp:posOffset>
            </wp:positionV>
            <wp:extent cx="7070090" cy="132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70090" cy="132715"/>
                    </a:xfrm>
                    <a:prstGeom prst="rect">
                      <a:avLst/>
                    </a:prstGeom>
                    <a:noFill/>
                  </pic:spPr>
                </pic:pic>
              </a:graphicData>
            </a:graphic>
          </wp:anchor>
        </w:drawing>
        <w:drawing>
          <wp:anchor simplePos="0" relativeHeight="251657728" behindDoc="1" locked="0" layoutInCell="0" allowOverlap="1">
            <wp:simplePos x="0" y="0"/>
            <wp:positionH relativeFrom="column">
              <wp:posOffset>-1850390</wp:posOffset>
            </wp:positionH>
            <wp:positionV relativeFrom="paragraph">
              <wp:posOffset>-414020</wp:posOffset>
            </wp:positionV>
            <wp:extent cx="7070090" cy="132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70090" cy="132715"/>
                    </a:xfrm>
                    <a:prstGeom prst="rect">
                      <a:avLst/>
                    </a:prstGeom>
                    <a:noFill/>
                  </pic:spPr>
                </pic:pic>
              </a:graphicData>
            </a:graphic>
          </wp:anchor>
        </w:drawing>
        <w:drawing>
          <wp:anchor simplePos="0" relativeHeight="251657728" behindDoc="1" locked="0" layoutInCell="0" allowOverlap="1">
            <wp:simplePos x="0" y="0"/>
            <wp:positionH relativeFrom="column">
              <wp:posOffset>-1850390</wp:posOffset>
            </wp:positionH>
            <wp:positionV relativeFrom="paragraph">
              <wp:posOffset>-148590</wp:posOffset>
            </wp:positionV>
            <wp:extent cx="7070090" cy="14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70090" cy="1409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80"/>
            <w:col w:w="8320"/>
          </w:cols>
          <w:pgMar w:left="340" w:top="920" w:right="339" w:bottom="1440" w:gutter="0" w:footer="0" w:header="0"/>
          <w:type w:val="continuous"/>
        </w:sectPr>
      </w:pPr>
    </w:p>
    <w:p>
      <w:pPr>
        <w:spacing w:after="0" w:line="82" w:lineRule="exact"/>
        <w:rPr>
          <w:sz w:val="20"/>
          <w:szCs w:val="20"/>
          <w:color w:val="auto"/>
        </w:rPr>
      </w:pPr>
    </w:p>
    <w:p>
      <w:pPr>
        <w:ind w:left="620" w:hanging="322"/>
        <w:spacing w:after="0" w:line="295" w:lineRule="auto"/>
        <w:tabs>
          <w:tab w:leader="none" w:pos="61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historical share and per share amounts for the periods prior to the completion of the 1:15 reverse stock split on February 10, 2025 reflected in this Report have been adjusted to reflect the reverse stock split.</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unaudited interim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40" w:top="920" w:right="339" w:bottom="1440" w:gutter="0" w:footer="0" w:header="0"/>
          <w:type w:val="continuous"/>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GLOBALSTAR,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817"/>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157"/>
        </w:trPr>
        <w:tc>
          <w:tcPr>
            <w:tcW w:w="7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7"/>
                <w:szCs w:val="17"/>
                <w:b w:val="1"/>
                <w:bCs w:val="1"/>
                <w:color w:val="auto"/>
              </w:rPr>
              <w:t>March 31,</w:t>
            </w:r>
          </w:p>
        </w:tc>
        <w:tc>
          <w:tcPr>
            <w:tcW w:w="260" w:type="dxa"/>
            <w:vAlign w:val="bottom"/>
          </w:tcPr>
          <w:p>
            <w:pPr>
              <w:spacing w:after="0"/>
              <w:rPr>
                <w:sz w:val="13"/>
                <w:szCs w:val="13"/>
                <w:color w:val="auto"/>
              </w:rPr>
            </w:pPr>
          </w:p>
        </w:tc>
        <w:tc>
          <w:tcPr>
            <w:tcW w:w="1340" w:type="dxa"/>
            <w:vAlign w:val="bottom"/>
          </w:tcPr>
          <w:p>
            <w:pPr>
              <w:jc w:val="right"/>
              <w:ind w:right="357"/>
              <w:spacing w:after="0" w:line="158" w:lineRule="exact"/>
              <w:rPr>
                <w:sz w:val="20"/>
                <w:szCs w:val="20"/>
                <w:color w:val="auto"/>
              </w:rPr>
            </w:pPr>
            <w:r>
              <w:rPr>
                <w:rFonts w:ascii="Times New Roman" w:cs="Times New Roman" w:eastAsia="Times New Roman" w:hAnsi="Times New Roman"/>
                <w:sz w:val="17"/>
                <w:szCs w:val="17"/>
                <w:b w:val="1"/>
                <w:bCs w:val="1"/>
                <w:color w:val="auto"/>
              </w:rPr>
              <w:t>March 31,</w:t>
            </w:r>
          </w:p>
        </w:tc>
      </w:tr>
      <w:tr>
        <w:trPr>
          <w:trHeight w:val="221"/>
        </w:trPr>
        <w:tc>
          <w:tcPr>
            <w:tcW w:w="7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provided by operating activities: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9"/>
        </w:trPr>
        <w:tc>
          <w:tcPr>
            <w:tcW w:w="7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Net loss</w:t>
            </w:r>
          </w:p>
        </w:tc>
        <w:tc>
          <w:tcPr>
            <w:tcW w:w="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(17,331)</w:t>
            </w:r>
          </w:p>
        </w:tc>
      </w:tr>
      <w:tr>
        <w:trPr>
          <w:trHeight w:val="219"/>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operating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9"/>
        </w:trPr>
        <w:tc>
          <w:tcPr>
            <w:tcW w:w="79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Depreciation, amortization and accretion</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22,277</w:t>
            </w:r>
          </w:p>
        </w:tc>
      </w:tr>
      <w:tr>
        <w:trPr>
          <w:trHeight w:val="226"/>
        </w:trPr>
        <w:tc>
          <w:tcPr>
            <w:tcW w:w="7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6,957</w:t>
            </w:r>
          </w:p>
        </w:tc>
      </w:tr>
      <w:tr>
        <w:trPr>
          <w:trHeight w:val="219"/>
        </w:trPr>
        <w:tc>
          <w:tcPr>
            <w:tcW w:w="79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Noncash interest and accretion expense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7,944</w:t>
            </w:r>
          </w:p>
        </w:tc>
      </w:tr>
      <w:tr>
        <w:trPr>
          <w:trHeight w:val="226"/>
        </w:trPr>
        <w:tc>
          <w:tcPr>
            <w:tcW w:w="7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Unrealized foreign currency loss (gain)</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(4,144)</w:t>
            </w:r>
          </w:p>
        </w:tc>
      </w:tr>
      <w:tr>
        <w:trPr>
          <w:trHeight w:val="219"/>
        </w:trPr>
        <w:tc>
          <w:tcPr>
            <w:tcW w:w="79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Reduction in the value and disposal of long-lived assets and inventory</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7,038</w:t>
            </w:r>
          </w:p>
        </w:tc>
      </w:tr>
      <w:tr>
        <w:trPr>
          <w:trHeight w:val="226"/>
        </w:trPr>
        <w:tc>
          <w:tcPr>
            <w:tcW w:w="7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net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w:t>
            </w:r>
          </w:p>
        </w:tc>
      </w:tr>
      <w:tr>
        <w:trPr>
          <w:trHeight w:val="219"/>
        </w:trPr>
        <w:tc>
          <w:tcPr>
            <w:tcW w:w="79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6"/>
        </w:trPr>
        <w:tc>
          <w:tcPr>
            <w:tcW w:w="79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Accounts receivable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6,790</w:t>
            </w:r>
          </w:p>
        </w:tc>
      </w:tr>
      <w:tr>
        <w:trPr>
          <w:trHeight w:val="219"/>
        </w:trPr>
        <w:tc>
          <w:tcPr>
            <w:tcW w:w="7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Inventory, prepaid expenses and other assets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w:t>
            </w:r>
          </w:p>
        </w:tc>
      </w:tr>
      <w:tr>
        <w:trPr>
          <w:trHeight w:val="226"/>
        </w:trPr>
        <w:tc>
          <w:tcPr>
            <w:tcW w:w="79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5,227</w:t>
            </w:r>
          </w:p>
        </w:tc>
      </w:tr>
      <w:tr>
        <w:trPr>
          <w:trHeight w:val="219"/>
        </w:trPr>
        <w:tc>
          <w:tcPr>
            <w:tcW w:w="7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1,152</w:t>
            </w:r>
          </w:p>
        </w:tc>
      </w:tr>
      <w:tr>
        <w:trPr>
          <w:trHeight w:val="226"/>
        </w:trPr>
        <w:tc>
          <w:tcPr>
            <w:tcW w:w="79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Deferred revenue</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16,334</w:t>
            </w:r>
          </w:p>
        </w:tc>
      </w:tr>
      <w:tr>
        <w:trPr>
          <w:trHeight w:val="212"/>
        </w:trPr>
        <w:tc>
          <w:tcPr>
            <w:tcW w:w="792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35,227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51,864</w:t>
            </w:r>
          </w:p>
        </w:tc>
      </w:tr>
      <w:tr>
        <w:trPr>
          <w:trHeight w:val="21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used in investing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9"/>
        </w:trPr>
        <w:tc>
          <w:tcPr>
            <w:tcW w:w="7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Payments for network upgrades to support the Phase 1 and Phase 2 Service Period</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(39,315)</w:t>
            </w:r>
          </w:p>
        </w:tc>
      </w:tr>
      <w:tr>
        <w:trPr>
          <w:trHeight w:val="226"/>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Payments for network upgrades to support the Extended MSS Network</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(108,757)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(149,448)</w:t>
            </w:r>
          </w:p>
        </w:tc>
      </w:tr>
      <w:tr>
        <w:trPr>
          <w:trHeight w:val="219"/>
        </w:trPr>
        <w:tc>
          <w:tcPr>
            <w:tcW w:w="7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Payments for network upgrades to support product development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w:t>
            </w:r>
          </w:p>
        </w:tc>
      </w:tr>
      <w:tr>
        <w:trPr>
          <w:trHeight w:val="226"/>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Purchase of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r>
      <w:tr>
        <w:trPr>
          <w:trHeight w:val="212"/>
        </w:trPr>
        <w:tc>
          <w:tcPr>
            <w:tcW w:w="792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(116,425)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(190,582)</w:t>
            </w:r>
          </w:p>
        </w:tc>
      </w:tr>
      <w:tr>
        <w:trPr>
          <w:trHeight w:val="21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(used in) provided by financing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9"/>
        </w:trPr>
        <w:tc>
          <w:tcPr>
            <w:tcW w:w="7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Principal payments of 2021 Funding Agreement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(8,650)</w:t>
            </w:r>
          </w:p>
        </w:tc>
      </w:tr>
      <w:tr>
        <w:trPr>
          <w:trHeight w:val="226"/>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Dividends paid on Series A Preferred Stock</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(2,615)</w:t>
            </w:r>
          </w:p>
        </w:tc>
      </w:tr>
      <w:tr>
        <w:trPr>
          <w:trHeight w:val="219"/>
        </w:trPr>
        <w:tc>
          <w:tcPr>
            <w:tcW w:w="7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Proceeds from issuance of common stock and exercise of options and other</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19"/>
        </w:trPr>
        <w:tc>
          <w:tcPr>
            <w:tcW w:w="79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(11,406)</w:t>
            </w:r>
          </w:p>
        </w:tc>
      </w:tr>
      <w:tr>
        <w:trPr>
          <w:trHeight w:val="212"/>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w:t>
            </w:r>
          </w:p>
        </w:tc>
      </w:tr>
      <w:tr>
        <w:trPr>
          <w:trHeight w:val="21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(149,753)</w:t>
            </w:r>
          </w:p>
        </w:tc>
      </w:tr>
      <w:tr>
        <w:trPr>
          <w:trHeight w:val="219"/>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447,471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391,164</w:t>
            </w:r>
          </w:p>
        </w:tc>
      </w:tr>
      <w:tr>
        <w:trPr>
          <w:trHeight w:val="219"/>
        </w:trPr>
        <w:tc>
          <w:tcPr>
            <w:tcW w:w="792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17"/>
                <w:szCs w:val="17"/>
                <w:color w:val="auto"/>
              </w:rPr>
              <w:t xml:space="preserve">Cash and cash equivalents, end of period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358,448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241,411</w:t>
            </w: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797"/>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157"/>
        </w:trPr>
        <w:tc>
          <w:tcPr>
            <w:tcW w:w="7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ind w:left="160"/>
              <w:spacing w:after="0" w:line="157" w:lineRule="exact"/>
              <w:rPr>
                <w:sz w:val="20"/>
                <w:szCs w:val="20"/>
                <w:color w:val="auto"/>
              </w:rPr>
            </w:pPr>
            <w:r>
              <w:rPr>
                <w:rFonts w:ascii="Times New Roman" w:cs="Times New Roman" w:eastAsia="Times New Roman" w:hAnsi="Times New Roman"/>
                <w:sz w:val="17"/>
                <w:szCs w:val="17"/>
                <w:b w:val="1"/>
                <w:bCs w:val="1"/>
                <w:color w:val="auto"/>
              </w:rPr>
              <w:t>March 31,</w:t>
            </w:r>
          </w:p>
        </w:tc>
        <w:tc>
          <w:tcPr>
            <w:tcW w:w="260" w:type="dxa"/>
            <w:vAlign w:val="bottom"/>
          </w:tcPr>
          <w:p>
            <w:pPr>
              <w:spacing w:after="0"/>
              <w:rPr>
                <w:sz w:val="13"/>
                <w:szCs w:val="13"/>
                <w:color w:val="auto"/>
              </w:rPr>
            </w:pPr>
          </w:p>
        </w:tc>
        <w:tc>
          <w:tcPr>
            <w:tcW w:w="1320" w:type="dxa"/>
            <w:vAlign w:val="bottom"/>
          </w:tcPr>
          <w:p>
            <w:pPr>
              <w:jc w:val="right"/>
              <w:ind w:right="337"/>
              <w:spacing w:after="0" w:line="157" w:lineRule="exact"/>
              <w:rPr>
                <w:sz w:val="20"/>
                <w:szCs w:val="20"/>
                <w:color w:val="auto"/>
              </w:rPr>
            </w:pPr>
            <w:r>
              <w:rPr>
                <w:rFonts w:ascii="Times New Roman" w:cs="Times New Roman" w:eastAsia="Times New Roman" w:hAnsi="Times New Roman"/>
                <w:sz w:val="17"/>
                <w:szCs w:val="17"/>
                <w:b w:val="1"/>
                <w:bCs w:val="1"/>
                <w:color w:val="auto"/>
              </w:rPr>
              <w:t>March 31,</w:t>
            </w:r>
          </w:p>
        </w:tc>
      </w:tr>
      <w:tr>
        <w:trPr>
          <w:trHeight w:val="221"/>
        </w:trPr>
        <w:tc>
          <w:tcPr>
            <w:tcW w:w="79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 of non-cash financing and investing activities: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9"/>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Increase in capitalized accrued interest including in accrued expenses and deferred revenue</w:t>
            </w: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9,038</w:t>
            </w:r>
          </w:p>
        </w:tc>
        <w:tc>
          <w:tcPr>
            <w:tcW w:w="8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5,738</w:t>
            </w:r>
          </w:p>
        </w:tc>
      </w:tr>
      <w:tr>
        <w:trPr>
          <w:trHeight w:val="226"/>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Network construction assets included in accrued expenses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12,409</w:t>
            </w:r>
          </w:p>
        </w:tc>
      </w:tr>
      <w:tr>
        <w:trPr>
          <w:trHeight w:val="215"/>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Construction in progress assets acquired through XCOM SSA</w:t>
            </w:r>
          </w:p>
        </w:tc>
        <w:tc>
          <w:tcPr>
            <w:tcW w:w="2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1,820</w:t>
            </w:r>
          </w:p>
        </w:tc>
      </w:tr>
    </w:tbl>
    <w:p>
      <w:pPr>
        <w:spacing w:after="0" w:line="200" w:lineRule="exact"/>
        <w:rPr>
          <w:sz w:val="20"/>
          <w:szCs w:val="20"/>
          <w:color w:val="auto"/>
        </w:rPr>
      </w:pPr>
    </w:p>
    <w:p>
      <w:pPr>
        <w:spacing w:after="0" w:line="207" w:lineRule="exact"/>
        <w:rPr>
          <w:sz w:val="20"/>
          <w:szCs w:val="20"/>
          <w:color w:val="auto"/>
        </w:rPr>
      </w:pPr>
    </w:p>
    <w:p>
      <w:pPr>
        <w:ind w:left="2440" w:right="2020" w:hanging="2435"/>
        <w:spacing w:after="0" w:line="712" w:lineRule="auto"/>
        <w:tabs>
          <w:tab w:leader="none" w:pos="24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and cash equivalents on the consolidated balance sheet is equal to cash and cash equivalents on the statement of cash flows See accompanying notes to unaudited interim condensed consolidated financial statements.</w:t>
      </w:r>
    </w:p>
    <w:p>
      <w:pPr>
        <w:sectPr>
          <w:pgSz w:w="11900" w:h="16838" w:orient="portrait"/>
          <w:cols w:equalWidth="0" w:num="1">
            <w:col w:w="11240"/>
          </w:cols>
          <w:pgMar w:left="320" w:top="921" w:right="3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INTERIM CONDENSED CONSOLIDATED FINANCIAL STATEMENTS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BASIS OF PRESENTATION</w:t>
      </w:r>
    </w:p>
    <w:p>
      <w:pPr>
        <w:spacing w:after="0" w:line="251" w:lineRule="exact"/>
        <w:rPr>
          <w:sz w:val="20"/>
          <w:szCs w:val="20"/>
          <w:color w:val="auto"/>
        </w:rPr>
      </w:pPr>
    </w:p>
    <w:p>
      <w:pPr>
        <w:jc w:val="both"/>
        <w:ind w:firstLine="235"/>
        <w:spacing w:after="0" w:line="261" w:lineRule="auto"/>
        <w:rPr>
          <w:sz w:val="20"/>
          <w:szCs w:val="20"/>
          <w:color w:val="auto"/>
        </w:rPr>
      </w:pPr>
      <w:r>
        <w:rPr>
          <w:rFonts w:ascii="Times New Roman" w:cs="Times New Roman" w:eastAsia="Times New Roman" w:hAnsi="Times New Roman"/>
          <w:sz w:val="17"/>
          <w:szCs w:val="17"/>
          <w:color w:val="auto"/>
        </w:rPr>
        <w:t>Through its global satellite network, Globalstar, Inc. ("Globalstar" or the "Company") provides Mobile Satellite Services ("MSS"), including communications products and services, wholesale capacity services, terrestrial spectrum and network solutions and government services. The Company provides communications products and services to its subscribers, including data transmissions and voice communications (Commercial IoT, SPOT and Duplex). Wholesale capacity services include satellite network access and related services using the Company's network of in-orbit satellites and ground stations ("gateways") pursuant to the Company's spectrum licenses, which the Company refers to collectively as the Globalstar System. The Company also utilizes the Globalstar System for terrestrial spectrum and network solutions. Government services include strategic partnerships as well as hardware and software designs to develop specific applications operating over the Globalstar System. The Company’s only reportable segment is its MSS business. Thermo Companies, through commonly controlled affiliates (collectively, "Thermo"), is the principal owner and largest stockholder of Globalstar. The Executive Chairman of the Company's Board of Directors (the "Board") controls Thermo.</w:t>
      </w:r>
    </w:p>
    <w:p>
      <w:pPr>
        <w:spacing w:after="0" w:line="204"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The Company has prepared the accompanying unaudited interim condensed consolidated financial statements in accordance with generally accepted accounting principles in the United States of America ("U.S. GAAP") for interim financial information. Certain information and footnote disclosures normally included in financial statements have been condensed or omitted pursuant to the rules and regulations of the Securities and Exchange Commission (the "SEC"); however, management believes the disclosures made are adequate to make the information presented in this Report not misleading. These financial statements and accompanying notes should be read in conjunction with the consolidated financial statements and notes thereto included in the Company's Annual Report on Form 10-K for the year ended December 31, 2025, as filed with the SEC on February 27, 2026 (the "2025 Annual Report").</w:t>
      </w:r>
    </w:p>
    <w:p>
      <w:pPr>
        <w:spacing w:after="0" w:line="200" w:lineRule="exact"/>
        <w:rPr>
          <w:sz w:val="20"/>
          <w:szCs w:val="20"/>
          <w:color w:val="auto"/>
        </w:rPr>
      </w:pPr>
    </w:p>
    <w:p>
      <w:pPr>
        <w:jc w:val="both"/>
        <w:ind w:firstLine="235"/>
        <w:spacing w:after="0" w:line="273"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estimates. The Company evaluates estimates on an ongoing basis.</w:t>
      </w:r>
    </w:p>
    <w:p>
      <w:pPr>
        <w:spacing w:after="0" w:line="200" w:lineRule="exact"/>
        <w:rPr>
          <w:sz w:val="20"/>
          <w:szCs w:val="20"/>
          <w:color w:val="auto"/>
        </w:rPr>
      </w:pPr>
    </w:p>
    <w:p>
      <w:pPr>
        <w:spacing w:after="0" w:line="205"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These unaudited interim condensed consolidated financial statements include the accounts of Globalstar and all its subsidiaries. The Company's consolidated financial statements include results and amounts for the Globalstar SPE (as defined below), which is a variable interest entity ("VIE") further described in Note 2, of which Globalstar is the primary beneficiary. Intercompany transactions and balances have been eliminated in the consolidation. In the opinion of management, the information included herein includes all adjustments, consisting of normal recurring adjustments, that are necessary for a fair presentation of the Company’s condensed consolidated statements of operations, consolidated balance sheets, condensed consolidated statements of stockholders' equity and condensed consolidated statements of cash flows for the periods presented. The results of operations for the three months ended March 31, 2026 are not necessarily indicative of the results that may be expected for the full year or any future period.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Developments</w:t>
      </w:r>
    </w:p>
    <w:p>
      <w:pPr>
        <w:spacing w:after="0" w:line="253" w:lineRule="exact"/>
        <w:rPr>
          <w:sz w:val="20"/>
          <w:szCs w:val="20"/>
          <w:color w:val="auto"/>
        </w:rPr>
      </w:pPr>
    </w:p>
    <w:p>
      <w:pPr>
        <w:jc w:val="both"/>
        <w:ind w:firstLine="235"/>
        <w:spacing w:after="0" w:line="265" w:lineRule="auto"/>
        <w:rPr>
          <w:sz w:val="20"/>
          <w:szCs w:val="20"/>
          <w:color w:val="auto"/>
        </w:rPr>
      </w:pPr>
      <w:r>
        <w:rPr>
          <w:rFonts w:ascii="Times New Roman" w:cs="Times New Roman" w:eastAsia="Times New Roman" w:hAnsi="Times New Roman"/>
          <w:sz w:val="17"/>
          <w:szCs w:val="17"/>
          <w:color w:val="auto"/>
        </w:rPr>
        <w:t>On April 13, 2026, the Company entered into an Agreement and Plan of Merger (the “Merger Agreement”) with Amazon.com, Inc., a Delaware corporation (“Amazon”), Grapefruit Acquisition Sub I, Inc., a Delaware corporation and a direct wholly owned subsidiary of Amazon (“Acquisition Sub I”), and Grapefruit Acquisition Sub II, LLC, a Delaware limited liability company and a direct wholly owned subsidiary of Amazon (“Acquisition Sub II” and, together with Amazon and Acquisition Sub I, the “Buyer Parties”), pursuant to which and subject to the terms and conditions of the Merger Agreement, the Buyer Parties have agreed to acquire the Company (the "Mergers"). Refer to Note 14: Subsequent Events for discussion of the Merger Agreement, including the related transactions.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251" w:lineRule="exact"/>
        <w:rPr>
          <w:sz w:val="20"/>
          <w:szCs w:val="20"/>
          <w:color w:val="auto"/>
        </w:rPr>
      </w:pPr>
    </w:p>
    <w:p>
      <w:pPr>
        <w:jc w:val="both"/>
        <w:ind w:firstLine="235"/>
        <w:spacing w:after="0" w:line="267" w:lineRule="auto"/>
        <w:rPr>
          <w:sz w:val="20"/>
          <w:szCs w:val="20"/>
          <w:color w:val="auto"/>
        </w:rPr>
      </w:pPr>
      <w:r>
        <w:rPr>
          <w:rFonts w:ascii="Times New Roman" w:cs="Times New Roman" w:eastAsia="Times New Roman" w:hAnsi="Times New Roman"/>
          <w:sz w:val="17"/>
          <w:szCs w:val="17"/>
          <w:color w:val="auto"/>
        </w:rPr>
        <w:t xml:space="preserve">In November 2024, the Financial Accounting Standards Board ("FASB") issued Accounting Standards Update ("ASU") 2024-03, </w:t>
      </w:r>
      <w:r>
        <w:rPr>
          <w:rFonts w:ascii="Times New Roman" w:cs="Times New Roman" w:eastAsia="Times New Roman" w:hAnsi="Times New Roman"/>
          <w:sz w:val="17"/>
          <w:szCs w:val="17"/>
          <w:i w:val="1"/>
          <w:iCs w:val="1"/>
          <w:color w:val="auto"/>
        </w:rPr>
        <w:t>Income Statement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Reporting Comprehensive Income — Expense Disaggregation Disclosures</w:t>
      </w:r>
      <w:r>
        <w:rPr>
          <w:rFonts w:ascii="Times New Roman" w:cs="Times New Roman" w:eastAsia="Times New Roman" w:hAnsi="Times New Roman"/>
          <w:sz w:val="17"/>
          <w:szCs w:val="17"/>
          <w:color w:val="auto"/>
        </w:rPr>
        <w:t>. This ASU requires public companies to disclose, on an annual and interim basis,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disaggregated information about certain income statement expense line items. The amendments should be applied prospectively; however, retrospective application is also permitted. The Company plans to adopt this standard when it becomes effective on January 1, 2027. The Company is evaluating the impact this ASU may have on its financial statement disclosures.</w:t>
      </w:r>
    </w:p>
    <w:p>
      <w:pPr>
        <w:spacing w:after="0" w:line="193"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2025-07, </w:t>
      </w:r>
      <w:r>
        <w:rPr>
          <w:rFonts w:ascii="Times New Roman" w:cs="Times New Roman" w:eastAsia="Times New Roman" w:hAnsi="Times New Roman"/>
          <w:sz w:val="17"/>
          <w:szCs w:val="17"/>
          <w:i w:val="1"/>
          <w:iCs w:val="1"/>
          <w:color w:val="auto"/>
        </w:rPr>
        <w:t>"Derivatives and Hedging (Topic 815) and Revenue from Contracts with Customers (Topic 606):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Derivatives Scope Refinements and Scope Clarification for Share-Based Non-cash Consideration from a Customer in a Revenue Contract." </w:t>
      </w:r>
      <w:r>
        <w:rPr>
          <w:rFonts w:ascii="Times New Roman" w:cs="Times New Roman" w:eastAsia="Times New Roman" w:hAnsi="Times New Roman"/>
          <w:sz w:val="17"/>
          <w:szCs w:val="17"/>
          <w:color w:val="auto"/>
        </w:rPr>
        <w:t>This ASU exclude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the scope of derivative accounting certain contracts with underlyings that are based on the operations or activities of one of the parties to the contract. This ASU also clarifies that an entity receiving share-based noncash consideration from a customer that is consideration for the transfer of goods or services in a revenue contract is required to apply the guidance on noncash consideration in ASC 606. The standard is effective for annual and interim reporting periods beginning after December 16, 2026, with early adoption permitted. The standard may be applied using a prospective or modified retrospective transition approach. The Company is evaluating the impact this ASU may have on accounting for embedded derivatives and the related financial statement disclosures.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SPECIAL PURPOSE ENTITY</w:t>
      </w:r>
    </w:p>
    <w:p>
      <w:pPr>
        <w:spacing w:after="0" w:line="251" w:lineRule="exact"/>
        <w:rPr>
          <w:sz w:val="20"/>
          <w:szCs w:val="20"/>
          <w:color w:val="auto"/>
        </w:rPr>
      </w:pPr>
    </w:p>
    <w:p>
      <w:pPr>
        <w:jc w:val="both"/>
        <w:ind w:firstLine="235"/>
        <w:spacing w:after="0" w:line="273" w:lineRule="auto"/>
        <w:rPr>
          <w:sz w:val="20"/>
          <w:szCs w:val="20"/>
          <w:color w:val="auto"/>
        </w:rPr>
      </w:pPr>
      <w:r>
        <w:rPr>
          <w:rFonts w:ascii="Times New Roman" w:cs="Times New Roman" w:eastAsia="Times New Roman" w:hAnsi="Times New Roman"/>
          <w:sz w:val="17"/>
          <w:szCs w:val="17"/>
          <w:color w:val="auto"/>
        </w:rPr>
        <w:t>The Company provides wholesale capacity services over its mobile satellite system (the "Services") to its customer, Apple Inc. (the "Customer"), pursuant to a service agreement and certain related ancillary agreements (collectively, the "Service Agreements") for the Phase 1 Service Period and Phase 2 Service Period (as defined below). The Service Agreements generally require Globalstar to allocate network capacity to support the Services, which launched in November 2022.</w:t>
      </w:r>
    </w:p>
    <w:p>
      <w:pPr>
        <w:spacing w:after="0" w:line="200" w:lineRule="exact"/>
        <w:rPr>
          <w:sz w:val="20"/>
          <w:szCs w:val="20"/>
          <w:color w:val="auto"/>
        </w:rPr>
      </w:pPr>
    </w:p>
    <w:p>
      <w:pPr>
        <w:spacing w:after="0" w:line="205"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Effective November 5, 2024, (the "2024 Closing Date") the Company and the Customer amended the Service Agreements and entered into other related agreements (the Service Agreements as amended, collectively, the "Updated Services Agreements") for Globalstar to deliver expanded services to the Customer over a new MSS network, including a new satellite constellation, expanded ground infrastructure, and increased global MSS licensing (the "Extended MSS Network") for the Services provided over the Extended MSS Network. The Extended MSS Network will be (i) owned by Globalstar Licensee, LLC, together with its subsidiaries (collectively, the "Globalstar SPE"), a VIE, and (ii) operated by the Company. The Customer (i) has prepaid, and is required, subject to certain conditions, to continue to prepay for, certain services to be delivered by the Company to the Customer who will utilize the Extended MSS Network under the Updated Services Agreements and (ii) is a passive equity holder in Globalstar SPE.</w:t>
      </w:r>
    </w:p>
    <w:p>
      <w:pPr>
        <w:spacing w:after="0" w:line="199"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The Company's allocated capacity supports the following phases of the Services: 1) current Services provided over the Globalstar System ("Phase 1 Service Period"), 2) future Services provided over the new replacement satellites ("Phase 2 Service Period"), of which such Services are expected to commence following the launch of the first set of such replacement satellites, which is currently scheduled for May 2026 (refer to Note 9: Commitments and Contingencies for further discussion), and 3) future Services provided over the Extended MSS Network.</w:t>
      </w:r>
    </w:p>
    <w:p>
      <w:pPr>
        <w:spacing w:after="0" w:line="195"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The Globalstar SPE holds and administers, or will administer in the future, certain spectrum licenses, satellites, ground stations and other network assets for use and operation by the Company and to enable and provide services to the Customer pursuant to the Updated Services Agreements. The Globalstar SPE does not have commercial operations.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 w:name="page10"/>
    <w:bookmarkEnd w:id="9"/>
    <w:p>
      <w:pPr>
        <w:ind w:left="240"/>
        <w:spacing w:after="0"/>
        <w:rPr>
          <w:sz w:val="20"/>
          <w:szCs w:val="20"/>
          <w:color w:val="auto"/>
        </w:rPr>
      </w:pPr>
      <w:r>
        <w:rPr>
          <w:rFonts w:ascii="Times New Roman" w:cs="Times New Roman" w:eastAsia="Times New Roman" w:hAnsi="Times New Roman"/>
          <w:sz w:val="17"/>
          <w:szCs w:val="17"/>
          <w:color w:val="auto"/>
        </w:rPr>
        <w:t>The table below includes the assets of the Globalstar SPE as of March 31, 2026 and December 31, 2025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As of:</w:t>
            </w:r>
          </w:p>
        </w:tc>
        <w:tc>
          <w:tcPr>
            <w:tcW w:w="2040" w:type="dxa"/>
            <w:vAlign w:val="bottom"/>
            <w:tcBorders>
              <w:bottom w:val="single" w:sz="8" w:color="auto"/>
            </w:tcBorders>
          </w:tcPr>
          <w:p>
            <w:pPr>
              <w:spacing w:after="0"/>
              <w:rPr>
                <w:sz w:val="19"/>
                <w:szCs w:val="19"/>
                <w:color w:val="auto"/>
              </w:rPr>
            </w:pPr>
          </w:p>
        </w:tc>
      </w:tr>
      <w:tr>
        <w:trPr>
          <w:trHeight w:val="200"/>
        </w:trPr>
        <w:tc>
          <w:tcPr>
            <w:tcW w:w="632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2026</w:t>
            </w: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color w:val="auto"/>
              </w:rPr>
              <w:t>December 31, 2025</w:t>
            </w:r>
          </w:p>
        </w:tc>
      </w:tr>
      <w:tr>
        <w:trPr>
          <w:trHeight w:val="205"/>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r>
      <w:tr>
        <w:trPr>
          <w:trHeight w:val="222"/>
        </w:trPr>
        <w:tc>
          <w:tcPr>
            <w:tcW w:w="6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740" w:type="dxa"/>
            <w:vAlign w:val="bottom"/>
          </w:tcPr>
          <w:p>
            <w:pPr>
              <w:jc w:val="right"/>
              <w:ind w:right="1556"/>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2,011</w:t>
            </w:r>
          </w:p>
        </w:tc>
        <w:tc>
          <w:tcPr>
            <w:tcW w:w="8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w:t>
            </w:r>
          </w:p>
        </w:tc>
      </w:tr>
      <w:tr>
        <w:trPr>
          <w:trHeight w:val="222"/>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7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717,342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653,668</w:t>
            </w:r>
          </w:p>
        </w:tc>
      </w:tr>
      <w:tr>
        <w:trPr>
          <w:trHeight w:val="222"/>
        </w:trPr>
        <w:tc>
          <w:tcPr>
            <w:tcW w:w="6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Prepaid network costs</w:t>
            </w:r>
          </w:p>
        </w:tc>
        <w:tc>
          <w:tcPr>
            <w:tcW w:w="17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185,547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158,547</w:t>
            </w:r>
          </w:p>
        </w:tc>
      </w:tr>
      <w:tr>
        <w:trPr>
          <w:trHeight w:val="222"/>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Intangibles and other asset, net</w:t>
            </w:r>
          </w:p>
        </w:tc>
        <w:tc>
          <w:tcPr>
            <w:tcW w:w="17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11,684</w:t>
            </w:r>
          </w:p>
        </w:tc>
      </w:tr>
      <w:tr>
        <w:trPr>
          <w:trHeight w:val="215"/>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740" w:type="dxa"/>
            <w:vAlign w:val="bottom"/>
            <w:tcBorders>
              <w:bottom w:val="single" w:sz="8" w:color="auto"/>
            </w:tcBorders>
          </w:tcPr>
          <w:p>
            <w:pPr>
              <w:jc w:val="right"/>
              <w:ind w:right="1556"/>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916,586</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824,619</w:t>
            </w:r>
          </w:p>
        </w:tc>
      </w:tr>
      <w:tr>
        <w:trPr>
          <w:trHeight w:val="20"/>
        </w:trPr>
        <w:tc>
          <w:tcPr>
            <w:tcW w:w="63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Customer Class B Units</w:t>
      </w:r>
    </w:p>
    <w:p>
      <w:pPr>
        <w:spacing w:after="0" w:line="253"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On the 2024 Closing Date, the Customer purchased 400,000 Class B Units in the Globalstar SPE (the "Customer Class B Units") for $400 million, representing a 20% equity interest in the Globalstar SPE. Following the completion of the Mergers (discussed in Note 14: Subsequent Events), Acquisition Sub II will acquire all of the Customer Class B Units in the Globalstar SPE.</w:t>
      </w:r>
    </w:p>
    <w:p>
      <w:pPr>
        <w:spacing w:after="0" w:line="188" w:lineRule="exact"/>
        <w:rPr>
          <w:sz w:val="20"/>
          <w:szCs w:val="20"/>
          <w:color w:val="auto"/>
        </w:rPr>
      </w:pPr>
    </w:p>
    <w:p>
      <w:pPr>
        <w:jc w:val="both"/>
        <w:ind w:firstLine="235"/>
        <w:spacing w:after="0" w:line="261" w:lineRule="auto"/>
        <w:rPr>
          <w:sz w:val="20"/>
          <w:szCs w:val="20"/>
          <w:color w:val="auto"/>
        </w:rPr>
      </w:pPr>
      <w:r>
        <w:rPr>
          <w:rFonts w:ascii="Times New Roman" w:cs="Times New Roman" w:eastAsia="Times New Roman" w:hAnsi="Times New Roman"/>
          <w:sz w:val="17"/>
          <w:szCs w:val="17"/>
          <w:color w:val="auto"/>
        </w:rPr>
        <w:t xml:space="preserve">The Company holds 1,600,000 Class A Units in the Globalstar SPE, representing an 80% equity ownership in the Globalstar SPE. The Company's 80% ownership in the Globalstar SPE exposes it to residual profit or loss of the Globalstar SPE and Globalstar will absorb any expense variability of the Globalstar SPE. The Company has power over the most significant activity of the Globalstar SPE and is exposed to losses and benefits of the Globalstar SPE through its equity interest. The Company assessed the accounting considerations pursuant to ASC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 and concluded that it is the primary beneficiary of the Globalstar SPE and consolidated the Globalstar SPE into the financial statements appearing in this Report. Based on the redemption provision and other characteristics of the arrangement, the Company recorded the total equity contributions from the Customer of $400 million as equity on the Globalstar SPE financial statements and a non-current liability on the Company's consolidated balance sheet. The initial minority investment in the Globalstar SPE included $224 million of in-kind contributions from the Customer and $176 million in cash contributions. The in-kind contributions included long-lead items, satellite construction in progress assets, ground network construction in progress assets, and intangible licensing work in progress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Extended MSS Network Prepayments and 2024 Debt Repayment</w:t>
      </w:r>
    </w:p>
    <w:p>
      <w:pPr>
        <w:spacing w:after="0" w:line="253" w:lineRule="exact"/>
        <w:rPr>
          <w:sz w:val="20"/>
          <w:szCs w:val="20"/>
          <w:color w:val="auto"/>
        </w:rPr>
      </w:pPr>
    </w:p>
    <w:p>
      <w:pPr>
        <w:jc w:val="both"/>
        <w:ind w:firstLine="235"/>
        <w:spacing w:after="0" w:line="261" w:lineRule="auto"/>
        <w:rPr>
          <w:sz w:val="20"/>
          <w:szCs w:val="20"/>
          <w:color w:val="auto"/>
        </w:rPr>
      </w:pPr>
      <w:r>
        <w:rPr>
          <w:rFonts w:ascii="Times New Roman" w:cs="Times New Roman" w:eastAsia="Times New Roman" w:hAnsi="Times New Roman"/>
          <w:sz w:val="17"/>
          <w:szCs w:val="17"/>
          <w:color w:val="auto"/>
        </w:rPr>
        <w:t>The Updated Services Agreements provide, among other things, that the Customer will make cash payments to the Company for capital expenditures in connection with the Extended MSS Network. The payments required by the Updated Services Agreements consist of: (1) an infrastructure prepayment (as increased in April 2026, the "Infrastructure Prepayment") of up to $1.58 billion, which is to be funded quarterly (as needed) over the construction period of the satellites to be used in the Extended MSS Network, the proceeds of which the Globalstar SPE will use, together with the proceeds from the sale of the Customer Class B Units, to pay amounts due for the Extended MSS Network (including, but not limited to, construction and launch costs) and (2) an amount of $235 million that was used to fully retire the 2023 13% Notes (the "2024 Debt Repayment"), as described further herein. The terms of the Infrastructure Prepayment and the 2024 Debt Repayment are contained within one agreement (as amended in April 2026, the "2024 Prepayment Agreement"). Regardless of whether or not the Mergers are successfully consummated (as discussed in Note 14: Subsequent Events), the Company expects (i) to fully pay off amounts owed under the 2024 Prepayment Agreement and to redeem the Customer Class B Units within the design useful life of the new satellites and (ii) that such amounts payable to the Customer will be fully offset by amounts payable by the Customer under the Updated Services Agreements.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Infrastructure Prepayment</w:t>
      </w:r>
    </w:p>
    <w:p>
      <w:pPr>
        <w:spacing w:after="0" w:line="251"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To date, the Company has received $708.6 million from the Customer pursuant to the Infrastructure Prepayment. No amounts were received during the first quarter of 2026. The Company records these prepayments as deferred revenue as they represent the Company’s obligation to provide future services to the Customer. The deferred revenue associated with the Infrastructure Prepayment will be recognized as revenue as services are performed using the Extended MSS Network. The Company accrues fees payable to the Customer on $225.0 million of the Infrastructure Prepayment and the fees will be reduced or eliminated entirely if the Company meets certain defined milestones (as amended in April 2026) associated with the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0" w:name="page11"/>
    <w:bookmarkEnd w:id="10"/>
    <w:p>
      <w:pPr>
        <w:jc w:val="both"/>
        <w:spacing w:after="0" w:line="267" w:lineRule="auto"/>
        <w:rPr>
          <w:sz w:val="20"/>
          <w:szCs w:val="20"/>
          <w:color w:val="auto"/>
        </w:rPr>
      </w:pPr>
      <w:r>
        <w:rPr>
          <w:rFonts w:ascii="Times New Roman" w:cs="Times New Roman" w:eastAsia="Times New Roman" w:hAnsi="Times New Roman"/>
          <w:sz w:val="17"/>
          <w:szCs w:val="17"/>
          <w:color w:val="auto"/>
        </w:rPr>
        <w:t>completion of the Extended MSS Network. The remainder of the Infrastructure Prepayment does not accrue fees. Refer to Note 3: Revenue for further discussion.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Fees</w:t>
      </w:r>
    </w:p>
    <w:p>
      <w:pPr>
        <w:spacing w:after="0" w:line="253"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As consideration for the satellite services provided for in the Updated Services Agreements, the incremental service fees payable by the Customer to the Company include fees tied to the cost of the Extended MSS Network, fees for providing additional related services, fees tied to expenses incurred by the Company for the provision of such services, and performance bonuses. Payment of a portion of these fees is subject to the satisfaction of certain licensing, service levels and milestone achievements (as adjusted in April 2026). For a discussion of the amendment of these milestones and the potential downward adjustment of the Merger Consideration (as defined below) if we fail to attain them, see "Impact of Amendments of Arrangements with the Customer and the Pending Mergers" immediately below and Note 14: Subsequent Events. Additionally, the Updated Services Agreements also provide for annual service fees of $30 million to be accelerated. Such accelerated payments began in the first quarter of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Impact of Amendments of Arrangements with the Customer and the Pending Mergers</w:t>
      </w:r>
    </w:p>
    <w:p>
      <w:pPr>
        <w:spacing w:after="0" w:line="253" w:lineRule="exact"/>
        <w:rPr>
          <w:sz w:val="20"/>
          <w:szCs w:val="20"/>
          <w:color w:val="auto"/>
        </w:rPr>
      </w:pPr>
    </w:p>
    <w:p>
      <w:pPr>
        <w:jc w:val="both"/>
        <w:ind w:firstLine="314"/>
        <w:spacing w:after="0" w:line="295" w:lineRule="auto"/>
        <w:rPr>
          <w:sz w:val="20"/>
          <w:szCs w:val="20"/>
          <w:color w:val="auto"/>
        </w:rPr>
      </w:pPr>
      <w:r>
        <w:rPr>
          <w:rFonts w:ascii="Times New Roman" w:cs="Times New Roman" w:eastAsia="Times New Roman" w:hAnsi="Times New Roman"/>
          <w:sz w:val="17"/>
          <w:szCs w:val="17"/>
          <w:color w:val="auto"/>
        </w:rPr>
        <w:t>See Note 14: Subsequent Events for a discussion of certain arrangements with the Customer entered into on April 13, 2026 in connection with the Merger Agreement, including:</w:t>
      </w:r>
    </w:p>
    <w:p>
      <w:pPr>
        <w:spacing w:after="0" w:line="173" w:lineRule="exact"/>
        <w:rPr>
          <w:sz w:val="20"/>
          <w:szCs w:val="20"/>
          <w:color w:val="auto"/>
        </w:rPr>
      </w:pPr>
    </w:p>
    <w:p>
      <w:pPr>
        <w:ind w:left="620" w:hanging="302"/>
        <w:spacing w:after="0"/>
        <w:tabs>
          <w:tab w:leader="none" w:pos="62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amendments to the 2024 Prepayment Agreement;</w:t>
      </w:r>
    </w:p>
    <w:p>
      <w:pPr>
        <w:spacing w:after="0" w:line="3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amendments to the SOW (as defined in Note 14: Subsequent Events), which among other things, amended certain milestones;</w:t>
      </w:r>
    </w:p>
    <w:p>
      <w:pPr>
        <w:spacing w:after="0" w:line="1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Amendment to the Thermo Guaranty (as defined below); and</w:t>
      </w:r>
    </w:p>
    <w:p>
      <w:pPr>
        <w:spacing w:after="0" w:line="1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Mergers, (1) a change in the ownership of the Globalstar SPE and (2) the treatment of the Customer and Thermo warrants.</w:t>
      </w:r>
    </w:p>
    <w:p>
      <w:pPr>
        <w:spacing w:after="0" w:line="228" w:lineRule="exact"/>
        <w:rPr>
          <w:rFonts w:ascii="Times New Roman" w:cs="Times New Roman" w:eastAsia="Times New Roman" w:hAnsi="Times New Roman"/>
          <w:sz w:val="17"/>
          <w:szCs w:val="17"/>
          <w:color w:val="auto"/>
        </w:rPr>
      </w:pPr>
    </w:p>
    <w:p>
      <w:pPr>
        <w:ind w:left="180" w:hanging="175"/>
        <w:spacing w:after="0"/>
        <w:tabs>
          <w:tab w:leader="none" w:pos="18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Disaggregation of Revenue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discloses revenue disaggregated by type of product and service (in thousands):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4"/>
          </w:tcPr>
          <w:p>
            <w:pPr>
              <w:jc w:val="right"/>
              <w:ind w:right="1222"/>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03"/>
        </w:trPr>
        <w:tc>
          <w:tcPr>
            <w:tcW w:w="7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March 31, 2026</w:t>
            </w:r>
          </w:p>
        </w:tc>
        <w:tc>
          <w:tcPr>
            <w:tcW w:w="280" w:type="dxa"/>
            <w:vAlign w:val="bottom"/>
          </w:tcPr>
          <w:p>
            <w:pPr>
              <w:spacing w:after="0"/>
              <w:rPr>
                <w:sz w:val="17"/>
                <w:szCs w:val="17"/>
                <w:color w:val="auto"/>
              </w:rPr>
            </w:pPr>
          </w:p>
        </w:tc>
        <w:tc>
          <w:tcPr>
            <w:tcW w:w="164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March 31, 2025</w:t>
            </w:r>
          </w:p>
        </w:tc>
      </w:tr>
      <w:tr>
        <w:trPr>
          <w:trHeight w:val="192"/>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8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r>
      <w:tr>
        <w:trPr>
          <w:trHeight w:val="206"/>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Wholesale capacity services</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46,267</w:t>
            </w:r>
          </w:p>
        </w:tc>
        <w:tc>
          <w:tcPr>
            <w:tcW w:w="10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36,709</w:t>
            </w:r>
          </w:p>
        </w:tc>
      </w:tr>
      <w:tr>
        <w:trPr>
          <w:trHeight w:val="212"/>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Subscriber services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06"/>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IoT</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6,580</w:t>
            </w:r>
          </w:p>
        </w:tc>
      </w:tr>
      <w:tr>
        <w:trPr>
          <w:trHeight w:val="212"/>
        </w:trPr>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SPOT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9,371</w:t>
            </w:r>
          </w:p>
        </w:tc>
      </w:tr>
      <w:tr>
        <w:trPr>
          <w:trHeight w:val="206"/>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Duplex</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3,452</w:t>
            </w:r>
          </w:p>
        </w:tc>
      </w:tr>
      <w:tr>
        <w:trPr>
          <w:trHeight w:val="212"/>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Government and other services</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r>
      <w:tr>
        <w:trPr>
          <w:trHeight w:val="199"/>
        </w:trPr>
        <w:tc>
          <w:tcPr>
            <w:tcW w:w="7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service revenue</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66,701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57,067</w:t>
            </w:r>
          </w:p>
        </w:tc>
      </w:tr>
      <w:tr>
        <w:trPr>
          <w:trHeight w:val="107"/>
        </w:trPr>
        <w:tc>
          <w:tcPr>
            <w:tcW w:w="73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r>
      <w:tr>
        <w:trPr>
          <w:trHeight w:val="206"/>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subscriber equipment sales</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2,965</w:t>
            </w:r>
          </w:p>
        </w:tc>
      </w:tr>
      <w:tr>
        <w:trPr>
          <w:trHeight w:val="107"/>
        </w:trPr>
        <w:tc>
          <w:tcPr>
            <w:tcW w:w="7300" w:type="dxa"/>
            <w:vAlign w:val="bottom"/>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164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1640" w:type="dxa"/>
            <w:vAlign w:val="bottom"/>
            <w:tcBorders>
              <w:bottom w:val="single" w:sz="8" w:color="auto"/>
            </w:tcBorders>
            <w:shd w:val="clear" w:color="auto" w:fill="CCEEFF"/>
          </w:tcPr>
          <w:p>
            <w:pPr>
              <w:spacing w:after="0"/>
              <w:rPr>
                <w:sz w:val="9"/>
                <w:szCs w:val="9"/>
                <w:color w:val="auto"/>
              </w:rPr>
            </w:pPr>
          </w:p>
        </w:tc>
      </w:tr>
      <w:tr>
        <w:trPr>
          <w:trHeight w:val="202"/>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70,064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60,032</w:t>
            </w: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"Wholesale capacity services" revenue in the above table includes revenue associated with the Updated Services Agreements and Service Agreements, as applicable. As consideration for the services provided by Globalstar, payments include a fixed service fee, payments relating to certain service-related operating expenses and capital expenditures, additional fees related to expanded services, and potential bonus payments subject to satisfaction of certain licensing, service and other related criteria. For a discussion of the Updated Services Agreements, see Note 2: Special Purpose Entity.</w:t>
      </w:r>
    </w:p>
    <w:p>
      <w:pPr>
        <w:spacing w:after="0" w:line="195"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"Government and other services" revenue in the table above includes revenue associated with engineering and other communication services, such as terrestrial spectrum and network services, government service contracts and teleport lease arrangements. The Company's largest network services agreement is with Parsons Corporation, a leading technology provider</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color w:val="auto"/>
        </w:rPr>
        <w:t>in the national security and global infrastructure markets, to utilize the Company's satellite network for a mission critical service for government applications.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Accounts Receivable</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The Company records trade accounts receivable from its customers when it has a contractual right to receive payment either on demand or on fixed or determinable dates in the future. The Company's receivable balances by type and classification are presented in the table below, net of allowance for credit losses, and may include amounts related to earned but unbilled receivables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As of:</w:t>
            </w:r>
          </w:p>
        </w:tc>
        <w:tc>
          <w:tcPr>
            <w:tcW w:w="1560" w:type="dxa"/>
            <w:vAlign w:val="bottom"/>
            <w:tcBorders>
              <w:bottom w:val="single" w:sz="8" w:color="auto"/>
            </w:tcBorders>
          </w:tcPr>
          <w:p>
            <w:pPr>
              <w:spacing w:after="0"/>
              <w:rPr>
                <w:sz w:val="17"/>
                <w:szCs w:val="17"/>
                <w:color w:val="auto"/>
              </w:rPr>
            </w:pPr>
          </w:p>
        </w:tc>
      </w:tr>
      <w:tr>
        <w:trPr>
          <w:trHeight w:val="203"/>
        </w:trPr>
        <w:tc>
          <w:tcPr>
            <w:tcW w:w="7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March 31, 2026</w:t>
            </w:r>
          </w:p>
        </w:tc>
        <w:tc>
          <w:tcPr>
            <w:tcW w:w="200" w:type="dxa"/>
            <w:vAlign w:val="bottom"/>
          </w:tcPr>
          <w:p>
            <w:pPr>
              <w:spacing w:after="0"/>
              <w:rPr>
                <w:sz w:val="17"/>
                <w:szCs w:val="17"/>
                <w:color w:val="auto"/>
              </w:rPr>
            </w:pPr>
          </w:p>
        </w:tc>
        <w:tc>
          <w:tcPr>
            <w:tcW w:w="15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December 31, 2025</w:t>
            </w:r>
          </w:p>
        </w:tc>
      </w:tr>
      <w:tr>
        <w:trPr>
          <w:trHeight w:val="192"/>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w:t>
            </w:r>
          </w:p>
        </w:tc>
        <w:tc>
          <w:tcPr>
            <w:tcW w:w="24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r>
      <w:tr>
        <w:trPr>
          <w:trHeight w:val="206"/>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Subscriber and other accounts receivable</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14,883</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15,070</w:t>
            </w:r>
          </w:p>
        </w:tc>
      </w:tr>
      <w:tr>
        <w:trPr>
          <w:trHeight w:val="209"/>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Wholesale capacity accounts receivable</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4,906</w:t>
            </w:r>
          </w:p>
        </w:tc>
      </w:tr>
      <w:tr>
        <w:trPr>
          <w:trHeight w:val="205"/>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accounts receivable, net of allowance for credit losses</w:t>
            </w: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19,762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19,976</w:t>
            </w: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The Company has entered into a satellite procurement agreement for the replacement satellites and two launch services agreements to launch the replacement satellites to support the Phase 2 Service Period. The replacement satellites purchased under the satellite procurement agreement are intended to replace the Company's HIBLEO-4 U.S.-licensed system. Pursuant to the Service Agreements, payments are expected to be made to the Company by the Customer on a straight-line basis over the design life of the replacement satellites beginning with the initiation of service for the Phase 2 Service Period. Based on construction in progress recorded through March 31, 2026, the Company expects to bill $373.7 million associated with the Phase 2 Service Period. Refer to Note 9: Commitments and Contingencies for additional information regarding these agreements.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 Liabilities</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Contract liabilities, which are included in deferred revenue on the Company’s consolidated balance sheet, represent the Company’s obligation to transfer service or equipment to a customer from whom the Company has previously received consideration. The Company's contract liabilities by type and classification are presented in the table below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As of:</w:t>
            </w:r>
          </w:p>
        </w:tc>
        <w:tc>
          <w:tcPr>
            <w:tcW w:w="1560" w:type="dxa"/>
            <w:vAlign w:val="bottom"/>
            <w:tcBorders>
              <w:bottom w:val="single" w:sz="8" w:color="auto"/>
            </w:tcBorders>
          </w:tcPr>
          <w:p>
            <w:pPr>
              <w:spacing w:after="0"/>
              <w:rPr>
                <w:sz w:val="17"/>
                <w:szCs w:val="17"/>
                <w:color w:val="auto"/>
              </w:rPr>
            </w:pPr>
          </w:p>
        </w:tc>
      </w:tr>
      <w:tr>
        <w:trPr>
          <w:trHeight w:val="203"/>
        </w:trPr>
        <w:tc>
          <w:tcPr>
            <w:tcW w:w="7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March 31, 2026</w:t>
            </w:r>
          </w:p>
        </w:tc>
        <w:tc>
          <w:tcPr>
            <w:tcW w:w="200" w:type="dxa"/>
            <w:vAlign w:val="bottom"/>
          </w:tcPr>
          <w:p>
            <w:pPr>
              <w:spacing w:after="0"/>
              <w:rPr>
                <w:sz w:val="17"/>
                <w:szCs w:val="17"/>
                <w:color w:val="auto"/>
              </w:rPr>
            </w:pPr>
          </w:p>
        </w:tc>
        <w:tc>
          <w:tcPr>
            <w:tcW w:w="15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December 31, 2025</w:t>
            </w:r>
          </w:p>
        </w:tc>
      </w:tr>
      <w:tr>
        <w:trPr>
          <w:trHeight w:val="192"/>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contract liabilities:</w:t>
            </w:r>
          </w:p>
        </w:tc>
        <w:tc>
          <w:tcPr>
            <w:tcW w:w="24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r>
      <w:tr>
        <w:trPr>
          <w:trHeight w:val="206"/>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Subscriber and other contract liabilities</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15,227</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17,091</w:t>
            </w:r>
          </w:p>
        </w:tc>
      </w:tr>
      <w:tr>
        <w:trPr>
          <w:trHeight w:val="212"/>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Wholesale capacity contract liabilities, net of contract asset</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38,789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44,929</w:t>
            </w:r>
          </w:p>
        </w:tc>
      </w:tr>
      <w:tr>
        <w:trPr>
          <w:trHeight w:val="199"/>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short-term contract liabilities</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54,016</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62,020</w:t>
            </w:r>
          </w:p>
        </w:tc>
      </w:tr>
      <w:tr>
        <w:trPr>
          <w:trHeight w:val="21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contract liabilities: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6"/>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Subscriber and other contract liabilities</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w:t>
            </w:r>
          </w:p>
        </w:tc>
      </w:tr>
      <w:tr>
        <w:trPr>
          <w:trHeight w:val="212"/>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Wholesale capacity contract liabilities, net of contract asset</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836,452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805,634</w:t>
            </w:r>
          </w:p>
        </w:tc>
      </w:tr>
      <w:tr>
        <w:trPr>
          <w:trHeight w:val="199"/>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long-term contract liabilities</w:t>
            </w: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837,654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806,930</w:t>
            </w:r>
          </w:p>
        </w:tc>
      </w:tr>
      <w:tr>
        <w:trPr>
          <w:trHeight w:val="23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contract liabilities</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891,670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868,950</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For subscriber and other contract liabilities, the amount of revenue recognized during the three months ended March 31, 2026 and 2025 from performance obligations included in the total contract liability balance at the beginning of these periods was $6.2 million and $6.6 million, respectively. For wholesale capacity contract liabilities, the amount of revenue recognized during the three months ended March 31, 2026 and 2025 from performance obligations included in the total contract liability balance at the beginning of these periods was $39.1 million and $28.5 million, respectively.</w:t>
      </w:r>
    </w:p>
    <w:p>
      <w:pPr>
        <w:spacing w:after="0" w:line="195"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 duration of the Company’s contracts with subscribers is generally one year or less. The Updated Services Agreements have no expiration date; therefore, the related contract liabilities may be recognized as revenue over various periods according to when the related performance obligation is satisfied.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2" w:name="page13"/>
    <w:bookmarkEnd w:id="12"/>
    <w:p>
      <w:pPr>
        <w:ind w:left="240"/>
        <w:spacing w:after="0"/>
        <w:rPr>
          <w:sz w:val="20"/>
          <w:szCs w:val="20"/>
          <w:color w:val="auto"/>
        </w:rPr>
      </w:pPr>
      <w:r>
        <w:rPr>
          <w:rFonts w:ascii="Times New Roman" w:cs="Times New Roman" w:eastAsia="Times New Roman" w:hAnsi="Times New Roman"/>
          <w:sz w:val="17"/>
          <w:szCs w:val="17"/>
          <w:color w:val="auto"/>
        </w:rPr>
        <w:t>The components of wholesale capacity contract liabilities are presented in the table below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7"/>
                <w:szCs w:val="17"/>
                <w:color w:val="auto"/>
              </w:rPr>
              <w:t>As of:</w:t>
            </w:r>
          </w:p>
        </w:tc>
        <w:tc>
          <w:tcPr>
            <w:tcW w:w="1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March 31, 2026</w:t>
            </w:r>
          </w:p>
        </w:tc>
        <w:tc>
          <w:tcPr>
            <w:tcW w:w="180" w:type="dxa"/>
            <w:vAlign w:val="bottom"/>
          </w:tcPr>
          <w:p>
            <w:pPr>
              <w:spacing w:after="0"/>
              <w:rPr>
                <w:sz w:val="19"/>
                <w:szCs w:val="19"/>
                <w:color w:val="auto"/>
              </w:rPr>
            </w:pPr>
          </w:p>
        </w:tc>
        <w:tc>
          <w:tcPr>
            <w:tcW w:w="1640" w:type="dxa"/>
            <w:vAlign w:val="bottom"/>
          </w:tcPr>
          <w:p>
            <w:pPr>
              <w:jc w:val="right"/>
              <w:ind w:right="181"/>
              <w:spacing w:after="0"/>
              <w:rPr>
                <w:sz w:val="20"/>
                <w:szCs w:val="20"/>
                <w:color w:val="auto"/>
              </w:rPr>
            </w:pPr>
            <w:r>
              <w:rPr>
                <w:rFonts w:ascii="Times New Roman" w:cs="Times New Roman" w:eastAsia="Times New Roman" w:hAnsi="Times New Roman"/>
                <w:sz w:val="17"/>
                <w:szCs w:val="17"/>
                <w:color w:val="auto"/>
              </w:rPr>
              <w:t>December 31, 2025</w:t>
            </w:r>
          </w:p>
        </w:tc>
        <w:tc>
          <w:tcPr>
            <w:tcW w:w="0" w:type="dxa"/>
            <w:vAlign w:val="bottom"/>
          </w:tcPr>
          <w:p>
            <w:pPr>
              <w:spacing w:after="0"/>
              <w:rPr>
                <w:sz w:val="1"/>
                <w:szCs w:val="1"/>
                <w:color w:val="auto"/>
              </w:rPr>
            </w:pPr>
          </w:p>
        </w:tc>
      </w:tr>
      <w:tr>
        <w:trPr>
          <w:trHeight w:val="192"/>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Wholesale capacity contract liabilities, net:</w:t>
            </w:r>
          </w:p>
        </w:tc>
        <w:tc>
          <w:tcPr>
            <w:tcW w:w="28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260" w:type="dxa"/>
            <w:vAlign w:val="bottom"/>
          </w:tcPr>
          <w:p>
            <w:pPr>
              <w:ind w:left="120"/>
              <w:spacing w:after="0" w:line="209" w:lineRule="exact"/>
              <w:rPr>
                <w:sz w:val="20"/>
                <w:szCs w:val="20"/>
                <w:color w:val="auto"/>
              </w:rPr>
            </w:pPr>
            <w:r>
              <w:rPr>
                <w:rFonts w:ascii="Times New Roman" w:cs="Times New Roman" w:eastAsia="Times New Roman" w:hAnsi="Times New Roman"/>
                <w:sz w:val="16"/>
                <w:szCs w:val="16"/>
                <w:color w:val="auto"/>
              </w:rPr>
              <w:t xml:space="preserve">Additional consideration associated with the 2023 Funding Agreement </w:t>
            </w:r>
            <w:r>
              <w:rPr>
                <w:rFonts w:ascii="Times New Roman" w:cs="Times New Roman" w:eastAsia="Times New Roman" w:hAnsi="Times New Roman"/>
                <w:sz w:val="20"/>
                <w:szCs w:val="20"/>
                <w:color w:val="auto"/>
                <w:vertAlign w:val="superscript"/>
              </w:rPr>
              <w:t>(1)</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6,920</w:t>
            </w:r>
          </w:p>
        </w:tc>
        <w:tc>
          <w:tcPr>
            <w:tcW w:w="180" w:type="dxa"/>
            <w:vAlign w:val="bottom"/>
          </w:tcPr>
          <w:p>
            <w:pPr>
              <w:spacing w:after="0"/>
              <w:rPr>
                <w:sz w:val="18"/>
                <w:szCs w:val="18"/>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6,920</w:t>
            </w:r>
          </w:p>
        </w:tc>
        <w:tc>
          <w:tcPr>
            <w:tcW w:w="0" w:type="dxa"/>
            <w:vAlign w:val="bottom"/>
          </w:tcPr>
          <w:p>
            <w:pPr>
              <w:spacing w:after="0"/>
              <w:rPr>
                <w:sz w:val="1"/>
                <w:szCs w:val="1"/>
                <w:color w:val="auto"/>
              </w:rPr>
            </w:pPr>
          </w:p>
        </w:tc>
      </w:tr>
      <w:tr>
        <w:trPr>
          <w:trHeight w:val="157"/>
        </w:trPr>
        <w:tc>
          <w:tcPr>
            <w:tcW w:w="7260" w:type="dxa"/>
            <w:vAlign w:val="bottom"/>
            <w:shd w:val="clear" w:color="auto" w:fill="CCEEFF"/>
          </w:tcPr>
          <w:p>
            <w:pPr>
              <w:ind w:left="120"/>
              <w:spacing w:after="0" w:line="157" w:lineRule="exact"/>
              <w:rPr>
                <w:sz w:val="20"/>
                <w:szCs w:val="20"/>
                <w:color w:val="auto"/>
              </w:rPr>
            </w:pPr>
            <w:r>
              <w:rPr>
                <w:rFonts w:ascii="Times New Roman" w:cs="Times New Roman" w:eastAsia="Times New Roman" w:hAnsi="Times New Roman"/>
                <w:sz w:val="16"/>
                <w:szCs w:val="16"/>
                <w:color w:val="auto"/>
              </w:rPr>
              <w:t>Advanced payments for services expected to be performed with the ground spare satellite launched in June</w:t>
            </w:r>
          </w:p>
        </w:tc>
        <w:tc>
          <w:tcPr>
            <w:tcW w:w="280" w:type="dxa"/>
            <w:vAlign w:val="bottom"/>
            <w:shd w:val="clear" w:color="auto" w:fill="CCEEFF"/>
          </w:tcPr>
          <w:p>
            <w:pPr>
              <w:spacing w:after="0"/>
              <w:rPr>
                <w:sz w:val="13"/>
                <w:szCs w:val="13"/>
                <w:color w:val="auto"/>
              </w:rPr>
            </w:pP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19,715</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20,155</w:t>
            </w:r>
          </w:p>
        </w:tc>
        <w:tc>
          <w:tcPr>
            <w:tcW w:w="0" w:type="dxa"/>
            <w:vAlign w:val="bottom"/>
          </w:tcPr>
          <w:p>
            <w:pPr>
              <w:spacing w:after="0"/>
              <w:rPr>
                <w:sz w:val="1"/>
                <w:szCs w:val="1"/>
                <w:color w:val="auto"/>
              </w:rPr>
            </w:pPr>
          </w:p>
        </w:tc>
      </w:tr>
      <w:tr>
        <w:trPr>
          <w:trHeight w:val="209"/>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260" w:type="dxa"/>
            <w:vAlign w:val="bottom"/>
          </w:tcPr>
          <w:p>
            <w:pPr>
              <w:ind w:left="120"/>
              <w:spacing w:after="0" w:line="157" w:lineRule="exact"/>
              <w:rPr>
                <w:sz w:val="20"/>
                <w:szCs w:val="20"/>
                <w:color w:val="auto"/>
              </w:rPr>
            </w:pPr>
            <w:r>
              <w:rPr>
                <w:rFonts w:ascii="Times New Roman" w:cs="Times New Roman" w:eastAsia="Times New Roman" w:hAnsi="Times New Roman"/>
                <w:sz w:val="16"/>
                <w:szCs w:val="16"/>
                <w:color w:val="auto"/>
              </w:rPr>
              <w:t>Advanced payments contractually owed for services expected to be performed with the replacement satellite</w:t>
            </w:r>
          </w:p>
        </w:tc>
        <w:tc>
          <w:tcPr>
            <w:tcW w:w="280" w:type="dxa"/>
            <w:vAlign w:val="bottom"/>
          </w:tcPr>
          <w:p>
            <w:pPr>
              <w:spacing w:after="0"/>
              <w:rPr>
                <w:sz w:val="13"/>
                <w:szCs w:val="13"/>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3,924</w:t>
            </w:r>
          </w:p>
        </w:tc>
        <w:tc>
          <w:tcPr>
            <w:tcW w:w="0" w:type="dxa"/>
            <w:vAlign w:val="bottom"/>
          </w:tcPr>
          <w:p>
            <w:pPr>
              <w:spacing w:after="0"/>
              <w:rPr>
                <w:sz w:val="1"/>
                <w:szCs w:val="1"/>
                <w:color w:val="auto"/>
              </w:rPr>
            </w:pPr>
          </w:p>
        </w:tc>
      </w:tr>
      <w:tr>
        <w:trPr>
          <w:trHeight w:val="206"/>
        </w:trPr>
        <w:tc>
          <w:tcPr>
            <w:tcW w:w="7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constellation prior to the Phase 2 Service Period</w:t>
            </w:r>
          </w:p>
        </w:tc>
        <w:tc>
          <w:tcPr>
            <w:tcW w:w="28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260" w:type="dxa"/>
            <w:vAlign w:val="bottom"/>
            <w:shd w:val="clear" w:color="auto" w:fill="CCEEFF"/>
          </w:tcPr>
          <w:p>
            <w:pPr>
              <w:ind w:left="120"/>
              <w:spacing w:after="0" w:line="160" w:lineRule="exact"/>
              <w:rPr>
                <w:sz w:val="20"/>
                <w:szCs w:val="20"/>
                <w:color w:val="auto"/>
              </w:rPr>
            </w:pPr>
            <w:r>
              <w:rPr>
                <w:rFonts w:ascii="Times New Roman" w:cs="Times New Roman" w:eastAsia="Times New Roman" w:hAnsi="Times New Roman"/>
                <w:sz w:val="16"/>
                <w:szCs w:val="16"/>
                <w:color w:val="auto"/>
              </w:rPr>
              <w:t>Advanced payments for the quarterly access fee, service-related operating and capital expenditures and other</w:t>
            </w:r>
          </w:p>
        </w:tc>
        <w:tc>
          <w:tcPr>
            <w:tcW w:w="280" w:type="dxa"/>
            <w:vAlign w:val="bottom"/>
            <w:shd w:val="clear" w:color="auto" w:fill="CCEEFF"/>
          </w:tcPr>
          <w:p>
            <w:pPr>
              <w:spacing w:after="0"/>
              <w:rPr>
                <w:sz w:val="13"/>
                <w:szCs w:val="13"/>
                <w:color w:val="auto"/>
              </w:rPr>
            </w:pP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37,605</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37,682</w:t>
            </w:r>
          </w:p>
        </w:tc>
        <w:tc>
          <w:tcPr>
            <w:tcW w:w="0" w:type="dxa"/>
            <w:vAlign w:val="bottom"/>
          </w:tcPr>
          <w:p>
            <w:pPr>
              <w:spacing w:after="0"/>
              <w:rPr>
                <w:sz w:val="1"/>
                <w:szCs w:val="1"/>
                <w:color w:val="auto"/>
              </w:rPr>
            </w:pPr>
          </w:p>
        </w:tc>
      </w:tr>
      <w:tr>
        <w:trPr>
          <w:trHeight w:val="209"/>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services</w:t>
            </w:r>
          </w:p>
        </w:tc>
        <w:tc>
          <w:tcPr>
            <w:tcW w:w="280" w:type="dxa"/>
            <w:vAlign w:val="bottom"/>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Advanced payments under the Infrastructure Prepayment (See Note 2: Special Purpose Entity)</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708,593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708,593</w:t>
            </w:r>
          </w:p>
        </w:tc>
        <w:tc>
          <w:tcPr>
            <w:tcW w:w="0" w:type="dxa"/>
            <w:vAlign w:val="bottom"/>
          </w:tcPr>
          <w:p>
            <w:pPr>
              <w:spacing w:after="0"/>
              <w:rPr>
                <w:sz w:val="1"/>
                <w:szCs w:val="1"/>
                <w:color w:val="auto"/>
              </w:rPr>
            </w:pPr>
          </w:p>
        </w:tc>
      </w:tr>
      <w:tr>
        <w:trPr>
          <w:trHeight w:val="212"/>
        </w:trPr>
        <w:tc>
          <w:tcPr>
            <w:tcW w:w="7260" w:type="dxa"/>
            <w:vAlign w:val="bottom"/>
            <w:shd w:val="clear" w:color="auto" w:fill="CCEEFF"/>
          </w:tcPr>
          <w:p>
            <w:pPr>
              <w:ind w:left="120"/>
              <w:spacing w:after="0" w:line="212" w:lineRule="exact"/>
              <w:rPr>
                <w:sz w:val="20"/>
                <w:szCs w:val="20"/>
                <w:color w:val="auto"/>
              </w:rPr>
            </w:pPr>
            <w:r>
              <w:rPr>
                <w:rFonts w:ascii="Times New Roman" w:cs="Times New Roman" w:eastAsia="Times New Roman" w:hAnsi="Times New Roman"/>
                <w:sz w:val="16"/>
                <w:szCs w:val="16"/>
                <w:color w:val="auto"/>
              </w:rPr>
              <w:t xml:space="preserve">Additional consideration associated with the Updated Services Agreements </w:t>
            </w:r>
            <w:r>
              <w:rPr>
                <w:rFonts w:ascii="Times New Roman" w:cs="Times New Roman" w:eastAsia="Times New Roman" w:hAnsi="Times New Roman"/>
                <w:sz w:val="20"/>
                <w:szCs w:val="20"/>
                <w:color w:val="auto"/>
                <w:vertAlign w:val="superscript"/>
              </w:rPr>
              <w:t>(2)</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76,491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53,504</w:t>
            </w:r>
          </w:p>
        </w:tc>
        <w:tc>
          <w:tcPr>
            <w:tcW w:w="0" w:type="dxa"/>
            <w:vAlign w:val="bottom"/>
          </w:tcPr>
          <w:p>
            <w:pPr>
              <w:spacing w:after="0"/>
              <w:rPr>
                <w:sz w:val="1"/>
                <w:szCs w:val="1"/>
                <w:color w:val="auto"/>
              </w:rPr>
            </w:pPr>
          </w:p>
        </w:tc>
      </w:tr>
      <w:tr>
        <w:trPr>
          <w:trHeight w:val="209"/>
        </w:trPr>
        <w:tc>
          <w:tcPr>
            <w:tcW w:w="7260" w:type="dxa"/>
            <w:vAlign w:val="bottom"/>
          </w:tcPr>
          <w:p>
            <w:pPr>
              <w:ind w:left="120"/>
              <w:spacing w:after="0" w:line="209" w:lineRule="exact"/>
              <w:rPr>
                <w:sz w:val="20"/>
                <w:szCs w:val="20"/>
                <w:color w:val="auto"/>
              </w:rPr>
            </w:pPr>
            <w:r>
              <w:rPr>
                <w:rFonts w:ascii="Times New Roman" w:cs="Times New Roman" w:eastAsia="Times New Roman" w:hAnsi="Times New Roman"/>
                <w:sz w:val="16"/>
                <w:szCs w:val="16"/>
                <w:color w:val="auto"/>
              </w:rPr>
              <w:t xml:space="preserve">Other advanced payments associated with future performance obligations </w:t>
            </w:r>
            <w:r>
              <w:rPr>
                <w:rFonts w:ascii="Times New Roman" w:cs="Times New Roman" w:eastAsia="Times New Roman" w:hAnsi="Times New Roman"/>
                <w:sz w:val="20"/>
                <w:szCs w:val="20"/>
                <w:color w:val="auto"/>
                <w:vertAlign w:val="superscript"/>
              </w:rPr>
              <w:t>(3)</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68,238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60,674</w:t>
            </w:r>
          </w:p>
        </w:tc>
        <w:tc>
          <w:tcPr>
            <w:tcW w:w="0" w:type="dxa"/>
            <w:vAlign w:val="bottom"/>
          </w:tcPr>
          <w:p>
            <w:pPr>
              <w:spacing w:after="0"/>
              <w:rPr>
                <w:sz w:val="1"/>
                <w:szCs w:val="1"/>
                <w:color w:val="auto"/>
              </w:rPr>
            </w:pPr>
          </w:p>
        </w:tc>
      </w:tr>
      <w:tr>
        <w:trPr>
          <w:trHeight w:val="209"/>
        </w:trPr>
        <w:tc>
          <w:tcPr>
            <w:tcW w:w="726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6"/>
                <w:szCs w:val="16"/>
                <w:color w:val="auto"/>
              </w:rPr>
              <w:t xml:space="preserve">Contract asset </w:t>
            </w:r>
            <w:r>
              <w:rPr>
                <w:rFonts w:ascii="Times New Roman" w:cs="Times New Roman" w:eastAsia="Times New Roman" w:hAnsi="Times New Roman"/>
                <w:sz w:val="20"/>
                <w:szCs w:val="20"/>
                <w:color w:val="auto"/>
                <w:vertAlign w:val="superscript"/>
              </w:rPr>
              <w:t>(4)</w:t>
            </w:r>
          </w:p>
        </w:tc>
        <w:tc>
          <w:tcPr>
            <w:tcW w:w="2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(43,289)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(40,889)</w:t>
            </w:r>
          </w:p>
        </w:tc>
        <w:tc>
          <w:tcPr>
            <w:tcW w:w="0" w:type="dxa"/>
            <w:vAlign w:val="bottom"/>
          </w:tcPr>
          <w:p>
            <w:pPr>
              <w:spacing w:after="0"/>
              <w:rPr>
                <w:sz w:val="1"/>
                <w:szCs w:val="1"/>
                <w:color w:val="auto"/>
              </w:rPr>
            </w:pPr>
          </w:p>
        </w:tc>
      </w:tr>
      <w:tr>
        <w:trPr>
          <w:trHeight w:val="202"/>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Wholesale capacity contract liabilities, net</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875,241</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850,563</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both"/>
        <w:ind w:left="640" w:hanging="322"/>
        <w:spacing w:after="0" w:line="264" w:lineRule="auto"/>
        <w:tabs>
          <w:tab w:leader="none" w:pos="634"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additional consideration associated with the below-market interest rate within the 2023 Funding Agreement (as defined in Note 6: Long-Term Debt and Other Financing Arrangements below). This consideration will be recognized over the estimated Phase 2 Service Period. Refer to Note 6: Long-Term Debt and Other Financing Arrangements for discussion of the payoff of the 2021 Funding Agreement during March 2026.</w:t>
      </w:r>
    </w:p>
    <w:p>
      <w:pPr>
        <w:jc w:val="both"/>
        <w:ind w:left="640" w:hanging="322"/>
        <w:spacing w:after="0" w:line="256" w:lineRule="auto"/>
        <w:tabs>
          <w:tab w:leader="none" w:pos="634"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Primarily represents additional consideration for the implied economic benefit to Globalstar for receiving payments in advance of service. This consideration primarily includes an estimate of the significant financing component totaling $71.7 million related primarily to the Infrastructure Prepayment. The Company expects to recognize this consideration over the estimated Extended MSS Network service period.</w:t>
      </w:r>
    </w:p>
    <w:p>
      <w:pPr>
        <w:spacing w:after="0" w:line="1" w:lineRule="exact"/>
        <w:rPr>
          <w:rFonts w:ascii="Times New Roman" w:cs="Times New Roman" w:eastAsia="Times New Roman" w:hAnsi="Times New Roman"/>
          <w:sz w:val="17"/>
          <w:szCs w:val="17"/>
          <w:color w:val="auto"/>
        </w:rPr>
      </w:pPr>
    </w:p>
    <w:p>
      <w:pPr>
        <w:jc w:val="both"/>
        <w:ind w:left="640" w:hanging="322"/>
        <w:spacing w:after="0" w:line="256" w:lineRule="auto"/>
        <w:tabs>
          <w:tab w:leader="none" w:pos="634"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primarily: a) advanced service payments totaling $52.5 million pursuant to the Updated Services Agreements, which provide for a portion of annual service fees to be accelerated and b) $13.3 million of make whole fees paid by Customer for the extinguishment of the 2023 13% Notes in 2024. These advanced payments will be recognized during the Extended MSS Network service period.</w:t>
      </w:r>
    </w:p>
    <w:p>
      <w:pPr>
        <w:spacing w:after="0" w:line="1" w:lineRule="exact"/>
        <w:rPr>
          <w:rFonts w:ascii="Times New Roman" w:cs="Times New Roman" w:eastAsia="Times New Roman" w:hAnsi="Times New Roman"/>
          <w:sz w:val="17"/>
          <w:szCs w:val="17"/>
          <w:color w:val="auto"/>
        </w:rPr>
      </w:pPr>
    </w:p>
    <w:p>
      <w:pPr>
        <w:jc w:val="both"/>
        <w:ind w:left="640" w:hanging="322"/>
        <w:spacing w:after="0" w:line="265" w:lineRule="auto"/>
        <w:tabs>
          <w:tab w:leader="none" w:pos="634"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Primarily includes warrants with an initial fair value at the time of issuance of $48.3 million which was recorded in equity with an offset to a contract asset on the Company's consolidated balance sheets. The fair value of the warrants is recorded as a reduction to revenue over time and totaled $40.8 million as of March 31, 2026.</w:t>
      </w:r>
    </w:p>
    <w:p>
      <w:pPr>
        <w:spacing w:after="0" w:line="194" w:lineRule="exact"/>
        <w:rPr>
          <w:rFonts w:ascii="Times New Roman" w:cs="Times New Roman" w:eastAsia="Times New Roman" w:hAnsi="Times New Roman"/>
          <w:sz w:val="17"/>
          <w:szCs w:val="17"/>
          <w:color w:val="auto"/>
        </w:rPr>
      </w:pPr>
    </w:p>
    <w:p>
      <w:pPr>
        <w:ind w:left="180" w:hanging="175"/>
        <w:spacing w:after="0"/>
        <w:tabs>
          <w:tab w:leader="none" w:pos="18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251" w:lineRule="exact"/>
        <w:rPr>
          <w:sz w:val="20"/>
          <w:szCs w:val="20"/>
          <w:color w:val="auto"/>
        </w:rPr>
      </w:pPr>
    </w:p>
    <w:p>
      <w:pPr>
        <w:ind w:firstLine="314"/>
        <w:spacing w:after="0" w:line="295" w:lineRule="auto"/>
        <w:rPr>
          <w:sz w:val="20"/>
          <w:szCs w:val="20"/>
          <w:color w:val="auto"/>
        </w:rPr>
      </w:pPr>
      <w:r>
        <w:rPr>
          <w:rFonts w:ascii="Times New Roman" w:cs="Times New Roman" w:eastAsia="Times New Roman" w:hAnsi="Times New Roman"/>
          <w:sz w:val="17"/>
          <w:szCs w:val="17"/>
          <w:color w:val="auto"/>
        </w:rPr>
        <w:t>The Company has operating and finance leases for facilities and equipment around the world, including corporate offices, satellite control centers, ground control centers, gateways and certain equipment. Overall, finance leases are not significant to the Company and are not included in the disclosures below.</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tables disclose the components of the Company’s operating leases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As of:</w:t>
            </w:r>
          </w:p>
        </w:tc>
        <w:tc>
          <w:tcPr>
            <w:tcW w:w="1560" w:type="dxa"/>
            <w:vAlign w:val="bottom"/>
            <w:tcBorders>
              <w:bottom w:val="single" w:sz="8" w:color="auto"/>
            </w:tcBorders>
          </w:tcPr>
          <w:p>
            <w:pPr>
              <w:spacing w:after="0"/>
              <w:rPr>
                <w:sz w:val="17"/>
                <w:szCs w:val="17"/>
                <w:color w:val="auto"/>
              </w:rPr>
            </w:pPr>
          </w:p>
        </w:tc>
      </w:tr>
      <w:tr>
        <w:trPr>
          <w:trHeight w:val="203"/>
        </w:trPr>
        <w:tc>
          <w:tcPr>
            <w:tcW w:w="7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March 31, 2026</w:t>
            </w:r>
          </w:p>
        </w:tc>
        <w:tc>
          <w:tcPr>
            <w:tcW w:w="200" w:type="dxa"/>
            <w:vAlign w:val="bottom"/>
          </w:tcPr>
          <w:p>
            <w:pPr>
              <w:spacing w:after="0"/>
              <w:rPr>
                <w:sz w:val="17"/>
                <w:szCs w:val="17"/>
                <w:color w:val="auto"/>
              </w:rPr>
            </w:pPr>
          </w:p>
        </w:tc>
        <w:tc>
          <w:tcPr>
            <w:tcW w:w="15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December 31, 2025</w:t>
            </w:r>
          </w:p>
        </w:tc>
      </w:tr>
      <w:tr>
        <w:trPr>
          <w:trHeight w:val="192"/>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24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r>
      <w:tr>
        <w:trPr>
          <w:trHeight w:val="20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Right-of-use asset, net</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67,005</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66,698</w:t>
            </w:r>
          </w:p>
        </w:tc>
      </w:tr>
      <w:tr>
        <w:trPr>
          <w:trHeight w:val="264"/>
        </w:trPr>
        <w:tc>
          <w:tcPr>
            <w:tcW w:w="76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0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lease liability (recorded in accrued expenses)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7,998</w:t>
            </w:r>
          </w:p>
        </w:tc>
      </w:tr>
      <w:tr>
        <w:trPr>
          <w:trHeight w:val="209"/>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lease liability</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54,549</w:t>
            </w:r>
          </w:p>
        </w:tc>
      </w:tr>
      <w:tr>
        <w:trPr>
          <w:trHeight w:val="205"/>
        </w:trPr>
        <w:tc>
          <w:tcPr>
            <w:tcW w:w="7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63,263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62,547</w:t>
            </w: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3" w:name="page14"/>
    <w:bookmarkEnd w:id="13"/>
    <w:p>
      <w:pPr>
        <w:ind w:firstLine="314"/>
        <w:spacing w:after="0" w:line="295" w:lineRule="auto"/>
        <w:rPr>
          <w:sz w:val="20"/>
          <w:szCs w:val="20"/>
          <w:color w:val="auto"/>
        </w:rPr>
      </w:pPr>
      <w:r>
        <w:rPr>
          <w:rFonts w:ascii="Times New Roman" w:cs="Times New Roman" w:eastAsia="Times New Roman" w:hAnsi="Times New Roman"/>
          <w:sz w:val="17"/>
          <w:szCs w:val="17"/>
          <w:color w:val="auto"/>
        </w:rPr>
        <w:t>During the first quarter of 2026, the Company modified existing leases in connection with the expansion underway pursuant to the Updated Services Agreements. For certain gateway locations, the Company has extended the lease term and/or expanded the leased footprint.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 Cost</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components of lease cost are reflected in the table below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4"/>
          </w:tcPr>
          <w:p>
            <w:pPr>
              <w:jc w:val="right"/>
              <w:ind w:right="1062"/>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03"/>
        </w:trPr>
        <w:tc>
          <w:tcPr>
            <w:tcW w:w="7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March 31, 2026</w:t>
            </w:r>
          </w:p>
        </w:tc>
        <w:tc>
          <w:tcPr>
            <w:tcW w:w="240" w:type="dxa"/>
            <w:vAlign w:val="bottom"/>
          </w:tcPr>
          <w:p>
            <w:pPr>
              <w:spacing w:after="0"/>
              <w:rPr>
                <w:sz w:val="17"/>
                <w:szCs w:val="17"/>
                <w:color w:val="auto"/>
              </w:rPr>
            </w:pPr>
          </w:p>
        </w:tc>
        <w:tc>
          <w:tcPr>
            <w:tcW w:w="152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March 31, 2025</w:t>
            </w:r>
          </w:p>
        </w:tc>
      </w:tr>
      <w:tr>
        <w:trPr>
          <w:trHeight w:val="244"/>
        </w:trPr>
        <w:tc>
          <w:tcPr>
            <w:tcW w:w="76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r>
      <w:tr>
        <w:trPr>
          <w:trHeight w:val="209"/>
        </w:trPr>
        <w:tc>
          <w:tcPr>
            <w:tcW w:w="7620" w:type="dxa"/>
            <w:vAlign w:val="bottom"/>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Operating lease cost </w:t>
            </w:r>
            <w:r>
              <w:rPr>
                <w:rFonts w:ascii="Times New Roman" w:cs="Times New Roman" w:eastAsia="Times New Roman" w:hAnsi="Times New Roman"/>
                <w:sz w:val="20"/>
                <w:szCs w:val="20"/>
                <w:color w:val="auto"/>
                <w:vertAlign w:val="superscript"/>
              </w:rPr>
              <w:t>(1)</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2,454</w:t>
            </w:r>
          </w:p>
        </w:tc>
        <w:tc>
          <w:tcPr>
            <w:tcW w:w="100" w:type="dxa"/>
            <w:vAlign w:val="bottom"/>
          </w:tcPr>
          <w:p>
            <w:pPr>
              <w:spacing w:after="0"/>
              <w:rPr>
                <w:sz w:val="18"/>
                <w:szCs w:val="18"/>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w:t>
            </w:r>
          </w:p>
        </w:tc>
      </w:tr>
      <w:tr>
        <w:trPr>
          <w:trHeight w:val="20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lease cost</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05"/>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cost</w:t>
            </w: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w:t>
            </w: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 Includes sublease income.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Weighted-Average Remaining Lease Term and Discount Rate</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discloses the weighted-average remaining lease term and discount rate for operating leases: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tcPr>
          <w:p>
            <w:pPr>
              <w:spacing w:after="0"/>
              <w:rPr>
                <w:sz w:val="17"/>
                <w:szCs w:val="17"/>
                <w:color w:val="auto"/>
              </w:rPr>
            </w:pPr>
          </w:p>
        </w:tc>
        <w:tc>
          <w:tcPr>
            <w:tcW w:w="2200" w:type="dxa"/>
            <w:vAlign w:val="bottom"/>
            <w:tcBorders>
              <w:bottom w:val="single" w:sz="8" w:color="auto"/>
            </w:tcBorders>
            <w:gridSpan w:val="3"/>
          </w:tcPr>
          <w:p>
            <w:pPr>
              <w:ind w:left="1720"/>
              <w:spacing w:after="0"/>
              <w:rPr>
                <w:sz w:val="20"/>
                <w:szCs w:val="20"/>
                <w:color w:val="auto"/>
              </w:rPr>
            </w:pPr>
            <w:r>
              <w:rPr>
                <w:rFonts w:ascii="Times New Roman" w:cs="Times New Roman" w:eastAsia="Times New Roman" w:hAnsi="Times New Roman"/>
                <w:sz w:val="16"/>
                <w:szCs w:val="16"/>
                <w:color w:val="auto"/>
              </w:rPr>
              <w:t>As of:</w:t>
            </w:r>
          </w:p>
        </w:tc>
        <w:tc>
          <w:tcPr>
            <w:tcW w:w="1620" w:type="dxa"/>
            <w:vAlign w:val="bottom"/>
            <w:tcBorders>
              <w:bottom w:val="single" w:sz="8" w:color="auto"/>
            </w:tcBorders>
          </w:tcPr>
          <w:p>
            <w:pPr>
              <w:spacing w:after="0"/>
              <w:rPr>
                <w:sz w:val="17"/>
                <w:szCs w:val="17"/>
                <w:color w:val="auto"/>
              </w:rPr>
            </w:pPr>
          </w:p>
        </w:tc>
      </w:tr>
      <w:tr>
        <w:trPr>
          <w:trHeight w:val="203"/>
        </w:trPr>
        <w:tc>
          <w:tcPr>
            <w:tcW w:w="7420" w:type="dxa"/>
            <w:vAlign w:val="bottom"/>
          </w:tcPr>
          <w:p>
            <w:pPr>
              <w:spacing w:after="0"/>
              <w:rPr>
                <w:sz w:val="17"/>
                <w:szCs w:val="17"/>
                <w:color w:val="auto"/>
              </w:rPr>
            </w:pPr>
          </w:p>
        </w:tc>
        <w:tc>
          <w:tcPr>
            <w:tcW w:w="220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March 31, 2026</w:t>
            </w:r>
          </w:p>
        </w:tc>
        <w:tc>
          <w:tcPr>
            <w:tcW w:w="16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December 31, 2025</w:t>
            </w:r>
          </w:p>
        </w:tc>
      </w:tr>
      <w:tr>
        <w:trPr>
          <w:trHeight w:val="244"/>
        </w:trPr>
        <w:tc>
          <w:tcPr>
            <w:tcW w:w="7420" w:type="dxa"/>
            <w:vAlign w:val="bottom"/>
            <w:tcBorders>
              <w:top w:val="single" w:sz="8" w:color="CCEEFF"/>
            </w:tcBorders>
            <w:shd w:val="clear" w:color="auto" w:fill="CCEEFF"/>
          </w:tcPr>
          <w:p>
            <w:pPr>
              <w:spacing w:after="0"/>
              <w:rPr>
                <w:sz w:val="21"/>
                <w:szCs w:val="21"/>
                <w:color w:val="auto"/>
              </w:rPr>
            </w:pPr>
          </w:p>
        </w:tc>
        <w:tc>
          <w:tcPr>
            <w:tcW w:w="18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620" w:type="dxa"/>
            <w:vAlign w:val="bottom"/>
            <w:tcBorders>
              <w:top w:val="single" w:sz="8" w:color="auto"/>
            </w:tcBorders>
            <w:shd w:val="clear" w:color="auto" w:fill="CCEEFF"/>
          </w:tcPr>
          <w:p>
            <w:pPr>
              <w:spacing w:after="0"/>
              <w:rPr>
                <w:sz w:val="21"/>
                <w:szCs w:val="21"/>
                <w:color w:val="auto"/>
              </w:rPr>
            </w:pPr>
          </w:p>
        </w:tc>
      </w:tr>
      <w:tr>
        <w:trPr>
          <w:trHeight w:val="206"/>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lease term</w:t>
            </w:r>
          </w:p>
        </w:tc>
        <w:tc>
          <w:tcPr>
            <w:tcW w:w="22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15.9 years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 years</w:t>
            </w:r>
          </w:p>
        </w:tc>
      </w:tr>
      <w:tr>
        <w:trPr>
          <w:trHeight w:val="21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Cash Flow Information</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below table discloses supplemental cash flow information for operating leases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4"/>
          </w:tcPr>
          <w:p>
            <w:pPr>
              <w:jc w:val="right"/>
              <w:ind w:right="1057"/>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03"/>
        </w:trPr>
        <w:tc>
          <w:tcPr>
            <w:tcW w:w="7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March 31, 2026</w:t>
            </w:r>
          </w:p>
        </w:tc>
        <w:tc>
          <w:tcPr>
            <w:tcW w:w="240" w:type="dxa"/>
            <w:vAlign w:val="bottom"/>
          </w:tcPr>
          <w:p>
            <w:pPr>
              <w:spacing w:after="0"/>
              <w:rPr>
                <w:sz w:val="17"/>
                <w:szCs w:val="17"/>
                <w:color w:val="auto"/>
              </w:rPr>
            </w:pPr>
          </w:p>
        </w:tc>
        <w:tc>
          <w:tcPr>
            <w:tcW w:w="1520" w:type="dxa"/>
            <w:vAlign w:val="bottom"/>
          </w:tcPr>
          <w:p>
            <w:pPr>
              <w:jc w:val="right"/>
              <w:ind w:right="297"/>
              <w:spacing w:after="0"/>
              <w:rPr>
                <w:sz w:val="20"/>
                <w:szCs w:val="20"/>
                <w:color w:val="auto"/>
              </w:rPr>
            </w:pPr>
            <w:r>
              <w:rPr>
                <w:rFonts w:ascii="Times New Roman" w:cs="Times New Roman" w:eastAsia="Times New Roman" w:hAnsi="Times New Roman"/>
                <w:sz w:val="16"/>
                <w:szCs w:val="16"/>
                <w:color w:val="auto"/>
              </w:rPr>
              <w:t>March 31, 2025</w:t>
            </w:r>
          </w:p>
        </w:tc>
      </w:tr>
      <w:tr>
        <w:trPr>
          <w:trHeight w:val="205"/>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2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27"/>
        </w:trPr>
        <w:tc>
          <w:tcPr>
            <w:tcW w:w="7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cash flows for operating leases</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1,910</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1,667</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Maturity Analysis</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reflects undiscounted cash flows on an annual basis for the Company’s lease liabilities as of March 31, 2026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Operating Leases</w:t>
            </w:r>
          </w:p>
        </w:tc>
        <w:tc>
          <w:tcPr>
            <w:tcW w:w="0" w:type="dxa"/>
            <w:vAlign w:val="bottom"/>
          </w:tcPr>
          <w:p>
            <w:pPr>
              <w:spacing w:after="0"/>
              <w:rPr>
                <w:sz w:val="1"/>
                <w:szCs w:val="1"/>
                <w:color w:val="auto"/>
              </w:rPr>
            </w:pPr>
          </w:p>
        </w:tc>
      </w:tr>
      <w:tr>
        <w:trPr>
          <w:trHeight w:val="242"/>
        </w:trPr>
        <w:tc>
          <w:tcPr>
            <w:tcW w:w="366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 (remaining)</w:t>
            </w:r>
          </w:p>
        </w:tc>
        <w:tc>
          <w:tcPr>
            <w:tcW w:w="6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11,110</w:t>
            </w:r>
          </w:p>
        </w:tc>
        <w:tc>
          <w:tcPr>
            <w:tcW w:w="0" w:type="dxa"/>
            <w:vAlign w:val="bottom"/>
          </w:tcPr>
          <w:p>
            <w:pPr>
              <w:spacing w:after="0"/>
              <w:rPr>
                <w:sz w:val="1"/>
                <w:szCs w:val="1"/>
                <w:color w:val="auto"/>
              </w:rPr>
            </w:pPr>
          </w:p>
        </w:tc>
      </w:tr>
      <w:tr>
        <w:trPr>
          <w:trHeight w:val="222"/>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9,055</w:t>
            </w:r>
          </w:p>
        </w:tc>
        <w:tc>
          <w:tcPr>
            <w:tcW w:w="0" w:type="dxa"/>
            <w:vAlign w:val="bottom"/>
          </w:tcPr>
          <w:p>
            <w:pPr>
              <w:spacing w:after="0"/>
              <w:rPr>
                <w:sz w:val="1"/>
                <w:szCs w:val="1"/>
                <w:color w:val="auto"/>
              </w:rPr>
            </w:pPr>
          </w:p>
        </w:tc>
      </w:tr>
      <w:tr>
        <w:trPr>
          <w:trHeight w:val="22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8,528</w:t>
            </w:r>
          </w:p>
        </w:tc>
        <w:tc>
          <w:tcPr>
            <w:tcW w:w="0" w:type="dxa"/>
            <w:vAlign w:val="bottom"/>
          </w:tcPr>
          <w:p>
            <w:pPr>
              <w:spacing w:after="0"/>
              <w:rPr>
                <w:sz w:val="1"/>
                <w:szCs w:val="1"/>
                <w:color w:val="auto"/>
              </w:rPr>
            </w:pPr>
          </w:p>
        </w:tc>
      </w:tr>
      <w:tr>
        <w:trPr>
          <w:trHeight w:val="222"/>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5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6,426</w:t>
            </w:r>
          </w:p>
        </w:tc>
        <w:tc>
          <w:tcPr>
            <w:tcW w:w="0" w:type="dxa"/>
            <w:vAlign w:val="bottom"/>
          </w:tcPr>
          <w:p>
            <w:pPr>
              <w:spacing w:after="0"/>
              <w:rPr>
                <w:sz w:val="1"/>
                <w:szCs w:val="1"/>
                <w:color w:val="auto"/>
              </w:rPr>
            </w:pPr>
          </w:p>
        </w:tc>
      </w:tr>
      <w:tr>
        <w:trPr>
          <w:trHeight w:val="22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5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6,030</w:t>
            </w:r>
          </w:p>
        </w:tc>
        <w:tc>
          <w:tcPr>
            <w:tcW w:w="0" w:type="dxa"/>
            <w:vAlign w:val="bottom"/>
          </w:tcPr>
          <w:p>
            <w:pPr>
              <w:spacing w:after="0"/>
              <w:rPr>
                <w:sz w:val="1"/>
                <w:szCs w:val="1"/>
                <w:color w:val="auto"/>
              </w:rPr>
            </w:pPr>
          </w:p>
        </w:tc>
      </w:tr>
      <w:tr>
        <w:trPr>
          <w:trHeight w:val="222"/>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58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68,144</w:t>
            </w:r>
          </w:p>
        </w:tc>
        <w:tc>
          <w:tcPr>
            <w:tcW w:w="0" w:type="dxa"/>
            <w:vAlign w:val="bottom"/>
          </w:tcPr>
          <w:p>
            <w:pPr>
              <w:spacing w:after="0"/>
              <w:rPr>
                <w:sz w:val="1"/>
                <w:szCs w:val="1"/>
                <w:color w:val="auto"/>
              </w:rPr>
            </w:pPr>
          </w:p>
        </w:tc>
      </w:tr>
      <w:tr>
        <w:trPr>
          <w:trHeight w:val="21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58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109,293</w:t>
            </w:r>
          </w:p>
        </w:tc>
        <w:tc>
          <w:tcPr>
            <w:tcW w:w="0" w:type="dxa"/>
            <w:vAlign w:val="bottom"/>
          </w:tcPr>
          <w:p>
            <w:pPr>
              <w:spacing w:after="0"/>
              <w:rPr>
                <w:sz w:val="1"/>
                <w:szCs w:val="1"/>
                <w:color w:val="auto"/>
              </w:rPr>
            </w:pPr>
          </w:p>
        </w:tc>
      </w:tr>
      <w:tr>
        <w:trPr>
          <w:trHeight w:val="222"/>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Imputed interest</w:t>
            </w:r>
          </w:p>
        </w:tc>
        <w:tc>
          <w:tcPr>
            <w:tcW w:w="58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(46,030)</w:t>
            </w:r>
          </w:p>
        </w:tc>
        <w:tc>
          <w:tcPr>
            <w:tcW w:w="0" w:type="dxa"/>
            <w:vAlign w:val="bottom"/>
          </w:tcPr>
          <w:p>
            <w:pPr>
              <w:spacing w:after="0"/>
              <w:rPr>
                <w:sz w:val="1"/>
                <w:szCs w:val="1"/>
                <w:color w:val="auto"/>
              </w:rPr>
            </w:pPr>
          </w:p>
        </w:tc>
      </w:tr>
      <w:tr>
        <w:trPr>
          <w:trHeight w:val="24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Discounted lease liability</w:t>
            </w:r>
          </w:p>
        </w:tc>
        <w:tc>
          <w:tcPr>
            <w:tcW w:w="58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63,263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bottom w:val="single" w:sz="8" w:color="CCEEFF"/>
            </w:tcBorders>
            <w:vMerge w:val="restart"/>
          </w:tcPr>
          <w:p>
            <w:pPr>
              <w:jc w:val="right"/>
              <w:ind w:right="3673"/>
              <w:spacing w:after="0"/>
              <w:rPr>
                <w:sz w:val="20"/>
                <w:szCs w:val="20"/>
                <w:color w:val="auto"/>
              </w:rPr>
            </w:pPr>
            <w:r>
              <w:rPr>
                <w:rFonts w:ascii="Times New Roman" w:cs="Times New Roman" w:eastAsia="Times New Roman" w:hAnsi="Times New Roman"/>
                <w:sz w:val="17"/>
                <w:szCs w:val="17"/>
                <w:color w:val="auto"/>
              </w:rPr>
              <w:t>14</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8"/>
        </w:trPr>
        <w:tc>
          <w:tcPr>
            <w:tcW w:w="3660" w:type="dxa"/>
            <w:vAlign w:val="bottom"/>
          </w:tcPr>
          <w:p>
            <w:pPr>
              <w:spacing w:after="0"/>
              <w:rPr>
                <w:sz w:val="24"/>
                <w:szCs w:val="24"/>
                <w:color w:val="auto"/>
              </w:rPr>
            </w:pPr>
          </w:p>
        </w:tc>
        <w:tc>
          <w:tcPr>
            <w:tcW w:w="5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660" w:type="dxa"/>
            <w:vAlign w:val="bottom"/>
            <w:tcBorders>
              <w:bottom w:val="single" w:sz="8" w:color="9A9A9A"/>
            </w:tcBorders>
          </w:tcPr>
          <w:p>
            <w:pPr>
              <w:spacing w:after="0"/>
              <w:rPr>
                <w:sz w:val="9"/>
                <w:szCs w:val="9"/>
                <w:color w:val="auto"/>
              </w:rPr>
            </w:pPr>
          </w:p>
        </w:tc>
        <w:tc>
          <w:tcPr>
            <w:tcW w:w="58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4" w:name="page15"/>
    <w:bookmarkEnd w:id="14"/>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In connection with the Extended MSS Network, the Company will likely enter into additional operating leases in the future, the amount and timing of which are unknown and excluded from the table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5. PROPERTY AND EQUIPMENT</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44"/>
        </w:trPr>
        <w:tc>
          <w:tcPr>
            <w:tcW w:w="8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Property and equipment consists of the following (in thousands):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75"/>
        </w:trPr>
        <w:tc>
          <w:tcPr>
            <w:tcW w:w="8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As of:</w:t>
            </w:r>
          </w:p>
        </w:tc>
        <w:tc>
          <w:tcPr>
            <w:tcW w:w="1260" w:type="dxa"/>
            <w:vAlign w:val="bottom"/>
            <w:tcBorders>
              <w:bottom w:val="single" w:sz="8" w:color="auto"/>
            </w:tcBorders>
          </w:tcPr>
          <w:p>
            <w:pPr>
              <w:spacing w:after="0"/>
              <w:rPr>
                <w:sz w:val="24"/>
                <w:szCs w:val="24"/>
                <w:color w:val="auto"/>
              </w:rPr>
            </w:pPr>
          </w:p>
        </w:tc>
      </w:tr>
      <w:tr>
        <w:trPr>
          <w:trHeight w:val="163"/>
        </w:trPr>
        <w:tc>
          <w:tcPr>
            <w:tcW w:w="8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60"/>
              <w:spacing w:after="0" w:line="163" w:lineRule="exact"/>
              <w:rPr>
                <w:sz w:val="20"/>
                <w:szCs w:val="20"/>
                <w:color w:val="auto"/>
              </w:rPr>
            </w:pPr>
            <w:r>
              <w:rPr>
                <w:rFonts w:ascii="Times New Roman" w:cs="Times New Roman" w:eastAsia="Times New Roman" w:hAnsi="Times New Roman"/>
                <w:sz w:val="17"/>
                <w:szCs w:val="17"/>
                <w:color w:val="auto"/>
              </w:rPr>
              <w:t>March 31,</w:t>
            </w:r>
          </w:p>
        </w:tc>
        <w:tc>
          <w:tcPr>
            <w:tcW w:w="160" w:type="dxa"/>
            <w:vAlign w:val="bottom"/>
          </w:tcPr>
          <w:p>
            <w:pPr>
              <w:spacing w:after="0"/>
              <w:rPr>
                <w:sz w:val="14"/>
                <w:szCs w:val="14"/>
                <w:color w:val="auto"/>
              </w:rPr>
            </w:pPr>
          </w:p>
        </w:tc>
        <w:tc>
          <w:tcPr>
            <w:tcW w:w="1260" w:type="dxa"/>
            <w:vAlign w:val="bottom"/>
          </w:tcPr>
          <w:p>
            <w:pPr>
              <w:jc w:val="right"/>
              <w:ind w:right="133"/>
              <w:spacing w:after="0" w:line="163" w:lineRule="exact"/>
              <w:rPr>
                <w:sz w:val="20"/>
                <w:szCs w:val="20"/>
                <w:color w:val="auto"/>
              </w:rPr>
            </w:pPr>
            <w:r>
              <w:rPr>
                <w:rFonts w:ascii="Times New Roman" w:cs="Times New Roman" w:eastAsia="Times New Roman" w:hAnsi="Times New Roman"/>
                <w:sz w:val="17"/>
                <w:szCs w:val="17"/>
                <w:color w:val="auto"/>
              </w:rPr>
              <w:t>December 31,</w:t>
            </w:r>
          </w:p>
        </w:tc>
      </w:tr>
      <w:tr>
        <w:trPr>
          <w:trHeight w:val="228"/>
        </w:trPr>
        <w:tc>
          <w:tcPr>
            <w:tcW w:w="8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rPr>
              <w:t>2025</w:t>
            </w:r>
          </w:p>
        </w:tc>
      </w:tr>
      <w:tr>
        <w:trPr>
          <w:trHeight w:val="222"/>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Globalstar System:</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2"/>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Space component</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1,078,191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1,078,242</w:t>
            </w:r>
          </w:p>
        </w:tc>
      </w:tr>
      <w:tr>
        <w:trPr>
          <w:trHeight w:val="222"/>
        </w:trPr>
        <w:tc>
          <w:tcPr>
            <w:tcW w:w="8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Ground component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107,459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107,536</w:t>
            </w:r>
          </w:p>
        </w:tc>
      </w:tr>
      <w:tr>
        <w:trPr>
          <w:trHeight w:val="222"/>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2"/>
        </w:trPr>
        <w:tc>
          <w:tcPr>
            <w:tcW w:w="81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Space component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1,111,723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998,215</w:t>
            </w:r>
          </w:p>
        </w:tc>
      </w:tr>
      <w:tr>
        <w:trPr>
          <w:trHeight w:val="222"/>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Ground component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90,132</w:t>
            </w:r>
          </w:p>
        </w:tc>
      </w:tr>
      <w:tr>
        <w:trPr>
          <w:trHeight w:val="222"/>
        </w:trPr>
        <w:tc>
          <w:tcPr>
            <w:tcW w:w="8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10,244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8,694</w:t>
            </w:r>
          </w:p>
        </w:tc>
      </w:tr>
      <w:tr>
        <w:trPr>
          <w:trHeight w:val="21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Globalstar System</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2,422,260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2,282,819</w:t>
            </w:r>
          </w:p>
        </w:tc>
      </w:tr>
      <w:tr>
        <w:trPr>
          <w:trHeight w:val="222"/>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Internally developed and purchased software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26,033</w:t>
            </w:r>
          </w:p>
        </w:tc>
      </w:tr>
      <w:tr>
        <w:trPr>
          <w:trHeight w:val="22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Equipment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20,649</w:t>
            </w:r>
          </w:p>
        </w:tc>
      </w:tr>
      <w:tr>
        <w:trPr>
          <w:trHeight w:val="222"/>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Land and buildings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3,845</w:t>
            </w:r>
          </w:p>
        </w:tc>
      </w:tr>
      <w:tr>
        <w:trPr>
          <w:trHeight w:val="22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2,458</w:t>
            </w:r>
          </w:p>
        </w:tc>
      </w:tr>
      <w:tr>
        <w:trPr>
          <w:trHeight w:val="215"/>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2,476,583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2,335,804</w:t>
            </w:r>
          </w:p>
        </w:tc>
      </w:tr>
      <w:tr>
        <w:trPr>
          <w:trHeight w:val="22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(1,047,880)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(1,030,346)</w:t>
            </w:r>
          </w:p>
        </w:tc>
      </w:tr>
      <w:tr>
        <w:trPr>
          <w:trHeight w:val="215"/>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1,428,703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1,305,458</w:t>
            </w:r>
          </w:p>
        </w:tc>
      </w:tr>
      <w:tr>
        <w:trPr>
          <w:trHeight w:val="20"/>
        </w:trPr>
        <w:tc>
          <w:tcPr>
            <w:tcW w:w="8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The Company has agreements with Macdonald, Dettwiler and Associates Corporation ("MDA Space") and Space Exploration Technologies Corp. ("SpaceX") for 1) the purchase and launch of the satellites that are intended to replace the Company's HIBLEO-4 U.S.-licensed system and 2) the purchase and launch of third-generation satellites to support the Extended MSS Network. Refer to Note 9: Commitments and Contingencies for additional information regarding these agreements.</w:t>
      </w:r>
    </w:p>
    <w:p>
      <w:pPr>
        <w:spacing w:after="0" w:line="195"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As of March 31, 2026, in connection with the construction and launch preparation of the replacement satellites, the Company has incurred $299.4 million and $91.8 million in capital expenditures for milestones completed under the related agreements with MDA Space and SpaceX, respectively. The replacement satellites will be placed into service after their launch, which for the first set is scheduled for May 2026, and begin depreciating once they are operational. As of March 31, 2026, in connection with the construction and launch preparation of the third-generation satellites to support the Extended MSS Network, the Company has incurred $495.8 million and $92.2 million for milestones completed under the related agreements with MDA Space and SpaceX, respectively. The costs related to the replacement and third-generation satellites, as well as the associated personnel costs and capitalized interest, are reflected in the "space component" of construction in progress in the table above.</w:t>
      </w:r>
    </w:p>
    <w:p>
      <w:pPr>
        <w:spacing w:after="0" w:line="199"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In connection with the Extended MSS Network, the Company has procured ground equipment and other network assets to upgrade existing and build new ground stations globally. The costs to support this effort, such as construction, equipment, personnel and capitalized interest, are reflected in the "ground component" of construction in progress in the table above.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15" w:name="page16"/>
    <w:bookmarkEnd w:id="15"/>
    <w:p>
      <w:pPr>
        <w:ind w:left="240" w:right="5760" w:hanging="235"/>
        <w:spacing w:after="0" w:line="362" w:lineRule="auto"/>
        <w:tabs>
          <w:tab w:leader="none" w:pos="179"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LONG-TERM DEBT AND OTHER FINANCING ARRANGEMENTS </w:t>
      </w:r>
      <w:r>
        <w:rPr>
          <w:rFonts w:ascii="Times New Roman" w:cs="Times New Roman" w:eastAsia="Times New Roman" w:hAnsi="Times New Roman"/>
          <w:sz w:val="17"/>
          <w:szCs w:val="17"/>
          <w:color w:val="auto"/>
        </w:rPr>
        <w:t>Long-term debt consists of the following (in thousands):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As of:</w:t>
            </w: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8"/>
              </w:rPr>
              <w:t>March 31, 2026</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December 31, 2025</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6"/>
                <w:szCs w:val="16"/>
                <w:color w:val="auto"/>
                <w:w w:val="98"/>
              </w:rPr>
              <w:t>Unamortized</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6"/>
                <w:szCs w:val="16"/>
                <w:color w:val="auto"/>
                <w:w w:val="98"/>
              </w:rPr>
              <w:t>Unamortized</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8"/>
              </w:rPr>
              <w:t>Premium</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8"/>
              </w:rPr>
              <w:t>Premium</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rPr>
              <w:t>Principal</w:t>
            </w:r>
          </w:p>
        </w:tc>
        <w:tc>
          <w:tcPr>
            <w:tcW w:w="100" w:type="dxa"/>
            <w:vAlign w:val="bottom"/>
          </w:tcPr>
          <w:p>
            <w:pPr>
              <w:spacing w:after="0"/>
              <w:rPr>
                <w:sz w:val="13"/>
                <w:szCs w:val="13"/>
                <w:color w:val="auto"/>
              </w:rPr>
            </w:pPr>
          </w:p>
        </w:tc>
        <w:tc>
          <w:tcPr>
            <w:tcW w:w="120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8"/>
              </w:rPr>
              <w:t>(Discount) and</w:t>
            </w:r>
          </w:p>
        </w:tc>
        <w:tc>
          <w:tcPr>
            <w:tcW w:w="200" w:type="dxa"/>
            <w:vAlign w:val="bottom"/>
          </w:tcPr>
          <w:p>
            <w:pPr>
              <w:spacing w:after="0"/>
              <w:rPr>
                <w:sz w:val="13"/>
                <w:szCs w:val="13"/>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w w:val="98"/>
              </w:rPr>
              <w:t>Carrying</w:t>
            </w:r>
          </w:p>
        </w:tc>
        <w:tc>
          <w:tcPr>
            <w:tcW w:w="220" w:type="dxa"/>
            <w:vAlign w:val="bottom"/>
          </w:tcPr>
          <w:p>
            <w:pPr>
              <w:spacing w:after="0"/>
              <w:rPr>
                <w:sz w:val="13"/>
                <w:szCs w:val="13"/>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w w:val="96"/>
              </w:rPr>
              <w:t>Principal</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8"/>
              </w:rPr>
              <w:t>(Discount) and</w:t>
            </w:r>
          </w:p>
        </w:tc>
        <w:tc>
          <w:tcPr>
            <w:tcW w:w="220" w:type="dxa"/>
            <w:vAlign w:val="bottom"/>
          </w:tcPr>
          <w:p>
            <w:pPr>
              <w:spacing w:after="0"/>
              <w:rPr>
                <w:sz w:val="13"/>
                <w:szCs w:val="13"/>
                <w:color w:val="auto"/>
              </w:rPr>
            </w:pPr>
          </w:p>
        </w:tc>
        <w:tc>
          <w:tcPr>
            <w:tcW w:w="1040" w:type="dxa"/>
            <w:vAlign w:val="bottom"/>
            <w:vMerge w:val="restart"/>
          </w:tcPr>
          <w:p>
            <w:pPr>
              <w:jc w:val="right"/>
              <w:ind w:right="282"/>
              <w:spacing w:after="0"/>
              <w:rPr>
                <w:sz w:val="20"/>
                <w:szCs w:val="20"/>
                <w:color w:val="auto"/>
              </w:rPr>
            </w:pPr>
            <w:r>
              <w:rPr>
                <w:rFonts w:ascii="Times New Roman" w:cs="Times New Roman" w:eastAsia="Times New Roman" w:hAnsi="Times New Roman"/>
                <w:sz w:val="16"/>
                <w:szCs w:val="16"/>
                <w:color w:val="auto"/>
              </w:rPr>
              <w:t>Carrying</w:t>
            </w:r>
          </w:p>
        </w:tc>
        <w:tc>
          <w:tcPr>
            <w:tcW w:w="0" w:type="dxa"/>
            <w:vAlign w:val="bottom"/>
          </w:tcPr>
          <w:p>
            <w:pPr>
              <w:spacing w:after="0"/>
              <w:rPr>
                <w:sz w:val="1"/>
                <w:szCs w:val="1"/>
                <w:color w:val="auto"/>
              </w:rPr>
            </w:pPr>
          </w:p>
        </w:tc>
      </w:tr>
      <w:tr>
        <w:trPr>
          <w:trHeight w:val="157"/>
        </w:trPr>
        <w:tc>
          <w:tcPr>
            <w:tcW w:w="3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4"/>
              </w:rPr>
              <w:t>Deferred</w:t>
            </w:r>
          </w:p>
        </w:tc>
        <w:tc>
          <w:tcPr>
            <w:tcW w:w="2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6"/>
                <w:szCs w:val="16"/>
                <w:color w:val="auto"/>
                <w:w w:val="98"/>
              </w:rPr>
              <w:t>Deferred</w:t>
            </w:r>
          </w:p>
        </w:tc>
        <w:tc>
          <w:tcPr>
            <w:tcW w:w="2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5"/>
              </w:rPr>
              <w:t>Amount</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8"/>
              </w:rPr>
              <w:t>Financing Costs</w:t>
            </w:r>
          </w:p>
        </w:tc>
        <w:tc>
          <w:tcPr>
            <w:tcW w:w="20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4"/>
              </w:rPr>
              <w:t>Value</w:t>
            </w:r>
          </w:p>
        </w:tc>
        <w:tc>
          <w:tcPr>
            <w:tcW w:w="22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Amount</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8"/>
              </w:rPr>
              <w:t>Financing Costs</w:t>
            </w:r>
          </w:p>
        </w:tc>
        <w:tc>
          <w:tcPr>
            <w:tcW w:w="220" w:type="dxa"/>
            <w:vAlign w:val="bottom"/>
          </w:tcPr>
          <w:p>
            <w:pPr>
              <w:spacing w:after="0"/>
              <w:rPr>
                <w:sz w:val="17"/>
                <w:szCs w:val="17"/>
                <w:color w:val="auto"/>
              </w:rPr>
            </w:pPr>
          </w:p>
        </w:tc>
        <w:tc>
          <w:tcPr>
            <w:tcW w:w="104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 Debt Repayment</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82,660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304,285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86,045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307,670</w:t>
            </w:r>
          </w:p>
        </w:tc>
        <w:tc>
          <w:tcPr>
            <w:tcW w:w="0" w:type="dxa"/>
            <w:vAlign w:val="bottom"/>
          </w:tcPr>
          <w:p>
            <w:pPr>
              <w:spacing w:after="0"/>
              <w:rPr>
                <w:sz w:val="1"/>
                <w:szCs w:val="1"/>
                <w:color w:val="auto"/>
              </w:rPr>
            </w:pPr>
          </w:p>
        </w:tc>
      </w:tr>
      <w:tr>
        <w:trPr>
          <w:trHeight w:val="206"/>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2023 Funding Agreement</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182,147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170,276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169,983</w:t>
            </w: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2021 Funding Agreement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6,135</w:t>
            </w:r>
          </w:p>
        </w:tc>
        <w:tc>
          <w:tcPr>
            <w:tcW w:w="0" w:type="dxa"/>
            <w:vAlign w:val="bottom"/>
          </w:tcPr>
          <w:p>
            <w:pPr>
              <w:spacing w:after="0"/>
              <w:rPr>
                <w:sz w:val="1"/>
                <w:szCs w:val="1"/>
                <w:color w:val="auto"/>
              </w:rPr>
            </w:pPr>
          </w:p>
        </w:tc>
      </w:tr>
      <w:tr>
        <w:trPr>
          <w:trHeight w:val="205"/>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Total debt</w:t>
            </w: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403,772</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70,789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474,561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410,022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73,766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483,788</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42,400</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42,400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31,835</w:t>
            </w:r>
          </w:p>
        </w:tc>
        <w:tc>
          <w:tcPr>
            <w:tcW w:w="0" w:type="dxa"/>
            <w:vAlign w:val="bottom"/>
          </w:tcPr>
          <w:p>
            <w:pPr>
              <w:spacing w:after="0"/>
              <w:rPr>
                <w:sz w:val="1"/>
                <w:szCs w:val="1"/>
                <w:color w:val="auto"/>
              </w:rPr>
            </w:pPr>
          </w:p>
        </w:tc>
      </w:tr>
      <w:tr>
        <w:trPr>
          <w:trHeight w:val="205"/>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361,372</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70,789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432,161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378,072</w:t>
            </w:r>
          </w:p>
        </w:tc>
        <w:tc>
          <w:tcPr>
            <w:tcW w:w="10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73,881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451,953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The carrying value of debt reflected above is net of deferred financing costs and any premium or discount to the loan amount at issuance, including accretion. As of March 31, 2026, the current portion of long-term debt relates to the 2023 Funding Agreement; these amounts are expected to be paid under the Updated Services Agreements through service fee offsets from the Customer during the next twelve months. The Company's obligations under its debt agreements included in the table above are secured by a first-priority lien over substantially all of the assets of the Company and its domestic subsidiaries.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2024 Debt Repayment</w:t>
      </w:r>
    </w:p>
    <w:p>
      <w:pPr>
        <w:spacing w:after="0" w:line="253" w:lineRule="exact"/>
        <w:rPr>
          <w:sz w:val="20"/>
          <w:szCs w:val="20"/>
          <w:color w:val="auto"/>
        </w:rPr>
      </w:pPr>
    </w:p>
    <w:p>
      <w:pPr>
        <w:jc w:val="both"/>
        <w:ind w:firstLine="235"/>
        <w:spacing w:after="0" w:line="261" w:lineRule="auto"/>
        <w:rPr>
          <w:sz w:val="20"/>
          <w:szCs w:val="20"/>
          <w:color w:val="auto"/>
        </w:rPr>
      </w:pPr>
      <w:r>
        <w:rPr>
          <w:rFonts w:ascii="Times New Roman" w:cs="Times New Roman" w:eastAsia="Times New Roman" w:hAnsi="Times New Roman"/>
          <w:sz w:val="17"/>
          <w:szCs w:val="17"/>
          <w:color w:val="auto"/>
        </w:rPr>
        <w:t>As discussed in Note 2: Special Purpose Entity, pursuant to the Updated Services Agreements, the Customer funded $235 million (including $13.3 million of make whole premium payments, which were recorded to deferred revenue) for the Company to retire its outstanding 2023 13% Notes. The 2024 Debt Repayment is expected to be fully repaid by offsetting against amounts payable by the Customer to the Company on a quarterly basis over a period of 32 quarters commencing on a fixed repayment date in the future that is not tied to the launch of services. The 2024 Debt Repayment is classified as debt because the Company's repayment obligations will commence on such date regardless of when services are provided under the Updated Services Agreements. The 2024 Debt Repayment accrues annual fees, which would be reduced or eliminated entirely if the Company meets certain defined milestones (as amended in April 2026) associated with the completion of the Extended MSS Network, at which time prior accruals will be reduced or eliminated. These accrued fees are included in noncurrent liabilities on the Company's balance sheet and totaled $33.5 million as of March 31, 2026. As of March 31, 2026, the outstanding principal balance of the 2024 Debt Repayment was $221.6 million.</w:t>
      </w:r>
    </w:p>
    <w:p>
      <w:pPr>
        <w:spacing w:after="0" w:line="204"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On the issuance date, the Company recorded the 2024 Debt Repayment at fair value. The difference between the principal amount of the 2024 Debt Repayment and the fair value was recorded as a debt premium. Additionally, the Company was required to bifurcate the fair value of the interest reduction mechanism and record a derivative asset upon issuance equal to the debt premium. The debt premium is amortized as an offset to interest expense using the effective interest rate method. Refer to Note 7: Derivatives and Note 8: Fair Value Measurements for further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2023 Funding Agreement</w:t>
      </w:r>
    </w:p>
    <w:p>
      <w:pPr>
        <w:spacing w:after="0" w:line="253"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In 2023, the Service Agreements were amended to provide for, among other things, payment of up to $252 million to the Company (the "2023 Funding Agreement"), which the Company has used and intends to use to fund 50% of the amounts due under its 2022 agreement with MDA Space, as well as launch, insurance and ancillary costs incurred in connection with the construction and launch of replacement satellites purchased under such agreement. As of March 31, 2026, the outstanding principal balance under the 2023 Funding Agreement was $182.1 million.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6" w:name="page17"/>
    <w:bookmarkEnd w:id="16"/>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The total amount paid to the Company under the 2023 Funding Agreement, including fees, is expected to be fully repaid by offsetting against amounts payable by the Customer pursuant to the Service Agreements beginning in the third quarter of 2026 and continuing for no longer than 16 consecutive quarters. Compounded fees are accrued at a fixed rate based on the average outstanding balance of the 2023 Funding Agreement. The balance accrued for these fees was $27.3 million as of March 31, 2026, of which $12.4 million is included in "Accounts payable and accrued expenses" and $14.9 million is included in "Other non-current liabilities" on the Company's balance sheet.</w:t>
      </w:r>
    </w:p>
    <w:p>
      <w:pPr>
        <w:spacing w:after="0" w:line="197"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For as long as any amount funded under the 2023 Funding Agreement is outstanding, the Company will be subject to certain covenants, including (i) maintenance of a minimum cash balance of $30 million, (ii) interest coverage and leverage ratios, and (iii) other customary negative covenants, including limitations on certain asset transfers, expenditures and investments. Thermo guaranteed certain of the Company’s obligations under the 2023 Funding Agreement and Service Agreements. See Note 10: Related Party Transactions for further information regarding Thermo's guarantee.</w:t>
      </w:r>
    </w:p>
    <w:p>
      <w:pPr>
        <w:spacing w:after="0" w:line="195"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As the Company makes draws under the 2023 Funding Agreement, the amount of each draw is recorded at fair value using a discounted cash flow model. The Company records a debt discount or premium for the difference between the fair value of the debt and the proceeds received and accretes the debt discount or amortizes the debt premium with an offset to interest expense through the maturity date using the effective interest rate method.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Funding Agreement</w:t>
      </w:r>
    </w:p>
    <w:p>
      <w:pPr>
        <w:spacing w:after="0" w:line="253"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During 2021, the Company received payments totaling $94.2 million (as amended, the "2021 Funding Agreement"). This funding was repaid by offsetting against amounts payable as services were performed by the Company. The last recoupment was made in March 2026. The debt discount associated with the 2021 Funding Agreement was accreted to interest expense through the maturity date using the effective interest rate method. No interest accrued on amounts outstanding under the 2021 Funding Agreement. During the three months ended March 31, 2026, a total of $6.3 million was recouped pursuant to the terms of the 2021 Funding Agreement. As of March 31, 2026, the outstanding principal balance under the 2021 Funding Agreement was zero.</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Series A Preferred Stock</w:t>
      </w:r>
    </w:p>
    <w:p>
      <w:pPr>
        <w:spacing w:after="0" w:line="253"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In 2022, the Company issued 149,425 shares of its 7.0% Perpetual Preferred Stock, Series A, liquidation preference $1,000 per share (the "Series A Preferred Stock") with a fair value of $105.3 million and total outstanding amount of $149.4 million. The shares of Series A Preferred Stock do not possess voting rights, other than with respect to certain matters specifically affecting the rights and obligations of the Series A Preferred Stock.</w:t>
      </w:r>
    </w:p>
    <w:p>
      <w:pPr>
        <w:spacing w:after="0" w:line="188" w:lineRule="exact"/>
        <w:rPr>
          <w:sz w:val="20"/>
          <w:szCs w:val="20"/>
          <w:color w:val="auto"/>
        </w:rPr>
      </w:pPr>
    </w:p>
    <w:p>
      <w:pPr>
        <w:jc w:val="both"/>
        <w:ind w:firstLine="314"/>
        <w:spacing w:after="0" w:line="269" w:lineRule="auto"/>
        <w:rPr>
          <w:sz w:val="20"/>
          <w:szCs w:val="20"/>
          <w:color w:val="auto"/>
        </w:rPr>
      </w:pPr>
      <w:r>
        <w:rPr>
          <w:rFonts w:ascii="Times New Roman" w:cs="Times New Roman" w:eastAsia="Times New Roman" w:hAnsi="Times New Roman"/>
          <w:sz w:val="17"/>
          <w:szCs w:val="17"/>
          <w:color w:val="auto"/>
        </w:rPr>
        <w:t>Holders of Series A Preferred Stock are entitled to receive, when, as and if declared by the Board or a committee thereof, cumulative cash dividends based on the liquidation preference of the Series A Preferred Stock, at a fixed rate equal to 7.00% per annum, payable quarterly in arrears on January 1, April 1, July 1 and October 1 of each year. During the three months ended March 31, 2026, the Company made dividend payments to the holders of the Series A Preferred Stock, which were approved by the Board totaling $2.6 million.</w:t>
      </w:r>
    </w:p>
    <w:p>
      <w:pPr>
        <w:spacing w:after="0" w:line="195" w:lineRule="exact"/>
        <w:rPr>
          <w:sz w:val="20"/>
          <w:szCs w:val="20"/>
          <w:color w:val="auto"/>
        </w:rPr>
      </w:pPr>
    </w:p>
    <w:p>
      <w:pPr>
        <w:jc w:val="both"/>
        <w:ind w:firstLine="314"/>
        <w:spacing w:after="0" w:line="295" w:lineRule="auto"/>
        <w:rPr>
          <w:sz w:val="20"/>
          <w:szCs w:val="20"/>
          <w:color w:val="auto"/>
        </w:rPr>
      </w:pPr>
      <w:r>
        <w:rPr>
          <w:rFonts w:ascii="Times New Roman" w:cs="Times New Roman" w:eastAsia="Times New Roman" w:hAnsi="Times New Roman"/>
          <w:sz w:val="17"/>
          <w:szCs w:val="17"/>
          <w:color w:val="auto"/>
        </w:rPr>
        <w:t>The Series A Preferred Stock may be redeemed by the Company, in whole or in part, at any time. The holders of the Series A Preferred Stock do not have any rights to convert or require the Company to redeem such stock. The holders of the Series A Preferred stock have customary liquidation preferences.</w:t>
      </w:r>
    </w:p>
    <w:p>
      <w:pPr>
        <w:spacing w:after="0" w:line="173" w:lineRule="exact"/>
        <w:rPr>
          <w:sz w:val="20"/>
          <w:szCs w:val="20"/>
          <w:color w:val="auto"/>
        </w:rPr>
      </w:pPr>
    </w:p>
    <w:p>
      <w:pPr>
        <w:jc w:val="both"/>
        <w:ind w:firstLine="314"/>
        <w:spacing w:after="0" w:line="295" w:lineRule="auto"/>
        <w:rPr>
          <w:sz w:val="20"/>
          <w:szCs w:val="20"/>
          <w:color w:val="auto"/>
        </w:rPr>
      </w:pPr>
      <w:r>
        <w:rPr>
          <w:rFonts w:ascii="Times New Roman" w:cs="Times New Roman" w:eastAsia="Times New Roman" w:hAnsi="Times New Roman"/>
          <w:sz w:val="17"/>
          <w:szCs w:val="17"/>
          <w:color w:val="auto"/>
        </w:rPr>
        <w:t>Refer to Note 14: Subsequent Events for discussion of the Mergers, including the proposed cancellation of the Series A Preferred Stock in exchange for the liquidation preference upon consummation of the Mergers.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7. DERIVATIVES</w:t>
      </w:r>
    </w:p>
    <w:p>
      <w:pPr>
        <w:spacing w:after="0" w:line="251"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The Company reflected on its balance sheet an embedded derivative resulting from certain features in the Company’s 2024 Debt Repayment. This derivative instrument is not designated as a hedge. The fair value of the embedded derivative is marked-to-market at the end of each reporting period, or more frequently as deemed necessary, with any changes in value reported in the consolidated statements of operations and consolidated statements of cash flows as a non-cash operating activity.</w:t>
      </w:r>
    </w:p>
    <w:p>
      <w:pPr>
        <w:spacing w:after="0" w:line="195"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The terms of the 2024 Debt Repayment contain an interest reduction mechanism that is required to be bifurcated and was recorded as an embedded derivative on the Company's consolidated balance sheet with a corresponding debt premium that was added to the principal amount of the 2024 Debt Repayment. The Company determined the fair value of the embedded derivatives using a discounted cash flow model. As the discount yield and the effective interest rate of the loan fluctuate based on projected cash flows, the derivative value is adjusted. When project milestones (as amended in April 2026) are achieved, the Company removes associated future cash flows from the total interest savings projections used to fair value the embedded derivative. The majority of the present value of the cash flows removed from the derivative asset is recorded as a debt discount, while the remaining portion relieves the balance of accrued interest associated with that milestone on the Company's consolidated balance sheet.</w:t>
      </w:r>
    </w:p>
    <w:p>
      <w:pPr>
        <w:spacing w:after="0" w:line="199"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As of March 31, 2026 and December 31, 2025, the Company recorded the fair value of the embedded derivative, totaling $111.9 million and $114.5 million, respectively. The Company records a derivative gain or loss resulting from mark-to-market adjustments, which is reflected in "Derivative loss and other (expense) income" in the Company’s consolidated statement of operations.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See Note 8: Fair Value Measurements for further discussion.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FAIR VALUE MEASUREMENTS</w:t>
      </w:r>
    </w:p>
    <w:p>
      <w:pPr>
        <w:spacing w:after="0" w:line="251"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The Company follows the authoritative guidance for fair value measurements relating to financial and non-financial assets and liabilities, including presentation of required disclosures herein. This guidance establishes a fair value framework requiring the categorization of assets and liabilities into three levels based upon the assumptions (inputs) used to price the assets and liabilities. Level 1 provides the most reliable measure of fair value, whereas Level 3 generally requires significant management judgment. The three levels are defined as follows:</w:t>
      </w:r>
    </w:p>
    <w:p>
      <w:pPr>
        <w:spacing w:after="0" w:line="1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 xml:space="preserve">Level 1: </w:t>
      </w:r>
      <w:r>
        <w:rPr>
          <w:rFonts w:ascii="Times New Roman" w:cs="Times New Roman" w:eastAsia="Times New Roman" w:hAnsi="Times New Roman"/>
          <w:sz w:val="17"/>
          <w:szCs w:val="17"/>
          <w:color w:val="auto"/>
        </w:rPr>
        <w:t>Unadjusted quoted prices in active markets that are accessible at the measurement date for identical assets or liabilities.</w:t>
      </w:r>
    </w:p>
    <w:p>
      <w:pPr>
        <w:spacing w:after="0" w:line="223" w:lineRule="exact"/>
        <w:rPr>
          <w:sz w:val="20"/>
          <w:szCs w:val="20"/>
          <w:color w:val="auto"/>
        </w:rPr>
      </w:pPr>
    </w:p>
    <w:p>
      <w:pPr>
        <w:ind w:left="16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Quoted prices in markets that are not active or inputs which are observable, either directly or indirectly, for substantially the full term of the asset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liability.</w:t>
      </w:r>
    </w:p>
    <w:p>
      <w:pPr>
        <w:spacing w:after="0" w:line="142" w:lineRule="exact"/>
        <w:rPr>
          <w:sz w:val="20"/>
          <w:szCs w:val="20"/>
          <w:color w:val="auto"/>
        </w:rPr>
      </w:pPr>
    </w:p>
    <w:p>
      <w:pPr>
        <w:ind w:left="16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Level 3: </w:t>
      </w:r>
      <w:r>
        <w:rPr>
          <w:rFonts w:ascii="Times New Roman" w:cs="Times New Roman" w:eastAsia="Times New Roman" w:hAnsi="Times New Roman"/>
          <w:sz w:val="17"/>
          <w:szCs w:val="17"/>
          <w:color w:val="auto"/>
        </w:rPr>
        <w:t>Prices or valuation techniques that require inputs that are both significant to the fair value measurement and unobservable (i.e., supported by little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 market activity).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Recurring Fair Value Measurements</w:t>
      </w:r>
    </w:p>
    <w:p>
      <w:pPr>
        <w:spacing w:after="0" w:line="253"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 Company marks-to-market its derivatives at each reporting date, or more frequently as deemed necessary, with the changes in fair value recognized in the Company’s consolidated statements of operations. See Note 7: Derivatives for further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Embedded Derivative within the 2024 Debt Repayment</w:t>
      </w:r>
    </w:p>
    <w:p>
      <w:pPr>
        <w:spacing w:after="0" w:line="120"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The embedded derivative relating to the 2024 Debt Repayment is valued using a discounted cash flow model. The most significant input used in the fair value measurement was the discount yield, which was 6.79% and 6.05%, at March 31, 2026 and December 31, 2025, respectively. As the discount yield used in the valuation process increases, the fair value of the embedded derivative decreases. Similarly, as the length of time between the reporting date and the start date of the interest payments decreases, the present value of the projected interest savings increases, resulting in a higher derivative asset value.</w:t>
      </w:r>
    </w:p>
    <w:p>
      <w:pPr>
        <w:spacing w:after="0" w:line="195"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 significant unobservable input that drives the cash flows used in the fair value measurement includes the estimated achievement of project milestones (as amended in April 2026). As the probability of reaching the relevant milestones increases, the fair value of the embedded derivative would also increase.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i w:val="1"/>
          <w:iCs w:val="1"/>
          <w:color w:val="auto"/>
        </w:rPr>
        <w:t>Rollforward of Recurring Level 3 Assets and Liabilities</w:t>
      </w:r>
    </w:p>
    <w:p>
      <w:pPr>
        <w:spacing w:after="0" w:line="251" w:lineRule="exact"/>
        <w:rPr>
          <w:sz w:val="20"/>
          <w:szCs w:val="20"/>
          <w:color w:val="auto"/>
        </w:rPr>
      </w:pPr>
    </w:p>
    <w:p>
      <w:pPr>
        <w:ind w:firstLine="235"/>
        <w:spacing w:after="0" w:line="295" w:lineRule="auto"/>
        <w:rPr>
          <w:sz w:val="20"/>
          <w:szCs w:val="20"/>
          <w:color w:val="auto"/>
        </w:rPr>
      </w:pPr>
      <w:r>
        <w:rPr>
          <w:rFonts w:ascii="Times New Roman" w:cs="Times New Roman" w:eastAsia="Times New Roman" w:hAnsi="Times New Roman"/>
          <w:sz w:val="17"/>
          <w:szCs w:val="17"/>
          <w:color w:val="auto"/>
        </w:rPr>
        <w:t>The following table presents a rollforward for all assets and liabilities measured at fair value on a recurring basis using significant unobservable inputs (Level 3) (in thousands):</w:t>
      </w:r>
    </w:p>
    <w:p>
      <w:pPr>
        <w:sectPr>
          <w:pgSz w:w="11900" w:h="16838" w:orient="portrait"/>
          <w:cols w:equalWidth="0" w:num="1">
            <w:col w:w="11240"/>
          </w:cols>
          <w:pgMar w:left="320" w:top="864"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136765" cy="149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12" w:lineRule="exact"/>
        <w:rPr>
          <w:sz w:val="20"/>
          <w:szCs w:val="20"/>
          <w:color w:val="auto"/>
        </w:rPr>
      </w:pPr>
    </w:p>
    <w:p>
      <w:pPr>
        <w:ind w:left="20" w:right="760"/>
        <w:spacing w:after="0" w:line="286" w:lineRule="auto"/>
        <w:rPr>
          <w:sz w:val="20"/>
          <w:szCs w:val="20"/>
          <w:color w:val="auto"/>
        </w:rPr>
      </w:pPr>
      <w:r>
        <w:rPr>
          <w:rFonts w:ascii="Times New Roman" w:cs="Times New Roman" w:eastAsia="Times New Roman" w:hAnsi="Times New Roman"/>
          <w:sz w:val="17"/>
          <w:szCs w:val="17"/>
          <w:color w:val="auto"/>
        </w:rPr>
        <w:t>Issuance of embedded derivative within the 2024 Debt Repayment Settlement of a portion of the derivative asset for project milestone achieved Unrealized (loss) gain, included in derivative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-301625</wp:posOffset>
            </wp:positionV>
            <wp:extent cx="7136765" cy="140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-19685</wp:posOffset>
            </wp:positionV>
            <wp:extent cx="7136765" cy="165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765" cy="16573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Balance at end of period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Debt Instruments and Other Financing Arrangements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1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Three Months Ended March</w:t>
            </w:r>
          </w:p>
        </w:tc>
        <w:tc>
          <w:tcPr>
            <w:tcW w:w="220" w:type="dxa"/>
            <w:vAlign w:val="bottom"/>
          </w:tcPr>
          <w:p>
            <w:pPr>
              <w:spacing w:after="0"/>
              <w:rPr>
                <w:sz w:val="17"/>
                <w:szCs w:val="17"/>
                <w:color w:val="auto"/>
              </w:rPr>
            </w:pPr>
          </w:p>
        </w:tc>
        <w:tc>
          <w:tcPr>
            <w:tcW w:w="2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Twelve Months Ended</w:t>
            </w:r>
          </w:p>
        </w:tc>
      </w:tr>
      <w:tr>
        <w:trPr>
          <w:trHeight w:val="231"/>
        </w:trPr>
        <w:tc>
          <w:tcPr>
            <w:tcW w:w="4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rPr>
              <w:t>31, 2026</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December 31, 2025</w:t>
            </w:r>
          </w:p>
        </w:tc>
      </w:tr>
      <w:tr>
        <w:trPr>
          <w:trHeight w:val="214"/>
        </w:trPr>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114,461</w:t>
            </w:r>
          </w:p>
        </w:tc>
        <w:tc>
          <w:tcPr>
            <w:tcW w:w="100" w:type="dxa"/>
            <w:vAlign w:val="bottom"/>
          </w:tcPr>
          <w:p>
            <w:pPr>
              <w:spacing w:after="0"/>
              <w:rPr>
                <w:sz w:val="18"/>
                <w:szCs w:val="18"/>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108,799</w:t>
            </w:r>
          </w:p>
        </w:tc>
      </w:tr>
      <w:tr>
        <w:trPr>
          <w:trHeight w:val="222"/>
        </w:trPr>
        <w:tc>
          <w:tcPr>
            <w:tcW w:w="4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2,480</w:t>
            </w:r>
          </w:p>
        </w:tc>
      </w:tr>
      <w:tr>
        <w:trPr>
          <w:trHeight w:val="222"/>
        </w:trPr>
        <w:tc>
          <w:tcPr>
            <w:tcW w:w="4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(11,337)</w:t>
            </w:r>
          </w:p>
        </w:tc>
      </w:tr>
      <w:tr>
        <w:trPr>
          <w:trHeight w:val="227"/>
        </w:trPr>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14,519</w:t>
            </w:r>
          </w:p>
        </w:tc>
      </w:tr>
      <w:tr>
        <w:trPr>
          <w:trHeight w:val="215"/>
        </w:trPr>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111,859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114,461</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556" w:lineRule="exact"/>
        <w:rPr>
          <w:sz w:val="20"/>
          <w:szCs w:val="20"/>
          <w:color w:val="auto"/>
        </w:rPr>
      </w:pPr>
    </w:p>
    <w:p>
      <w:pPr>
        <w:sectPr>
          <w:pgSz w:w="11900" w:h="16838" w:orient="portrait"/>
          <w:cols w:equalWidth="0" w:num="2">
            <w:col w:w="6100" w:space="720"/>
            <w:col w:w="4420"/>
          </w:cols>
          <w:pgMar w:left="320" w:top="864" w:right="339" w:bottom="1440" w:gutter="0" w:footer="0" w:header="0"/>
          <w:type w:val="continuous"/>
        </w:sectPr>
      </w:pPr>
    </w:p>
    <w:p>
      <w:pPr>
        <w:spacing w:after="0" w:line="53"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The carrying amount of the Company's long-term debt approximates its fair value as the debt was recently issued and current market rates for instruments with similar terms, credit characteristics, and remaining maturities are not significantly different from the contractual rates of the Company's outstanding debt. When the Company makes draws on the 2023 Funding Agreement, each draw is recorded at fair value based on market rates at the time of the draw.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COMMITMENTS AND CONTINGENCIES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Updated Services Agreements</w:t>
      </w:r>
    </w:p>
    <w:p>
      <w:pPr>
        <w:spacing w:after="0" w:line="253" w:lineRule="exact"/>
        <w:rPr>
          <w:sz w:val="20"/>
          <w:szCs w:val="20"/>
          <w:color w:val="auto"/>
        </w:rPr>
      </w:pPr>
    </w:p>
    <w:p>
      <w:pPr>
        <w:jc w:val="both"/>
        <w:ind w:firstLine="235"/>
        <w:spacing w:after="0" w:line="265" w:lineRule="auto"/>
        <w:rPr>
          <w:sz w:val="20"/>
          <w:szCs w:val="20"/>
          <w:color w:val="auto"/>
        </w:rPr>
      </w:pPr>
      <w:r>
        <w:rPr>
          <w:rFonts w:ascii="Times New Roman" w:cs="Times New Roman" w:eastAsia="Times New Roman" w:hAnsi="Times New Roman"/>
          <w:sz w:val="17"/>
          <w:szCs w:val="17"/>
          <w:color w:val="auto"/>
        </w:rPr>
        <w:t>The Updated Services Agreements set forth the primary terms for the Company to provide expanded services to the Customer and incur costs related to the Extended MSS Network, which primarily relate to the construction of new gateways and the upgrade of existing gateways as well as new satellite construction and launch services, including both the replacement satellites related to the Phase 2 Services Period and the third-generation satellites related to the Extended MSS Network. The Updated Services Agreements have an indefinite term but are terminable by the Customer at any time upon advance notice or a force majeure event, or by either party upon the occurrence of certain events of default. The Updated Services Agreements obligate the Company to comply with various commitments.</w:t>
      </w:r>
    </w:p>
    <w:p>
      <w:pPr>
        <w:spacing w:after="0" w:line="200" w:lineRule="exact"/>
        <w:rPr>
          <w:sz w:val="20"/>
          <w:szCs w:val="20"/>
          <w:color w:val="auto"/>
        </w:rPr>
      </w:pPr>
    </w:p>
    <w:p>
      <w:pPr>
        <w:spacing w:after="0" w:line="21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Refer to Note 14: Subsequent Events for discussion of the Mergers and the related amendments to certain arrangements with the Customer, including the SOW Amendment.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Satellite Procurement Agreements</w:t>
      </w:r>
    </w:p>
    <w:p>
      <w:pPr>
        <w:spacing w:after="0" w:line="253"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In February 2022, the Company entered into a satellite procurement agreement with MDA Space pursuant to which the Company will acquire at least 17 satellites (and up to 26 satellites) to replace its HIBLEO-4 U.S.-licensed system with an amended contract price of $329.3 million for 17 of the replacement satellites. In addition, MDA Space provided a satellite operations control center for $5.0 million as well as other equipment for $4.2 million. The projected delivery dates were later than the dates specified in the satellite procurement agreement. The Company is contractually entitled to receive liquidated damages from MDA Space based upon the terms of the satellite procurement agreement due to MDA Space's failure to meet delivery milestones and the parties are discussing this matter. Any damages would reduce amounts owed to MDA Space when realized or realizable. The first set of replacement satellites was delivered in April 2026 and is scheduled to be launched in May 2026. The second batch of replacement satellites is scheduled for delivery later in 2026.</w:t>
      </w:r>
    </w:p>
    <w:p>
      <w:pPr>
        <w:spacing w:after="0" w:line="199"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In February 2025, the Company entered into another agreement with MDA Space pursuant to which the Company will acquire more than 50 third-generation satellites related to the Extended MSS Network. The total contract price for these satellites is $775.0 million.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i w:val="1"/>
          <w:iCs w:val="1"/>
          <w:color w:val="auto"/>
        </w:rPr>
        <w:t>Launch Services Agreements</w:t>
      </w:r>
    </w:p>
    <w:p>
      <w:pPr>
        <w:spacing w:after="0" w:line="253"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In each of August 2023 and June 2025, Globalstar entered into a Launch Services Agreement with SpaceX and certain related ancillary agreements (collectively, the "Launch Services Agreements"), providing for the launch of the first and second sets, respectively, of the 17 replacement satellites that the Company is acquiring pursuant to the 2022 satellite procurement agreement with MDA Space. As a result of the delivery delays of the replacement satellites (discussed above), the Company and SpaceX established an updated launch window of May 2026 for the first set of replacement satellites. The launch window of the second set of replacement satellites has not been adjusted.</w:t>
      </w:r>
    </w:p>
    <w:p>
      <w:pPr>
        <w:spacing w:after="0" w:line="197"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In October 2024, the Company entered into a separate agreement with SpaceX for the launch of the third-generation satellites related to the Extended MSS Network.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Expanded Ground Infrastructure</w:t>
      </w:r>
    </w:p>
    <w:p>
      <w:pPr>
        <w:spacing w:after="0" w:line="253"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The Company has ground infrastructure purchase commitments with its third party antenna and other equipment manufacturers to support the Extended MSS Network. Outstanding purchase commitments to support the Extended MSS Network ground infrastructure as of March 31, 2026 were approximately $158.0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for Phase 2 Service Period Asset Procurement</w:t>
      </w:r>
    </w:p>
    <w:p>
      <w:pPr>
        <w:spacing w:after="0" w:line="253"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Under the Service Agreements, subject to certain terms and conditions, the Company expects to receive payments equal to 95% of the approved capital expenditures under the satellite procurement agreement for the replacement satellites, launch services agreements for such replacement satellites and other ancillary equipment and launch costs (to be paid on a straight-line basis over the 12-year design life of such replacement satellites) beginning with the commencement of the Phase 2 Service Period.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for Extended MSS Network Asset Procurement</w:t>
      </w:r>
    </w:p>
    <w:p>
      <w:pPr>
        <w:spacing w:after="0" w:line="253"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As discussed in more detail in Note 2: Special Purpose Entity, the Updated Services Agreements provide for prepayments from the Customer for approved capital expenditures associated with the Extended MSS Network. As of March 31, 2026, the Company incurred $0.7 billion of the $2.0 billion projected spend for the Extended MSS Network. The Company will continue to incur these costs until the assets are placed into service.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RELATED PARTY TRANSACTIONS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Transactions with Thermo</w:t>
      </w:r>
    </w:p>
    <w:p>
      <w:pPr>
        <w:spacing w:after="0" w:line="253"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Thermo is the principal owner and largest stockholder of Globalstar. The Company's Executive Chairman of the Board controls Thermo. Two other members of the Board are also directors, officers or minority equity owners of various Thermo entities.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Payables to Thermo related to arm's length transactions were $0.2 million and $0.4 million as of March 31, 2026 and December 31, 2025, respectively.</w:t>
      </w:r>
    </w:p>
    <w:p>
      <w:pPr>
        <w:spacing w:after="0" w:line="249"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Certain general and administrative expenses are incurred by Thermo on behalf of the Company. These expenses include: (i) non-cash expenses, such as stock compensation costs, and (ii) expenses incurred by Thermo on behalf of the Company that are charged to the Company; these charges are based on actual amounts (with no mark-up) incurred by Thermo or upon allocated employee time.</w:t>
      </w:r>
    </w:p>
    <w:p>
      <w:pPr>
        <w:spacing w:after="0" w:line="188" w:lineRule="exact"/>
        <w:rPr>
          <w:sz w:val="20"/>
          <w:szCs w:val="20"/>
          <w:color w:val="auto"/>
        </w:rPr>
      </w:pPr>
    </w:p>
    <w:p>
      <w:pPr>
        <w:jc w:val="both"/>
        <w:ind w:firstLine="314"/>
        <w:spacing w:after="0" w:line="269" w:lineRule="auto"/>
        <w:rPr>
          <w:sz w:val="20"/>
          <w:szCs w:val="20"/>
          <w:color w:val="auto"/>
        </w:rPr>
      </w:pPr>
      <w:r>
        <w:rPr>
          <w:rFonts w:ascii="Times New Roman" w:cs="Times New Roman" w:eastAsia="Times New Roman" w:hAnsi="Times New Roman"/>
          <w:sz w:val="17"/>
          <w:szCs w:val="17"/>
          <w:color w:val="auto"/>
        </w:rPr>
        <w:t>Refer to Note 14: Subsequent Events for discussion of the Mergers and the related agreements with Thermo, including, but not limited to, Thermo's approval of the Merger Agreement, the Support Agreement (as defined in Note 14: Subsequent Events) and the proposed cancellation of the Series A Preferred Stock in exchange for the liquidation preference upon consummation of the Mergers, as well as the treatment of the warrants held by Thermo immediately prior to the consummation of the Mergers.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0" w:name="page21"/>
    <w:bookmarkEnd w:id="20"/>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The Company has a lease agreement with Thermo Covington, LLC for the Company's headquarters office. Annual lease payments increase at a rate of 2.5% per year. 2026 lease payments will total $1.7 million. The lease term is ten years and is scheduled to expire in January 2029. During each of the three months ended March 31, 2026 and 2025, the Company incurred lease expense of $0.4 million under this lease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Series A Preferred Stock</w:t>
      </w:r>
    </w:p>
    <w:p>
      <w:pPr>
        <w:spacing w:after="0" w:line="251" w:lineRule="exact"/>
        <w:rPr>
          <w:sz w:val="20"/>
          <w:szCs w:val="20"/>
          <w:color w:val="auto"/>
        </w:rPr>
      </w:pPr>
    </w:p>
    <w:p>
      <w:pPr>
        <w:jc w:val="both"/>
        <w:ind w:firstLine="235"/>
        <w:spacing w:after="0" w:line="265" w:lineRule="auto"/>
        <w:rPr>
          <w:sz w:val="20"/>
          <w:szCs w:val="20"/>
          <w:color w:val="auto"/>
        </w:rPr>
      </w:pPr>
      <w:r>
        <w:rPr>
          <w:rFonts w:ascii="Times New Roman" w:cs="Times New Roman" w:eastAsia="Times New Roman" w:hAnsi="Times New Roman"/>
          <w:sz w:val="17"/>
          <w:szCs w:val="17"/>
          <w:color w:val="auto"/>
        </w:rPr>
        <w:t>Thermo owns $136.7 million of the Series A Preferred Stock, based upon the shares' liquidation preference. Holders of the Series A Preferred Stock are entitled to receive, when, as and if declared by the Board, cumulative cash dividends based on the liquidation preference of the Series A Preferred Stock, at a fixed rate equal to 7.00% per annum, payable quarterly in arrears on January 1, April 1, July 1 and October 1 of each year. During the three months ended March 31, 2026, the Company made dividend payments to Thermo, which were approved by the Board, totaling $2.4 million. Refer to Note 14: Subsequent Events for discussion of the Mergers and the proposed cancellation of the Series A Preferred Stock in exchange for the liquidation preference upon consummation of the Mergers.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Service Agreements</w:t>
      </w:r>
    </w:p>
    <w:p>
      <w:pPr>
        <w:spacing w:after="0" w:line="251"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In connection with the Service Agreements, the Customer and Thermo entered into a lock-up and right of first offer agreement that generally (i) requires Thermo to offer any shares of Globalstar common stock to the Customer before transferring them to any other person, other than affiliates of Thermo and (ii) prohibits Thermo from transferring shares of Globalstar common stock if such transfer would cause Thermo to hold less than 51.00% of the outstanding common stock of the Company for a period of five years from the launch of Services in November 2022. The Customer waived its rights under the lock-up and right of first offer agreement in connection with the Company's entry into the Merger Agreement. Refer to Note 14: Subsequent Events for more information about the Merger Agreement.</w:t>
      </w:r>
    </w:p>
    <w:p>
      <w:pPr>
        <w:spacing w:after="0" w:line="200"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Certain amounts payable by the Company in connection with the 2023 Funding Agreement and certain other obligations under the Service Agreements are guaranteed by Thermo pursuant to a guaranty agreement (the "Thermo Guaranty"). As consideration for Thermo's guarantee, the Company issued to Thermo a warrant to purchase 666,668 shares of the Company’s common stock at an exercise price equal to $30.00 per share (as calculated pursuant to the Thermo Guaranty). The right to purchase 333,334 shares under the warrant vested immediately upon effectiveness of Thermo's guarantee, which occurred in December 2023, and the right to purchase the remaining 333,334 shares under the warrant would vest if and when Thermo advances aggregate funds of $25.0 million or more to the Company or a permitted third party pursuant to the terms of the Thermo Guaranty. The warrant expires in December 2028.</w:t>
      </w:r>
    </w:p>
    <w:p>
      <w:pPr>
        <w:spacing w:after="0" w:line="200"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In connection with the Updated Services Agreements, the Company, the Customer and Thermo amended the Thermo Guaranty to lower the amount of Guaranteed Obligations (as defined in the Thermo Guaranty) to $100 million (collectively with the Thermo Guaranty, the "Amended Thermo Guaranty"). The entry into the Amended Thermo Guaranty required approval of the Company's stockholders (other than Thermo, including its affiliates), which was received at the Company's 2025 annual meeting of stockholders on May 20, 2025. No changes were made to the existing outstanding warrants associated with the Thermo Guaranty and no additional warrants or rights to purchase additional shares of the Company's common stock were issued to Thermo in connection with the entry into the Amended Thermo Guaranty.</w:t>
      </w:r>
    </w:p>
    <w:p>
      <w:pPr>
        <w:spacing w:after="0" w:line="200"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To the extent Thermo is required to advance amounts under the Amended Thermo Guaranty, the Company is required to issue shares of its common stock to Thermo in respect of such advance in an amount equal to the amount of such payment divided by the average of the volume weighted average price of the Company’s common stock for the five trading days immediately preceding such payment.</w:t>
      </w:r>
    </w:p>
    <w:p>
      <w:pPr>
        <w:spacing w:after="0" w:line="188"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In connection with the execution of the Merger Agreement, the Company, the Customer and Thermo entered into an amendment to the Amended Thermo Guaranty, dated as of April 13, 2026 (the “Amendment to Thermo Guaranty”), pursuant to which the Amended Thermo Guaranty will be terminated on the date that the Assumed Prepayment Agreement entered into by Amazon and the Customer replaces the 2023 and 2024 Prepayment Agreements (each as defined in the Amendment to Thermo Guaranty), which shall be the closing date of the First Merger (as defined in the Merger Agreement), provided that Amazon has made the first required payment under the Assumed Prepayment Agreement to the Customer.</w:t>
      </w:r>
    </w:p>
    <w:p>
      <w:pPr>
        <w:spacing w:after="0" w:line="197"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Refer to Note 14: Subsequent Events for discussion of the Mergers, the Amendment to the Thermo Guaranty and the related amendment to the warrants issued to Thermo to provide for the automatic cashless exercise of any vested and unexercised warrants immediately prior to the consummation of the Mergers.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i w:val="1"/>
          <w:iCs w:val="1"/>
          <w:color w:val="auto"/>
        </w:rPr>
        <w:t>Governance</w:t>
      </w:r>
    </w:p>
    <w:p>
      <w:pPr>
        <w:spacing w:after="0" w:line="251" w:lineRule="exact"/>
        <w:rPr>
          <w:sz w:val="20"/>
          <w:szCs w:val="20"/>
          <w:color w:val="auto"/>
        </w:rPr>
      </w:pPr>
    </w:p>
    <w:p>
      <w:pPr>
        <w:jc w:val="both"/>
        <w:ind w:firstLine="203"/>
        <w:spacing w:after="0" w:line="269" w:lineRule="auto"/>
        <w:rPr>
          <w:sz w:val="20"/>
          <w:szCs w:val="20"/>
          <w:color w:val="auto"/>
        </w:rPr>
      </w:pPr>
      <w:r>
        <w:rPr>
          <w:rFonts w:ascii="Times New Roman" w:cs="Times New Roman" w:eastAsia="Times New Roman" w:hAnsi="Times New Roman"/>
          <w:sz w:val="17"/>
          <w:szCs w:val="17"/>
          <w:color w:val="auto"/>
        </w:rPr>
        <w:t>The Company has a Strategic Review Committee that is required to remain in existence for as long as Thermo and its affiliates beneficially own forty-five percent (45%) or more of Globalstar’s outstanding common stock. To the extent permitted by applicable law, the Strategic Review Committee has exclusive responsibility for the oversight, review and approval of, among other things and subject to certain exceptions, any acquisition by Thermo and its affiliates of additional newly-issued securities of the Company and any transaction between the Company and Thermo and its affiliates with a value in excess of $250,000.</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Agreements with XCOM Labs, Inc.</w:t>
      </w:r>
    </w:p>
    <w:p>
      <w:pPr>
        <w:spacing w:after="0" w:line="253"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Dr. Paul E. Jacobs is the Chief Executive Officer of Globalstar and also serves as the Executive Chairman of XCOM Labs, Inc. (now known as Virewirx, Inc.) ("XCOM") and is the controlling stockholder of XCOM. In connection with the entry into the Company's former Intellectual Property License Agreement with XCOM (the "License Agreement"), Globalstar issued to XCOM shares of Globalstar common stock for the transaction. Of the consideration paid for the License Agreement, additional shares were issued to Dr. Jacobs. In January 2026, the Company exercised its option to purchase certain intellectual property assets pursuant to the License Agreement, which terminated such agreement.</w:t>
      </w:r>
    </w:p>
    <w:p>
      <w:pPr>
        <w:spacing w:after="0" w:line="197"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Certain general and administrative expenses are incurred by Virewirx, Inc. on behalf of the Company. These expenses include costs incurred by Virewirx, Inc. on behalf of the Company that are charged to the Company; these charges are based on actual amounts (with no mark-up) incurred by Virewirx, Inc. or upon allocated employee time.</w:t>
      </w:r>
    </w:p>
    <w:p>
      <w:pPr>
        <w:spacing w:after="0" w:line="188"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Payables to Virewirx, Inc. related to arm's length transactions were less than $0.1 million as of December 31, 2025; no amounts were outstanding as of March 31, 2026.</w:t>
      </w:r>
    </w:p>
    <w:p>
      <w:pPr>
        <w:spacing w:after="0" w:line="173"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Dr. Jacobs does not have any family relationships with any director or executive officer of the Company and has not been directly or indirectly involved in any related party transactions with the Company, except for transactions related to the License Agreement and the SSA.</w:t>
      </w:r>
    </w:p>
    <w:p>
      <w:pPr>
        <w:spacing w:after="0" w:line="171" w:lineRule="exact"/>
        <w:rPr>
          <w:sz w:val="20"/>
          <w:szCs w:val="20"/>
          <w:color w:val="auto"/>
        </w:rPr>
      </w:pPr>
    </w:p>
    <w:p>
      <w:pPr>
        <w:ind w:left="260" w:hanging="255"/>
        <w:spacing w:after="0"/>
        <w:tabs>
          <w:tab w:leader="none" w:pos="26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LOSS PER SHARE</w:t>
      </w:r>
    </w:p>
    <w:p>
      <w:pPr>
        <w:spacing w:after="0" w:line="250" w:lineRule="exact"/>
        <w:rPr>
          <w:rFonts w:ascii="Times New Roman" w:cs="Times New Roman" w:eastAsia="Times New Roman" w:hAnsi="Times New Roman"/>
          <w:sz w:val="17"/>
          <w:szCs w:val="17"/>
          <w:b w:val="1"/>
          <w:bCs w:val="1"/>
          <w:color w:val="auto"/>
        </w:rPr>
      </w:pPr>
    </w:p>
    <w:p>
      <w:pPr>
        <w:ind w:left="2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sets forth the computation of basic and diluted loss per common share for the periods indicated (in thousands, except per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03"/>
        </w:trPr>
        <w:tc>
          <w:tcPr>
            <w:tcW w:w="8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March 31, 2026</w:t>
            </w:r>
          </w:p>
        </w:tc>
        <w:tc>
          <w:tcPr>
            <w:tcW w:w="140" w:type="dxa"/>
            <w:vAlign w:val="bottom"/>
          </w:tcPr>
          <w:p>
            <w:pPr>
              <w:spacing w:after="0"/>
              <w:rPr>
                <w:sz w:val="17"/>
                <w:szCs w:val="17"/>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6"/>
                <w:szCs w:val="16"/>
                <w:color w:val="auto"/>
              </w:rPr>
              <w:t>March 31, 2025</w:t>
            </w:r>
          </w:p>
        </w:tc>
      </w:tr>
      <w:tr>
        <w:trPr>
          <w:trHeight w:val="205"/>
        </w:trPr>
        <w:tc>
          <w:tcPr>
            <w:tcW w:w="8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22"/>
        </w:trPr>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(17,331)</w:t>
            </w:r>
          </w:p>
        </w:tc>
      </w:tr>
      <w:tr>
        <w:trPr>
          <w:trHeight w:val="222"/>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Effect of Series A Preferred Stock dividends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(2,615)</w:t>
            </w:r>
          </w:p>
        </w:tc>
      </w:tr>
      <w:tr>
        <w:trPr>
          <w:trHeight w:val="215"/>
        </w:trPr>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loss attributable to common shareholders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(20,035)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(19,946)</w:t>
            </w:r>
          </w:p>
        </w:tc>
      </w:tr>
      <w:tr>
        <w:trPr>
          <w:trHeight w:val="261"/>
        </w:trPr>
        <w:tc>
          <w:tcPr>
            <w:tcW w:w="8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22"/>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2"/>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Weighted average shares outstanding - basic and diluted</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126,476</w:t>
            </w:r>
          </w:p>
        </w:tc>
      </w:tr>
      <w:tr>
        <w:trPr>
          <w:trHeight w:val="261"/>
        </w:trPr>
        <w:tc>
          <w:tcPr>
            <w:tcW w:w="8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2"/>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common share: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2"/>
        </w:trPr>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(0.16)</w:t>
            </w:r>
          </w:p>
        </w:tc>
      </w:tr>
      <w:tr>
        <w:trPr>
          <w:trHeight w:val="222"/>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2" w:name="page23"/>
    <w:bookmarkEnd w:id="22"/>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For each of the three months ended March 31, 2026 and 2025, 2.9 million and 1.4 million shares, respectively, of potential common stock were excluded from diluted shares outstanding because the effects of such securities would be anti-dilutive. Included in these shares for all periods presented is a portion of (i) the outstanding equity awards under the Company's 2006 Equity Incentive Plan, and (ii) the 3.3 million shares that may be purchased by the Customer pursuant to the warrants issued under the Service Agreements in 2022 based on the treasury stock method. Additionally, Thermo holds a right to purchase 0.3 million shares of common stock pursuant to the warrant issued for its guarantee of the 2023 Funding Agreement. For the first quarter of 2026, a portion of these shares were included in potentially dilutive shares based on the treasury stock method; for the first quarter of 2025, none of these shares are included in the potentially dilutive securities because the exercise price of the warrants exceeded the average market price of Globalstar common stock during the periods.</w:t>
      </w:r>
    </w:p>
    <w:p>
      <w:pPr>
        <w:spacing w:after="0" w:line="199"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Excluded from the amounts above are an additional 0.3 million shares that may be purchased by Thermo pursuant to the warrant issued in connection with its guarantee of the 2023 Funding Agreement; the right to purchase these shares vests only if Thermo advances aggregate funds of $25.0 million or more to the Company or a permitted third party pursuant to the terms of Thermo's guarantee. Also excluded are unvested performance-based restricted stock units ("PSUs") that are subject to market and performance conditions as the condition for achievement was not met. The total unvested PSUs as of March 31, 2026 totaled 1.6 million shares.</w:t>
      </w:r>
    </w:p>
    <w:p>
      <w:pPr>
        <w:spacing w:after="0" w:line="197" w:lineRule="exact"/>
        <w:rPr>
          <w:sz w:val="20"/>
          <w:szCs w:val="20"/>
          <w:color w:val="auto"/>
        </w:rPr>
      </w:pPr>
    </w:p>
    <w:p>
      <w:pPr>
        <w:jc w:val="both"/>
        <w:ind w:firstLine="314"/>
        <w:spacing w:after="0" w:line="295" w:lineRule="auto"/>
        <w:rPr>
          <w:sz w:val="20"/>
          <w:szCs w:val="20"/>
          <w:color w:val="auto"/>
        </w:rPr>
      </w:pPr>
      <w:r>
        <w:rPr>
          <w:rFonts w:ascii="Times New Roman" w:cs="Times New Roman" w:eastAsia="Times New Roman" w:hAnsi="Times New Roman"/>
          <w:sz w:val="17"/>
          <w:szCs w:val="17"/>
          <w:color w:val="auto"/>
        </w:rPr>
        <w:t>Refer to Note 14: Subsequent Events for discussion of the Mergers and the related amendments to the warrants issued to the Customer and to Thermo to provide for the automatic cashless exercise of any vested and unexercised warrants immediately prior to the consummation of the Mergers.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SEGMENT REPORTING</w:t>
      </w:r>
    </w:p>
    <w:p>
      <w:pPr>
        <w:spacing w:after="0" w:line="251" w:lineRule="exact"/>
        <w:rPr>
          <w:sz w:val="20"/>
          <w:szCs w:val="20"/>
          <w:color w:val="auto"/>
        </w:rPr>
      </w:pPr>
    </w:p>
    <w:p>
      <w:pPr>
        <w:jc w:val="both"/>
        <w:ind w:firstLine="235"/>
        <w:spacing w:after="0" w:line="261" w:lineRule="auto"/>
        <w:rPr>
          <w:sz w:val="20"/>
          <w:szCs w:val="20"/>
          <w:color w:val="auto"/>
        </w:rPr>
      </w:pPr>
      <w:r>
        <w:rPr>
          <w:rFonts w:ascii="Times New Roman" w:cs="Times New Roman" w:eastAsia="Times New Roman" w:hAnsi="Times New Roman"/>
          <w:sz w:val="17"/>
          <w:szCs w:val="17"/>
          <w:color w:val="auto"/>
        </w:rPr>
        <w:t xml:space="preserve">An operating segment is defined as a component of an enterprise which has discrete financial information that is evaluated regularly by the Company’s Chief Operating Decision Maker ("CODM") to decide how to allocate resources and assess performance. In accordance with ASC 280,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the Company’s only reportable segment is its MSS business. The Company's Chief Executive Officer, Dr. Paul E. Jacobs, is the Company's CODM. Dr. Jacobs manages the consolidated entity and uses net income (loss) as the measure of profit or loss to assess performance and allocate resources. Dr. Jacobs does not review total assets. Dr. Jacobs reviews revenue and certain operating expenses to determine resource allocations. Revenue is reviewed at a disaggregated level, consistent with the Company’s disclosures in Note 3: Revenue. Expenses are reviewed by the nature of the cost (Cost of Services, Marketing, General and Administrative and Cost of Subscriber Equipment Sales), consistent with the Company’s presentation in its statements of operations. Other operating segment expenses may include stock-based compensation, depreciation, amortization and accretion, the reduction in the value of assets and inventory, interest income and expense, foreign currency gains and losses, gains and losses on extinguishment of debt as well as other smaller items.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INCOME TAXES</w:t>
      </w:r>
    </w:p>
    <w:p>
      <w:pPr>
        <w:spacing w:after="0" w:line="251" w:lineRule="exact"/>
        <w:rPr>
          <w:sz w:val="20"/>
          <w:szCs w:val="20"/>
          <w:color w:val="auto"/>
        </w:rPr>
      </w:pPr>
    </w:p>
    <w:p>
      <w:pPr>
        <w:jc w:val="both"/>
        <w:ind w:firstLine="314"/>
        <w:spacing w:after="0" w:line="269" w:lineRule="auto"/>
        <w:rPr>
          <w:sz w:val="20"/>
          <w:szCs w:val="20"/>
          <w:color w:val="auto"/>
        </w:rPr>
      </w:pPr>
      <w:r>
        <w:rPr>
          <w:rFonts w:ascii="Times New Roman" w:cs="Times New Roman" w:eastAsia="Times New Roman" w:hAnsi="Times New Roman"/>
          <w:sz w:val="17"/>
          <w:szCs w:val="17"/>
          <w:color w:val="auto"/>
        </w:rPr>
        <w:t>The change in the Company’s effective tax rate when comparing the three months ended March 31, 2026 to the same period in 2025 was driven by a lower estimated annual effective tax rate in the current year, which reduced the proportional impact of state current tax expense and uncertain tax position expense relative to the prior year period. In both periods, tax expense is being driven primarily by state current tax on forecasted taxable income and the state tax impacts of uncertain tax positions in the United States.</w:t>
      </w:r>
    </w:p>
    <w:p>
      <w:pPr>
        <w:spacing w:after="0" w:line="195" w:lineRule="exact"/>
        <w:rPr>
          <w:sz w:val="20"/>
          <w:szCs w:val="20"/>
          <w:color w:val="auto"/>
        </w:rPr>
      </w:pPr>
    </w:p>
    <w:p>
      <w:pPr>
        <w:jc w:val="both"/>
        <w:ind w:firstLine="314"/>
        <w:spacing w:after="0" w:line="273" w:lineRule="auto"/>
        <w:rPr>
          <w:sz w:val="20"/>
          <w:szCs w:val="20"/>
          <w:color w:val="auto"/>
        </w:rPr>
      </w:pPr>
      <w:r>
        <w:rPr>
          <w:rFonts w:ascii="Times New Roman" w:cs="Times New Roman" w:eastAsia="Times New Roman" w:hAnsi="Times New Roman"/>
          <w:sz w:val="17"/>
          <w:szCs w:val="17"/>
          <w:color w:val="auto"/>
        </w:rPr>
        <w:t>The Company monitors the realizability of its deferred tax assets considering all relevant factors at each reporting period. As of March 31, 2026, based on the relevant weight of positive and negative evidence, including its ability to forecast future operating results, historical tax losses and its ability to utilize deferred tax assets within the requisite carryforward periods, the Company maintains a valuation allowance on the majority of its federal, state and foreign deferred tax assets.</w:t>
      </w:r>
    </w:p>
    <w:p>
      <w:pPr>
        <w:spacing w:after="0" w:line="200" w:lineRule="exact"/>
        <w:rPr>
          <w:sz w:val="20"/>
          <w:szCs w:val="20"/>
          <w:color w:val="auto"/>
        </w:rPr>
      </w:pPr>
    </w:p>
    <w:p>
      <w:pPr>
        <w:spacing w:after="0" w:line="203" w:lineRule="exact"/>
        <w:rPr>
          <w:sz w:val="20"/>
          <w:szCs w:val="20"/>
          <w:color w:val="auto"/>
        </w:rPr>
      </w:pPr>
    </w:p>
    <w:p>
      <w:pPr>
        <w:ind w:right="9060" w:firstLine="5"/>
        <w:spacing w:after="0" w:line="546" w:lineRule="auto"/>
        <w:tabs>
          <w:tab w:leader="none" w:pos="261"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 Pending Mergers</w:t>
      </w:r>
    </w:p>
    <w:p>
      <w:pPr>
        <w:spacing w:after="0" w:line="1" w:lineRule="exact"/>
        <w:rPr>
          <w:sz w:val="20"/>
          <w:szCs w:val="20"/>
          <w:color w:val="auto"/>
        </w:rPr>
      </w:pPr>
    </w:p>
    <w:p>
      <w:pPr>
        <w:jc w:val="both"/>
        <w:ind w:firstLine="314"/>
        <w:spacing w:after="0" w:line="295" w:lineRule="auto"/>
        <w:rPr>
          <w:sz w:val="20"/>
          <w:szCs w:val="20"/>
          <w:color w:val="auto"/>
        </w:rPr>
      </w:pPr>
      <w:r>
        <w:rPr>
          <w:rFonts w:ascii="Times New Roman" w:cs="Times New Roman" w:eastAsia="Times New Roman" w:hAnsi="Times New Roman"/>
          <w:sz w:val="17"/>
          <w:szCs w:val="17"/>
          <w:color w:val="auto"/>
        </w:rPr>
        <w:t>On April 13, 2026, the Company entered into the Merger Agreement with the Buyer Parties pursuant to which, and subject to the terms and conditions of the Merger Agreement, the Buyer Parties have agreed to acquire the Company.</w:t>
      </w:r>
    </w:p>
    <w:p>
      <w:pPr>
        <w:spacing w:after="0" w:line="173"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Company’s standing Strategic Review Committee (the "SRC"), a subcommittee of independent and disinterested members of the SRC, and the Board each unanimously approved and declared advisable the Merger Agreement and the transactions contemplated thereby, including the Mergers. Following the execution of the Merger Agreement, Thermo, who</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3" w:name="page24"/>
    <w:bookmarkEnd w:id="23"/>
    <w:p>
      <w:pPr>
        <w:jc w:val="both"/>
        <w:spacing w:after="0" w:line="269" w:lineRule="auto"/>
        <w:rPr>
          <w:sz w:val="20"/>
          <w:szCs w:val="20"/>
          <w:color w:val="auto"/>
        </w:rPr>
      </w:pPr>
      <w:r>
        <w:rPr>
          <w:rFonts w:ascii="Times New Roman" w:cs="Times New Roman" w:eastAsia="Times New Roman" w:hAnsi="Times New Roman"/>
          <w:sz w:val="17"/>
          <w:szCs w:val="17"/>
          <w:color w:val="auto"/>
        </w:rPr>
        <w:t>collectively holds approximately 57.6% of the issued and outstanding shares of the Company’s common stock, executed and delivered to the Company a written consent (the “Written Consent”) adopting the Merger Agreement and approving the transactions contemplated thereby, including the Mergers. The delivery of the Written Consent constitutes all required approvals of the Company’s stockholders under the Company’s organizational documents, Delaware law and the Merger Agreement necessary to consummate the Mergers, and no further approval of the Company’s stockholders is required or will be sought.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Merger Consideration</w:t>
      </w:r>
    </w:p>
    <w:p>
      <w:pPr>
        <w:spacing w:after="0" w:line="251"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Pursuant to the terms in the Merger Agreement, each share of the Company’s common stock issued and outstanding at the effective time of the First Merger (including shares of the Company's common stock issued upon the automatic cashless exercise of warrants but excluding shares of Company common stock that are owned by the Company or any of its subsidiaries or the Buyer Parties or any of their respective wholly owned subsidiaries (such shares, the “Canceled Shares”)) will be converted into the right to receive, at the election of the holder, subject to the terms, conditions and procedures set forth in the Merger Agreement, either (i) cash in an amount equal to $90 per share (subject to a potential downward adjustment, as explained below) (the “Cash Consideration”) or</w:t>
      </w:r>
    </w:p>
    <w:p>
      <w:pPr>
        <w:spacing w:after="0" w:line="1" w:lineRule="exact"/>
        <w:rPr>
          <w:sz w:val="20"/>
          <w:szCs w:val="20"/>
          <w:color w:val="auto"/>
        </w:rPr>
      </w:pPr>
    </w:p>
    <w:p>
      <w:pPr>
        <w:jc w:val="both"/>
        <w:ind w:firstLine="5"/>
        <w:spacing w:after="0" w:line="258" w:lineRule="auto"/>
        <w:tabs>
          <w:tab w:leader="none" w:pos="26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number of validly issued, fully paid and nonassessable shares of Amazon’s common stock equal to the exchange ratio (as determined in accordance with the Merger Agreement, which is subject to a potential downward adjustment, as explained below) with cash in lieu of fractional shares (the “Stock Consideration” and, together with the Cash Consideration, the “Merger Consideration”). If a holder does not make an election, such holder will receive the Stock Consideration. Elections to receive the Cash Consideration are subject to an automatic proration adjustment such that the maximum number of shares of the Company’s outstanding common stock eligible to be converted into the right to receive the Cash Consideration pursuant to the Merger Agreement is equal to 40% of the aggregate number of shares of the Company’s common stock issued and outstanding immediately prior to the effective time of the First Merger (other than Canceled Shares), and any excess number of Company common stock with respect to which elections have been made to receive the Cash Consideration will be automatically converted into the right to receive the Stock Consideration on a pro rata basis. The aggregate Merger Consideration is also subject to a potential downward adjustment capped at a maximum of $110 million in the event the Company does not achieve certain amended operational milestones prior to closing, based on the Company's agreements with the Customer, as amended in the manner described below.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Warrants; Preferred Stock</w:t>
      </w:r>
    </w:p>
    <w:p>
      <w:pPr>
        <w:spacing w:after="0" w:line="251"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The Company's outstanding warrants include the warrants issued to the Customer that are exercisable in accordance with the Updated Services Agreements and to Thermo in connection with its guarantee of the 2023 Funding Agreement. In connection with the entry into Merger Agreement, the Company also agreed to amend the warrants issued to the Customer and Thermo to provide that, immediately prior to the effective time of the First Merger, each outstanding warrant held by the Customer and by Thermo that is vested and unexercised will be automatically exercised on a cashless basis and the shares of the Company’s common stock issued as a result of such exercise will be converted into the right to receive the Merger Consideration, as described above. In addition, pursuant to the amendment of the warrants issued to the Customer, Customer has the right (but not obligation) to exercise its warrants on a cashless basis prior to or at 5:00 p.m. (New York City time) on the date that is five (5) business days prior to the anticipated closing date of the Mergers.</w:t>
      </w:r>
    </w:p>
    <w:p>
      <w:pPr>
        <w:spacing w:after="0" w:line="199"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Immediately following the effective time of the First Merger, each share of the Company's Series A Preferred Stock outstanding will be converted into the right to receive a liquidating distribution in the initial amount of the liquidation preference of $1,000 per share in cash, as increased by accrued dividends. Following this liquidating distribution, the Series A Preferred Stock will no longer be outstanding and the rights of the holders thereof will terminate.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Conditions to Closing and Other Terms of the Merger Agreement</w:t>
      </w:r>
    </w:p>
    <w:p>
      <w:pPr>
        <w:spacing w:after="0" w:line="251" w:lineRule="exact"/>
        <w:rPr>
          <w:sz w:val="20"/>
          <w:szCs w:val="20"/>
          <w:color w:val="auto"/>
        </w:rPr>
      </w:pPr>
    </w:p>
    <w:p>
      <w:pPr>
        <w:jc w:val="both"/>
        <w:ind w:firstLine="235"/>
        <w:spacing w:after="0" w:line="261" w:lineRule="auto"/>
        <w:rPr>
          <w:sz w:val="20"/>
          <w:szCs w:val="20"/>
          <w:color w:val="auto"/>
        </w:rPr>
      </w:pPr>
      <w:r>
        <w:rPr>
          <w:rFonts w:ascii="Times New Roman" w:cs="Times New Roman" w:eastAsia="Times New Roman" w:hAnsi="Times New Roman"/>
          <w:sz w:val="17"/>
          <w:szCs w:val="17"/>
          <w:color w:val="auto"/>
        </w:rPr>
        <w:t>The consummation of the Mergers is subject to certain closing conditions set forth in the Merger Agreement, including, but not limited to: (a) the receipt of stockholder approval (which has been satisfied through the delivery of the Written Consent as described above), (b) the expiration or termination of applicable waiting periods under the Hart-Scott-Rodino Antitrust Improvements Act of 1976 (the "HSR Act") and the clearance or approval under certain specified antitrust, foreign investment, and satellite and telecommunications laws, (c) the absence of any law or order that prevents, makes illegal or enjoins the consummation of the Mergers, (d) the lapse of at least twenty (20) calendar days since the Company’s mailing to the Company’s stockholders of an information statement concerning the Mergers, the Written Consent and the other transactions contemplated by the Merger Agreement, (e) the effectiveness under the Securities Act of 1933, as amended, of the registration statement on Form S-4 to be filed by Amazon, in which the Company’s information statement will be included as a prospectus, (f) the absence of a Company Material Adverse Effect or a Parent Material Adverse Effect (each, as defined in the Merger Agreement) and (g) the achievement by the Company of certain HIBLEO-4 satellite milestones.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4" w:name="page25"/>
    <w:bookmarkEnd w:id="24"/>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 Company also made customary representations and warranties in the Merger Agreement and agreed to customary covenants regarding the operation of the business of the Company and its subsidiaries prior to the consummation of the Mergers.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Termination and Termination Fees</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The Merger Agreement contains customary termination rights for the Company and Amazon. The Merger Agreement may be terminated by either party if the Mergers are not consummated by April 13, 2027, which date may be extended to October 13, 2027 and again to April 13, 2028 if, as of such date, certain conditions related to regulatory approvals or, with respect to the first extension, satellite milestones, have not been satisfied or waived.</w:t>
      </w:r>
    </w:p>
    <w:p>
      <w:pPr>
        <w:spacing w:after="0" w:line="188" w:lineRule="exact"/>
        <w:rPr>
          <w:sz w:val="20"/>
          <w:szCs w:val="20"/>
          <w:color w:val="auto"/>
        </w:rPr>
      </w:pPr>
    </w:p>
    <w:p>
      <w:pPr>
        <w:jc w:val="both"/>
        <w:ind w:firstLine="235"/>
        <w:spacing w:after="0" w:line="265" w:lineRule="auto"/>
        <w:rPr>
          <w:sz w:val="20"/>
          <w:szCs w:val="20"/>
          <w:color w:val="auto"/>
        </w:rPr>
      </w:pPr>
      <w:r>
        <w:rPr>
          <w:rFonts w:ascii="Times New Roman" w:cs="Times New Roman" w:eastAsia="Times New Roman" w:hAnsi="Times New Roman"/>
          <w:sz w:val="17"/>
          <w:szCs w:val="17"/>
          <w:color w:val="auto"/>
        </w:rPr>
        <w:t>Upon termination of the Merger Agreement under certain circumstances, the Company will be required to pay Amazon a termination fee of approximately $419.8 million, including if (a) the Merger Agreement is terminated by Amazon as a result of a breach of the Merger Agreement by the Company, (b) prior to such termination, a bona fide alternative acquisition proposal has been made and (c) within twelve months after the date of such termination, the Company enters into or consummates an alternative acquisition transaction. Amazon will be required to pay the Company a termination fee of approximately $592.1 million under certain circumstances, including if the Merger Agreement is terminated because certain required regulatory approvals have not been obtained.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Agreements with the Customer</w:t>
      </w:r>
    </w:p>
    <w:p>
      <w:pPr>
        <w:spacing w:after="0" w:line="251" w:lineRule="exact"/>
        <w:rPr>
          <w:sz w:val="20"/>
          <w:szCs w:val="20"/>
          <w:color w:val="auto"/>
        </w:rPr>
      </w:pPr>
    </w:p>
    <w:p>
      <w:pPr>
        <w:ind w:left="620" w:hanging="302"/>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Globalstar SPE</w:t>
      </w:r>
      <w:r>
        <w:rPr>
          <w:rFonts w:ascii="Times New Roman" w:cs="Times New Roman" w:eastAsia="Times New Roman" w:hAnsi="Times New Roman"/>
          <w:sz w:val="17"/>
          <w:szCs w:val="17"/>
          <w:color w:val="auto"/>
        </w:rPr>
        <w:t>: Following the closing of the Mergers, Acquisition Sub II will acquire all of the Customer Class B Units in Globalstar Licensee LLC.</w:t>
      </w:r>
    </w:p>
    <w:p>
      <w:pPr>
        <w:spacing w:after="0" w:line="31" w:lineRule="exact"/>
        <w:rPr>
          <w:rFonts w:ascii="Times New Roman" w:cs="Times New Roman" w:eastAsia="Times New Roman" w:hAnsi="Times New Roman"/>
          <w:sz w:val="17"/>
          <w:szCs w:val="17"/>
          <w:color w:val="auto"/>
        </w:rPr>
      </w:pPr>
    </w:p>
    <w:p>
      <w:pPr>
        <w:jc w:val="both"/>
        <w:ind w:left="640" w:hanging="322"/>
        <w:spacing w:after="0" w:line="256" w:lineRule="auto"/>
        <w:tabs>
          <w:tab w:leader="none" w:pos="6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to 2024 Prepayment Agreement</w:t>
      </w:r>
      <w:r>
        <w:rPr>
          <w:rFonts w:ascii="Times New Roman" w:cs="Times New Roman" w:eastAsia="Times New Roman" w:hAnsi="Times New Roman"/>
          <w:sz w:val="17"/>
          <w:szCs w:val="17"/>
          <w:color w:val="auto"/>
        </w:rPr>
        <w:t>: On April 13, 2026, the Company and Customer entered into an amendment to the 2024 Prepayment Agreement, pursuant to which the parties increased the maximum amount of the High Power Infrastructure Prepayment Balance (as defined in the 2024 Prepayment Agreement) by approximately $468 million to an aggregate maximum amount of approximately $1.58 billion.</w:t>
      </w:r>
    </w:p>
    <w:p>
      <w:pPr>
        <w:spacing w:after="0" w:line="1" w:lineRule="exact"/>
        <w:rPr>
          <w:rFonts w:ascii="Times New Roman" w:cs="Times New Roman" w:eastAsia="Times New Roman" w:hAnsi="Times New Roman"/>
          <w:sz w:val="17"/>
          <w:szCs w:val="17"/>
          <w:color w:val="auto"/>
        </w:rPr>
      </w:pPr>
    </w:p>
    <w:p>
      <w:pPr>
        <w:ind w:left="640" w:hanging="322"/>
        <w:spacing w:after="0" w:line="256" w:lineRule="auto"/>
        <w:tabs>
          <w:tab w:leader="none" w:pos="6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to Statement of Work</w:t>
      </w:r>
      <w:r>
        <w:rPr>
          <w:rFonts w:ascii="Times New Roman" w:cs="Times New Roman" w:eastAsia="Times New Roman" w:hAnsi="Times New Roman"/>
          <w:sz w:val="17"/>
          <w:szCs w:val="17"/>
          <w:color w:val="auto"/>
        </w:rPr>
        <w:t>: On April 13, 2026, in connection with the entry into the Merger Agreement, the Company and the Customer amended their November 5, 2024 Statement of Work (the "SOW"), pursuant to which the parties amended certain service milestones under the SOW.</w:t>
      </w:r>
    </w:p>
    <w:p>
      <w:pPr>
        <w:spacing w:after="0" w:line="1" w:lineRule="exact"/>
        <w:rPr>
          <w:rFonts w:ascii="Times New Roman" w:cs="Times New Roman" w:eastAsia="Times New Roman" w:hAnsi="Times New Roman"/>
          <w:sz w:val="17"/>
          <w:szCs w:val="17"/>
          <w:color w:val="auto"/>
        </w:rPr>
      </w:pPr>
    </w:p>
    <w:p>
      <w:pPr>
        <w:jc w:val="both"/>
        <w:ind w:left="640" w:hanging="322"/>
        <w:spacing w:after="0" w:line="262" w:lineRule="auto"/>
        <w:tabs>
          <w:tab w:leader="none" w:pos="6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to Thermo Guaranty</w:t>
      </w:r>
      <w:r>
        <w:rPr>
          <w:rFonts w:ascii="Times New Roman" w:cs="Times New Roman" w:eastAsia="Times New Roman" w:hAnsi="Times New Roman"/>
          <w:sz w:val="17"/>
          <w:szCs w:val="17"/>
          <w:color w:val="auto"/>
        </w:rPr>
        <w:t>: In connection with the execution of the Merger Agreement, the Company, the Customer and Thermo entered into the Amendment to Thermo Guaranty, pursuant to which the Amended Thermo Guaranty is amended so as to terminate on the date that the Assumed Prepayment Agreement entered into by Amazon and the Customer replaces the 2023 and 2024 Prepayment Agreements, which shall be the closing date of the First Merger, provided that Amazon has made the first required payment under the Assumed Prepayment Agreement to the Customer.</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For further discussion on the agreements referenced above, specifically those associated with the Updated Services Agreements, refer to Note 2: Special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Purpose Entity, Note 6: Long-Term Debt and Other Financing Arrangements and Note 9: Commitments and Contingencies. For further discussion on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agreements with Thermo, refer to Note 10: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51"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The following discussion and analysis should be read in conjunction with the accompanying unaudited consolidated financial statements and applicable notes thereto included in Part I, Item 1 of this Report, together with "Management's Discussion and Analysis of Financial Condition and Results of Operation" included in our 2025 Annual Report. The following information contains forward-looking statements, which are not guarantees of future performance and are not necessarily indicative of future results and are subject to risks and uncertainties, including the risk factors set forth in Part I, Item 1A of our 2025 Annual Report, as updated in Part II, Item 1A of this Report. Should one or more of these risks or uncertainties materialize, our actual results may differ from those express or implied by the forward-looking statements. See "Cautionary Statement About Forward-Looking Statements" at the beginning of this Report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Mobile Satellite Services Business</w:t>
      </w:r>
    </w:p>
    <w:p>
      <w:pPr>
        <w:spacing w:after="0" w:line="251"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Through its global satellite network, Globalstar, Inc. ("we", "us" or the "Company") provides Mobile Satellite Services ("MSS"), including voice and data communications services to retail, business and governmental customers as well as wholesale satellite capacity services. We offer these services over our network of in-orbit satellites and ground stations ("gateways") pursuant to our spectrum licenses, which we refer to collectively as the Globalstar System. In addition to supporting Internet of Things ("IoT") data transmissions in a variety of applications, we provide reliable connectivity in areas not served or underserved by terrestrial wireless and wireline networks and in circumstances where terrestrial networks are not operational due to natural or man-made disasters. By providing global mobile satellite communications services, we aim to meet our customers' increasing desire for connectivity.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Pending Mergers with Amazon.com, Inc.</w:t>
      </w:r>
    </w:p>
    <w:p>
      <w:pPr>
        <w:spacing w:after="0" w:line="251"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On April 13, 2026, we entered into an Agreement and Plan of Merger (the “Merger Agreement”) with Amazon.com, Inc., a Delaware corporation (“Amazon”), Grapefruit Acquisition Sub I, Inc., a Delaware corporation and a direct wholly owned subsidiary of Amazon (“Acquisition Sub I”), and Grapefruit Acquisition Sub II, LLC, a Delaware limited liability company and a direct wholly owned subsidiary of Amazon (“Acquisition Sub II” and, together with Amazon and Acquisition Sub I, the “Buyer Parties”), pursuant to which and subject to the terms and conditions of the Merger Agreement, the Buyer Parties have agreed to acquire us (the "Mergers"). The Mergers are expected to close in 2027, subject to satisfaction of certain closing conditions in the Merger Agreement, including required regulatory approvals; however, no assurance can be given as to when, or if, the Mergers will occur. Refer to Note 14: Subsequent Events to our consolidated financial statements for further discussion on the Mergers.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Strategy</w:t>
      </w:r>
    </w:p>
    <w:p>
      <w:pPr>
        <w:spacing w:after="0" w:line="251" w:lineRule="exact"/>
        <w:rPr>
          <w:sz w:val="20"/>
          <w:szCs w:val="20"/>
          <w:color w:val="auto"/>
        </w:rPr>
      </w:pPr>
    </w:p>
    <w:p>
      <w:pPr>
        <w:ind w:right="640" w:firstLine="235"/>
        <w:spacing w:after="0" w:line="295" w:lineRule="auto"/>
        <w:rPr>
          <w:sz w:val="20"/>
          <w:szCs w:val="20"/>
          <w:color w:val="auto"/>
        </w:rPr>
      </w:pPr>
      <w:r>
        <w:rPr>
          <w:rFonts w:ascii="Times New Roman" w:cs="Times New Roman" w:eastAsia="Times New Roman" w:hAnsi="Times New Roman"/>
          <w:sz w:val="17"/>
          <w:szCs w:val="17"/>
          <w:color w:val="auto"/>
        </w:rPr>
        <w:t>Our competitive advantages are leveraged through our ability to deliver communications products and services, wholesale satellite capacity services, government services, and terrestrial spectrum and network solutions. These core competencies are outlined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Wholesale Satellite Capacity Services</w:t>
      </w:r>
    </w:p>
    <w:p>
      <w:pPr>
        <w:spacing w:after="0" w:line="2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Wholesale satellite capacity services include satellite network access and related services over the Globalstar System.</w:t>
      </w:r>
    </w:p>
    <w:p>
      <w:pPr>
        <w:spacing w:after="0" w:line="249" w:lineRule="exact"/>
        <w:rPr>
          <w:sz w:val="20"/>
          <w:szCs w:val="20"/>
          <w:color w:val="auto"/>
        </w:rPr>
      </w:pPr>
    </w:p>
    <w:p>
      <w:pPr>
        <w:jc w:val="both"/>
        <w:ind w:firstLine="279"/>
        <w:spacing w:after="0" w:line="262" w:lineRule="auto"/>
        <w:rPr>
          <w:sz w:val="20"/>
          <w:szCs w:val="20"/>
          <w:color w:val="auto"/>
        </w:rPr>
      </w:pPr>
      <w:r>
        <w:rPr>
          <w:rFonts w:ascii="Times New Roman" w:cs="Times New Roman" w:eastAsia="Times New Roman" w:hAnsi="Times New Roman"/>
          <w:sz w:val="17"/>
          <w:szCs w:val="17"/>
          <w:color w:val="auto"/>
        </w:rPr>
        <w:t>We provide certain services to Apple Inc. (the "Customer") pursuant to a service agreement and certain related ancillary agreements (collectively, the "Service Agreements"). In October 2024, we agreed to make certain amendments to the Service Agreements and entered into other related agreements with the Customer (the Service Agreements, as amended, collectively, the "Updated Services Agreements") to deliver expanded services over a new MSS network, including a new satellite constellation, expanded ground infrastructure, and increased global MSS licensing (collectively the "Extended MSS Network"). The Updated Services Agreements generally require us to allocate network capacity to support the services we provide to the Customer and for the Customer to enable Band 53/n53 for use in cellular-enabled devices designated by the Customer for use with our services. For additional information about the Updated Services Agreements, including the recent SOW Amendment, see Note 2: Special Purpose Entity and Note 14: Subsequent Events to our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both"/>
        <w:ind w:firstLine="279"/>
        <w:spacing w:after="0" w:line="276" w:lineRule="auto"/>
        <w:rPr>
          <w:sz w:val="20"/>
          <w:szCs w:val="20"/>
          <w:color w:val="auto"/>
        </w:rPr>
      </w:pPr>
      <w:r>
        <w:rPr>
          <w:rFonts w:ascii="Times New Roman" w:cs="Times New Roman" w:eastAsia="Times New Roman" w:hAnsi="Times New Roman"/>
          <w:sz w:val="17"/>
          <w:szCs w:val="17"/>
          <w:color w:val="auto"/>
        </w:rPr>
        <w:t>As consideration for the services provided by us to the Customer under the Updated Services Agreements, payments to us include a fixed service fee, fees relating to certain service-related operating expenses and capital expenditures, additional fees related to expanded services, and potential bonus payments subject to satisfaction of certain licensing, service and related criteria.</w:t>
      </w:r>
    </w:p>
    <w:p>
      <w:pPr>
        <w:spacing w:after="0" w:line="18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retain 15% of our current and future network capacity to support our other customers, including our existing and future Commercial IoT, SPOT and Duplex subscribers. We believe that this capacity can support a substantial increase in our own subscriber base. This retained satellite capacity can be used by us directly or through additional wholesale customer opportunities.</w:t>
      </w:r>
    </w:p>
    <w:p>
      <w:pPr>
        <w:spacing w:after="0" w:line="18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For the three months ended March 31, 2026 and 2025, the Customer under the Updated Services Agreements was responsible for 66% and 61%, respectively, of our total revenue. No other customer was responsible for more than 10% of our revenue. The loss of the Customer may have an adverse impact on our financial condition, results of operations and cash flows.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i w:val="1"/>
          <w:iCs w:val="1"/>
          <w:color w:val="auto"/>
        </w:rPr>
        <w:t>Communications Products and Services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We currently provide the following communications products and services to our MSS subscribers:</w:t>
      </w:r>
    </w:p>
    <w:p>
      <w:pPr>
        <w:spacing w:after="0" w:line="249" w:lineRule="exact"/>
        <w:rPr>
          <w:sz w:val="20"/>
          <w:szCs w:val="20"/>
          <w:color w:val="auto"/>
        </w:rPr>
      </w:pPr>
    </w:p>
    <w:p>
      <w:pPr>
        <w:ind w:left="640" w:hanging="322"/>
        <w:spacing w:after="0" w:line="267" w:lineRule="auto"/>
        <w:tabs>
          <w:tab w:leader="none" w:pos="6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transmissions using a mobile or fixed device that transmits the location of the devices and other information to a central monitoring station, including our commercial IoT products ("Commercial IoT");</w:t>
      </w:r>
    </w:p>
    <w:p>
      <w:pPr>
        <w:spacing w:after="0" w:line="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communication and data transmissions using our SPOT family of mobile devices that transmit messages and the location of the device ("SPOT"); and</w:t>
      </w:r>
    </w:p>
    <w:p>
      <w:pPr>
        <w:spacing w:after="0" w:line="1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voice communication and data transmissions ("Duplex").</w:t>
      </w:r>
    </w:p>
    <w:p>
      <w:pPr>
        <w:spacing w:after="0" w:line="231"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As of March 31, 2026, we had approximately 797,000 MSS subscribers worldwide. Our subscriber count only includes our MSS subscribers who have an active Globalstar contract. For our subscriber driven revenue, the specialized needs of our global customers span many industries. The Globalstar System is able to offer our customers cost-effective communications solutions completely independent of cellular coverage. Although traditional users of wireless telephone and broadband data services have access to such services in developed locations, our MSS customers often operate, travel and/or live in remote regions or regions with under-developed telecommunications infrastructure where such services are not readily available or are not provided on a reliable basis.</w:t>
      </w:r>
    </w:p>
    <w:p>
      <w:pPr>
        <w:spacing w:after="0" w:line="197"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We compete aggressively on price and strive to differentiate the products and solutions that we offer to our customers. As technological advancements are made, we continue to explore opportunities to develop new products and provide new services over the Globalstar System to meet the needs of our existing and prospective customers. In October 2025, we released the RM200M two-way module, designed to integrate into IoT and industrial solutions. Our current initiatives are focused in part on further investment and development of Commercial IoT-enabled devices, including a two-way reference design module and finished products with satellite only and multimode capabilities.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Government Services</w:t>
      </w:r>
    </w:p>
    <w:p>
      <w:pPr>
        <w:spacing w:after="0" w:line="251"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We have an exclusive partnership with Parsons Corporation, a governmental services company, to utilize the Globalstar System to provide an innovative solution design to enhance resilience against disrupted communication pathways. We also provide engineering services to assist certain governmental and other customers in developing new applications to operate on our network and to enhance our ground network. These services include hardware and software designs to develop specific applications operating over our satellite network, as well as the installation of gateways and antennas.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Terrestrial Spectrum and Network Solutions</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We are authorized to provide terrestrial broadband services over 11.5 MHz of our licensed MSS spectrum at 2483.5 to 2495 MHz (S-Band) throughout the United States and its territories. The Third Generation Partnership Project ("3GPP"), an organization that produces technical specifications and reports for 3GPP technologies, has designated the 11.5 MHz terrestrial band as Band 53 with the 5G variant of our Band 53, known as n53 (collectively "Band 53/n53").</w:t>
      </w:r>
    </w:p>
    <w:p>
      <w:pPr>
        <w:spacing w:after="0" w:line="188"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7"/>
          <w:szCs w:val="17"/>
          <w:color w:val="auto"/>
        </w:rPr>
        <w:t>We have terrestrial licenses in 12 countries, resulting in approximately 12.0 billion MHz-POPs (megahertz of our terrestrial spectrum authority in each country multiplied by a total population of approximately 967 million over the covered area) as of March 31, 2026. Prospective spectrum partners, including cable companies, wireless carriers, system integrators, utilities and other infrastructure operators, are able to benefit from access to uniform and increasingly "borderless" spectrum working across geographies. We believe our portfolio of terrestrial spectrum represents a substantial opportunity for us. The Updated Services Agreements significantly enhanced the device ecosystem for Band 53/n53 by enabling access to our terrestrial spectrum band in certain of the Customer's devices.</w:t>
      </w:r>
    </w:p>
    <w:p>
      <w:pPr>
        <w:spacing w:after="0" w:line="200" w:lineRule="exact"/>
        <w:rPr>
          <w:sz w:val="20"/>
          <w:szCs w:val="20"/>
          <w:color w:val="auto"/>
        </w:rPr>
      </w:pPr>
    </w:p>
    <w:p>
      <w:pPr>
        <w:spacing w:after="0" w:line="211" w:lineRule="exact"/>
        <w:rPr>
          <w:sz w:val="20"/>
          <w:szCs w:val="20"/>
          <w:color w:val="auto"/>
        </w:rPr>
      </w:pPr>
    </w:p>
    <w:p>
      <w:pPr>
        <w:jc w:val="both"/>
        <w:ind w:firstLine="270"/>
        <w:spacing w:after="0" w:line="262" w:lineRule="auto"/>
        <w:rPr>
          <w:sz w:val="20"/>
          <w:szCs w:val="20"/>
          <w:color w:val="auto"/>
        </w:rPr>
      </w:pPr>
      <w:r>
        <w:rPr>
          <w:rFonts w:ascii="Times New Roman" w:cs="Times New Roman" w:eastAsia="Times New Roman" w:hAnsi="Times New Roman"/>
          <w:sz w:val="17"/>
          <w:szCs w:val="17"/>
          <w:color w:val="auto"/>
        </w:rPr>
        <w:t>In January 2026, we exercised our right under the Intellectual Property License Agreement (the "License Agreement") with XCOM Labs, Inc. (now known as Virewirx, Inc.) ("XCOM") to purchase intellectual property assets relating to the development and commercialization of XCOM’s technologies for wireless spectrum innovations, including XCOM RAN systems, which is XCOM’s commercially available coordinated multi-point radio system. XCOM RAN systems deliver substantial capacity gains in dense, complex, challenging wireless environments in sub 7 GHz spectrum. We also now own XCOM’s peer-to-peer connectivity technologies that could have applications across cellular and satellite devices. Certain former XCOM employees, who developed these technologies are employed by Globalstar and continuing to further commercialize the technology. We believe bringing together Globalstar’s terrestrial spectrum and relationships with leading partners around the world with XCOM’s differentiated technology creates a significant opportunity to deliver private networks for mission-critical needs of customers.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Globalstar System</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Satellite and Ground Network</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Our constellation of Low Earth Orbit ("LEO") satellites is designed to maximize the probability that at least one satellite is visible from any point on the Earth's surface between the latitudes 70° north and 70° south. Our goal is to provide service levels and call or message success rates equal to or better than our MSS competitors, so our products and services are attractive to potential customers.</w:t>
      </w:r>
    </w:p>
    <w:p>
      <w:pPr>
        <w:spacing w:after="0" w:line="188" w:lineRule="exact"/>
        <w:rPr>
          <w:sz w:val="20"/>
          <w:szCs w:val="20"/>
          <w:color w:val="auto"/>
        </w:rPr>
      </w:pPr>
    </w:p>
    <w:p>
      <w:pPr>
        <w:jc w:val="both"/>
        <w:ind w:firstLine="235"/>
        <w:spacing w:after="0" w:line="262" w:lineRule="auto"/>
        <w:rPr>
          <w:sz w:val="20"/>
          <w:szCs w:val="20"/>
          <w:color w:val="auto"/>
        </w:rPr>
      </w:pPr>
      <w:r>
        <w:rPr>
          <w:rFonts w:ascii="Times New Roman" w:cs="Times New Roman" w:eastAsia="Times New Roman" w:hAnsi="Times New Roman"/>
          <w:sz w:val="17"/>
          <w:szCs w:val="17"/>
          <w:color w:val="auto"/>
        </w:rPr>
        <w:t>In 2022, we entered into a satellite procurement agreement with Macdonald, Dettwiler and Associates Corporation ("MDA Space") pursuant to which we expect to acquire 17 satellites to replace our HIBLEO-4 U.S.-licensed system. In August 2024, the Federal Communications Commission (the "FCC") Space Bureau granted our application to replace our HIBLEO-4 U.S.-licensed system with up to 26 satellites and operate them under a renewed 15-year license term to provide long-term continuity of our MSS. The technical specifications and design of these replacement satellites are similar to our current satellites. The first set of replacement satellites was delivered in April 2026 and we currently expect the second set to be delivered in mid-2026. These replacement satellites are expected to complement our existing second-generation constellation to ensure continuous service delivery. In February 2025, we entered into another agreement with MDA Space pursuant to which we expect to acquire more than 50 third-generation C-3 System (defined below) satellites related to the Extended MSS Network.</w:t>
      </w:r>
    </w:p>
    <w:p>
      <w:pPr>
        <w:spacing w:after="0" w:line="200" w:lineRule="exact"/>
        <w:rPr>
          <w:sz w:val="20"/>
          <w:szCs w:val="20"/>
          <w:color w:val="auto"/>
        </w:rPr>
      </w:pPr>
    </w:p>
    <w:p>
      <w:pPr>
        <w:spacing w:after="0" w:line="214" w:lineRule="exact"/>
        <w:rPr>
          <w:sz w:val="20"/>
          <w:szCs w:val="20"/>
          <w:color w:val="auto"/>
        </w:rPr>
      </w:pPr>
    </w:p>
    <w:p>
      <w:pPr>
        <w:jc w:val="both"/>
        <w:ind w:firstLine="235"/>
        <w:spacing w:after="0" w:line="265" w:lineRule="auto"/>
        <w:rPr>
          <w:sz w:val="20"/>
          <w:szCs w:val="20"/>
          <w:color w:val="auto"/>
        </w:rPr>
      </w:pPr>
      <w:r>
        <w:rPr>
          <w:rFonts w:ascii="Times New Roman" w:cs="Times New Roman" w:eastAsia="Times New Roman" w:hAnsi="Times New Roman"/>
          <w:sz w:val="17"/>
          <w:szCs w:val="17"/>
          <w:color w:val="auto"/>
        </w:rPr>
        <w:t>In each of August 2023 and June 2025, we entered into a Launch Services Agreement with Space Exploration Technologies Corp. ("SpaceX") and certain related ancillary agreements (collectively, the "Launch Services Agreements"), providing for two launches of the replacement satellites that we are acquiring pursuant to the 2022 satellite procurement agreement with MDA Space. We currently expect to complete both launches during 2026, with the launch of the first set of replacement satellites scheduled for May 2026 and the launch of the second set of replacement satellites expected to occur during the second half of 2026. In October 2024, we entered into agreements with SpaceX for the launch of the new C-3 System third-generation satellites to support the Extended MSS Network.</w:t>
      </w:r>
    </w:p>
    <w:p>
      <w:pPr>
        <w:spacing w:after="0" w:line="200" w:lineRule="exact"/>
        <w:rPr>
          <w:sz w:val="20"/>
          <w:szCs w:val="20"/>
          <w:color w:val="auto"/>
        </w:rPr>
      </w:pPr>
    </w:p>
    <w:p>
      <w:pPr>
        <w:spacing w:after="0" w:line="211" w:lineRule="exact"/>
        <w:rPr>
          <w:sz w:val="20"/>
          <w:szCs w:val="20"/>
          <w:color w:val="auto"/>
        </w:rPr>
      </w:pPr>
    </w:p>
    <w:p>
      <w:pPr>
        <w:jc w:val="both"/>
        <w:ind w:firstLine="235"/>
        <w:spacing w:after="0" w:line="261" w:lineRule="auto"/>
        <w:rPr>
          <w:sz w:val="20"/>
          <w:szCs w:val="20"/>
          <w:color w:val="auto"/>
        </w:rPr>
      </w:pPr>
      <w:r>
        <w:rPr>
          <w:rFonts w:ascii="Times New Roman" w:cs="Times New Roman" w:eastAsia="Times New Roman" w:hAnsi="Times New Roman"/>
          <w:sz w:val="17"/>
          <w:szCs w:val="17"/>
          <w:color w:val="auto"/>
        </w:rPr>
        <w:t>Our satellites communicate with our global network of gateways, each of which serves an area of up to 1,000,000 square miles. Each gateway consists of multiple 6-meter tracking antennas, spaced at least 50 meters apart with associated electronics and other infrastructure. A gateway must be within line-of-sight of a satellite and the satellite must be within line-of-sight of the subscriber to provide services. We locate our gateways to maximize coverage over most of the Earth's land and human population and provide redundancy in the unlikely event that a tracking antenna or gateway is offline for any reason. We continue to evaluate and, as deemed necessary, expand our global network of gateways to meet market demand and optimize coverage and service quality. We have announced plans to expand our ground networks to support the Extended MSS Network with construction underway at critical sites around the globe. We continue to progress our infrastructure expansion with construction underway at most sites around the globe, including certain sites in North America, Asia and Europe where construction is complete. This global expansion initiative is expected to include approximately 90 new antennas across 35 ground stations in 25 countries.</w:t>
      </w:r>
    </w:p>
    <w:p>
      <w:pPr>
        <w:spacing w:after="0" w:line="200" w:lineRule="exact"/>
        <w:rPr>
          <w:sz w:val="20"/>
          <w:szCs w:val="20"/>
          <w:color w:val="auto"/>
        </w:rPr>
      </w:pPr>
    </w:p>
    <w:p>
      <w:pPr>
        <w:spacing w:after="0" w:line="216"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Each of our gateways has multiple antennas that communicate with our satellites and pass communications seamlessly between antenna beams and satellites as the satellites traverse the gateways, thereby reflecting the signals from our users' terminals to our gateways. Once a satellite acquires a signal from an end-user, the Globalstar System authenticates the user and establishes the voice or data channel to complete the call to a device connected to the public switched telephone network ("PSTN"), a cellular or another wireless network or the internet for data communications including Commercial IoT communication services.</w:t>
      </w:r>
    </w:p>
    <w:p>
      <w:pPr>
        <w:spacing w:after="0" w:line="195"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believe that the design of the Globalstar System enables faster and more cost-effective maintenance and upgrades because the software and much of the hardware are located on the ground and thus readily accessible. Our multiple gateways allow us to reconfigure the Globalstar System quickly to extend another gateway's coverage to make up for lost coverage from a disabled gateway or to increase capacity resulting from surges in demand.</w:t>
      </w:r>
    </w:p>
    <w:p>
      <w:pPr>
        <w:spacing w:after="0" w:line="188" w:lineRule="exact"/>
        <w:rPr>
          <w:sz w:val="20"/>
          <w:szCs w:val="20"/>
          <w:color w:val="auto"/>
        </w:rPr>
      </w:pPr>
    </w:p>
    <w:p>
      <w:pPr>
        <w:jc w:val="both"/>
        <w:ind w:firstLine="235"/>
        <w:spacing w:after="0" w:line="273" w:lineRule="auto"/>
        <w:rPr>
          <w:sz w:val="20"/>
          <w:szCs w:val="20"/>
          <w:color w:val="auto"/>
        </w:rPr>
      </w:pPr>
      <w:r>
        <w:rPr>
          <w:rFonts w:ascii="Times New Roman" w:cs="Times New Roman" w:eastAsia="Times New Roman" w:hAnsi="Times New Roman"/>
          <w:sz w:val="17"/>
          <w:szCs w:val="17"/>
          <w:color w:val="auto"/>
        </w:rPr>
        <w:t>Our ground network includes our ground equipment, which uses technology permitting communication to multiple satellites. The architecture of the Globalstar System provides full frequency re-use. This maximizes satellite diversity (which maximizes quality) and network capacity as we can reuse the assigned spectrum in every satellite beam in every satellite. In addition, we have developed a proprietary technology for our SPOT and Commercial IoT communication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i w:val="1"/>
          <w:iCs w:val="1"/>
          <w:color w:val="auto"/>
        </w:rPr>
        <w:t>Spectrum and Regulatory Structure</w:t>
      </w:r>
    </w:p>
    <w:p>
      <w:pPr>
        <w:spacing w:after="0" w:line="251"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We benefit from a worldwide allocation of radio frequency spectrum in the international radio frequency tables administered by the International Telecommunications Union ("ITU"). Access to this globally harmonized spectrum enables us to design satellites, networks and terrestrial infrastructure enhancements more cost effectively because the products and services supported by the ITU can be deployed and sold worldwide. In addition, this broad spectrum allocation enhances our ability to capitalize on existing and emerging wireless and broadband applications.</w:t>
      </w:r>
    </w:p>
    <w:p>
      <w:pPr>
        <w:spacing w:after="0" w:line="195"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We have acquired the operational rights to the AST-NG-C-3 system filing made by the Republic of France with the ITU. This filing will enable us to commercialize our third-generation MSS network (the "C-3 System") to support the Services (as defined herein) provided over the Extended MSS Network. We have applied to the French government to secure the necessary authorizations to launch and operate the C-3 System. We are also pursuing market access approvals from multiple countries, including the United States. In February 2025, we filed a petition with the FCC requesting U.S. market access for the C-3 System. The FCC Space Bureau has accepted our petition for filing and published it for public comment.</w:t>
      </w:r>
    </w:p>
    <w:p>
      <w:pPr>
        <w:spacing w:after="0" w:line="197"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We believe our MSS spectrum position provides potential for harmonized terrestrial authority across many international regulatory domains and have received and continue to seek approvals in various international jurisdictions.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Indicators</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Our management reviews and analyzes several key performance indicators in order to manage our business and assess the quality and potential variability of our earnings and cash flows. These key performance indicators include:</w:t>
      </w:r>
    </w:p>
    <w:p>
      <w:pPr>
        <w:spacing w:after="0" w:line="173" w:lineRule="exact"/>
        <w:rPr>
          <w:sz w:val="20"/>
          <w:szCs w:val="20"/>
          <w:color w:val="auto"/>
        </w:rPr>
      </w:pPr>
    </w:p>
    <w:p>
      <w:pPr>
        <w:ind w:left="480" w:hanging="319"/>
        <w:spacing w:after="0"/>
        <w:tabs>
          <w:tab w:leader="none" w:pos="4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revenue, which is an indicator of our overall business growth;</w:t>
      </w:r>
    </w:p>
    <w:p>
      <w:pPr>
        <w:spacing w:after="0" w:line="31" w:lineRule="exact"/>
        <w:rPr>
          <w:rFonts w:ascii="Times New Roman" w:cs="Times New Roman" w:eastAsia="Times New Roman" w:hAnsi="Times New Roman"/>
          <w:sz w:val="17"/>
          <w:szCs w:val="17"/>
          <w:color w:val="auto"/>
        </w:rPr>
      </w:pPr>
    </w:p>
    <w:p>
      <w:pPr>
        <w:ind w:left="480" w:hanging="319"/>
        <w:spacing w:after="0"/>
        <w:tabs>
          <w:tab w:leader="none" w:pos="4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subscriber growth and churn rate, which are both indicators of the satisfaction of our customers;</w:t>
      </w:r>
    </w:p>
    <w:p>
      <w:pPr>
        <w:spacing w:after="0" w:line="13" w:lineRule="exact"/>
        <w:rPr>
          <w:rFonts w:ascii="Times New Roman" w:cs="Times New Roman" w:eastAsia="Times New Roman" w:hAnsi="Times New Roman"/>
          <w:sz w:val="17"/>
          <w:szCs w:val="17"/>
          <w:color w:val="auto"/>
        </w:rPr>
      </w:pPr>
    </w:p>
    <w:p>
      <w:pPr>
        <w:ind w:left="480" w:hanging="319"/>
        <w:spacing w:after="0" w:line="256" w:lineRule="auto"/>
        <w:tabs>
          <w:tab w:leader="none" w:pos="47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monthly revenue per user, or ARPU, which is an indicator of our pricing and ability to obtain effectively long-term, high-value customers. We calculate ARPU separately for each type of our subscriber-driven revenue, including Commercial IoT, SPOT and Duplex;</w:t>
      </w:r>
    </w:p>
    <w:p>
      <w:pPr>
        <w:spacing w:after="0" w:line="1" w:lineRule="exact"/>
        <w:rPr>
          <w:rFonts w:ascii="Times New Roman" w:cs="Times New Roman" w:eastAsia="Times New Roman" w:hAnsi="Times New Roman"/>
          <w:sz w:val="17"/>
          <w:szCs w:val="17"/>
          <w:color w:val="auto"/>
        </w:rPr>
      </w:pPr>
    </w:p>
    <w:p>
      <w:pPr>
        <w:ind w:left="480" w:hanging="319"/>
        <w:spacing w:after="0"/>
        <w:tabs>
          <w:tab w:leader="none" w:pos="4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income and adjusted EBITDA, both of which are indicators of our financial performance; and</w:t>
      </w:r>
    </w:p>
    <w:p>
      <w:pPr>
        <w:spacing w:after="0" w:line="13" w:lineRule="exact"/>
        <w:rPr>
          <w:rFonts w:ascii="Times New Roman" w:cs="Times New Roman" w:eastAsia="Times New Roman" w:hAnsi="Times New Roman"/>
          <w:sz w:val="17"/>
          <w:szCs w:val="17"/>
          <w:color w:val="auto"/>
        </w:rPr>
      </w:pPr>
    </w:p>
    <w:p>
      <w:pPr>
        <w:ind w:left="480" w:hanging="319"/>
        <w:spacing w:after="0"/>
        <w:tabs>
          <w:tab w:leader="none" w:pos="4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expenditures, which are an indicator of future revenue growth potential and cash requirements.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Results of Operations for the three months ended March 31, 2026 and 2025</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Revenue</w:t>
      </w:r>
    </w:p>
    <w:p>
      <w:pPr>
        <w:spacing w:after="0" w:line="251"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Our revenue is categorized as service revenue and subscriber equipment sales. Service revenue is generated by the MSS services we provide to customers using the Globalstar System. Subscriber equipment sales are generated from the sale of MSS devices that work over the Globalstar System. We also generate service and equipment revenue from the sale of XCOM RAN systems and associated services that support such systems. For the three months ended March 31, 2026, total revenue increased 17% to $70.1 million from $60.0 million for the same period in 2025. The increase in revenue for the three months ended March 31, 2026 resulted primarily from higher wholesale capacity services. See below for a discussion of the main fluctuations in revenue.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9" w:name="page30"/>
    <w:bookmarkEnd w:id="29"/>
    <w:p>
      <w:pPr>
        <w:ind w:left="240"/>
        <w:spacing w:after="0"/>
        <w:rPr>
          <w:sz w:val="20"/>
          <w:szCs w:val="20"/>
          <w:color w:val="auto"/>
        </w:rPr>
      </w:pPr>
      <w:r>
        <w:rPr>
          <w:rFonts w:ascii="Times New Roman" w:cs="Times New Roman" w:eastAsia="Times New Roman" w:hAnsi="Times New Roman"/>
          <w:sz w:val="17"/>
          <w:szCs w:val="17"/>
          <w:color w:val="auto"/>
        </w:rPr>
        <w:t>The following table sets forth amounts and percentages of our revenue by type of service for customers using the Globalstar System (in thousands):</w:t>
      </w:r>
    </w:p>
    <w:p>
      <w:pPr>
        <w:spacing w:after="0" w:line="333"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5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4"/>
          </w:tcPr>
          <w:p>
            <w:pPr>
              <w:jc w:val="center"/>
              <w:ind w:right="493"/>
              <w:spacing w:after="0"/>
              <w:rPr>
                <w:sz w:val="20"/>
                <w:szCs w:val="20"/>
                <w:color w:val="auto"/>
              </w:rPr>
            </w:pPr>
            <w:r>
              <w:rPr>
                <w:rFonts w:ascii="Times New Roman" w:cs="Times New Roman" w:eastAsia="Times New Roman" w:hAnsi="Times New Roman"/>
                <w:sz w:val="17"/>
                <w:szCs w:val="17"/>
                <w:color w:val="auto"/>
              </w:rPr>
              <w:t>Three Months Ended</w:t>
            </w:r>
          </w:p>
        </w:tc>
        <w:tc>
          <w:tcPr>
            <w:tcW w:w="180" w:type="dxa"/>
            <w:vAlign w:val="bottom"/>
          </w:tcPr>
          <w:p>
            <w:pPr>
              <w:spacing w:after="0"/>
              <w:rPr>
                <w:sz w:val="17"/>
                <w:szCs w:val="17"/>
                <w:color w:val="auto"/>
              </w:rPr>
            </w:pPr>
          </w:p>
        </w:tc>
        <w:tc>
          <w:tcPr>
            <w:tcW w:w="2600" w:type="dxa"/>
            <w:vAlign w:val="bottom"/>
            <w:gridSpan w:val="4"/>
          </w:tcPr>
          <w:p>
            <w:pPr>
              <w:jc w:val="center"/>
              <w:ind w:right="493"/>
              <w:spacing w:after="0"/>
              <w:rPr>
                <w:sz w:val="20"/>
                <w:szCs w:val="20"/>
                <w:color w:val="auto"/>
              </w:rPr>
            </w:pPr>
            <w:r>
              <w:rPr>
                <w:rFonts w:ascii="Times New Roman" w:cs="Times New Roman" w:eastAsia="Times New Roman" w:hAnsi="Times New Roman"/>
                <w:sz w:val="17"/>
                <w:szCs w:val="17"/>
                <w:color w:val="auto"/>
              </w:rPr>
              <w:t>Three Months Ended</w:t>
            </w:r>
          </w:p>
        </w:tc>
        <w:tc>
          <w:tcPr>
            <w:tcW w:w="0" w:type="dxa"/>
            <w:vAlign w:val="bottom"/>
          </w:tcPr>
          <w:p>
            <w:pPr>
              <w:spacing w:after="0"/>
              <w:rPr>
                <w:sz w:val="1"/>
                <w:szCs w:val="1"/>
                <w:color w:val="auto"/>
              </w:rPr>
            </w:pPr>
          </w:p>
        </w:tc>
      </w:tr>
      <w:tr>
        <w:trPr>
          <w:trHeight w:val="231"/>
        </w:trPr>
        <w:tc>
          <w:tcPr>
            <w:tcW w:w="5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4"/>
          </w:tcPr>
          <w:p>
            <w:pPr>
              <w:jc w:val="center"/>
              <w:ind w:right="453"/>
              <w:spacing w:after="0"/>
              <w:rPr>
                <w:sz w:val="20"/>
                <w:szCs w:val="20"/>
                <w:color w:val="auto"/>
              </w:rPr>
            </w:pPr>
            <w:r>
              <w:rPr>
                <w:rFonts w:ascii="Times New Roman" w:cs="Times New Roman" w:eastAsia="Times New Roman" w:hAnsi="Times New Roman"/>
                <w:sz w:val="17"/>
                <w:szCs w:val="17"/>
                <w:color w:val="auto"/>
              </w:rPr>
              <w:t>March 31, 2026</w:t>
            </w:r>
          </w:p>
        </w:tc>
        <w:tc>
          <w:tcPr>
            <w:tcW w:w="180" w:type="dxa"/>
            <w:vAlign w:val="bottom"/>
          </w:tcPr>
          <w:p>
            <w:pPr>
              <w:spacing w:after="0"/>
              <w:rPr>
                <w:sz w:val="20"/>
                <w:szCs w:val="20"/>
                <w:color w:val="auto"/>
              </w:rPr>
            </w:pPr>
          </w:p>
        </w:tc>
        <w:tc>
          <w:tcPr>
            <w:tcW w:w="2600" w:type="dxa"/>
            <w:vAlign w:val="bottom"/>
            <w:gridSpan w:val="4"/>
          </w:tcPr>
          <w:p>
            <w:pPr>
              <w:jc w:val="center"/>
              <w:ind w:right="453"/>
              <w:spacing w:after="0"/>
              <w:rPr>
                <w:sz w:val="20"/>
                <w:szCs w:val="20"/>
                <w:color w:val="auto"/>
              </w:rPr>
            </w:pPr>
            <w:r>
              <w:rPr>
                <w:rFonts w:ascii="Times New Roman" w:cs="Times New Roman" w:eastAsia="Times New Roman" w:hAnsi="Times New Roman"/>
                <w:sz w:val="17"/>
                <w:szCs w:val="17"/>
                <w:color w:val="auto"/>
              </w:rPr>
              <w:t>March 31, 2025</w:t>
            </w:r>
          </w:p>
        </w:tc>
        <w:tc>
          <w:tcPr>
            <w:tcW w:w="0" w:type="dxa"/>
            <w:vAlign w:val="bottom"/>
          </w:tcPr>
          <w:p>
            <w:pPr>
              <w:spacing w:after="0"/>
              <w:rPr>
                <w:sz w:val="1"/>
                <w:szCs w:val="1"/>
                <w:color w:val="auto"/>
              </w:rPr>
            </w:pPr>
          </w:p>
        </w:tc>
      </w:tr>
      <w:tr>
        <w:trPr>
          <w:trHeight w:val="167"/>
        </w:trPr>
        <w:tc>
          <w:tcPr>
            <w:tcW w:w="55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color w:val="auto"/>
                <w:w w:val="98"/>
              </w:rPr>
              <w:t>% of Total</w:t>
            </w:r>
          </w:p>
        </w:tc>
        <w:tc>
          <w:tcPr>
            <w:tcW w:w="3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color w:val="auto"/>
                <w:w w:val="98"/>
              </w:rPr>
              <w:t>% of Total</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Service revenue:</w:t>
            </w:r>
          </w:p>
        </w:tc>
        <w:tc>
          <w:tcPr>
            <w:tcW w:w="16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Revenue</w:t>
            </w:r>
          </w:p>
        </w:tc>
        <w:tc>
          <w:tcPr>
            <w:tcW w:w="1580" w:type="dxa"/>
            <w:vAlign w:val="bottom"/>
            <w:gridSpan w:val="2"/>
          </w:tcPr>
          <w:p>
            <w:pPr>
              <w:jc w:val="center"/>
              <w:ind w:right="293"/>
              <w:spacing w:after="0"/>
              <w:rPr>
                <w:sz w:val="20"/>
                <w:szCs w:val="20"/>
                <w:color w:val="auto"/>
              </w:rPr>
            </w:pPr>
            <w:r>
              <w:rPr>
                <w:rFonts w:ascii="Times New Roman" w:cs="Times New Roman" w:eastAsia="Times New Roman" w:hAnsi="Times New Roman"/>
                <w:sz w:val="17"/>
                <w:szCs w:val="17"/>
                <w:color w:val="auto"/>
              </w:rPr>
              <w:t>Revenue</w:t>
            </w:r>
          </w:p>
        </w:tc>
        <w:tc>
          <w:tcPr>
            <w:tcW w:w="18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Revenue</w:t>
            </w:r>
          </w:p>
        </w:tc>
        <w:tc>
          <w:tcPr>
            <w:tcW w:w="1580" w:type="dxa"/>
            <w:vAlign w:val="bottom"/>
            <w:gridSpan w:val="2"/>
          </w:tcPr>
          <w:p>
            <w:pPr>
              <w:jc w:val="center"/>
              <w:ind w:right="293"/>
              <w:spacing w:after="0"/>
              <w:rPr>
                <w:sz w:val="20"/>
                <w:szCs w:val="20"/>
                <w:color w:val="auto"/>
              </w:rPr>
            </w:pPr>
            <w:r>
              <w:rPr>
                <w:rFonts w:ascii="Times New Roman" w:cs="Times New Roman" w:eastAsia="Times New Roman" w:hAnsi="Times New Roman"/>
                <w:sz w:val="17"/>
                <w:szCs w:val="17"/>
                <w:color w:val="auto"/>
              </w:rPr>
              <w:t>Revenue</w:t>
            </w:r>
          </w:p>
        </w:tc>
        <w:tc>
          <w:tcPr>
            <w:tcW w:w="0" w:type="dxa"/>
            <w:vAlign w:val="bottom"/>
          </w:tcPr>
          <w:p>
            <w:pPr>
              <w:spacing w:after="0"/>
              <w:rPr>
                <w:sz w:val="1"/>
                <w:szCs w:val="1"/>
                <w:color w:val="auto"/>
              </w:rPr>
            </w:pPr>
          </w:p>
        </w:tc>
      </w:tr>
      <w:tr>
        <w:trPr>
          <w:trHeight w:val="202"/>
        </w:trPr>
        <w:tc>
          <w:tcPr>
            <w:tcW w:w="556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Wholesale capacity services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46,267</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66 %</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36,709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61 %</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Subscriber services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IoT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11</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SPOT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8,655</w:t>
            </w:r>
          </w:p>
        </w:tc>
        <w:tc>
          <w:tcPr>
            <w:tcW w:w="12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12</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9,371</w:t>
            </w:r>
          </w:p>
        </w:tc>
        <w:tc>
          <w:tcPr>
            <w:tcW w:w="10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Duplex</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5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Government and other services</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1,753</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3</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w:t>
            </w:r>
          </w:p>
        </w:tc>
        <w:tc>
          <w:tcPr>
            <w:tcW w:w="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service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66,701</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96 %</w:t>
            </w:r>
          </w:p>
        </w:tc>
        <w:tc>
          <w:tcPr>
            <w:tcW w:w="3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57,067</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3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640" w:hanging="322"/>
        <w:spacing w:after="0" w:line="295" w:lineRule="auto"/>
        <w:tabs>
          <w:tab w:leader="none" w:pos="63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remaining 4% and 5% of our total revenue for the three months ended March 31, 2026 and 2025, respectively, is attributable to subscriber equipment sales from the sale of MSS devices that work over the Globalstar System.</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sets forth our average number of subscribers and ARPU by type of subscriber services revenue:</w:t>
      </w:r>
    </w:p>
    <w:p>
      <w:pPr>
        <w:spacing w:after="0" w:line="157" w:lineRule="exact"/>
        <w:rPr>
          <w:sz w:val="20"/>
          <w:szCs w:val="20"/>
          <w:color w:val="auto"/>
        </w:rPr>
      </w:pPr>
    </w:p>
    <w:p>
      <w:pPr>
        <w:jc w:val="center"/>
        <w:ind w:left="9000"/>
        <w:spacing w:after="0"/>
        <w:rPr>
          <w:sz w:val="20"/>
          <w:szCs w:val="20"/>
          <w:color w:val="auto"/>
        </w:rPr>
      </w:pPr>
      <w:r>
        <w:rPr>
          <w:rFonts w:ascii="Times New Roman" w:cs="Times New Roman" w:eastAsia="Times New Roman" w:hAnsi="Times New Roman"/>
          <w:sz w:val="17"/>
          <w:szCs w:val="17"/>
          <w:color w:val="auto"/>
        </w:rPr>
        <w:t>Three Months Ended March</w:t>
      </w:r>
    </w:p>
    <w:p>
      <w:pPr>
        <w:spacing w:after="0" w:line="7" w:lineRule="exact"/>
        <w:rPr>
          <w:sz w:val="20"/>
          <w:szCs w:val="20"/>
          <w:color w:val="auto"/>
        </w:rPr>
      </w:pPr>
    </w:p>
    <w:p>
      <w:pPr>
        <w:jc w:val="center"/>
        <w:ind w:left="9000"/>
        <w:spacing w:after="0"/>
        <w:rPr>
          <w:sz w:val="20"/>
          <w:szCs w:val="20"/>
          <w:color w:val="auto"/>
        </w:rPr>
      </w:pPr>
      <w:r>
        <w:rPr>
          <w:rFonts w:ascii="Times New Roman" w:cs="Times New Roman" w:eastAsia="Times New Roman" w:hAnsi="Times New Roman"/>
          <w:sz w:val="17"/>
          <w:szCs w:val="17"/>
          <w:color w:val="auto"/>
        </w:rPr>
        <w:t>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Average number of subscribers for the period:</w:t>
            </w: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2025</w:t>
            </w:r>
          </w:p>
        </w:tc>
        <w:tc>
          <w:tcPr>
            <w:tcW w:w="0" w:type="dxa"/>
            <w:vAlign w:val="bottom"/>
          </w:tcPr>
          <w:p>
            <w:pPr>
              <w:spacing w:after="0"/>
              <w:rPr>
                <w:sz w:val="1"/>
                <w:szCs w:val="1"/>
                <w:color w:val="auto"/>
              </w:rPr>
            </w:pPr>
          </w:p>
        </w:tc>
      </w:tr>
      <w:tr>
        <w:trPr>
          <w:trHeight w:val="202"/>
        </w:trPr>
        <w:tc>
          <w:tcPr>
            <w:tcW w:w="9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Commercial IoT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565,844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523,349</w:t>
            </w:r>
          </w:p>
        </w:tc>
        <w:tc>
          <w:tcPr>
            <w:tcW w:w="0" w:type="dxa"/>
            <w:vAlign w:val="bottom"/>
          </w:tcPr>
          <w:p>
            <w:pPr>
              <w:spacing w:after="0"/>
              <w:rPr>
                <w:sz w:val="1"/>
                <w:szCs w:val="1"/>
                <w:color w:val="auto"/>
              </w:rPr>
            </w:pPr>
          </w:p>
        </w:tc>
      </w:tr>
      <w:tr>
        <w:trPr>
          <w:trHeight w:val="222"/>
        </w:trPr>
        <w:tc>
          <w:tcPr>
            <w:tcW w:w="9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SPOT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211,115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229,512</w:t>
            </w:r>
          </w:p>
        </w:tc>
        <w:tc>
          <w:tcPr>
            <w:tcW w:w="0" w:type="dxa"/>
            <w:vAlign w:val="bottom"/>
          </w:tcPr>
          <w:p>
            <w:pPr>
              <w:spacing w:after="0"/>
              <w:rPr>
                <w:sz w:val="1"/>
                <w:szCs w:val="1"/>
                <w:color w:val="auto"/>
              </w:rPr>
            </w:pPr>
          </w:p>
        </w:tc>
      </w:tr>
      <w:tr>
        <w:trPr>
          <w:trHeight w:val="222"/>
        </w:trPr>
        <w:tc>
          <w:tcPr>
            <w:tcW w:w="9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Duplex</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23,189</w:t>
            </w:r>
          </w:p>
        </w:tc>
        <w:tc>
          <w:tcPr>
            <w:tcW w:w="0" w:type="dxa"/>
            <w:vAlign w:val="bottom"/>
          </w:tcPr>
          <w:p>
            <w:pPr>
              <w:spacing w:after="0"/>
              <w:rPr>
                <w:sz w:val="1"/>
                <w:szCs w:val="1"/>
                <w:color w:val="auto"/>
              </w:rPr>
            </w:pPr>
          </w:p>
        </w:tc>
      </w:tr>
      <w:tr>
        <w:trPr>
          <w:trHeight w:val="222"/>
        </w:trPr>
        <w:tc>
          <w:tcPr>
            <w:tcW w:w="9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240"/>
        </w:trPr>
        <w:tc>
          <w:tcPr>
            <w:tcW w:w="9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793,949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776,299</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ARPU (monthly):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Commercial IoT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0" w:type="dxa"/>
            <w:vAlign w:val="bottom"/>
          </w:tcPr>
          <w:p>
            <w:pPr>
              <w:spacing w:after="0"/>
              <w:rPr>
                <w:sz w:val="1"/>
                <w:szCs w:val="1"/>
                <w:color w:val="auto"/>
              </w:rPr>
            </w:pPr>
          </w:p>
        </w:tc>
      </w:tr>
      <w:tr>
        <w:trPr>
          <w:trHeight w:val="222"/>
        </w:trPr>
        <w:tc>
          <w:tcPr>
            <w:tcW w:w="9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SPOT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w:t>
            </w:r>
          </w:p>
        </w:tc>
        <w:tc>
          <w:tcPr>
            <w:tcW w:w="0" w:type="dxa"/>
            <w:vAlign w:val="bottom"/>
          </w:tcPr>
          <w:p>
            <w:pPr>
              <w:spacing w:after="0"/>
              <w:rPr>
                <w:sz w:val="1"/>
                <w:szCs w:val="1"/>
                <w:color w:val="auto"/>
              </w:rPr>
            </w:pPr>
          </w:p>
        </w:tc>
      </w:tr>
      <w:tr>
        <w:trPr>
          <w:trHeight w:val="227"/>
        </w:trPr>
        <w:tc>
          <w:tcPr>
            <w:tcW w:w="9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Duplex</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We count "subscribers" based on the number of devices that are subject to agreements that entitle them to use our data or voice communications services rather than the number of persons or entities who own or lease those devices. Other providers of comparable services may count their subscribers differently.</w:t>
      </w:r>
    </w:p>
    <w:p>
      <w:pPr>
        <w:spacing w:after="0" w:line="173"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Wholesale capacity services revenue reflects revenue from providing satellite network access and related services to the Customer under the Updated Services Agreement. Government and other services revenue includes revenue generated primarily from terrestrial spectrum and network solutions as well as governmental and engineering service contracts. None of these service revenue items are subscriber driven. Accordingly, we do not present ARPU for wholesale capacity services revenue or government and other services revenue in the table above.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Service Revenue</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Wholesale capacity services revenue increased 26% for the three months ended March 31, 2026, compared to the same period in 2025. Wholesale capacity services revenue reflects revenue from the Customer under the Updated Services Agreements. The majority of the increase during the first quarter of 2026 related to the timing and amount of service fees associated with the reimbursement of network-related costs.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0" w:name="page31"/>
    <w:bookmarkEnd w:id="30"/>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Commercial IoT service revenue increased 13% for the three months ended March 31, 2026, compared to the same period in 2025. Average subscribers increased 8% for the three months ended March 31, 2026, compared to the same period in 2025, due to higher subscriber activations on a last twelve month basis. We also expect activations to continue to increase in 2026 due to commercial sales of our recently-launched two-way reference design module.</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SPOT service revenue decreased $0.7 million for the three months ended March 31, 2026, compared to the same period in 2025, due to fewer subscribers.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decline in average subscribers is due to continued competitive pressure; however, product engineering efforts are underway to develop a new consumer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SPOT device, which we believe could potentially increase demand for such services from our subscribers.</w:t>
      </w:r>
    </w:p>
    <w:p>
      <w:pPr>
        <w:spacing w:after="0" w:line="23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Duplex service revenue decreased $0.9 million for the three months ended March 31, 2026, compared to the same period in 2025 due to fewer average subscribers resulting from our decision to discontinue the manufacture and sale of Duplex devices to increase our focus on maximizing other sources of revenue.</w:t>
      </w:r>
    </w:p>
    <w:p>
      <w:pPr>
        <w:spacing w:after="0" w:line="173"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Government and other services revenue increased 84% for the three months ended March 31, 2026, compared to the same period in 2025. Government and other services revenue includes fees earned from various governmental service contracts as well as services associated with XCOM RAN sales. We have a network services agreement with Parsons Corporation, a leading technology provider in the national security and global infrastructure markets, to utilize our satellite network for a mission critical service for government applications. Revenue associated with this agreement increased during the third quarter of 2025 as we moved from the proof of concept phase into the first year of services provided under the agreement. The increase in government and other services revenue during the first quarter of 2026 compared to the same period in 2025 was primarily due to revenue associated with the contract with Parsons.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Subscriber Equipment Sales</w:t>
      </w:r>
    </w:p>
    <w:p>
      <w:pPr>
        <w:spacing w:after="0" w:line="251" w:lineRule="exact"/>
        <w:rPr>
          <w:sz w:val="20"/>
          <w:szCs w:val="20"/>
          <w:color w:val="auto"/>
        </w:rPr>
      </w:pPr>
    </w:p>
    <w:p>
      <w:pPr>
        <w:jc w:val="both"/>
        <w:ind w:firstLine="314"/>
        <w:spacing w:after="0" w:line="295" w:lineRule="auto"/>
        <w:rPr>
          <w:sz w:val="20"/>
          <w:szCs w:val="20"/>
          <w:color w:val="auto"/>
        </w:rPr>
      </w:pPr>
      <w:r>
        <w:rPr>
          <w:rFonts w:ascii="Times New Roman" w:cs="Times New Roman" w:eastAsia="Times New Roman" w:hAnsi="Times New Roman"/>
          <w:sz w:val="17"/>
          <w:szCs w:val="17"/>
          <w:color w:val="auto"/>
        </w:rPr>
        <w:t>Revenue generated from subscriber equipment sales increased $0.4 million for the three months ended March 31, 2026, compared to the same period in 2025 due to increase in volume of both SPOT and Commercial IoT device sales.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Operating Expenses</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Total operating expenses decreased to $61.9 million from $68.5 million for the three months ended March 31, 2026, compared to the same period in 2025. This decrease was primarily due to a noncash loss on disposal of assets recorded during the first quarter of 2025 that did not recur in 2026. The main contributors to the variances in operating expenses are explained in detail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Services</w:t>
      </w:r>
    </w:p>
    <w:p>
      <w:pPr>
        <w:spacing w:after="0" w:line="251"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Cost of services increased $4.8 million for the three months ended March 31, 2026 compared to the same period in 2025. We continue to incur higher network operating costs relating to our new and upgraded global ground infrastructure and network-related personnel. In connection with services provided under the Updated Services Agreements, a substantial portion of these costs are reimbursed thereunder and this consideration is recognized as revenue in accordance with the terms of the Updated Services Agreements. For the three months ended March 31, 2026, personnel costs that support the Globalstar System increased $1.7 million. Ground network costs, such as occupancy and maintenance charges increased $1.2 million for the three months ended March 31, 2026 compared to the same period in 2025.</w:t>
      </w:r>
    </w:p>
    <w:p>
      <w:pPr>
        <w:spacing w:after="0" w:line="200"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Cost of services also increased during the first quarter of 2026 compared to the same period in 2025 due to nonrecurring Coronavirus Aid, Relief and Economic Security Act (the "CARES Act") tax credit received in the prior year's first quarter totaling $1.4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Subscriber Equipment Sales</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Cost of subscriber equipment sales increased 21% for the three months ended March 31, 2026 compared to the same period in 2025. This increase is generally consistent with the increase in revenue generated from subscriber equipment sales during the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Marketing, General and Administrative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1" w:name="page32"/>
    <w:bookmarkEnd w:id="31"/>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Marketing, general and administrative expenses increased $3.2 million for the three months ended March 31, 2026, compared to the same period in 2025. This increase was due to higher personnel costs as well as higher legal and professional fees. Personnel costs increased $1.2 million primarily due to additional fringe costs for employee taxes associated with nonrecurring equity vestings during the first quarter of 2026. Legal and professional fees increased $1.4 million during the three months ended March 31, 2026 compared to the same period in 2025 due primarily to transaction costs related to the Mergers, totaling $3.2 million; these costs were partially offset by nonrecurring costs associated with the Globalstar SPE that were incurred during the first quarter of 2025.</w:t>
      </w:r>
    </w:p>
    <w:p>
      <w:pPr>
        <w:spacing w:after="0" w:line="197"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Marketing, general and administrative expenses also increased during the first quarter of 2026 compared to the same period in 2025 due to nonrecurring CARES Act tax credit received in the prior year totaling $0.6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Stock-Based Compensation</w:t>
      </w:r>
    </w:p>
    <w:p>
      <w:pPr>
        <w:spacing w:after="0" w:line="251"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Stock-based compensation expense decreased $4.3 million for the three months ended March 31, 2026, compared to the same period in 2025. The decrease was due primarily to restricted stock units ("RSUs") granted to certain executives in connection with the License Agreement in 2023. During 2023, we granted 3.0 million RSUs, which are earned over a four-year performance period and vest upon Globalstar common stock trading at various price levels throughout the performance period. The total fair value of the RSUs was $39.5 million and is being recognized over the derived service period of 2.6 years; with 17%, 59%, 23% and 1% of the compensation cost for these RSUs being recognized during 2023, 2024, 2025 and 2026, respectively. This award will be fully recognized by the end of the second quarter of 2026.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Reduction in Value and Loss on Disposal of Assets</w:t>
      </w:r>
    </w:p>
    <w:p>
      <w:pPr>
        <w:spacing w:after="0" w:line="251"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During the first quarter of 2025, we recorded a loss on disposal of assets totaling $7.0 million, which is the net book value of one of our second-generation satellites that experienced a power control anomaly which rendered the satellite inoperable. Based on our recent and historical testing, we currently believe that our constellation of other second-generation satellites will generally operate free of similar anomalies during their projected remaining useful lives. Similar activity did not occur at this level during 2026.</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Depreciation, amortization and accretion</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Depreciation, amortization and accretion expense decreased $3.9 million for the three months ended March 31, 2026, compared to the same period in 2025. During the years 2010 through 2013, we launched our second-generation satellites. The estimated useful lives of these satellites is 15 years; accordingly, during the past twelve months, several of these satellites were fully depreciated, resulting in a decrease in depreciation expense during the first quarter of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Other (Expense) Income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 and Expense</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Interest income and expense, net, increased $11.9 million during the three months ended March 31, 2026, compared to the same period in 2025.</w:t>
      </w:r>
    </w:p>
    <w:p>
      <w:pPr>
        <w:spacing w:after="0" w:line="249"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Interest costs associated with the Infrastructure Prepayment increased $14.5 million, representing a non-cash significant financing component in accordance with ASC 606. Capitalized interest costs were higher by $1.9 million due in part to the fluctuation in interest costs eligible for capitalization, which decreased "interest income and expense, net". Other smaller items contributed to the remaining variance for the period.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i w:val="1"/>
          <w:iCs w:val="1"/>
          <w:color w:val="auto"/>
        </w:rPr>
        <w:t>Foreign Currency Gain (Loss)</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Changes in foreign currency gains and losses are driven by the remeasurement of financial statement items, which are denominated in various currencies, at the end of each reporting period.</w:t>
      </w:r>
    </w:p>
    <w:p>
      <w:pPr>
        <w:spacing w:after="0" w:line="173"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We recorded foreign currency losses of $1.6 million during the three months ended March 31, 2026, compared to foreign currency gains of $4.1 million and during the three months ended March 31, 2025. Many of our foreign subsidiaries have USD-denominated intercompany payable balances, which impact the foreign currency gains and losses recorded each reporting period. In these instances, foreign currency gains result from other currencies strengthening relative to the U.S. dollar; inversely, foreign currency losses result from the U.S. dollar strengthening relative to other currencies.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Derivative Gain (Loss) and Other Income (Expense)</w:t>
      </w:r>
    </w:p>
    <w:p>
      <w:pPr>
        <w:spacing w:after="0" w:line="251"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During the first quarter of 2026, derivative gain (loss) and other income (expense) fluctuated by $2.1 million to a loss of $2.6 million 2026 from a loss of $0.4 million for the same period in 2025. Derivative gains and losses primarily include the mark-to-market adjustments associated with the embedded derivative within the 2024 Debt Repayment. The fluctuation in the value of this embedded derivative is due to certain significant inputs used in the fair value measurement, specifically the discount yield and the estimated achievement of project milestones (as amended in April 2026). As the discount yield used in the valuation process increases, the fair value of the embedded derivative decreases. Similarly, as the length of time between the reporting date and the start date of the interest payments decreases, the present value of the projected interest savings increases, resulting in a higher derivative asset value. Also, as the probability of reaching the relevant milestones increases, the fair value of the embedded derivative also increases.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Expense</w:t>
      </w:r>
    </w:p>
    <w:p>
      <w:pPr>
        <w:spacing w:after="0" w:line="251"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Income tax expense decreased $3.0 million during the three months ended March 31, 2026, compared to the same periods in 2025. In both periods, tax expense is being driven by state current tax on forecasted taxable income and the state tax impacts of uncertain tax positions in the United States. The decrease in tax expense is primarily attributable to a lower estimated annual effective tax rate in the current year, which reduces the proportional impact of state current tax expense and uncertain tax position expense relative to the prior year period.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53"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Our principal sources of liquidity include cash on hand, cash flows from operations and proceeds from the 2023 Funding Agreement and Infrastructure Prepayment. We expect these liquidity sources to meet our short-term and long-term liquidity needs for funding our operating costs, capital expenditures, including related to the Extended MSS Network and other growth opportunities, and financing obligations, including scheduled recoupments under the 2023 Funding Agreement and 2024 Debt Repayment as well as dividends on our Series A Preferred Stock. In addition, we have issued warrants to the Customer that are exercisable in accordance with the Updated Services Agreements and to Thermo in connection with its guarantee of the 2023 Funding Agreement. These warrants would become a source of liquidity if exercised.</w:t>
      </w:r>
    </w:p>
    <w:p>
      <w:pPr>
        <w:spacing w:after="0" w:line="200"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As of March 31, 2026 and December 31, 2025, we held cash and cash equivalents of $358.4 million and $447.5 million, respectively. The decrease in cash and cash equivalents during the first quarter of 2026 was due primarily to capital expenditures associated with our commitments under the Updated Services Agreements, including network expansion and upgrades, and the timing of proceeds under the Infrastructure Prepayment and the 2023 Funding Agreement. No funds were received under these agreements during the first quarter of 2026.</w:t>
      </w:r>
    </w:p>
    <w:p>
      <w:pPr>
        <w:spacing w:after="0" w:line="195"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 principal amount of our debt outstanding was $403.8 million at March 31, 2026, compared to $410.0 million at December 31, 2025. This decrease was due to the final scheduled recoupment of $6.3 million under the 2021 Funding Agreement.</w:t>
      </w:r>
    </w:p>
    <w:p>
      <w:pPr>
        <w:spacing w:after="0" w:line="173"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Refer to Note 14: Subsequent Events to our consolidated financial statements for discussion of the Mergers and (i) the related amendment to the 2024 Prepayment Agreement, (ii) related amendments to the warrants issued to the Customer and to Thermo to provide for the automatic cashless exercise of any vested and unexercised warrants immediately prior to the consummation of the Mergers, and (iii) the proposed cancellation of the Series A Preferred Stock in exchange for the liquidation preference upon consummation of the Mergers.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1"/>
        </w:trPr>
        <w:tc>
          <w:tcPr>
            <w:tcW w:w="78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for the three months ended March 31, 2026 and 2025</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44"/>
        </w:trPr>
        <w:tc>
          <w:tcPr>
            <w:tcW w:w="78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following table shows our cash flows from operating, investing and financing activities (in thousands):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40"/>
        </w:trPr>
        <w:tc>
          <w:tcPr>
            <w:tcW w:w="7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833"/>
              <w:spacing w:after="0"/>
              <w:rPr>
                <w:sz w:val="20"/>
                <w:szCs w:val="20"/>
                <w:color w:val="auto"/>
              </w:rPr>
            </w:pPr>
            <w:r>
              <w:rPr>
                <w:rFonts w:ascii="Times New Roman" w:cs="Times New Roman" w:eastAsia="Times New Roman" w:hAnsi="Times New Roman"/>
                <w:sz w:val="17"/>
                <w:szCs w:val="17"/>
                <w:color w:val="auto"/>
              </w:rPr>
              <w:t>Three Months Ended</w:t>
            </w:r>
          </w:p>
        </w:tc>
      </w:tr>
      <w:tr>
        <w:trPr>
          <w:trHeight w:val="163"/>
        </w:trPr>
        <w:tc>
          <w:tcPr>
            <w:tcW w:w="7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60"/>
              <w:spacing w:after="0" w:line="163" w:lineRule="exact"/>
              <w:rPr>
                <w:sz w:val="20"/>
                <w:szCs w:val="20"/>
                <w:color w:val="auto"/>
              </w:rPr>
            </w:pPr>
            <w:r>
              <w:rPr>
                <w:rFonts w:ascii="Times New Roman" w:cs="Times New Roman" w:eastAsia="Times New Roman" w:hAnsi="Times New Roman"/>
                <w:sz w:val="17"/>
                <w:szCs w:val="17"/>
                <w:color w:val="auto"/>
              </w:rPr>
              <w:t>March 31,</w:t>
            </w:r>
          </w:p>
        </w:tc>
        <w:tc>
          <w:tcPr>
            <w:tcW w:w="280" w:type="dxa"/>
            <w:vAlign w:val="bottom"/>
          </w:tcPr>
          <w:p>
            <w:pPr>
              <w:spacing w:after="0"/>
              <w:rPr>
                <w:sz w:val="14"/>
                <w:szCs w:val="14"/>
                <w:color w:val="auto"/>
              </w:rPr>
            </w:pPr>
          </w:p>
        </w:tc>
        <w:tc>
          <w:tcPr>
            <w:tcW w:w="1380" w:type="dxa"/>
            <w:vAlign w:val="bottom"/>
          </w:tcPr>
          <w:p>
            <w:pPr>
              <w:jc w:val="right"/>
              <w:ind w:right="393"/>
              <w:spacing w:after="0" w:line="163" w:lineRule="exact"/>
              <w:rPr>
                <w:sz w:val="20"/>
                <w:szCs w:val="20"/>
                <w:color w:val="auto"/>
              </w:rPr>
            </w:pPr>
            <w:r>
              <w:rPr>
                <w:rFonts w:ascii="Times New Roman" w:cs="Times New Roman" w:eastAsia="Times New Roman" w:hAnsi="Times New Roman"/>
                <w:sz w:val="17"/>
                <w:szCs w:val="17"/>
                <w:color w:val="auto"/>
              </w:rPr>
              <w:t>March 31,</w:t>
            </w:r>
          </w:p>
        </w:tc>
      </w:tr>
      <w:tr>
        <w:trPr>
          <w:trHeight w:val="231"/>
        </w:trPr>
        <w:tc>
          <w:tcPr>
            <w:tcW w:w="78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color w:val="auto"/>
              </w:rPr>
              <w:t>2025</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51,864</w:t>
            </w:r>
          </w:p>
        </w:tc>
      </w:tr>
      <w:tr>
        <w:trPr>
          <w:trHeight w:val="222"/>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(116,425)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(190,582)</w:t>
            </w:r>
          </w:p>
        </w:tc>
      </w:tr>
      <w:tr>
        <w:trPr>
          <w:trHeight w:val="22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(11,406)</w:t>
            </w:r>
          </w:p>
        </w:tc>
      </w:tr>
      <w:tr>
        <w:trPr>
          <w:trHeight w:val="22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w:t>
            </w:r>
          </w:p>
        </w:tc>
      </w:tr>
      <w:tr>
        <w:trPr>
          <w:trHeight w:val="24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(89,023)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(149,753)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Provided by Operating Activities</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Net cash provided by operating activities includes primarily cash received from our customers from the sale of products and services, including the performance of wholesale capacity services as well as related to the purchase of equipment and satellite voice and data services. We use cash in operating activities primarily for network costs, personnel costs, inventory purchases and other general corporate expenditures.</w:t>
      </w:r>
    </w:p>
    <w:p>
      <w:pPr>
        <w:spacing w:after="0" w:line="188"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Net cash provided by operating activities during the three months ended March 31, 2026 was $35.2 million, compared to net cash provided by operating activities of $51.9 million during the same period in 2025. Unfavorable working capital changes, specifically resulting from the timing of cash receipts pursuant to the Updated Services Agreements, contributed to the decrease in cash flows provided by operating activities. During the first quarter of 2026, $7.5 million in accelerated fees were paid to us pursuant to the Updated Services Agreement compared to $22.5 million paid during the first quarter of 2025. Other unfavorable working capital changes were generally offset by higher net income, after adjusting for noncash items.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Used in Investing Activities</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Net cash used in investing activities was $116.4 million for the three months ended March 31, 2026, compared to $190.6 million for the same period in 2025. Net cash used in investing activities during both periods included primarily network upgrades associated with the Updated Services Agreements. The decrease during the first quarter of 2026 was due primarily to the timing of milestone payments made to MDA Space and SpaceX.</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Used in Financing Activities</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Net cash used in financing activities was $8.0 million during the three month period ended March 31, 2026, compared to $11.4 million for the same period in 2025. During both periods, we made payments for the scheduled recoupments pursuant to the terms of the 2021 Funding Agreement and paid cash dividends to holders of the Series A Preferred Stock. The final scheduled recoupment pursuant to the terms of the 2021 Funding Agreement was made in March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Indebtedness and Other Financing Arrangements</w:t>
      </w:r>
    </w:p>
    <w:p>
      <w:pPr>
        <w:spacing w:after="0" w:line="2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At March 31, 2026, the principal amount of our debt totaled $403.8 million, which accrues fees at a weighted average stated rate up to 9%.</w:t>
      </w:r>
    </w:p>
    <w:p>
      <w:pPr>
        <w:spacing w:after="0" w:line="249"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At March 31, 2026, our deferred revenue, net, totaled $891.7 million, of which the majority is expected to be earned over a period in excess of five years as we perform services under the Updated Services Agreements.</w:t>
      </w:r>
    </w:p>
    <w:p>
      <w:pPr>
        <w:spacing w:after="0" w:line="173"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For more information regarding our 2024 Debt Repayment, 2023 Funding Agreement, Infrastructure Prepayment and dividends paid to holders of the Series A Preferred Stock, see Note 6: Long-Term Debt and Other Financing Arrangements and Note 2: Special Purpose Entity to our condensed consolidated financial statements. For more information regarding the amendments to certain of these agreements in connection with the Mergers, refer to Note 14: Subsequent Events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Off-Balance Sheet Transactions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We have no material off-balance sheet transactions.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Pronouncements</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For a discussion of recent accounting guidance and the expected impact that the guidance could have on our condensed consolidated financial statements, see Recently Issued Accounting Pronouncements in Note 1: Basis of Presentation to our condensed consolidated financial statements in Part I, Item 1 of this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There have been no material changes in our Critical Accounting Policies and Estimates from the information provided in the "Critical Accounting Policies and Estimates" section of Part II, Item 7, "Management's Discussion and Analysis of Financial Condition and Results of Operations" in our 2025 Annual Report.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25"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There were no material changes to our market risk during the quarter ended March 31, 2026. For a discussion of our exposure to market risk, refer to our disclosures set forth in Part II, Item 7A, "Quantitative and Qualitative Disclosures About Market Risk" in our 2025 Annual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 Evaluation of disclosure controls and procedures.</w:t>
      </w:r>
    </w:p>
    <w:p>
      <w:pPr>
        <w:spacing w:after="0" w:line="225" w:lineRule="exact"/>
        <w:rPr>
          <w:sz w:val="20"/>
          <w:szCs w:val="20"/>
          <w:color w:val="auto"/>
        </w:rPr>
      </w:pPr>
    </w:p>
    <w:p>
      <w:pPr>
        <w:jc w:val="both"/>
        <w:ind w:firstLine="235"/>
        <w:spacing w:after="0" w:line="265" w:lineRule="auto"/>
        <w:rPr>
          <w:sz w:val="20"/>
          <w:szCs w:val="20"/>
          <w:color w:val="auto"/>
        </w:rPr>
      </w:pPr>
      <w:r>
        <w:rPr>
          <w:rFonts w:ascii="Times New Roman" w:cs="Times New Roman" w:eastAsia="Times New Roman" w:hAnsi="Times New Roman"/>
          <w:sz w:val="17"/>
          <w:szCs w:val="17"/>
          <w:color w:val="auto"/>
        </w:rPr>
        <w:t xml:space="preserve">Our management, with the participation of our Principal Executive Officer and Principal Financial Officer, evaluated the effectiveness of our disclosure controls and procedures pursuant to Rule 13a-15(b) under the Securities Exchange Act of 1934 (as amended, the "Exchange Act") as of March 31, 2026, the end of the period covered by this Report. This evaluation was based on the guidelines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issued in 2013 by the Committee of Sponsoring Organizations of the Treadway Commission (COSO). In designing and evaluating the disclosure controls and procedures, management recognized that any controls and procedures, no matter how well designed and operated, can provide only reasonable assurance of achieving the desired control objectives.</w:t>
      </w:r>
    </w:p>
    <w:p>
      <w:pPr>
        <w:spacing w:after="0" w:line="384"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Based on this evaluation, each of our Principal Executive Officer and Principal Financial Officer concluded that as of March 31, 2026, our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Principal Executive Officer and Principal Financial Officer, as appropriate, to allow timely decisions regarding required disclosure.</w:t>
      </w:r>
    </w:p>
    <w:p>
      <w:pPr>
        <w:spacing w:after="0" w:line="17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We believe that the condensed consolidated financial statements included in this Report fairly present, in all material respects, our condensed consolidated financial position and results of operations for the three months ended 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 Changes in internal control over financial reporting.</w:t>
      </w:r>
    </w:p>
    <w:p>
      <w:pPr>
        <w:spacing w:after="0" w:line="251"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As of March 31, 2026, our management, with the participation of our Principal Executive Officer and Principal Financial Officer, evaluated our internal control over financial reporting. Based on this evaluation, our Principal Executive Officer and Principal Financial Officer concluded that no changes in our internal control over financial reporting occurred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Except as set forth below, there have been no material changes to our risk factors disclosed in Part I, Item 1A, "Risk Factors" of our 2025 Annual Report.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complete the Mergers could negatively affect the Company's stock price and future business and financial results.</w:t>
      </w:r>
    </w:p>
    <w:p>
      <w:pPr>
        <w:spacing w:after="0" w:line="253" w:lineRule="exact"/>
        <w:rPr>
          <w:sz w:val="20"/>
          <w:szCs w:val="20"/>
          <w:color w:val="auto"/>
        </w:rPr>
      </w:pPr>
    </w:p>
    <w:p>
      <w:pPr>
        <w:ind w:firstLine="235"/>
        <w:spacing w:after="0" w:line="295" w:lineRule="auto"/>
        <w:rPr>
          <w:sz w:val="20"/>
          <w:szCs w:val="20"/>
          <w:color w:val="auto"/>
        </w:rPr>
      </w:pPr>
      <w:r>
        <w:rPr>
          <w:rFonts w:ascii="Times New Roman" w:cs="Times New Roman" w:eastAsia="Times New Roman" w:hAnsi="Times New Roman"/>
          <w:sz w:val="17"/>
          <w:szCs w:val="17"/>
          <w:color w:val="auto"/>
        </w:rPr>
        <w:t>If the Mergers are not completed for any reason, the Company's ongoing business may be adversely affected and, without realizing any of the benefits of having completed the Mergers, the Company could be subject to a number of negative consequences, including the following:</w:t>
      </w:r>
    </w:p>
    <w:p>
      <w:pPr>
        <w:spacing w:after="0" w:line="173" w:lineRule="exact"/>
        <w:rPr>
          <w:sz w:val="20"/>
          <w:szCs w:val="20"/>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experience negative reactions from the financial markets, including negative impacts on its stock price;</w:t>
      </w:r>
    </w:p>
    <w:p>
      <w:pPr>
        <w:spacing w:after="0" w:line="3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experience negative reactions from its customers and suppliers;</w:t>
      </w:r>
    </w:p>
    <w:p>
      <w:pPr>
        <w:spacing w:after="0" w:line="1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experience negative reactions from its employees and may not be able to retain key management personnel and other key employees;</w:t>
      </w:r>
    </w:p>
    <w:p>
      <w:pPr>
        <w:spacing w:after="0" w:line="13" w:lineRule="exact"/>
        <w:rPr>
          <w:rFonts w:ascii="Times New Roman" w:cs="Times New Roman" w:eastAsia="Times New Roman" w:hAnsi="Times New Roman"/>
          <w:sz w:val="17"/>
          <w:szCs w:val="17"/>
          <w:color w:val="auto"/>
        </w:rPr>
      </w:pPr>
    </w:p>
    <w:p>
      <w:pPr>
        <w:ind w:left="640" w:hanging="322"/>
        <w:spacing w:after="0" w:line="256" w:lineRule="auto"/>
        <w:tabs>
          <w:tab w:leader="none" w:pos="6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have incurred, and will continue to incur, significant non-recurring costs in connection with the Mergers that it may be unable to recover;</w:t>
      </w:r>
    </w:p>
    <w:p>
      <w:pPr>
        <w:spacing w:after="0" w:line="209"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could owe a termination fee of approximately $420 million to Amazon under certain circumstances;</w:t>
      </w:r>
    </w:p>
    <w:p>
      <w:pPr>
        <w:spacing w:after="0" w:line="13" w:lineRule="exact"/>
        <w:rPr>
          <w:rFonts w:ascii="Times New Roman" w:cs="Times New Roman" w:eastAsia="Times New Roman" w:hAnsi="Times New Roman"/>
          <w:sz w:val="17"/>
          <w:szCs w:val="17"/>
          <w:color w:val="auto"/>
        </w:rPr>
      </w:pPr>
    </w:p>
    <w:p>
      <w:pPr>
        <w:jc w:val="both"/>
        <w:ind w:left="640" w:hanging="322"/>
        <w:spacing w:after="0" w:line="256" w:lineRule="auto"/>
        <w:tabs>
          <w:tab w:leader="none" w:pos="6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covenants in the Merger Agreement restricting the conduct of the Company's business prior to completion of the Mergers (the waiver of which is subject to the consent of Amazon, not to be unreasonably withheld, conditioned or delayed), may prevent the Company from making certain acquisitions or capital expenditures, entering into new material agreements or otherwise pursuing business opportunities during the pendency of the Mergers which could otherwise have been beneficial to the Company; and</w:t>
      </w:r>
    </w:p>
    <w:p>
      <w:pPr>
        <w:spacing w:after="0" w:line="2" w:lineRule="exact"/>
        <w:rPr>
          <w:rFonts w:ascii="Times New Roman" w:cs="Times New Roman" w:eastAsia="Times New Roman" w:hAnsi="Times New Roman"/>
          <w:sz w:val="17"/>
          <w:szCs w:val="17"/>
          <w:color w:val="auto"/>
        </w:rPr>
      </w:pPr>
    </w:p>
    <w:p>
      <w:pPr>
        <w:jc w:val="both"/>
        <w:ind w:left="640" w:hanging="322"/>
        <w:spacing w:after="0" w:line="265" w:lineRule="auto"/>
        <w:tabs>
          <w:tab w:leader="none" w:pos="6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matters relating to the Mergers (including integration planning) will require substantial commitments of time and resources by the Company's management, which could otherwise have been devoted to day-to-day operations and other opportunities that may be beneficial to the Company as an independent company.</w:t>
      </w:r>
    </w:p>
    <w:p>
      <w:pPr>
        <w:spacing w:after="0" w:line="197"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In addition, the Company could be subject to litigation related to any failure to complete the Mergers or related to any enforcement proceeding commenced against the Company to perform its obligations under the Merger Agreement. If the Mergers are not completed, any of these risks may materialize and may adversely affect the Company's businesses, financial condition, financial results and stock price.</w:t>
      </w:r>
    </w:p>
    <w:p>
      <w:pPr>
        <w:spacing w:after="0" w:line="18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Mergers are subject to the expiration of applicable waiting periods and the receipt of approvals, consents or clearances from certain regulatory authorities. Such authorities may impose conditions that could adversely affect the Company prior to completion of the Mergers. Failure to obtain these approvals, consents or clearances could prevent completion of the Mergers.</w:t>
      </w:r>
    </w:p>
    <w:p>
      <w:pPr>
        <w:spacing w:after="0" w:line="187"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Before the Mergers may be completed, the waiting period (and any extensions thereof) applicable to the Mergers under the HSR Act must have expired or terminated and the clearances and approvals applicable to the Mergers under the antitrust, foreign direct investment, and satellite and telecommunications laws of certain jurisdictions must have been received. In deciding whether to grant the required regulatory approval, consent or clearance, the relevant governmental entities may impose or seek to impose requirements, limitations or costs or place restrictions on the conduct of the Company's business following the completion of the Mergers. Under the Merger Agreement, Amazon and Globalstar have agreed to use their reasonable best efforts to obtain such approvals, consents, and clearances, except that Amazon is not required to agree to certain remedies or restrictions to obtain such clearances. There can be no assurance that such conditions, terms, obligations or restrictions, if any, will not result in the delay or abandonment of the Mergers.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completion of the Mergers is subject to various other closing conditions under the Merger Agreement.</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Amazon’s obligation to complete the Mergers is subject to various other closing conditions set forth in the Merger Agreement, including but not limited to:</w:t>
      </w:r>
    </w:p>
    <w:p>
      <w:pPr>
        <w:spacing w:after="0" w:line="32" w:lineRule="exact"/>
        <w:rPr>
          <w:sz w:val="20"/>
          <w:szCs w:val="20"/>
          <w:color w:val="auto"/>
        </w:rPr>
      </w:pPr>
    </w:p>
    <w:p>
      <w:pPr>
        <w:ind w:firstLine="5"/>
        <w:spacing w:after="0" w:line="273" w:lineRule="auto"/>
        <w:tabs>
          <w:tab w:leader="none" w:pos="271"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of stockholder approval (which has been satisfied through the delivery of the Written Consent as described above), (b) the expiration or termination of applicable waiting periods under the HSR Act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6" w:name="page37"/>
    <w:bookmarkEnd w:id="36"/>
    <w:p>
      <w:pPr>
        <w:jc w:val="both"/>
        <w:spacing w:after="0" w:line="263" w:lineRule="auto"/>
        <w:rPr>
          <w:sz w:val="20"/>
          <w:szCs w:val="20"/>
          <w:color w:val="auto"/>
        </w:rPr>
      </w:pPr>
      <w:r>
        <w:rPr>
          <w:rFonts w:ascii="Times New Roman" w:cs="Times New Roman" w:eastAsia="Times New Roman" w:hAnsi="Times New Roman"/>
          <w:sz w:val="17"/>
          <w:szCs w:val="17"/>
          <w:color w:val="auto"/>
        </w:rPr>
        <w:t>and the clearance or approval under certain specified antitrust, foreign investment, and satellite and telecommunications laws, (c) the absence of any law or order that prevents, makes illegal or enjoins the consummation of the Mergers, (d) the lapse of at least twenty (20) calendar days since the Company’s mailing to the Company’s stockholders of an information statement concerning the Mergers, the Written Consent and the other transactions contemplated by the Merger Agreement, (e) the effectiveness under the Securities Act of 1933, as amended, of the registration statement on Form S-4 to be filed by Amazon, in which the Company’s information statement will be included as a prospectus, (f) the absence of a Company Material Adverse Effect or a Parent Material Adverse Effect (each, as defined in the Merger Agreement) and (g) the achievement of the Company of certain HIBLEO-4 satellite milestones. There can be no assurance that such conditions will not result in the delay or abandonment of the Mergers, or the renegotiation of the terms of the Mergers.</w:t>
      </w:r>
    </w:p>
    <w:p>
      <w:pPr>
        <w:spacing w:after="0" w:line="19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Merger Agreement limits the Company's ability to pursue alternatives to the Mergers and may discourage other companies from trying to acquire the Company.</w:t>
      </w:r>
    </w:p>
    <w:p>
      <w:pPr>
        <w:spacing w:after="0" w:line="169"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The Merger Agreement contains provisions that make it more difficult for the Company to sell its business to a party other than Amazon. These provisions include a general prohibition on the Company soliciting any takeover proposal or offer for a competing transaction, and the Merger Agreement does not permit the Company to terminate the Merger Agreement to accept a takeover proposal or offer for a competing transaction. In addition, the Company is required to pay Amazon a termination fee of approximately $420 million if the Merger Agreement is terminated by Amazon in certain circumstances and following such termination, the Company enters into a definitive agreement with respect to an alternative transaction.</w:t>
      </w:r>
    </w:p>
    <w:p>
      <w:pPr>
        <w:spacing w:after="0" w:line="197"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Moreover, in connection with entering into the Merger Agreement, (i) Thermo approved the Mergers by written consent and (ii) Globalstar entered into the Support Agreement with the Supporting Stockholders (as defined in the Merger Agreement), including Thermo, pursuant to which each Supporting Stockholder has agreed to, among other things, vote against (a) any action or agreement that would reasonably be expected to prevent or materially delay the consummation of the Mergers, and (b) any alternative transaction proposal or approval of any other proposal, transaction, agreement or action, made in opposition to or in competition with, or that would reasonably be expected to prevent, materially delay or impede the consummation of, the Merger Agreement or the Mergers.</w:t>
      </w:r>
    </w:p>
    <w:p>
      <w:pPr>
        <w:spacing w:after="0" w:line="197"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These provisions could discourage a potential third-party acquiror or merger partner that might have an interest in acquiring all or a significant portion of the Company or pursuing an alternative transaction from considering or proposing such a transaction, even if such third-party acquiror or merger partner were prepared to pay a consideration with a higher value than the value proposed to be received or realized in the Mergers.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Merger Agreement subjects the Company to restrictions on its business activities.</w:t>
      </w:r>
    </w:p>
    <w:p>
      <w:pPr>
        <w:spacing w:after="0" w:line="253"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Until the Mergers are completed, the Merger Agreement restricts the Company from taking specified actions without the consent of Amazon, and requires the Company to operate in the ordinary course of business consistent with past practice. These restrictions may adversely affect the Company's ability to execute certain of its business strategies, including the ability in certain cases to enter into or amend contracts, acquire or dispose of assets, incur indebtedness or incur capital expenditures, and, as a result, could have an adverse effect on the Company's results of operations, cash flows, and financial position.</w:t>
      </w:r>
    </w:p>
    <w:p>
      <w:pPr>
        <w:spacing w:after="0" w:line="19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Company’s stockholders who elect to receive shares of Amazon common stock, or receive Amazon common stock due to the proration feature in the Merger Agreement, could receive consideration worth less on a per share basis than the Cash Consideration. The Merger Consideration is also subject to a potential downward adjustment.</w:t>
      </w:r>
    </w:p>
    <w:p>
      <w:pPr>
        <w:spacing w:after="0" w:line="187"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Subject to the terms and conditions set forth in the Merger Agreement, Company stockholders will have the right to elect, for each share of our common stock held by them, to receive the Cash Consideration or the Stock Consideration. Changes in the market price of shares of Amazon common stock prior to the closing of the Mergers will affect the value of the Stock Consideration, and the value of the Stock Consideration that Company stockholders will receive upon completion of the Mergers could be less than the value of the Stock Consideration today or on the date on which Company stockholders make their election. Company stockholders will not know or be able to calculate at the time of their election the market value of the Stock Consideration they will receive upon completion of the Mergers. In addition, the Cash Consideration is subject to proration in the event that the number of cash elections exceeds 40% of the aggregate number of shares of Company common stock issued and outstanding immediately prior to the effective time of the First Merger (other than Canceled Shares). Accordingly, Company stockholders electing to receive Cash Consideration may receive shares of Amazon common stock in lieu of cash for a portion of the Merger Consideration payable to such Company stockholder, and the value of the Stock Consideration that Company stockholders will receive may be less than the value of the Cash Consideration.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7" w:name="page38"/>
    <w:bookmarkEnd w:id="37"/>
    <w:p>
      <w:pPr>
        <w:jc w:val="both"/>
        <w:ind w:firstLine="314"/>
        <w:spacing w:after="0" w:line="295" w:lineRule="auto"/>
        <w:rPr>
          <w:sz w:val="20"/>
          <w:szCs w:val="20"/>
          <w:color w:val="auto"/>
        </w:rPr>
      </w:pPr>
      <w:r>
        <w:rPr>
          <w:rFonts w:ascii="Times New Roman" w:cs="Times New Roman" w:eastAsia="Times New Roman" w:hAnsi="Times New Roman"/>
          <w:sz w:val="17"/>
          <w:szCs w:val="17"/>
          <w:color w:val="auto"/>
        </w:rPr>
        <w:t>The Merger Consideration is also subject to a potential downward adjustment of up to $110 million in the event the Company does not achieve certain operational milestones prior to the closing of the Mergers, based on the Company's agreements with the Customer.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Rule 10b5-1 Trading Plans</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During the fiscal quarter ended March 31, 2026, none of our directors or executive officers adopted or terminated any contract, instruction or written plan for the purchase or sale of the Company's securities that was intended to satisfy the affirmative defense conditions of Rule 10b5-1(c) (each, a "10b5-1 Plan")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9"/>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6. Exhibits.</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7"/>
        </w:trPr>
        <w:tc>
          <w:tcPr>
            <w:tcW w:w="48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9320" w:type="dxa"/>
            <w:vAlign w:val="bottom"/>
            <w:gridSpan w:val="11"/>
            <w:vMerge w:val="restart"/>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35"/>
        </w:trPr>
        <w:tc>
          <w:tcPr>
            <w:tcW w:w="480" w:type="dxa"/>
            <w:vAlign w:val="bottom"/>
          </w:tcPr>
          <w:p>
            <w:pPr>
              <w:spacing w:after="0"/>
              <w:rPr>
                <w:sz w:val="20"/>
                <w:szCs w:val="20"/>
                <w:color w:val="auto"/>
              </w:rPr>
            </w:pPr>
          </w:p>
        </w:tc>
        <w:tc>
          <w:tcPr>
            <w:tcW w:w="1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9320" w:type="dxa"/>
            <w:vAlign w:val="bottom"/>
            <w:tcBorders>
              <w:bottom w:val="single" w:sz="8" w:color="auto"/>
            </w:tcBorders>
            <w:gridSpan w:val="11"/>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56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2.1*#</w:t>
            </w:r>
          </w:p>
        </w:tc>
        <w:tc>
          <w:tcPr>
            <w:tcW w:w="9320" w:type="dxa"/>
            <w:vAlign w:val="bottom"/>
            <w:gridSpan w:val="11"/>
          </w:tcPr>
          <w:p>
            <w:pPr>
              <w:spacing w:after="0" w:line="176" w:lineRule="exact"/>
              <w:rPr>
                <w:rFonts w:ascii="Times New Roman" w:cs="Times New Roman" w:eastAsia="Times New Roman" w:hAnsi="Times New Roman"/>
                <w:sz w:val="17"/>
                <w:szCs w:val="17"/>
                <w:color w:val="0000FF"/>
              </w:rPr>
            </w:pPr>
            <w:hyperlink r:id="rId58">
              <w:r>
                <w:rPr>
                  <w:rFonts w:ascii="Times New Roman" w:cs="Times New Roman" w:eastAsia="Times New Roman" w:hAnsi="Times New Roman"/>
                  <w:sz w:val="17"/>
                  <w:szCs w:val="17"/>
                  <w:color w:val="0000FF"/>
                </w:rPr>
                <w:t>Agreement and Plan of Merger, dated as of April 13, 2026, by and among Amazon.com, Inc., Globalstar, Inc., Grapefruit Acquisition</w:t>
              </w:r>
            </w:hyperlink>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300" w:type="dxa"/>
            <w:vAlign w:val="bottom"/>
            <w:tcBorders>
              <w:top w:val="single" w:sz="8" w:color="0000FF"/>
              <w:bottom w:val="single" w:sz="8" w:color="0000FF"/>
            </w:tcBorders>
            <w:gridSpan w:val="10"/>
          </w:tcPr>
          <w:p>
            <w:pPr>
              <w:spacing w:after="0" w:line="150" w:lineRule="exact"/>
              <w:rPr>
                <w:rFonts w:ascii="Times New Roman" w:cs="Times New Roman" w:eastAsia="Times New Roman" w:hAnsi="Times New Roman"/>
                <w:sz w:val="17"/>
                <w:szCs w:val="17"/>
                <w:color w:val="0000FF"/>
              </w:rPr>
            </w:pPr>
            <w:hyperlink r:id="rId58">
              <w:r>
                <w:rPr>
                  <w:rFonts w:ascii="Times New Roman" w:cs="Times New Roman" w:eastAsia="Times New Roman" w:hAnsi="Times New Roman"/>
                  <w:sz w:val="17"/>
                  <w:szCs w:val="17"/>
                  <w:color w:val="0000FF"/>
                </w:rPr>
                <w:t>I, Inc. and Grapefruit Acquisition Sub II, LLC. (incorporated by reference to Exhibit 2.1 to the Company's Form 8-K filed with the 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300" w:type="dxa"/>
            <w:vAlign w:val="bottom"/>
            <w:gridSpan w:val="10"/>
          </w:tcPr>
          <w:p>
            <w:pPr>
              <w:spacing w:after="0" w:line="150" w:lineRule="exact"/>
              <w:rPr>
                <w:rFonts w:ascii="Times New Roman" w:cs="Times New Roman" w:eastAsia="Times New Roman" w:hAnsi="Times New Roman"/>
                <w:sz w:val="17"/>
                <w:szCs w:val="17"/>
                <w:color w:val="0000FF"/>
              </w:rPr>
            </w:pPr>
            <w:hyperlink r:id="rId58">
              <w:r>
                <w:rPr>
                  <w:rFonts w:ascii="Times New Roman" w:cs="Times New Roman" w:eastAsia="Times New Roman" w:hAnsi="Times New Roman"/>
                  <w:sz w:val="17"/>
                  <w:szCs w:val="17"/>
                  <w:color w:val="0000FF"/>
                </w:rPr>
                <w:t>on April 14, 2026)</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4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3.1*</w:t>
            </w:r>
          </w:p>
        </w:tc>
        <w:tc>
          <w:tcPr>
            <w:tcW w:w="9320" w:type="dxa"/>
            <w:vAlign w:val="bottom"/>
            <w:gridSpan w:val="11"/>
          </w:tcPr>
          <w:p>
            <w:pPr>
              <w:spacing w:after="0"/>
              <w:rPr>
                <w:rFonts w:ascii="Times New Roman" w:cs="Times New Roman" w:eastAsia="Times New Roman" w:hAnsi="Times New Roman"/>
                <w:sz w:val="17"/>
                <w:szCs w:val="17"/>
                <w:color w:val="0000FF"/>
              </w:rPr>
            </w:pPr>
            <w:hyperlink r:id="rId59">
              <w:r>
                <w:rPr>
                  <w:rFonts w:ascii="Times New Roman" w:cs="Times New Roman" w:eastAsia="Times New Roman" w:hAnsi="Times New Roman"/>
                  <w:sz w:val="17"/>
                  <w:szCs w:val="17"/>
                  <w:color w:val="0000FF"/>
                </w:rPr>
                <w:t>Composite Certificate of Incorporation of Globalstar, Inc. (incorporated by reference to Exhibit 3.1 to the Company's Quarterly Repo</w:t>
              </w:r>
            </w:hyperlink>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300" w:type="dxa"/>
            <w:vAlign w:val="bottom"/>
            <w:tcBorders>
              <w:top w:val="single" w:sz="8" w:color="0000FF"/>
            </w:tcBorders>
            <w:gridSpan w:val="10"/>
          </w:tcPr>
          <w:p>
            <w:pPr>
              <w:spacing w:after="0" w:line="150" w:lineRule="exact"/>
              <w:rPr>
                <w:rFonts w:ascii="Times New Roman" w:cs="Times New Roman" w:eastAsia="Times New Roman" w:hAnsi="Times New Roman"/>
                <w:sz w:val="17"/>
                <w:szCs w:val="17"/>
                <w:color w:val="0000FF"/>
              </w:rPr>
            </w:pPr>
            <w:hyperlink r:id="rId59">
              <w:r>
                <w:rPr>
                  <w:rFonts w:ascii="Times New Roman" w:cs="Times New Roman" w:eastAsia="Times New Roman" w:hAnsi="Times New Roman"/>
                  <w:sz w:val="17"/>
                  <w:szCs w:val="17"/>
                  <w:color w:val="0000FF"/>
                </w:rPr>
                <w:t>Form 10-Q filed with the SEC on August 7, 2025))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4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3.2*</w:t>
            </w:r>
          </w:p>
        </w:tc>
        <w:tc>
          <w:tcPr>
            <w:tcW w:w="9320" w:type="dxa"/>
            <w:vAlign w:val="bottom"/>
            <w:gridSpan w:val="11"/>
          </w:tcPr>
          <w:p>
            <w:pPr>
              <w:spacing w:after="0"/>
              <w:rPr>
                <w:rFonts w:ascii="Times New Roman" w:cs="Times New Roman" w:eastAsia="Times New Roman" w:hAnsi="Times New Roman"/>
                <w:sz w:val="17"/>
                <w:szCs w:val="17"/>
                <w:color w:val="0000FF"/>
              </w:rPr>
            </w:pPr>
            <w:hyperlink r:id="rId60">
              <w:r>
                <w:rPr>
                  <w:rFonts w:ascii="Times New Roman" w:cs="Times New Roman" w:eastAsia="Times New Roman" w:hAnsi="Times New Roman"/>
                  <w:sz w:val="17"/>
                  <w:szCs w:val="17"/>
                  <w:color w:val="0000FF"/>
                </w:rPr>
                <w:t>Sixth Amended and Restated Bylaws of Globalstar, Inc. (incorporated by reference to Exhibit 3.2 to the Company’s Quarterly Report</w:t>
              </w:r>
            </w:hyperlink>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300" w:type="dxa"/>
            <w:vAlign w:val="bottom"/>
            <w:tcBorders>
              <w:top w:val="single" w:sz="8" w:color="0000FF"/>
            </w:tcBorders>
            <w:gridSpan w:val="10"/>
          </w:tcPr>
          <w:p>
            <w:pPr>
              <w:spacing w:after="0" w:line="150" w:lineRule="exact"/>
              <w:rPr>
                <w:rFonts w:ascii="Times New Roman" w:cs="Times New Roman" w:eastAsia="Times New Roman" w:hAnsi="Times New Roman"/>
                <w:sz w:val="17"/>
                <w:szCs w:val="17"/>
                <w:color w:val="0000FF"/>
              </w:rPr>
            </w:pPr>
            <w:hyperlink r:id="rId60">
              <w:r>
                <w:rPr>
                  <w:rFonts w:ascii="Times New Roman" w:cs="Times New Roman" w:eastAsia="Times New Roman" w:hAnsi="Times New Roman"/>
                  <w:sz w:val="17"/>
                  <w:szCs w:val="17"/>
                  <w:color w:val="0000FF"/>
                </w:rPr>
                <w:t>Form 10-Q filed with the SEC on May 8, 2025)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80" w:type="dxa"/>
            <w:vAlign w:val="bottom"/>
          </w:tcPr>
          <w:p>
            <w:pPr>
              <w:spacing w:after="0"/>
              <w:rPr>
                <w:sz w:val="18"/>
                <w:szCs w:val="18"/>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9320" w:type="dxa"/>
            <w:vAlign w:val="bottom"/>
            <w:gridSpan w:val="11"/>
          </w:tcPr>
          <w:p>
            <w:pPr>
              <w:spacing w:after="0"/>
              <w:rPr>
                <w:rFonts w:ascii="Times New Roman" w:cs="Times New Roman" w:eastAsia="Times New Roman" w:hAnsi="Times New Roman"/>
                <w:sz w:val="17"/>
                <w:szCs w:val="17"/>
                <w:color w:val="0000FF"/>
              </w:rPr>
            </w:pPr>
            <w:hyperlink r:id="rId61">
              <w:r>
                <w:rPr>
                  <w:rFonts w:ascii="Times New Roman" w:cs="Times New Roman" w:eastAsia="Times New Roman" w:hAnsi="Times New Roman"/>
                  <w:sz w:val="17"/>
                  <w:szCs w:val="17"/>
                  <w:color w:val="0000FF"/>
                </w:rPr>
                <w:t>Amendment to 2024 Prepayment Agreement, dated as of April 13, 2026, by and between Globalstar, Inc. and Customer (incorporated</w:t>
              </w:r>
            </w:hyperlink>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300" w:type="dxa"/>
            <w:vAlign w:val="bottom"/>
            <w:tcBorders>
              <w:top w:val="single" w:sz="8" w:color="0000FF"/>
            </w:tcBorders>
            <w:gridSpan w:val="10"/>
          </w:tcPr>
          <w:p>
            <w:pPr>
              <w:spacing w:after="0" w:line="150" w:lineRule="exact"/>
              <w:rPr>
                <w:rFonts w:ascii="Times New Roman" w:cs="Times New Roman" w:eastAsia="Times New Roman" w:hAnsi="Times New Roman"/>
                <w:sz w:val="17"/>
                <w:szCs w:val="17"/>
                <w:color w:val="0000FF"/>
              </w:rPr>
            </w:pPr>
            <w:hyperlink r:id="rId61">
              <w:r>
                <w:rPr>
                  <w:rFonts w:ascii="Times New Roman" w:cs="Times New Roman" w:eastAsia="Times New Roman" w:hAnsi="Times New Roman"/>
                  <w:sz w:val="17"/>
                  <w:szCs w:val="17"/>
                  <w:color w:val="0000FF"/>
                </w:rPr>
                <w:t>reference to Exhibit 10.1 to the Company's Form 8-K filed with the SEC on April 14, 2026)</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80" w:type="dxa"/>
            <w:vAlign w:val="bottom"/>
          </w:tcPr>
          <w:p>
            <w:pPr>
              <w:spacing w:after="0"/>
              <w:rPr>
                <w:sz w:val="18"/>
                <w:szCs w:val="18"/>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9320" w:type="dxa"/>
            <w:vAlign w:val="bottom"/>
            <w:gridSpan w:val="11"/>
          </w:tcPr>
          <w:p>
            <w:pPr>
              <w:spacing w:after="0"/>
              <w:rPr>
                <w:rFonts w:ascii="Times New Roman" w:cs="Times New Roman" w:eastAsia="Times New Roman" w:hAnsi="Times New Roman"/>
                <w:sz w:val="17"/>
                <w:szCs w:val="17"/>
                <w:color w:val="0000FF"/>
              </w:rPr>
            </w:pPr>
            <w:hyperlink r:id="rId62">
              <w:r>
                <w:rPr>
                  <w:rFonts w:ascii="Times New Roman" w:cs="Times New Roman" w:eastAsia="Times New Roman" w:hAnsi="Times New Roman"/>
                  <w:sz w:val="17"/>
                  <w:szCs w:val="17"/>
                  <w:color w:val="0000FF"/>
                </w:rPr>
                <w:t>Amendment No. 2 to Statement of Work, dated as of April 13, 2026, by and between Globalstar, Inc. and Customer Parent (incorpora</w:t>
              </w:r>
            </w:hyperlink>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300" w:type="dxa"/>
            <w:vAlign w:val="bottom"/>
            <w:tcBorders>
              <w:top w:val="single" w:sz="8" w:color="0000FF"/>
            </w:tcBorders>
            <w:gridSpan w:val="10"/>
          </w:tcPr>
          <w:p>
            <w:pPr>
              <w:spacing w:after="0" w:line="150" w:lineRule="exact"/>
              <w:rPr>
                <w:rFonts w:ascii="Times New Roman" w:cs="Times New Roman" w:eastAsia="Times New Roman" w:hAnsi="Times New Roman"/>
                <w:sz w:val="17"/>
                <w:szCs w:val="17"/>
                <w:color w:val="0000FF"/>
              </w:rPr>
            </w:pPr>
            <w:hyperlink r:id="rId62">
              <w:r>
                <w:rPr>
                  <w:rFonts w:ascii="Times New Roman" w:cs="Times New Roman" w:eastAsia="Times New Roman" w:hAnsi="Times New Roman"/>
                  <w:sz w:val="17"/>
                  <w:szCs w:val="17"/>
                  <w:color w:val="0000FF"/>
                </w:rPr>
                <w:t>by reference to Exhibit 10.2 to the Company's Form 8-K filed with the SEC on April 14, 2026)</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4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10.3</w:t>
            </w:r>
          </w:p>
        </w:tc>
        <w:tc>
          <w:tcPr>
            <w:tcW w:w="93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Amendment to Common Stock Purchase Warrant, dated as of April 13, 2026, by and between Globalstar, Inc. and Thermo Funding II</w:t>
            </w:r>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0" w:lineRule="exact"/>
              <w:rPr>
                <w:sz w:val="20"/>
                <w:szCs w:val="20"/>
                <w:color w:val="auto"/>
              </w:rPr>
            </w:pPr>
            <w:r>
              <w:rPr>
                <w:rFonts w:ascii="Times New Roman" w:cs="Times New Roman" w:eastAsia="Times New Roman" w:hAnsi="Times New Roman"/>
                <w:sz w:val="17"/>
                <w:szCs w:val="17"/>
                <w:color w:val="0000FF"/>
                <w:w w:val="99"/>
              </w:rPr>
              <w:t>LLC</w:t>
            </w:r>
          </w:p>
        </w:tc>
        <w:tc>
          <w:tcPr>
            <w:tcW w:w="89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80" w:type="dxa"/>
            <w:vAlign w:val="bottom"/>
          </w:tcPr>
          <w:p>
            <w:pPr>
              <w:spacing w:after="0"/>
              <w:rPr>
                <w:sz w:val="18"/>
                <w:szCs w:val="18"/>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91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Amendment to Guaranty, dated as of April 13, 2026 by and among Thermo Funding II, LLC, Globalstar, Inc. and Customer Parent</w:t>
            </w:r>
          </w:p>
        </w:tc>
        <w:tc>
          <w:tcPr>
            <w:tcW w:w="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31.1</w:t>
            </w:r>
          </w:p>
        </w:tc>
        <w:tc>
          <w:tcPr>
            <w:tcW w:w="41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Section 302 Certification of the Principal Executive Officer</w:t>
            </w:r>
          </w:p>
        </w:tc>
        <w:tc>
          <w:tcPr>
            <w:tcW w:w="5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31.2</w:t>
            </w:r>
          </w:p>
        </w:tc>
        <w:tc>
          <w:tcPr>
            <w:tcW w:w="41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Section 302 Certification of the Principal Financial Officer</w:t>
            </w:r>
          </w:p>
        </w:tc>
        <w:tc>
          <w:tcPr>
            <w:tcW w:w="5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32.1</w:t>
            </w:r>
          </w:p>
        </w:tc>
        <w:tc>
          <w:tcPr>
            <w:tcW w:w="41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Section 906 Certification of the Principal Executive Officer</w:t>
            </w:r>
          </w:p>
        </w:tc>
        <w:tc>
          <w:tcPr>
            <w:tcW w:w="5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32.2</w:t>
            </w:r>
          </w:p>
        </w:tc>
        <w:tc>
          <w:tcPr>
            <w:tcW w:w="41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Section 906 Certification of the Principal Financial Officer</w:t>
            </w:r>
          </w:p>
        </w:tc>
        <w:tc>
          <w:tcPr>
            <w:tcW w:w="5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40" w:type="dxa"/>
            <w:vAlign w:val="bottom"/>
            <w:gridSpan w:val="2"/>
          </w:tcPr>
          <w:p>
            <w:pPr>
              <w:ind w:left="500"/>
              <w:spacing w:after="0" w:line="189" w:lineRule="exact"/>
              <w:rPr>
                <w:sz w:val="20"/>
                <w:szCs w:val="20"/>
                <w:color w:val="auto"/>
              </w:rPr>
            </w:pPr>
            <w:r>
              <w:rPr>
                <w:rFonts w:ascii="Times New Roman" w:cs="Times New Roman" w:eastAsia="Times New Roman" w:hAnsi="Times New Roman"/>
                <w:sz w:val="17"/>
                <w:szCs w:val="17"/>
                <w:color w:val="auto"/>
              </w:rPr>
              <w:t>101</w:t>
            </w:r>
          </w:p>
        </w:tc>
        <w:tc>
          <w:tcPr>
            <w:tcW w:w="9320" w:type="dxa"/>
            <w:vAlign w:val="bottom"/>
            <w:gridSpan w:val="11"/>
          </w:tcPr>
          <w:p>
            <w:pPr>
              <w:spacing w:after="0" w:line="189" w:lineRule="exact"/>
              <w:rPr>
                <w:sz w:val="20"/>
                <w:szCs w:val="20"/>
                <w:color w:val="auto"/>
              </w:rPr>
            </w:pPr>
            <w:r>
              <w:rPr>
                <w:rFonts w:ascii="Times New Roman" w:cs="Times New Roman" w:eastAsia="Times New Roman" w:hAnsi="Times New Roman"/>
                <w:sz w:val="17"/>
                <w:szCs w:val="17"/>
                <w:color w:val="auto"/>
              </w:rPr>
              <w:t>The following financial statements from the Company’s Quarterly Report on Form 10-Q for the quarter ended March 31, 2026, forma</w:t>
            </w:r>
          </w:p>
        </w:tc>
        <w:tc>
          <w:tcPr>
            <w:tcW w:w="0" w:type="dxa"/>
            <w:vAlign w:val="bottom"/>
          </w:tcPr>
          <w:p>
            <w:pPr>
              <w:spacing w:after="0"/>
              <w:rPr>
                <w:sz w:val="1"/>
                <w:szCs w:val="1"/>
                <w:color w:val="auto"/>
              </w:rPr>
            </w:pPr>
          </w:p>
        </w:tc>
      </w:tr>
      <w:tr>
        <w:trPr>
          <w:trHeight w:val="170"/>
        </w:trPr>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320" w:type="dxa"/>
            <w:vAlign w:val="bottom"/>
            <w:gridSpan w:val="11"/>
          </w:tcPr>
          <w:p>
            <w:pPr>
              <w:spacing w:after="0" w:line="170" w:lineRule="exact"/>
              <w:rPr>
                <w:sz w:val="20"/>
                <w:szCs w:val="20"/>
                <w:color w:val="auto"/>
              </w:rPr>
            </w:pPr>
            <w:r>
              <w:rPr>
                <w:rFonts w:ascii="Times New Roman" w:cs="Times New Roman" w:eastAsia="Times New Roman" w:hAnsi="Times New Roman"/>
                <w:sz w:val="17"/>
                <w:szCs w:val="17"/>
                <w:color w:val="auto"/>
              </w:rPr>
              <w:t>in Inline XBRL: (i) Consolidated Statements of Cash Flows, (ii) Consolidated Statements of Operations, (iii) Consolidated Statement</w:t>
            </w:r>
          </w:p>
        </w:tc>
        <w:tc>
          <w:tcPr>
            <w:tcW w:w="0" w:type="dxa"/>
            <w:vAlign w:val="bottom"/>
          </w:tcPr>
          <w:p>
            <w:pPr>
              <w:spacing w:after="0"/>
              <w:rPr>
                <w:sz w:val="1"/>
                <w:szCs w:val="1"/>
                <w:color w:val="auto"/>
              </w:rPr>
            </w:pPr>
          </w:p>
        </w:tc>
      </w:tr>
      <w:tr>
        <w:trPr>
          <w:trHeight w:val="178"/>
        </w:trPr>
        <w:tc>
          <w:tcPr>
            <w:tcW w:w="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320" w:type="dxa"/>
            <w:vAlign w:val="bottom"/>
            <w:gridSpan w:val="11"/>
          </w:tcPr>
          <w:p>
            <w:pPr>
              <w:spacing w:after="0" w:line="178" w:lineRule="exact"/>
              <w:rPr>
                <w:sz w:val="20"/>
                <w:szCs w:val="20"/>
                <w:color w:val="auto"/>
              </w:rPr>
            </w:pPr>
            <w:r>
              <w:rPr>
                <w:rFonts w:ascii="Times New Roman" w:cs="Times New Roman" w:eastAsia="Times New Roman" w:hAnsi="Times New Roman"/>
                <w:sz w:val="17"/>
                <w:szCs w:val="17"/>
                <w:color w:val="auto"/>
              </w:rPr>
              <w:t>Comprehensive Income, (iv) Consolidated Balance Sheets, and (v) Notes to Consolidated Financial Statements, tagged as blocks of t</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3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and including detailed tags.</w:t>
            </w:r>
          </w:p>
        </w:tc>
        <w:tc>
          <w:tcPr>
            <w:tcW w:w="0" w:type="dxa"/>
            <w:vAlign w:val="bottom"/>
          </w:tcPr>
          <w:p>
            <w:pPr>
              <w:spacing w:after="0"/>
              <w:rPr>
                <w:sz w:val="1"/>
                <w:szCs w:val="1"/>
                <w:color w:val="auto"/>
              </w:rPr>
            </w:pPr>
          </w:p>
        </w:tc>
      </w:tr>
      <w:tr>
        <w:trPr>
          <w:trHeight w:val="227"/>
        </w:trPr>
        <w:tc>
          <w:tcPr>
            <w:tcW w:w="20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104</w:t>
            </w:r>
          </w:p>
        </w:tc>
        <w:tc>
          <w:tcPr>
            <w:tcW w:w="93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in Inline XBRL and contained in Exhibit 101)</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 Incorporated by reference.</w:t>
      </w:r>
    </w:p>
    <w:p>
      <w:pPr>
        <w:spacing w:after="0" w:line="32" w:lineRule="exact"/>
        <w:rPr>
          <w:sz w:val="20"/>
          <w:szCs w:val="20"/>
          <w:color w:val="auto"/>
        </w:rPr>
      </w:pPr>
    </w:p>
    <w:p>
      <w:pPr>
        <w:ind w:left="2040" w:hanging="114"/>
        <w:spacing w:after="0" w:line="241" w:lineRule="auto"/>
        <w:tabs>
          <w:tab w:leader="none" w:pos="20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schedules and exhibits to this Exhibit have been omitted in accordance with Regulation S-K Item 601(a)(5) and Item 601(b)(2). Company agrees to furnish supplementally a copy of such schedules and exhibits, or any section thereof, to the SEC upon its request.</w:t>
      </w:r>
    </w:p>
    <w:p>
      <w:pPr>
        <w:spacing w:after="0" w:line="7" w:lineRule="exact"/>
        <w:rPr>
          <w:rFonts w:ascii="Times New Roman" w:cs="Times New Roman" w:eastAsia="Times New Roman" w:hAnsi="Times New Roman"/>
          <w:sz w:val="17"/>
          <w:szCs w:val="17"/>
          <w:color w:val="auto"/>
        </w:rPr>
      </w:pPr>
    </w:p>
    <w:p>
      <w:pPr>
        <w:ind w:left="2040" w:hanging="201"/>
        <w:spacing w:after="0"/>
        <w:tabs>
          <w:tab w:leader="none" w:pos="20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the exhibit have been omitted pursuant to Item 601(b)(10) of Regulation S-K.</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864" w:right="2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5" w:lineRule="exact"/>
        <w:rPr>
          <w:sz w:val="20"/>
          <w:szCs w:val="20"/>
          <w:color w:val="auto"/>
        </w:rPr>
      </w:pPr>
    </w:p>
    <w:p>
      <w:pPr>
        <w:ind w:right="140" w:firstLine="235"/>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77" w:lineRule="exact"/>
        <w:rPr>
          <w:sz w:val="20"/>
          <w:szCs w:val="20"/>
          <w:color w:val="auto"/>
        </w:rPr>
      </w:pPr>
    </w:p>
    <w:tbl>
      <w:tblPr>
        <w:tblLayout w:type="fixed"/>
        <w:tblInd w:w="280" w:type="dxa"/>
        <w:tblCellMar>
          <w:top w:w="0" w:type="dxa"/>
          <w:left w:w="0" w:type="dxa"/>
          <w:bottom w:w="0" w:type="dxa"/>
          <w:right w:w="0" w:type="dxa"/>
        </w:tblCellMar>
      </w:tblPr>
      <w:tr>
        <w:trPr>
          <w:trHeight w:val="227"/>
        </w:trPr>
        <w:tc>
          <w:tcPr>
            <w:tcW w:w="2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GLOBALSTAR, INC.</w:t>
            </w:r>
          </w:p>
        </w:tc>
      </w:tr>
      <w:tr>
        <w:trPr>
          <w:trHeight w:val="444"/>
        </w:trPr>
        <w:tc>
          <w:tcPr>
            <w:tcW w:w="2500" w:type="dxa"/>
            <w:vAlign w:val="bottom"/>
          </w:tcPr>
          <w:p>
            <w:pPr>
              <w:spacing w:after="0"/>
              <w:rPr>
                <w:sz w:val="20"/>
                <w:szCs w:val="20"/>
                <w:color w:val="auto"/>
              </w:rPr>
            </w:pPr>
            <w:r>
              <w:rPr>
                <w:rFonts w:ascii="Times New Roman" w:cs="Times New Roman" w:eastAsia="Times New Roman" w:hAnsi="Times New Roman"/>
                <w:sz w:val="17"/>
                <w:szCs w:val="17"/>
                <w:color w:val="auto"/>
              </w:rPr>
              <w:t>Date: May 7, 2026</w:t>
            </w:r>
          </w:p>
        </w:tc>
        <w:tc>
          <w:tcPr>
            <w:tcW w:w="844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rPr>
              <w:t>By:   /s/ Dr. Paul E. Jacobs</w:t>
            </w:r>
          </w:p>
        </w:tc>
      </w:tr>
      <w:tr>
        <w:trPr>
          <w:trHeight w:val="208"/>
        </w:trPr>
        <w:tc>
          <w:tcPr>
            <w:tcW w:w="2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Dr. Paul E. Jacobs</w:t>
            </w:r>
          </w:p>
        </w:tc>
      </w:tr>
      <w:tr>
        <w:trPr>
          <w:trHeight w:val="229"/>
        </w:trPr>
        <w:tc>
          <w:tcPr>
            <w:tcW w:w="2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Executive Officer (Principal Executive Officer)</w:t>
            </w:r>
          </w:p>
        </w:tc>
      </w:tr>
      <w:tr>
        <w:trPr>
          <w:trHeight w:val="471"/>
        </w:trPr>
        <w:tc>
          <w:tcPr>
            <w:tcW w:w="2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Rebecca S. Clary</w:t>
            </w:r>
          </w:p>
        </w:tc>
      </w:tr>
      <w:tr>
        <w:trPr>
          <w:trHeight w:val="208"/>
        </w:trPr>
        <w:tc>
          <w:tcPr>
            <w:tcW w:w="2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Rebecca S. Clary</w:t>
            </w:r>
          </w:p>
        </w:tc>
      </w:tr>
      <w:tr>
        <w:trPr>
          <w:trHeight w:val="229"/>
        </w:trPr>
        <w:tc>
          <w:tcPr>
            <w:tcW w:w="2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1220"/>
          </w:cols>
          <w:pgMar w:left="320" w:top="864" w:right="35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AMENDMENT TO COMMON STOCK PURCHASE WARRANT</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This Amendment (the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to the Common Stock Purchase Warrant, dated as of December 7, 2023 (the “</w:t>
      </w:r>
      <w:r>
        <w:rPr>
          <w:rFonts w:ascii="Times New Roman" w:cs="Times New Roman" w:eastAsia="Times New Roman" w:hAnsi="Times New Roman"/>
          <w:sz w:val="21"/>
          <w:szCs w:val="21"/>
          <w:b w:val="1"/>
          <w:bCs w:val="1"/>
          <w:color w:val="auto"/>
        </w:rPr>
        <w:t>Warrant</w:t>
      </w:r>
      <w:r>
        <w:rPr>
          <w:rFonts w:ascii="Times New Roman" w:cs="Times New Roman" w:eastAsia="Times New Roman" w:hAnsi="Times New Roman"/>
          <w:sz w:val="21"/>
          <w:szCs w:val="21"/>
          <w:color w:val="auto"/>
        </w:rPr>
        <w:t>”), by and between Globalstar, Inc.,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Thermo Funding II, LLC, a Colorado limited liability company (the “</w:t>
      </w:r>
      <w:r>
        <w:rPr>
          <w:rFonts w:ascii="Times New Roman" w:cs="Times New Roman" w:eastAsia="Times New Roman" w:hAnsi="Times New Roman"/>
          <w:sz w:val="21"/>
          <w:szCs w:val="21"/>
          <w:b w:val="1"/>
          <w:bCs w:val="1"/>
          <w:color w:val="auto"/>
        </w:rPr>
        <w:t>Holder</w:t>
      </w:r>
      <w:r>
        <w:rPr>
          <w:rFonts w:ascii="Times New Roman" w:cs="Times New Roman" w:eastAsia="Times New Roman" w:hAnsi="Times New Roman"/>
          <w:sz w:val="21"/>
          <w:szCs w:val="21"/>
          <w:color w:val="auto"/>
        </w:rPr>
        <w:t>”), is made as of April 13, 2026.</w:t>
      </w:r>
    </w:p>
    <w:p>
      <w:pPr>
        <w:spacing w:after="0" w:line="18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 xml:space="preserve">WHEREAS, the Company and the Holder are parties to the Warrant,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pursuant to which the Holder has the right to purchase, at an exercise price of $30.00 per share (the “</w:t>
      </w:r>
      <w:r>
        <w:rPr>
          <w:rFonts w:ascii="Times New Roman" w:cs="Times New Roman" w:eastAsia="Times New Roman" w:hAnsi="Times New Roman"/>
          <w:sz w:val="21"/>
          <w:szCs w:val="21"/>
          <w:b w:val="1"/>
          <w:bCs w:val="1"/>
          <w:color w:val="auto"/>
        </w:rPr>
        <w:t>Exercise Price</w:t>
      </w:r>
      <w:r>
        <w:rPr>
          <w:rFonts w:ascii="Times New Roman" w:cs="Times New Roman" w:eastAsia="Times New Roman" w:hAnsi="Times New Roman"/>
          <w:sz w:val="21"/>
          <w:szCs w:val="21"/>
          <w:color w:val="auto"/>
        </w:rPr>
        <w:t>”), up to 666,668 shares of common stock of the Company, par value $0.0001 per share (the “</w:t>
      </w:r>
      <w:r>
        <w:rPr>
          <w:rFonts w:ascii="Times New Roman" w:cs="Times New Roman" w:eastAsia="Times New Roman" w:hAnsi="Times New Roman"/>
          <w:sz w:val="21"/>
          <w:szCs w:val="21"/>
          <w:b w:val="1"/>
          <w:bCs w:val="1"/>
          <w:color w:val="auto"/>
        </w:rPr>
        <w:t>Warrant Shares</w:t>
      </w:r>
      <w:r>
        <w:rPr>
          <w:rFonts w:ascii="Times New Roman" w:cs="Times New Roman" w:eastAsia="Times New Roman" w:hAnsi="Times New Roman"/>
          <w:sz w:val="21"/>
          <w:szCs w:val="21"/>
          <w:color w:val="auto"/>
        </w:rPr>
        <w:t>”) (which, as of the date hereof, include 333,334 vested Warrant Shares and 333,334 unvested Warrant Shares), subject to the terms and conditions set forth therein;</w:t>
      </w:r>
    </w:p>
    <w:p>
      <w:pPr>
        <w:spacing w:after="0" w:line="20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WHEREAS, substantially concurrently with the execution of this Amendment, the Company, Amazon.com, Inc., a Delaware corporation (“</w:t>
      </w:r>
      <w:r>
        <w:rPr>
          <w:rFonts w:ascii="Times New Roman" w:cs="Times New Roman" w:eastAsia="Times New Roman" w:hAnsi="Times New Roman"/>
          <w:sz w:val="21"/>
          <w:szCs w:val="21"/>
          <w:b w:val="1"/>
          <w:bCs w:val="1"/>
          <w:color w:val="auto"/>
        </w:rPr>
        <w:t>Parent</w:t>
      </w:r>
      <w:r>
        <w:rPr>
          <w:rFonts w:ascii="Times New Roman" w:cs="Times New Roman" w:eastAsia="Times New Roman" w:hAnsi="Times New Roman"/>
          <w:sz w:val="21"/>
          <w:szCs w:val="21"/>
          <w:color w:val="auto"/>
        </w:rPr>
        <w:t>”), Grapefruit Acquisition Sub I, Inc. (“</w:t>
      </w:r>
      <w:r>
        <w:rPr>
          <w:rFonts w:ascii="Times New Roman" w:cs="Times New Roman" w:eastAsia="Times New Roman" w:hAnsi="Times New Roman"/>
          <w:sz w:val="21"/>
          <w:szCs w:val="21"/>
          <w:b w:val="1"/>
          <w:bCs w:val="1"/>
          <w:color w:val="auto"/>
        </w:rPr>
        <w:t>Acquisition Sub I</w:t>
      </w:r>
      <w:r>
        <w:rPr>
          <w:rFonts w:ascii="Times New Roman" w:cs="Times New Roman" w:eastAsia="Times New Roman" w:hAnsi="Times New Roman"/>
          <w:sz w:val="21"/>
          <w:szCs w:val="21"/>
          <w:color w:val="auto"/>
        </w:rPr>
        <w:t>”) and Grapefruit Acquisition Sub II, LLC (“</w:t>
      </w:r>
      <w:r>
        <w:rPr>
          <w:rFonts w:ascii="Times New Roman" w:cs="Times New Roman" w:eastAsia="Times New Roman" w:hAnsi="Times New Roman"/>
          <w:sz w:val="21"/>
          <w:szCs w:val="21"/>
          <w:b w:val="1"/>
          <w:bCs w:val="1"/>
          <w:color w:val="auto"/>
        </w:rPr>
        <w:t>Acquisition Sub II</w:t>
      </w:r>
      <w:r>
        <w:rPr>
          <w:rFonts w:ascii="Times New Roman" w:cs="Times New Roman" w:eastAsia="Times New Roman" w:hAnsi="Times New Roman"/>
          <w:sz w:val="21"/>
          <w:szCs w:val="21"/>
          <w:color w:val="auto"/>
        </w:rPr>
        <w:t>”) have entered into that certain Agreement and Plan of Merger, dated as of the date hereof (as amended, supplemented or modified from time to time, the “</w:t>
      </w:r>
      <w:r>
        <w:rPr>
          <w:rFonts w:ascii="Times New Roman" w:cs="Times New Roman" w:eastAsia="Times New Roman" w:hAnsi="Times New Roman"/>
          <w:sz w:val="21"/>
          <w:szCs w:val="21"/>
          <w:b w:val="1"/>
          <w:bCs w:val="1"/>
          <w:color w:val="auto"/>
        </w:rPr>
        <w:t>Merger Agreement</w:t>
      </w:r>
      <w:r>
        <w:rPr>
          <w:rFonts w:ascii="Times New Roman" w:cs="Times New Roman" w:eastAsia="Times New Roman" w:hAnsi="Times New Roman"/>
          <w:sz w:val="21"/>
          <w:szCs w:val="21"/>
          <w:color w:val="auto"/>
        </w:rPr>
        <w:t>”), pursuant to which, among other things, (i) Acquisition Sub I shall merge with and into the Company (the “</w:t>
      </w:r>
      <w:r>
        <w:rPr>
          <w:rFonts w:ascii="Times New Roman" w:cs="Times New Roman" w:eastAsia="Times New Roman" w:hAnsi="Times New Roman"/>
          <w:sz w:val="21"/>
          <w:szCs w:val="21"/>
          <w:b w:val="1"/>
          <w:bCs w:val="1"/>
          <w:color w:val="auto"/>
        </w:rPr>
        <w:t>First Merger</w:t>
      </w:r>
      <w:r>
        <w:rPr>
          <w:rFonts w:ascii="Times New Roman" w:cs="Times New Roman" w:eastAsia="Times New Roman" w:hAnsi="Times New Roman"/>
          <w:sz w:val="21"/>
          <w:szCs w:val="21"/>
          <w:color w:val="auto"/>
        </w:rPr>
        <w:t>”), with the Company surviving the First Merger as a direct wholly-owned subsidiary of Parent (the “Surviving Corporation”), and (ii) immediately following the First Merger, the Surviving Corporation shall merge with and into Acquisition Sub II (together with the First Merger, the “Mergers”), with Acquisition Sub II surviving the Second Merger as a direct wholly-owned subsidiary of Parent;</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WHEREAS, capitalized terms used but not otherwise defined herein shall have the meaning ascribed to them in the Merger Agreement; and</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WHEREAS, the parties desire to amend the Warrant to require the Holder to exercise the Warrant on the terms herein prior to the First Effective Time.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NOW, THEREFORE, in consideration of the mutual covenants and agreements contained herein, the parties agree as follows:</w:t>
      </w:r>
    </w:p>
    <w:p>
      <w:pPr>
        <w:spacing w:after="0" w:line="229" w:lineRule="exact"/>
        <w:rPr>
          <w:sz w:val="20"/>
          <w:szCs w:val="20"/>
          <w:color w:val="auto"/>
        </w:rPr>
      </w:pPr>
    </w:p>
    <w:p>
      <w:pPr>
        <w:jc w:val="both"/>
        <w:ind w:left="640" w:hanging="322"/>
        <w:spacing w:after="0" w:line="236" w:lineRule="auto"/>
        <w:tabs>
          <w:tab w:leader="none" w:pos="64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of Warrant Shares in Mergers</w:t>
      </w:r>
      <w:r>
        <w:rPr>
          <w:rFonts w:ascii="Times New Roman" w:cs="Times New Roman" w:eastAsia="Times New Roman" w:hAnsi="Times New Roman"/>
          <w:sz w:val="21"/>
          <w:szCs w:val="21"/>
          <w:color w:val="auto"/>
        </w:rPr>
        <w:t>. Notwithstanding any other provision of the Warrant, in connection with the Mergers contemplated by the Merger Agreement, the Holder hereby irrevocably and unconditionally agrees that to the extent the Holder has not exercised its right to purchase all vested Warrant Shares under the Warrant (the “</w:t>
      </w:r>
      <w:r>
        <w:rPr>
          <w:rFonts w:ascii="Times New Roman" w:cs="Times New Roman" w:eastAsia="Times New Roman" w:hAnsi="Times New Roman"/>
          <w:sz w:val="21"/>
          <w:szCs w:val="21"/>
          <w:b w:val="1"/>
          <w:bCs w:val="1"/>
          <w:color w:val="auto"/>
        </w:rPr>
        <w:t>Vested Warrant Shares</w:t>
      </w:r>
      <w:r>
        <w:rPr>
          <w:rFonts w:ascii="Times New Roman" w:cs="Times New Roman" w:eastAsia="Times New Roman" w:hAnsi="Times New Roman"/>
          <w:sz w:val="21"/>
          <w:szCs w:val="21"/>
          <w:color w:val="auto"/>
        </w:rPr>
        <w:t>”) on a cash basis in accordance with Section 2 thereof (such manner of exercise, a “</w:t>
      </w:r>
      <w:r>
        <w:rPr>
          <w:rFonts w:ascii="Times New Roman" w:cs="Times New Roman" w:eastAsia="Times New Roman" w:hAnsi="Times New Roman"/>
          <w:sz w:val="21"/>
          <w:szCs w:val="21"/>
          <w:b w:val="1"/>
          <w:bCs w:val="1"/>
          <w:color w:val="auto"/>
        </w:rPr>
        <w:t>Cash Exercise</w:t>
      </w:r>
      <w:r>
        <w:rPr>
          <w:rFonts w:ascii="Times New Roman" w:cs="Times New Roman" w:eastAsia="Times New Roman" w:hAnsi="Times New Roman"/>
          <w:sz w:val="21"/>
          <w:szCs w:val="21"/>
          <w:color w:val="auto"/>
        </w:rPr>
        <w:t>”) prior to or at the Election Deadline, then, subject only to the satisfaction or waiver of all closing conditions to the consummation of the Mergers as set forth in the Merger Agreement: (a) any Vested Warrant Shares that remain unexercised following the Election Deadline (the “</w:t>
      </w:r>
      <w:r>
        <w:rPr>
          <w:rFonts w:ascii="Times New Roman" w:cs="Times New Roman" w:eastAsia="Times New Roman" w:hAnsi="Times New Roman"/>
          <w:sz w:val="21"/>
          <w:szCs w:val="21"/>
          <w:b w:val="1"/>
          <w:bCs w:val="1"/>
          <w:color w:val="auto"/>
        </w:rPr>
        <w:t>Remaining Vested Warrant Shares</w:t>
      </w:r>
      <w:r>
        <w:rPr>
          <w:rFonts w:ascii="Times New Roman" w:cs="Times New Roman" w:eastAsia="Times New Roman" w:hAnsi="Times New Roman"/>
          <w:sz w:val="21"/>
          <w:szCs w:val="21"/>
          <w:color w:val="auto"/>
        </w:rPr>
        <w:t xml:space="preserve">”) shall automatically and without any further action by the Holder, be exercised on a “net” cashless basis immediately prior to the First Effective Time in accordance with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of this Amendment (such manner of exercise, a “</w:t>
      </w:r>
      <w:r>
        <w:rPr>
          <w:rFonts w:ascii="Times New Roman" w:cs="Times New Roman" w:eastAsia="Times New Roman" w:hAnsi="Times New Roman"/>
          <w:sz w:val="21"/>
          <w:szCs w:val="21"/>
          <w:b w:val="1"/>
          <w:bCs w:val="1"/>
          <w:color w:val="auto"/>
        </w:rPr>
        <w:t>Cashless Exercise</w:t>
      </w:r>
      <w:r>
        <w:rPr>
          <w:rFonts w:ascii="Times New Roman" w:cs="Times New Roman" w:eastAsia="Times New Roman" w:hAnsi="Times New Roman"/>
          <w:sz w:val="21"/>
          <w:szCs w:val="21"/>
          <w:color w:val="auto"/>
        </w:rPr>
        <w:t>”), and (b) immediately following such Cashless Exercise of all Remaining Vested Warrant Shares,</w:t>
      </w:r>
    </w:p>
    <w:p>
      <w:pPr>
        <w:sectPr>
          <w:pgSz w:w="11900" w:h="16838" w:orient="portrait"/>
          <w:cols w:equalWidth="0" w:num="1">
            <w:col w:w="11240"/>
          </w:cols>
          <w:pgMar w:left="320" w:top="119" w:right="339" w:bottom="1440" w:gutter="0" w:footer="0" w:header="0"/>
        </w:sectPr>
      </w:pPr>
    </w:p>
    <w:bookmarkStart w:id="41" w:name="page42"/>
    <w:bookmarkEnd w:id="41"/>
    <w:p>
      <w:pPr>
        <w:ind w:left="322"/>
        <w:spacing w:after="0" w:line="264" w:lineRule="auto"/>
        <w:rPr>
          <w:sz w:val="20"/>
          <w:szCs w:val="20"/>
          <w:color w:val="auto"/>
        </w:rPr>
      </w:pPr>
      <w:r>
        <w:rPr>
          <w:rFonts w:ascii="Times New Roman" w:cs="Times New Roman" w:eastAsia="Times New Roman" w:hAnsi="Times New Roman"/>
          <w:sz w:val="21"/>
          <w:szCs w:val="21"/>
          <w:color w:val="auto"/>
        </w:rPr>
        <w:t>(x) the Warrant shall be canceled and shall be of no further force or effect, and (y) no consideration shall be issued or paid in respect of any unvested Warrant Shares thereunder (the “</w:t>
      </w:r>
      <w:r>
        <w:rPr>
          <w:rFonts w:ascii="Times New Roman" w:cs="Times New Roman" w:eastAsia="Times New Roman" w:hAnsi="Times New Roman"/>
          <w:sz w:val="21"/>
          <w:szCs w:val="21"/>
          <w:b w:val="1"/>
          <w:bCs w:val="1"/>
          <w:color w:val="auto"/>
        </w:rPr>
        <w:t>Unvested Warrant Shares</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jc w:val="both"/>
        <w:ind w:left="322" w:hanging="322"/>
        <w:spacing w:after="0" w:line="238" w:lineRule="auto"/>
        <w:tabs>
          <w:tab w:leader="none" w:pos="322"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Warrant Shares in Mergers</w:t>
      </w:r>
      <w:r>
        <w:rPr>
          <w:rFonts w:ascii="Times New Roman" w:cs="Times New Roman" w:eastAsia="Times New Roman" w:hAnsi="Times New Roman"/>
          <w:sz w:val="21"/>
          <w:szCs w:val="21"/>
          <w:color w:val="auto"/>
        </w:rPr>
        <w:t>. The Holder acknowledges and agrees that upon such Cashless Exercise of all Remaining Vested Warrant Shares, the Holder shall become the beneficial owner of shares of Company Common Stock immediately prior to the First Effective Time, which shares shall be converted into the right to receive the Merger Consideration (as provided in Section 3.1(a)(ii) of the Merger Agreement) pursuant to the terms and conditions set forth in Article III of the Merger Agreement.</w:t>
      </w:r>
    </w:p>
    <w:p>
      <w:pPr>
        <w:spacing w:after="0" w:line="200" w:lineRule="exact"/>
        <w:rPr>
          <w:rFonts w:ascii="Times New Roman" w:cs="Times New Roman" w:eastAsia="Times New Roman" w:hAnsi="Times New Roman"/>
          <w:sz w:val="21"/>
          <w:szCs w:val="21"/>
          <w:color w:val="auto"/>
        </w:rPr>
      </w:pPr>
    </w:p>
    <w:p>
      <w:pPr>
        <w:jc w:val="both"/>
        <w:ind w:left="322" w:hanging="322"/>
        <w:spacing w:after="0" w:line="241" w:lineRule="auto"/>
        <w:tabs>
          <w:tab w:leader="none" w:pos="322"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Cashless Exercise</w:t>
      </w:r>
      <w:r>
        <w:rPr>
          <w:rFonts w:ascii="Times New Roman" w:cs="Times New Roman" w:eastAsia="Times New Roman" w:hAnsi="Times New Roman"/>
          <w:sz w:val="21"/>
          <w:szCs w:val="21"/>
          <w:color w:val="auto"/>
        </w:rPr>
        <w:t xml:space="preserve">. Notwithstanding any other provision of the Warrant, if the Holder has not Cash Exercised all Vested Warrant Shares prior to or at the Election Deadline, then the Holder’s Cashless Exercise of all Remaining Vested Warrant Shares as contemplated by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of this Amendment shall be effected automatically and without any further action by the Holder immediately prior to the First Effective Time, and the number of shares of Company Common Stock that the Holder shall become the beneficial owner of upon such Cashless Exercise shall be determined as follows:</w:t>
      </w:r>
    </w:p>
    <w:p>
      <w:pPr>
        <w:spacing w:after="0" w:line="199" w:lineRule="exact"/>
        <w:rPr>
          <w:sz w:val="20"/>
          <w:szCs w:val="20"/>
          <w:color w:val="auto"/>
        </w:rPr>
      </w:pPr>
    </w:p>
    <w:p>
      <w:pPr>
        <w:ind w:left="942"/>
        <w:spacing w:after="0"/>
        <w:rPr>
          <w:sz w:val="20"/>
          <w:szCs w:val="20"/>
          <w:color w:val="auto"/>
        </w:rPr>
      </w:pPr>
      <w:r>
        <w:rPr>
          <w:rFonts w:ascii="Times New Roman" w:cs="Times New Roman" w:eastAsia="Times New Roman" w:hAnsi="Times New Roman"/>
          <w:sz w:val="21"/>
          <w:szCs w:val="21"/>
          <w:color w:val="auto"/>
        </w:rPr>
        <w:t>(A × (B – C)) / B</w:t>
      </w:r>
    </w:p>
    <w:p>
      <w:pPr>
        <w:spacing w:after="0" w:line="229" w:lineRule="exact"/>
        <w:rPr>
          <w:sz w:val="20"/>
          <w:szCs w:val="20"/>
          <w:color w:val="auto"/>
        </w:rPr>
      </w:pPr>
    </w:p>
    <w:p>
      <w:pPr>
        <w:ind w:left="942"/>
        <w:spacing w:after="0"/>
        <w:rPr>
          <w:sz w:val="20"/>
          <w:szCs w:val="20"/>
          <w:color w:val="auto"/>
        </w:rPr>
      </w:pPr>
      <w:r>
        <w:rPr>
          <w:rFonts w:ascii="Times New Roman" w:cs="Times New Roman" w:eastAsia="Times New Roman" w:hAnsi="Times New Roman"/>
          <w:sz w:val="21"/>
          <w:szCs w:val="21"/>
          <w:color w:val="auto"/>
        </w:rPr>
        <w:t>where:</w:t>
      </w:r>
    </w:p>
    <w:p>
      <w:pPr>
        <w:spacing w:after="0" w:line="229" w:lineRule="exact"/>
        <w:rPr>
          <w:sz w:val="20"/>
          <w:szCs w:val="20"/>
          <w:color w:val="auto"/>
        </w:rPr>
      </w:pPr>
    </w:p>
    <w:p>
      <w:pPr>
        <w:ind w:left="942"/>
        <w:spacing w:after="0"/>
        <w:rPr>
          <w:sz w:val="20"/>
          <w:szCs w:val="20"/>
          <w:color w:val="auto"/>
        </w:rPr>
      </w:pPr>
      <w:r>
        <w:rPr>
          <w:rFonts w:ascii="Times New Roman" w:cs="Times New Roman" w:eastAsia="Times New Roman" w:hAnsi="Times New Roman"/>
          <w:sz w:val="21"/>
          <w:szCs w:val="21"/>
          <w:color w:val="auto"/>
        </w:rPr>
        <w:t>A = the number of Remaining Vested Warrant Shares;</w:t>
      </w:r>
    </w:p>
    <w:p>
      <w:pPr>
        <w:spacing w:after="0" w:line="229" w:lineRule="exact"/>
        <w:rPr>
          <w:sz w:val="20"/>
          <w:szCs w:val="20"/>
          <w:color w:val="auto"/>
        </w:rPr>
      </w:pPr>
    </w:p>
    <w:p>
      <w:pPr>
        <w:jc w:val="both"/>
        <w:ind w:left="942"/>
        <w:spacing w:after="0" w:line="239" w:lineRule="auto"/>
        <w:rPr>
          <w:sz w:val="20"/>
          <w:szCs w:val="20"/>
          <w:color w:val="auto"/>
        </w:rPr>
      </w:pPr>
      <w:r>
        <w:rPr>
          <w:rFonts w:ascii="Times New Roman" w:cs="Times New Roman" w:eastAsia="Times New Roman" w:hAnsi="Times New Roman"/>
          <w:sz w:val="21"/>
          <w:szCs w:val="21"/>
          <w:color w:val="auto"/>
        </w:rPr>
        <w:t>B = the volume weighted average price (VWAP), rounded to four decimal places, of Company Common Stock as reported by Bloomberg L.P. and using the "Bloomberg Definition" calculation method on the VWAP function for the ticker “GSAT US Equity” over the five (5) consecutive trading day period that ends on (and includes) the second trading day immediately prior to the Closing Date; and</w:t>
      </w:r>
    </w:p>
    <w:p>
      <w:pPr>
        <w:spacing w:after="0" w:line="201" w:lineRule="exact"/>
        <w:rPr>
          <w:sz w:val="20"/>
          <w:szCs w:val="20"/>
          <w:color w:val="auto"/>
        </w:rPr>
      </w:pPr>
    </w:p>
    <w:p>
      <w:pPr>
        <w:ind w:left="942"/>
        <w:spacing w:after="0"/>
        <w:rPr>
          <w:sz w:val="20"/>
          <w:szCs w:val="20"/>
          <w:color w:val="auto"/>
        </w:rPr>
      </w:pPr>
      <w:r>
        <w:rPr>
          <w:rFonts w:ascii="Times New Roman" w:cs="Times New Roman" w:eastAsia="Times New Roman" w:hAnsi="Times New Roman"/>
          <w:sz w:val="21"/>
          <w:szCs w:val="21"/>
          <w:color w:val="auto"/>
        </w:rPr>
        <w:t>C = the Exercise Price (as defined in the Warrant).</w:t>
      </w:r>
    </w:p>
    <w:p>
      <w:pPr>
        <w:spacing w:after="0" w:line="229" w:lineRule="exact"/>
        <w:rPr>
          <w:sz w:val="20"/>
          <w:szCs w:val="20"/>
          <w:color w:val="auto"/>
        </w:rPr>
      </w:pPr>
    </w:p>
    <w:p>
      <w:pPr>
        <w:ind w:left="942"/>
        <w:spacing w:after="0"/>
        <w:rPr>
          <w:sz w:val="20"/>
          <w:szCs w:val="20"/>
          <w:color w:val="auto"/>
        </w:rPr>
      </w:pPr>
      <w:r>
        <w:rPr>
          <w:rFonts w:ascii="Times New Roman" w:cs="Times New Roman" w:eastAsia="Times New Roman" w:hAnsi="Times New Roman"/>
          <w:sz w:val="21"/>
          <w:szCs w:val="21"/>
          <w:color w:val="auto"/>
        </w:rPr>
        <w:t>For the avoidance of doubt, any Unvested Warrant Shares (x) shall not be subject to any such Cashless Exercise and</w:t>
      </w:r>
    </w:p>
    <w:p>
      <w:pPr>
        <w:spacing w:after="0" w:line="18" w:lineRule="exact"/>
        <w:rPr>
          <w:sz w:val="20"/>
          <w:szCs w:val="20"/>
          <w:color w:val="auto"/>
        </w:rPr>
      </w:pPr>
    </w:p>
    <w:p>
      <w:pPr>
        <w:ind w:left="322" w:hanging="8"/>
        <w:spacing w:after="0"/>
        <w:tabs>
          <w:tab w:leader="none" w:pos="640"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be cancelled immediately prior to the First Effective Time and no consideration shall be issued or paid in respect thereof.</w:t>
      </w:r>
    </w:p>
    <w:p>
      <w:pPr>
        <w:spacing w:after="0" w:line="198" w:lineRule="exact"/>
        <w:rPr>
          <w:rFonts w:ascii="Times New Roman" w:cs="Times New Roman" w:eastAsia="Times New Roman" w:hAnsi="Times New Roman"/>
          <w:sz w:val="21"/>
          <w:szCs w:val="21"/>
          <w:color w:val="auto"/>
        </w:rPr>
      </w:pPr>
    </w:p>
    <w:p>
      <w:pPr>
        <w:jc w:val="both"/>
        <w:ind w:left="322" w:hanging="322"/>
        <w:spacing w:after="0" w:line="249" w:lineRule="auto"/>
        <w:tabs>
          <w:tab w:leader="none" w:pos="322"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Failure to Consummate the Mergers</w:t>
      </w:r>
      <w:r>
        <w:rPr>
          <w:rFonts w:ascii="Times New Roman" w:cs="Times New Roman" w:eastAsia="Times New Roman" w:hAnsi="Times New Roman"/>
          <w:sz w:val="21"/>
          <w:szCs w:val="21"/>
          <w:color w:val="auto"/>
        </w:rPr>
        <w:t>. If the Merger Agreement is terminated in accordance with its terms, the Cashless Exercise contemplated hereunder shall not be effected, the Warrant shall remain outstanding in accordance with its original terms, and this Amendment shall automatically terminate and have no further force or effect.</w:t>
      </w:r>
    </w:p>
    <w:p>
      <w:pPr>
        <w:spacing w:after="0" w:line="189" w:lineRule="exact"/>
        <w:rPr>
          <w:rFonts w:ascii="Times New Roman" w:cs="Times New Roman" w:eastAsia="Times New Roman" w:hAnsi="Times New Roman"/>
          <w:sz w:val="21"/>
          <w:szCs w:val="21"/>
          <w:color w:val="auto"/>
        </w:rPr>
      </w:pPr>
    </w:p>
    <w:p>
      <w:pPr>
        <w:jc w:val="both"/>
        <w:ind w:left="322" w:hanging="322"/>
        <w:spacing w:after="0" w:line="242" w:lineRule="auto"/>
        <w:tabs>
          <w:tab w:leader="none" w:pos="322"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 to the Mergers</w:t>
      </w:r>
      <w:r>
        <w:rPr>
          <w:rFonts w:ascii="Times New Roman" w:cs="Times New Roman" w:eastAsia="Times New Roman" w:hAnsi="Times New Roman"/>
          <w:sz w:val="21"/>
          <w:szCs w:val="21"/>
          <w:color w:val="auto"/>
        </w:rPr>
        <w:t>. The Cashless Exercise contemplated by this Amendment shall apply solely to the Mergers and shall not apply to any other merger, consolidation, acquisition, business combination, change of control, recapitalization, reorganization or similar transaction.</w:t>
      </w:r>
    </w:p>
    <w:p>
      <w:pPr>
        <w:sectPr>
          <w:pgSz w:w="11900" w:h="16838" w:orient="portrait"/>
          <w:cols w:equalWidth="0" w:num="1">
            <w:col w:w="10922"/>
          </w:cols>
          <w:pgMar w:left="638" w:top="1367" w:right="339" w:bottom="1440" w:gutter="0" w:footer="0" w:header="0"/>
        </w:sectPr>
      </w:pPr>
    </w:p>
    <w:bookmarkStart w:id="42" w:name="page43"/>
    <w:bookmarkEnd w:id="42"/>
    <w:p>
      <w:pPr>
        <w:ind w:left="322" w:hanging="322"/>
        <w:spacing w:after="0" w:line="264" w:lineRule="auto"/>
        <w:tabs>
          <w:tab w:leader="none" w:pos="322"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Other Amendments</w:t>
      </w:r>
      <w:r>
        <w:rPr>
          <w:rFonts w:ascii="Times New Roman" w:cs="Times New Roman" w:eastAsia="Times New Roman" w:hAnsi="Times New Roman"/>
          <w:sz w:val="21"/>
          <w:szCs w:val="21"/>
          <w:color w:val="auto"/>
        </w:rPr>
        <w:t>. Except as expressly amended hereby, all terms and conditions of the Warrant shall remain in full force and effect.</w:t>
      </w:r>
    </w:p>
    <w:p>
      <w:pPr>
        <w:spacing w:after="0" w:line="172" w:lineRule="exact"/>
        <w:rPr>
          <w:rFonts w:ascii="Times New Roman" w:cs="Times New Roman" w:eastAsia="Times New Roman" w:hAnsi="Times New Roman"/>
          <w:sz w:val="21"/>
          <w:szCs w:val="21"/>
          <w:color w:val="auto"/>
        </w:rPr>
      </w:pPr>
    </w:p>
    <w:p>
      <w:pPr>
        <w:ind w:left="322" w:hanging="322"/>
        <w:spacing w:after="0" w:line="266" w:lineRule="auto"/>
        <w:tabs>
          <w:tab w:leader="none" w:pos="322"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Jurisdiction</w:t>
      </w:r>
      <w:r>
        <w:rPr>
          <w:rFonts w:ascii="Times New Roman" w:cs="Times New Roman" w:eastAsia="Times New Roman" w:hAnsi="Times New Roman"/>
          <w:sz w:val="21"/>
          <w:szCs w:val="21"/>
          <w:color w:val="auto"/>
        </w:rPr>
        <w:t xml:space="preserve">. Sections 6(e) and 6(f) of the Warrant shall apply to this Amendment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xml:space="preserve"> as if such provision was expressly incorporated herein.</w:t>
      </w:r>
    </w:p>
    <w:p>
      <w:pPr>
        <w:spacing w:after="0" w:line="172" w:lineRule="exact"/>
        <w:rPr>
          <w:rFonts w:ascii="Times New Roman" w:cs="Times New Roman" w:eastAsia="Times New Roman" w:hAnsi="Times New Roman"/>
          <w:sz w:val="21"/>
          <w:szCs w:val="21"/>
          <w:color w:val="auto"/>
        </w:rPr>
      </w:pPr>
    </w:p>
    <w:p>
      <w:pPr>
        <w:ind w:left="322" w:hanging="322"/>
        <w:spacing w:after="0" w:line="264" w:lineRule="auto"/>
        <w:tabs>
          <w:tab w:leader="none" w:pos="322"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Amendment may be executed in one or more counterparts, each of which will be deemed an original, but which collectively constitute one and the same instrument.</w:t>
      </w:r>
    </w:p>
    <w:p>
      <w:pPr>
        <w:sectPr>
          <w:pgSz w:w="11900" w:h="16838" w:orient="portrait"/>
          <w:cols w:equalWidth="0" w:num="1">
            <w:col w:w="10922"/>
          </w:cols>
          <w:pgMar w:left="638" w:top="1367" w:right="339" w:bottom="1440" w:gutter="0" w:footer="0" w:header="0"/>
        </w:sectPr>
      </w:pPr>
    </w:p>
    <w:bookmarkStart w:id="43" w:name="page44"/>
    <w:bookmarkEnd w:id="43"/>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have executed this Amendment as of the date first written above.</w:t>
      </w:r>
    </w:p>
    <w:p>
      <w:pPr>
        <w:spacing w:after="0" w:line="2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GLOBALSTAR, INC.</w:t>
      </w:r>
    </w:p>
    <w:p>
      <w:pPr>
        <w:spacing w:after="0" w:line="20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Rebecca S. Clary</w:t>
      </w:r>
    </w:p>
    <w:p>
      <w:pPr>
        <w:spacing w:after="0" w:line="1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Name: Rebecca S. Clary</w:t>
      </w:r>
    </w:p>
    <w:p>
      <w:pPr>
        <w:ind w:left="3760"/>
        <w:spacing w:after="0"/>
        <w:rPr>
          <w:sz w:val="20"/>
          <w:szCs w:val="20"/>
          <w:color w:val="auto"/>
        </w:rPr>
      </w:pPr>
      <w:r>
        <w:rPr>
          <w:rFonts w:ascii="Times New Roman" w:cs="Times New Roman" w:eastAsia="Times New Roman" w:hAnsi="Times New Roman"/>
          <w:sz w:val="21"/>
          <w:szCs w:val="21"/>
          <w:color w:val="auto"/>
        </w:rPr>
        <w:t>Title: Vice President &amp; Chief Financial Officer</w:t>
      </w:r>
    </w:p>
    <w:p>
      <w:pPr>
        <w:spacing w:after="0" w:line="200" w:lineRule="exact"/>
        <w:rPr>
          <w:sz w:val="20"/>
          <w:szCs w:val="20"/>
          <w:color w:val="auto"/>
        </w:rPr>
      </w:pPr>
    </w:p>
    <w:p>
      <w:pPr>
        <w:spacing w:after="0" w:line="24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THERMO FUNDING II, LLC</w:t>
      </w:r>
    </w:p>
    <w:p>
      <w:pPr>
        <w:spacing w:after="0" w:line="21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James Monroe III</w:t>
      </w:r>
    </w:p>
    <w:p>
      <w:pPr>
        <w:spacing w:after="0" w:line="1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Name: James Monroe III</w:t>
      </w:r>
    </w:p>
    <w:p>
      <w:pPr>
        <w:ind w:left="3760"/>
        <w:spacing w:after="0"/>
        <w:rPr>
          <w:sz w:val="20"/>
          <w:szCs w:val="20"/>
          <w:color w:val="auto"/>
        </w:rPr>
      </w:pPr>
      <w:r>
        <w:rPr>
          <w:rFonts w:ascii="Times New Roman" w:cs="Times New Roman" w:eastAsia="Times New Roman" w:hAnsi="Times New Roman"/>
          <w:sz w:val="21"/>
          <w:szCs w:val="21"/>
          <w:color w:val="auto"/>
        </w:rPr>
        <w:t>Title: Manager</w:t>
      </w:r>
    </w:p>
    <w:p>
      <w:pPr>
        <w:sectPr>
          <w:pgSz w:w="11900" w:h="16838" w:orient="portrait"/>
          <w:cols w:equalWidth="0" w:num="1">
            <w:col w:w="10139"/>
          </w:cols>
          <w:pgMar w:left="320" w:top="1440" w:right="1440" w:bottom="1440" w:gutter="0" w:footer="0" w:header="0"/>
        </w:sectPr>
      </w:pPr>
    </w:p>
    <w:bookmarkStart w:id="44" w:name="page45"/>
    <w:bookmarkEnd w:id="44"/>
    <w:p>
      <w:pPr>
        <w:ind w:left="10340"/>
        <w:spacing w:after="0"/>
        <w:rPr>
          <w:sz w:val="20"/>
          <w:szCs w:val="20"/>
          <w:color w:val="auto"/>
        </w:rPr>
      </w:pPr>
      <w:r>
        <w:rPr>
          <w:rFonts w:ascii="Times New Roman" w:cs="Times New Roman" w:eastAsia="Times New Roman" w:hAnsi="Times New Roman"/>
          <w:sz w:val="17"/>
          <w:szCs w:val="17"/>
          <w:b w:val="1"/>
          <w:bCs w:val="1"/>
          <w:color w:val="auto"/>
        </w:rPr>
        <w:t>Exhibit 10.4</w:t>
      </w: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Certain portions of this document have been omitted pursuant to Item 601(b)(10) of Regulation S-K and, where applicable, have been marked with “[*]” to indicate where omissions have been made. The marked information has been omitted because it is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Amendment to Guaranty</w:t>
      </w:r>
    </w:p>
    <w:p>
      <w:pPr>
        <w:spacing w:after="0" w:line="229" w:lineRule="exact"/>
        <w:rPr>
          <w:sz w:val="20"/>
          <w:szCs w:val="20"/>
          <w:color w:val="auto"/>
        </w:rPr>
      </w:pPr>
    </w:p>
    <w:p>
      <w:pPr>
        <w:jc w:val="both"/>
        <w:ind w:firstLine="627"/>
        <w:spacing w:after="0" w:line="245" w:lineRule="auto"/>
        <w:rPr>
          <w:sz w:val="20"/>
          <w:szCs w:val="20"/>
          <w:color w:val="auto"/>
        </w:rPr>
      </w:pPr>
      <w:r>
        <w:rPr>
          <w:rFonts w:ascii="Times New Roman" w:cs="Times New Roman" w:eastAsia="Times New Roman" w:hAnsi="Times New Roman"/>
          <w:sz w:val="21"/>
          <w:szCs w:val="21"/>
          <w:color w:val="auto"/>
        </w:rPr>
        <w:t>This Amendment to Guaranty (this “</w:t>
      </w:r>
      <w:r>
        <w:rPr>
          <w:rFonts w:ascii="Times New Roman" w:cs="Times New Roman" w:eastAsia="Times New Roman" w:hAnsi="Times New Roman"/>
          <w:sz w:val="21"/>
          <w:szCs w:val="21"/>
          <w:b w:val="1"/>
          <w:bCs w:val="1"/>
          <w:i w:val="1"/>
          <w:iCs w:val="1"/>
          <w:color w:val="auto"/>
        </w:rPr>
        <w:t>Amendment</w:t>
      </w:r>
      <w:r>
        <w:rPr>
          <w:rFonts w:ascii="Times New Roman" w:cs="Times New Roman" w:eastAsia="Times New Roman" w:hAnsi="Times New Roman"/>
          <w:sz w:val="21"/>
          <w:szCs w:val="21"/>
          <w:color w:val="auto"/>
        </w:rPr>
        <w:t>”), dated as of April 13, 2026, is made by and among Thermo Funding II, LLC, a Colorado limited liability company, located at 1735 19 Street, #200, Denver, CO 80202 (“</w:t>
      </w:r>
      <w:r>
        <w:rPr>
          <w:rFonts w:ascii="Times New Roman" w:cs="Times New Roman" w:eastAsia="Times New Roman" w:hAnsi="Times New Roman"/>
          <w:sz w:val="21"/>
          <w:szCs w:val="21"/>
          <w:b w:val="1"/>
          <w:bCs w:val="1"/>
          <w:i w:val="1"/>
          <w:iCs w:val="1"/>
          <w:color w:val="auto"/>
        </w:rPr>
        <w:t>TF</w:t>
      </w:r>
      <w:r>
        <w:rPr>
          <w:rFonts w:ascii="Times New Roman" w:cs="Times New Roman" w:eastAsia="Times New Roman" w:hAnsi="Times New Roman"/>
          <w:sz w:val="21"/>
          <w:szCs w:val="21"/>
          <w:color w:val="auto"/>
        </w:rPr>
        <w:t>”), and Globalstar, Inc., a Delaware corporation located at 1351 Holiday Square Blvd. Covington, Louisiana 70433 (“</w:t>
      </w:r>
      <w:r>
        <w:rPr>
          <w:rFonts w:ascii="Times New Roman" w:cs="Times New Roman" w:eastAsia="Times New Roman" w:hAnsi="Times New Roman"/>
          <w:sz w:val="21"/>
          <w:szCs w:val="21"/>
          <w:b w:val="1"/>
          <w:bCs w:val="1"/>
          <w:i w:val="1"/>
          <w:iCs w:val="1"/>
          <w:color w:val="auto"/>
        </w:rPr>
        <w:t>Globalstar</w:t>
      </w:r>
      <w:r>
        <w:rPr>
          <w:rFonts w:ascii="Times New Roman" w:cs="Times New Roman" w:eastAsia="Times New Roman" w:hAnsi="Times New Roman"/>
          <w:sz w:val="21"/>
          <w:szCs w:val="21"/>
          <w:color w:val="auto"/>
        </w:rPr>
        <w:t>”), and solely for the purposes of Sections 23 and 24 of the Guaranty (as defined below), [*] (“</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color w:val="auto"/>
        </w:rPr>
        <w:t>”).</w:t>
      </w:r>
    </w:p>
    <w:p>
      <w:pPr>
        <w:spacing w:after="0" w:line="194" w:lineRule="exact"/>
        <w:rPr>
          <w:sz w:val="20"/>
          <w:szCs w:val="20"/>
          <w:color w:val="auto"/>
        </w:rPr>
      </w:pPr>
    </w:p>
    <w:p>
      <w:pPr>
        <w:jc w:val="both"/>
        <w:ind w:firstLine="627"/>
        <w:spacing w:after="0" w:line="239" w:lineRule="auto"/>
        <w:rPr>
          <w:sz w:val="20"/>
          <w:szCs w:val="20"/>
          <w:color w:val="auto"/>
        </w:rPr>
      </w:pPr>
      <w:r>
        <w:rPr>
          <w:rFonts w:ascii="Times New Roman" w:cs="Times New Roman" w:eastAsia="Times New Roman" w:hAnsi="Times New Roman"/>
          <w:sz w:val="21"/>
          <w:szCs w:val="21"/>
          <w:color w:val="auto"/>
        </w:rPr>
        <w:t>WHEREAS, reference is made to that certain Guaranty by TF in favor of Globalstar, and solely for the purposes of Sections 23 and 24, [*], dated December 7, 2023, pursuant to which TF guaranteed to Globalstar the payment and performance of certain obligations related to Globalstar’s commercial relationship with [*] (as amended, the “</w:t>
      </w:r>
      <w:r>
        <w:rPr>
          <w:rFonts w:ascii="Times New Roman" w:cs="Times New Roman" w:eastAsia="Times New Roman" w:hAnsi="Times New Roman"/>
          <w:sz w:val="21"/>
          <w:szCs w:val="21"/>
          <w:b w:val="1"/>
          <w:bCs w:val="1"/>
          <w:i w:val="1"/>
          <w:iCs w:val="1"/>
          <w:color w:val="auto"/>
        </w:rPr>
        <w:t>Guaranty</w:t>
      </w:r>
      <w:r>
        <w:rPr>
          <w:rFonts w:ascii="Times New Roman" w:cs="Times New Roman" w:eastAsia="Times New Roman" w:hAnsi="Times New Roman"/>
          <w:sz w:val="21"/>
          <w:szCs w:val="21"/>
          <w:color w:val="auto"/>
        </w:rPr>
        <w:t>”). Capitalized terms used herein and not otherwise defined herein shall have the meanings given to them in the Guaranty.</w:t>
      </w:r>
    </w:p>
    <w:p>
      <w:pPr>
        <w:spacing w:after="0" w:line="201" w:lineRule="exact"/>
        <w:rPr>
          <w:sz w:val="20"/>
          <w:szCs w:val="20"/>
          <w:color w:val="auto"/>
        </w:rPr>
      </w:pPr>
    </w:p>
    <w:p>
      <w:pPr>
        <w:jc w:val="both"/>
        <w:ind w:firstLine="627"/>
        <w:spacing w:after="0" w:line="236" w:lineRule="auto"/>
        <w:rPr>
          <w:sz w:val="20"/>
          <w:szCs w:val="20"/>
          <w:color w:val="auto"/>
        </w:rPr>
      </w:pPr>
      <w:r>
        <w:rPr>
          <w:rFonts w:ascii="Times New Roman" w:cs="Times New Roman" w:eastAsia="Times New Roman" w:hAnsi="Times New Roman"/>
          <w:sz w:val="21"/>
          <w:szCs w:val="21"/>
          <w:color w:val="auto"/>
        </w:rPr>
        <w:t>WHEREAS, substantially concurrently with the execution of this Amendment, Globalstar, Amazon.com, Inc., a Delaware corporation (“</w:t>
      </w:r>
      <w:r>
        <w:rPr>
          <w:rFonts w:ascii="Times New Roman" w:cs="Times New Roman" w:eastAsia="Times New Roman" w:hAnsi="Times New Roman"/>
          <w:sz w:val="21"/>
          <w:szCs w:val="21"/>
          <w:b w:val="1"/>
          <w:bCs w:val="1"/>
          <w:i w:val="1"/>
          <w:iCs w:val="1"/>
          <w:color w:val="auto"/>
        </w:rPr>
        <w:t>Parent</w:t>
      </w:r>
      <w:r>
        <w:rPr>
          <w:rFonts w:ascii="Times New Roman" w:cs="Times New Roman" w:eastAsia="Times New Roman" w:hAnsi="Times New Roman"/>
          <w:sz w:val="21"/>
          <w:szCs w:val="21"/>
          <w:color w:val="auto"/>
        </w:rPr>
        <w:t>”), Grapefruit Acquisition Sub I, Inc., a Delaware corporation (“</w:t>
      </w:r>
      <w:r>
        <w:rPr>
          <w:rFonts w:ascii="Times New Roman" w:cs="Times New Roman" w:eastAsia="Times New Roman" w:hAnsi="Times New Roman"/>
          <w:sz w:val="21"/>
          <w:szCs w:val="21"/>
          <w:b w:val="1"/>
          <w:bCs w:val="1"/>
          <w:i w:val="1"/>
          <w:iCs w:val="1"/>
          <w:color w:val="auto"/>
        </w:rPr>
        <w:t>Acquisition Sub I</w:t>
      </w:r>
      <w:r>
        <w:rPr>
          <w:rFonts w:ascii="Times New Roman" w:cs="Times New Roman" w:eastAsia="Times New Roman" w:hAnsi="Times New Roman"/>
          <w:sz w:val="21"/>
          <w:szCs w:val="21"/>
          <w:color w:val="auto"/>
        </w:rPr>
        <w:t>”) and Grapefruit Acquisition Sub II, LLC, a Delaware limited liability company (“</w:t>
      </w:r>
      <w:r>
        <w:rPr>
          <w:rFonts w:ascii="Times New Roman" w:cs="Times New Roman" w:eastAsia="Times New Roman" w:hAnsi="Times New Roman"/>
          <w:sz w:val="21"/>
          <w:szCs w:val="21"/>
          <w:b w:val="1"/>
          <w:bCs w:val="1"/>
          <w:i w:val="1"/>
          <w:iCs w:val="1"/>
          <w:color w:val="auto"/>
        </w:rPr>
        <w:t>Acquisition Sub II</w:t>
      </w:r>
      <w:r>
        <w:rPr>
          <w:rFonts w:ascii="Times New Roman" w:cs="Times New Roman" w:eastAsia="Times New Roman" w:hAnsi="Times New Roman"/>
          <w:sz w:val="21"/>
          <w:szCs w:val="21"/>
          <w:color w:val="auto"/>
        </w:rPr>
        <w:t>”) have entered into that certain Agreement and Plan of Merger, dated as of the date hereof (as amended, supplemented or modified from time to time, the “</w:t>
      </w:r>
      <w:r>
        <w:rPr>
          <w:rFonts w:ascii="Times New Roman" w:cs="Times New Roman" w:eastAsia="Times New Roman" w:hAnsi="Times New Roman"/>
          <w:sz w:val="21"/>
          <w:szCs w:val="21"/>
          <w:b w:val="1"/>
          <w:bCs w:val="1"/>
          <w:i w:val="1"/>
          <w:iCs w:val="1"/>
          <w:color w:val="auto"/>
        </w:rPr>
        <w:t>Merger Agreement</w:t>
      </w:r>
      <w:r>
        <w:rPr>
          <w:rFonts w:ascii="Times New Roman" w:cs="Times New Roman" w:eastAsia="Times New Roman" w:hAnsi="Times New Roman"/>
          <w:sz w:val="21"/>
          <w:szCs w:val="21"/>
          <w:color w:val="auto"/>
        </w:rPr>
        <w:t>”), pursuant to which, among other things, (i) Acquisition Sub I shall merge with and into Globalstar (the “</w:t>
      </w:r>
      <w:r>
        <w:rPr>
          <w:rFonts w:ascii="Times New Roman" w:cs="Times New Roman" w:eastAsia="Times New Roman" w:hAnsi="Times New Roman"/>
          <w:sz w:val="21"/>
          <w:szCs w:val="21"/>
          <w:b w:val="1"/>
          <w:bCs w:val="1"/>
          <w:i w:val="1"/>
          <w:iCs w:val="1"/>
          <w:color w:val="auto"/>
        </w:rPr>
        <w:t>First Merger</w:t>
      </w:r>
      <w:r>
        <w:rPr>
          <w:rFonts w:ascii="Times New Roman" w:cs="Times New Roman" w:eastAsia="Times New Roman" w:hAnsi="Times New Roman"/>
          <w:sz w:val="21"/>
          <w:szCs w:val="21"/>
          <w:color w:val="auto"/>
        </w:rPr>
        <w:t>”), with Globalstar surviving the First Merger as a direct wholly-owned subsidiary of Parent (the “</w:t>
      </w:r>
      <w:r>
        <w:rPr>
          <w:rFonts w:ascii="Times New Roman" w:cs="Times New Roman" w:eastAsia="Times New Roman" w:hAnsi="Times New Roman"/>
          <w:sz w:val="21"/>
          <w:szCs w:val="21"/>
          <w:b w:val="1"/>
          <w:bCs w:val="1"/>
          <w:i w:val="1"/>
          <w:iCs w:val="1"/>
          <w:color w:val="auto"/>
        </w:rPr>
        <w:t>Surviving Corporation</w:t>
      </w:r>
      <w:r>
        <w:rPr>
          <w:rFonts w:ascii="Times New Roman" w:cs="Times New Roman" w:eastAsia="Times New Roman" w:hAnsi="Times New Roman"/>
          <w:sz w:val="21"/>
          <w:szCs w:val="21"/>
          <w:color w:val="auto"/>
        </w:rPr>
        <w:t>”), and (ii) immediately following the First Merger, the Surviving Corporation shall merge with and into Acquisition Sub II (the “</w:t>
      </w:r>
      <w:r>
        <w:rPr>
          <w:rFonts w:ascii="Times New Roman" w:cs="Times New Roman" w:eastAsia="Times New Roman" w:hAnsi="Times New Roman"/>
          <w:sz w:val="21"/>
          <w:szCs w:val="21"/>
          <w:b w:val="1"/>
          <w:bCs w:val="1"/>
          <w:i w:val="1"/>
          <w:iCs w:val="1"/>
          <w:color w:val="auto"/>
        </w:rPr>
        <w:t>Second Merger</w:t>
      </w:r>
      <w:r>
        <w:rPr>
          <w:rFonts w:ascii="Times New Roman" w:cs="Times New Roman" w:eastAsia="Times New Roman" w:hAnsi="Times New Roman"/>
          <w:sz w:val="21"/>
          <w:szCs w:val="21"/>
          <w:color w:val="auto"/>
        </w:rPr>
        <w:t>”), with Acquisition Sub II surviving the Second Merger as a direct wholly-owned subsidiary of Parent. In connection therewith, the parties hereto desire to provide for the automatic termination of the Guaranty at the closing of the First Merger, subject to the terms and conditions set forth herein.</w:t>
      </w:r>
    </w:p>
    <w:p>
      <w:pPr>
        <w:spacing w:after="0" w:line="200" w:lineRule="exact"/>
        <w:rPr>
          <w:sz w:val="20"/>
          <w:szCs w:val="20"/>
          <w:color w:val="auto"/>
        </w:rPr>
      </w:pPr>
    </w:p>
    <w:p>
      <w:pPr>
        <w:jc w:val="both"/>
        <w:ind w:firstLine="627"/>
        <w:spacing w:after="0" w:line="249" w:lineRule="auto"/>
        <w:rPr>
          <w:sz w:val="20"/>
          <w:szCs w:val="20"/>
          <w:color w:val="auto"/>
        </w:rPr>
      </w:pPr>
      <w:r>
        <w:rPr>
          <w:rFonts w:ascii="Times New Roman" w:cs="Times New Roman" w:eastAsia="Times New Roman" w:hAnsi="Times New Roman"/>
          <w:sz w:val="21"/>
          <w:szCs w:val="21"/>
          <w:color w:val="auto"/>
        </w:rPr>
        <w:t>WHEREAS, [*] and Globalstar are party to (i) the Prepayment Agreement dated as of February 25, 2023, as amended and (ii) the Prepayment Agreement between Globalstar and [*] dated as of November 5, 2024, as amended, in each case as in effect on the date hereof (the “</w:t>
      </w:r>
      <w:r>
        <w:rPr>
          <w:rFonts w:ascii="Times New Roman" w:cs="Times New Roman" w:eastAsia="Times New Roman" w:hAnsi="Times New Roman"/>
          <w:sz w:val="21"/>
          <w:szCs w:val="21"/>
          <w:b w:val="1"/>
          <w:bCs w:val="1"/>
          <w:i w:val="1"/>
          <w:iCs w:val="1"/>
          <w:color w:val="auto"/>
        </w:rPr>
        <w:t>2023 and 2024 Prepayment Agreements</w:t>
      </w:r>
      <w:r>
        <w:rPr>
          <w:rFonts w:ascii="Times New Roman" w:cs="Times New Roman" w:eastAsia="Times New Roman" w:hAnsi="Times New Roman"/>
          <w:sz w:val="21"/>
          <w:szCs w:val="21"/>
          <w:color w:val="auto"/>
        </w:rPr>
        <w:t>”).</w:t>
      </w:r>
    </w:p>
    <w:p>
      <w:pPr>
        <w:spacing w:after="0" w:line="189" w:lineRule="exact"/>
        <w:rPr>
          <w:sz w:val="20"/>
          <w:szCs w:val="20"/>
          <w:color w:val="auto"/>
        </w:rPr>
      </w:pPr>
    </w:p>
    <w:p>
      <w:pPr>
        <w:jc w:val="both"/>
        <w:ind w:firstLine="627"/>
        <w:spacing w:after="0" w:line="244" w:lineRule="auto"/>
        <w:rPr>
          <w:sz w:val="20"/>
          <w:szCs w:val="20"/>
          <w:color w:val="auto"/>
        </w:rPr>
      </w:pPr>
      <w:r>
        <w:rPr>
          <w:rFonts w:ascii="Times New Roman" w:cs="Times New Roman" w:eastAsia="Times New Roman" w:hAnsi="Times New Roman"/>
          <w:sz w:val="21"/>
          <w:szCs w:val="21"/>
          <w:color w:val="auto"/>
        </w:rPr>
        <w:t>WHEREAS, substantially concurrently with the execution of this Amendment, Parent and [*] will enter into that certain Prepayment Agreement (as amended, restated, amended and restated, supplemented or otherwise modified from time to time, the “</w:t>
      </w:r>
      <w:r>
        <w:rPr>
          <w:rFonts w:ascii="Times New Roman" w:cs="Times New Roman" w:eastAsia="Times New Roman" w:hAnsi="Times New Roman"/>
          <w:sz w:val="21"/>
          <w:szCs w:val="21"/>
          <w:b w:val="1"/>
          <w:bCs w:val="1"/>
          <w:i w:val="1"/>
          <w:iCs w:val="1"/>
          <w:color w:val="auto"/>
        </w:rPr>
        <w:t>Assumed Prepayment Agreement</w:t>
      </w:r>
      <w:r>
        <w:rPr>
          <w:rFonts w:ascii="Times New Roman" w:cs="Times New Roman" w:eastAsia="Times New Roman" w:hAnsi="Times New Roman"/>
          <w:sz w:val="21"/>
          <w:szCs w:val="21"/>
          <w:color w:val="auto"/>
        </w:rPr>
        <w:t>”), which, subject to the terms and conditions set forth therein, replaces and supersedes the 2023 and 2024 Prepayment Agreements.</w:t>
      </w:r>
    </w:p>
    <w:p>
      <w:pPr>
        <w:spacing w:after="0" w:line="194" w:lineRule="exact"/>
        <w:rPr>
          <w:sz w:val="20"/>
          <w:szCs w:val="20"/>
          <w:color w:val="auto"/>
        </w:rPr>
      </w:pPr>
    </w:p>
    <w:p>
      <w:pPr>
        <w:jc w:val="both"/>
        <w:ind w:firstLine="627"/>
        <w:spacing w:after="0" w:line="251" w:lineRule="auto"/>
        <w:rPr>
          <w:sz w:val="20"/>
          <w:szCs w:val="20"/>
          <w:color w:val="auto"/>
        </w:rPr>
      </w:pPr>
      <w:r>
        <w:rPr>
          <w:rFonts w:ascii="Times New Roman" w:cs="Times New Roman" w:eastAsia="Times New Roman" w:hAnsi="Times New Roman"/>
          <w:sz w:val="21"/>
          <w:szCs w:val="21"/>
          <w:color w:val="auto"/>
        </w:rPr>
        <w:t>NOW THEREFORE, for good and valuable consideration, the adequacy and receipt of which is hereby acknowledged, the parties agree as follows:</w:t>
      </w:r>
    </w:p>
    <w:p>
      <w:pPr>
        <w:spacing w:after="0" w:line="188" w:lineRule="exact"/>
        <w:rPr>
          <w:sz w:val="20"/>
          <w:szCs w:val="20"/>
          <w:color w:val="auto"/>
        </w:rPr>
      </w:pPr>
    </w:p>
    <w:p>
      <w:pPr>
        <w:ind w:left="840" w:hanging="208"/>
        <w:spacing w:after="0"/>
        <w:tabs>
          <w:tab w:leader="none" w:pos="84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to Guaranty</w:t>
      </w:r>
    </w:p>
    <w:p>
      <w:pPr>
        <w:sectPr>
          <w:pgSz w:w="11900" w:h="16838" w:orient="portrait"/>
          <w:cols w:equalWidth="0" w:num="1">
            <w:col w:w="11240"/>
          </w:cols>
          <w:pgMar w:left="320" w:top="119" w:right="339" w:bottom="1440" w:gutter="0" w:footer="0" w:header="0"/>
        </w:sectPr>
      </w:pPr>
    </w:p>
    <w:bookmarkStart w:id="45" w:name="page46"/>
    <w:bookmarkEnd w:id="45"/>
    <w:p>
      <w:pPr>
        <w:jc w:val="both"/>
        <w:ind w:left="-632" w:firstLine="632"/>
        <w:spacing w:after="0" w:line="248" w:lineRule="auto"/>
        <w:tabs>
          <w:tab w:leader="none" w:pos="29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Guaranty is hereby amended to add to the end of </w:t>
      </w:r>
      <w:r>
        <w:rPr>
          <w:rFonts w:ascii="Times New Roman" w:cs="Times New Roman" w:eastAsia="Times New Roman" w:hAnsi="Times New Roman"/>
          <w:sz w:val="20"/>
          <w:szCs w:val="20"/>
          <w:u w:val="single" w:color="auto"/>
          <w:color w:val="auto"/>
        </w:rPr>
        <w:t>Section 1(c)</w:t>
      </w:r>
      <w:r>
        <w:rPr>
          <w:rFonts w:ascii="Times New Roman" w:cs="Times New Roman" w:eastAsia="Times New Roman" w:hAnsi="Times New Roman"/>
          <w:sz w:val="20"/>
          <w:szCs w:val="20"/>
          <w:color w:val="auto"/>
        </w:rPr>
        <w:t xml:space="preserve"> of the Guaranty: “In addition, this Guaranty and the obligations hereunder, including the guaranty of the Guaranteed Obligations, shall terminate and be of no further force or effect immediately upon the date on which the Assumed Prepayment Agreement (as defined in that certain Amendment to Guaranty, dated as of April 13, 2026 (the “</w:t>
      </w:r>
      <w:r>
        <w:rPr>
          <w:rFonts w:ascii="Times New Roman" w:cs="Times New Roman" w:eastAsia="Times New Roman" w:hAnsi="Times New Roman"/>
          <w:sz w:val="20"/>
          <w:szCs w:val="20"/>
          <w:b w:val="1"/>
          <w:bCs w:val="1"/>
          <w:i w:val="1"/>
          <w:iCs w:val="1"/>
          <w:color w:val="auto"/>
        </w:rPr>
        <w:t>Guaranty Amendment</w:t>
      </w:r>
      <w:r>
        <w:rPr>
          <w:rFonts w:ascii="Times New Roman" w:cs="Times New Roman" w:eastAsia="Times New Roman" w:hAnsi="Times New Roman"/>
          <w:sz w:val="20"/>
          <w:szCs w:val="20"/>
          <w:color w:val="auto"/>
        </w:rPr>
        <w:t>”), by and between TF and [*]), replaces and supersedes the 2023 and 2024 Prepayment Agreements, which shall be the date of the closing of the merger of Grapefruit Acquisition Sub I, Inc., a Delaware corporation (“</w:t>
      </w:r>
      <w:r>
        <w:rPr>
          <w:rFonts w:ascii="Times New Roman" w:cs="Times New Roman" w:eastAsia="Times New Roman" w:hAnsi="Times New Roman"/>
          <w:sz w:val="20"/>
          <w:szCs w:val="20"/>
          <w:b w:val="1"/>
          <w:bCs w:val="1"/>
          <w:i w:val="1"/>
          <w:iCs w:val="1"/>
          <w:color w:val="auto"/>
        </w:rPr>
        <w:t>Acquisition Sub I</w:t>
      </w:r>
      <w:r>
        <w:rPr>
          <w:rFonts w:ascii="Times New Roman" w:cs="Times New Roman" w:eastAsia="Times New Roman" w:hAnsi="Times New Roman"/>
          <w:sz w:val="20"/>
          <w:szCs w:val="20"/>
          <w:color w:val="auto"/>
        </w:rPr>
        <w:t>”) with and into Globalstar (the “</w:t>
      </w:r>
      <w:r>
        <w:rPr>
          <w:rFonts w:ascii="Times New Roman" w:cs="Times New Roman" w:eastAsia="Times New Roman" w:hAnsi="Times New Roman"/>
          <w:sz w:val="20"/>
          <w:szCs w:val="20"/>
          <w:b w:val="1"/>
          <w:bCs w:val="1"/>
          <w:i w:val="1"/>
          <w:iCs w:val="1"/>
          <w:color w:val="auto"/>
        </w:rPr>
        <w:t>First Merger</w:t>
      </w:r>
      <w:r>
        <w:rPr>
          <w:rFonts w:ascii="Times New Roman" w:cs="Times New Roman" w:eastAsia="Times New Roman" w:hAnsi="Times New Roman"/>
          <w:sz w:val="20"/>
          <w:szCs w:val="20"/>
          <w:color w:val="auto"/>
        </w:rPr>
        <w:t>”) with Globalstar surviving the First Merger as a direct wholly-owned subsidiary of Amazon.com, Inc., a Delaware corporation (“</w:t>
      </w:r>
      <w:r>
        <w:rPr>
          <w:rFonts w:ascii="Times New Roman" w:cs="Times New Roman" w:eastAsia="Times New Roman" w:hAnsi="Times New Roman"/>
          <w:sz w:val="20"/>
          <w:szCs w:val="20"/>
          <w:b w:val="1"/>
          <w:bCs w:val="1"/>
          <w:i w:val="1"/>
          <w:iCs w:val="1"/>
          <w:color w:val="auto"/>
        </w:rPr>
        <w:t>Parent</w:t>
      </w:r>
      <w:r>
        <w:rPr>
          <w:rFonts w:ascii="Times New Roman" w:cs="Times New Roman" w:eastAsia="Times New Roman" w:hAnsi="Times New Roman"/>
          <w:sz w:val="20"/>
          <w:szCs w:val="20"/>
          <w:color w:val="auto"/>
        </w:rPr>
        <w:t>”), in accordance with the terms of the Agreement and Plan of Merger, dated as of April 13, 2026, by and among Globalstar, Parent, Acquisition Sub I and Grapefruit Acquisition Sub II, LLC, a Delaware limited liability company (“</w:t>
      </w:r>
      <w:r>
        <w:rPr>
          <w:rFonts w:ascii="Times New Roman" w:cs="Times New Roman" w:eastAsia="Times New Roman" w:hAnsi="Times New Roman"/>
          <w:sz w:val="20"/>
          <w:szCs w:val="20"/>
          <w:b w:val="1"/>
          <w:bCs w:val="1"/>
          <w:i w:val="1"/>
          <w:iCs w:val="1"/>
          <w:color w:val="auto"/>
        </w:rPr>
        <w:t>Acquisition Sub II</w:t>
      </w:r>
      <w:r>
        <w:rPr>
          <w:rFonts w:ascii="Times New Roman" w:cs="Times New Roman" w:eastAsia="Times New Roman" w:hAnsi="Times New Roman"/>
          <w:sz w:val="20"/>
          <w:szCs w:val="20"/>
          <w:color w:val="auto"/>
        </w:rPr>
        <w:t xml:space="preserve">”) (provided that the first recoupment or repayment under the Assumed Prepayment Agreement has been made by Parent, which is required to be made on the date of the First Merger);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termination effected by this sentence shall be of no force or effect, and the obligations of TF under this Guaranty shall be automatically reinstated, if the First Merger has not been consummated by 11:59 p.m. (New York City time) on April 13, 2028.”</w:t>
      </w:r>
    </w:p>
    <w:p>
      <w:pPr>
        <w:spacing w:after="0" w:line="193" w:lineRule="exact"/>
        <w:rPr>
          <w:rFonts w:ascii="Times New Roman" w:cs="Times New Roman" w:eastAsia="Times New Roman" w:hAnsi="Times New Roman"/>
          <w:sz w:val="20"/>
          <w:szCs w:val="20"/>
          <w:color w:val="auto"/>
        </w:rPr>
      </w:pPr>
    </w:p>
    <w:p>
      <w:pPr>
        <w:ind w:left="-632" w:firstLine="632"/>
        <w:spacing w:after="0" w:line="264" w:lineRule="auto"/>
        <w:tabs>
          <w:tab w:leader="none" w:pos="305"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hereby irrevocably and unconditionally consents to this Amendment, with respect to its rights pursuant to Section 23 and 24 of the Guaranty.</w:t>
      </w:r>
    </w:p>
    <w:p>
      <w:pPr>
        <w:spacing w:after="0" w:line="174" w:lineRule="exact"/>
        <w:rPr>
          <w:rFonts w:ascii="Times New Roman" w:cs="Times New Roman" w:eastAsia="Times New Roman" w:hAnsi="Times New Roman"/>
          <w:sz w:val="21"/>
          <w:szCs w:val="21"/>
          <w:color w:val="auto"/>
        </w:rPr>
      </w:pPr>
    </w:p>
    <w:p>
      <w:pPr>
        <w:ind w:left="-632" w:firstLine="632"/>
        <w:spacing w:after="0" w:line="264" w:lineRule="auto"/>
        <w:tabs>
          <w:tab w:leader="none" w:pos="293"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is limited as specified herein and shall not otherwise constitute a modification or waiver of any other provision of the Guaranty, all of which other provisions are hereby ratified and confirmed and remain in full force and effect.</w:t>
      </w:r>
    </w:p>
    <w:p>
      <w:pPr>
        <w:spacing w:after="0" w:line="174" w:lineRule="exact"/>
        <w:rPr>
          <w:rFonts w:ascii="Times New Roman" w:cs="Times New Roman" w:eastAsia="Times New Roman" w:hAnsi="Times New Roman"/>
          <w:sz w:val="21"/>
          <w:szCs w:val="21"/>
          <w:color w:val="auto"/>
        </w:rPr>
      </w:pPr>
    </w:p>
    <w:p>
      <w:pPr>
        <w:jc w:val="both"/>
        <w:ind w:left="-632" w:firstLine="632"/>
        <w:spacing w:after="0" w:line="235" w:lineRule="auto"/>
        <w:tabs>
          <w:tab w:leader="none" w:pos="292"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(including, without limitation, the validity, construction, effect or performance hereof and any remedies hereunder or related hereto) and all claims, obligations, liabilities, causes of action or proceedings (in each case, whether at law or in equity, and whether sounding in contract, tort, statute or otherwise) that may be based upon, in respect of, arise under, out or by reason of, be connected with, or relate in any manner to this Amendment, or the negotiation, execution, performance or breach (whether willful, intentional, unintentional or otherwise) of this Amendment, including, without limitation, any representation or warranty made or alleged to be made in, in connection with, or as an inducement to, this Amendment (each of such above-described legal, equitable or other theories or sources of liability, a “</w:t>
      </w:r>
      <w:r>
        <w:rPr>
          <w:rFonts w:ascii="Times New Roman" w:cs="Times New Roman" w:eastAsia="Times New Roman" w:hAnsi="Times New Roman"/>
          <w:sz w:val="21"/>
          <w:szCs w:val="21"/>
          <w:b w:val="1"/>
          <w:bCs w:val="1"/>
          <w:i w:val="1"/>
          <w:iCs w:val="1"/>
          <w:color w:val="auto"/>
        </w:rPr>
        <w:t>Claim</w:t>
      </w:r>
      <w:r>
        <w:rPr>
          <w:rFonts w:ascii="Times New Roman" w:cs="Times New Roman" w:eastAsia="Times New Roman" w:hAnsi="Times New Roman"/>
          <w:sz w:val="21"/>
          <w:szCs w:val="21"/>
          <w:color w:val="auto"/>
        </w:rPr>
        <w:t>”) shall be governed by the internal laws of the State of New York without giving effect to any choice or conflict of law provision or rule that would cause the application of the laws of any jurisdiction other than the State of New York. Each of the parties hereto (for itself and on behalf of its successors and permitted assigns and any person claiming by, through or on behalf of any of them) irrevocably agrees that any permitted Claim shall be brought exclusively in the state and federal courts located in the City, County and State of New York.</w:t>
      </w:r>
    </w:p>
    <w:p>
      <w:pPr>
        <w:spacing w:after="0" w:line="195" w:lineRule="exact"/>
        <w:rPr>
          <w:rFonts w:ascii="Times New Roman" w:cs="Times New Roman" w:eastAsia="Times New Roman" w:hAnsi="Times New Roman"/>
          <w:sz w:val="21"/>
          <w:szCs w:val="21"/>
          <w:color w:val="auto"/>
        </w:rPr>
      </w:pPr>
    </w:p>
    <w:p>
      <w:pPr>
        <w:jc w:val="both"/>
        <w:ind w:left="-632" w:firstLine="632"/>
        <w:spacing w:after="0" w:line="241" w:lineRule="auto"/>
        <w:tabs>
          <w:tab w:leader="none" w:pos="293"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may be executed and delivered (including by facsimile transmission or via portable document format (.pdf) or similar electronic means) in one or more counterparts, and by the different parties hereto in separate counterparts, each of which when so executed and delivered shall be deemed to be an original but all of which taken together shall constitute one and the same instrument. The words “execution,” “signed,” “signature,” “delivery” and words of like import in or relating to any document to be signed in connection with this Amendment and the transactions contemplated hereby shall be deemed to include any</w:t>
      </w:r>
    </w:p>
    <w:p>
      <w:pPr>
        <w:sectPr>
          <w:pgSz w:w="11900" w:h="16838" w:orient="portrait"/>
          <w:cols w:equalWidth="0" w:num="1">
            <w:col w:w="10608"/>
          </w:cols>
          <w:pgMar w:left="952" w:top="1367" w:right="339" w:bottom="1440" w:gutter="0" w:footer="0" w:header="0"/>
        </w:sectPr>
      </w:pPr>
    </w:p>
    <w:bookmarkStart w:id="46" w:name="page47"/>
    <w:bookmarkEnd w:id="46"/>
    <w:p>
      <w:pPr>
        <w:jc w:val="both"/>
        <w:spacing w:after="0" w:line="239" w:lineRule="auto"/>
        <w:rPr>
          <w:sz w:val="20"/>
          <w:szCs w:val="20"/>
          <w:color w:val="auto"/>
        </w:rPr>
      </w:pPr>
      <w:r>
        <w:rPr>
          <w:rFonts w:ascii="Times New Roman" w:cs="Times New Roman" w:eastAsia="Times New Roman" w:hAnsi="Times New Roman"/>
          <w:sz w:val="21"/>
          <w:szCs w:val="21"/>
          <w:color w:val="auto"/>
        </w:rPr>
        <w:t>electronic sound, symbol or process attached to, or associated with, a contract or other record and adopted by a person with the intent to sign, authenticate or accept such contract or record, and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1" w:lineRule="exact"/>
        <w:rPr>
          <w:sz w:val="20"/>
          <w:szCs w:val="20"/>
          <w:color w:val="auto"/>
        </w:rPr>
      </w:pPr>
    </w:p>
    <w:p>
      <w:pPr>
        <w:jc w:val="both"/>
        <w:ind w:firstLine="632"/>
        <w:spacing w:after="0" w:line="239" w:lineRule="auto"/>
        <w:tabs>
          <w:tab w:leader="none" w:pos="888"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amendment, waiver, supplement or modification of any provision of this Amendment will be valid and binding unless it is in writing and signed, in the case of an amendment, supplement or modification, by TF, Globalstar and [*] or, in the case of waiver, by the party or parties against whom the waiver is to be effective. No waiver by any party hereto of any breach or violation of, or default under, this Amendment, whether intentional or not, will be deemed to extend to any prior or subsequent breach, violation or default hereunder or affect in any way any rights arising by virtue of any prior or subsequent such occurrence. Subject to the terms hereof, no delay or omission on the part of any party hereto in exercising any right, power or remedy under this Amendment will operate as a waiver thereof.</w:t>
      </w:r>
    </w:p>
    <w:p>
      <w:pPr>
        <w:spacing w:after="0" w:line="198" w:lineRule="exact"/>
        <w:rPr>
          <w:rFonts w:ascii="Times New Roman" w:cs="Times New Roman" w:eastAsia="Times New Roman" w:hAnsi="Times New Roman"/>
          <w:sz w:val="21"/>
          <w:szCs w:val="21"/>
          <w:color w:val="auto"/>
        </w:rPr>
      </w:pPr>
    </w:p>
    <w:p>
      <w:pPr>
        <w:jc w:val="both"/>
        <w:ind w:firstLine="632"/>
        <w:spacing w:after="0" w:line="238" w:lineRule="auto"/>
        <w:tabs>
          <w:tab w:leader="none" w:pos="963"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along with the Guaranty, together with any documents referenced herein or therein constitute the complete and exclusive agreement among the parties superseding all contemporaneous and prior agreements (written and oral) and all other communications among them relating to its subject matter. The parties acknowledge that they are not relying on any written or oral agreement, representation, warranty, or understanding of any kind made by any of the parties or any employee or agent of the parties except this Amendment and the Guaranty.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367" w:right="339" w:bottom="1440" w:gutter="0" w:footer="0" w:header="0"/>
        </w:sectPr>
      </w:pPr>
    </w:p>
    <w:bookmarkStart w:id="47" w:name="page48"/>
    <w:bookmarkEnd w:id="47"/>
    <w:p>
      <w:pPr>
        <w:ind w:firstLine="627"/>
        <w:spacing w:after="0" w:line="264" w:lineRule="auto"/>
        <w:rPr>
          <w:sz w:val="20"/>
          <w:szCs w:val="20"/>
          <w:color w:val="auto"/>
        </w:rPr>
      </w:pPr>
      <w:r>
        <w:rPr>
          <w:rFonts w:ascii="Times New Roman" w:cs="Times New Roman" w:eastAsia="Times New Roman" w:hAnsi="Times New Roman"/>
          <w:sz w:val="21"/>
          <w:szCs w:val="21"/>
          <w:color w:val="auto"/>
        </w:rPr>
        <w:t>IN WITNESS WHEREOF, each of the parties has duly executed and delivered this Amendment through its undersigned designee duly authorized to be effective as of the date first above written.</w:t>
      </w:r>
    </w:p>
    <w:p>
      <w:pPr>
        <w:spacing w:after="0" w:line="200" w:lineRule="exact"/>
        <w:rPr>
          <w:sz w:val="20"/>
          <w:szCs w:val="20"/>
          <w:color w:val="auto"/>
        </w:rPr>
      </w:pPr>
    </w:p>
    <w:p>
      <w:pPr>
        <w:spacing w:after="0" w:line="20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b w:val="1"/>
          <w:bCs w:val="1"/>
          <w:color w:val="auto"/>
        </w:rPr>
        <w:t>Thermo Funding II, LLC</w:t>
      </w:r>
    </w:p>
    <w:p>
      <w:pPr>
        <w:spacing w:after="0" w:line="23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James Monroe III</w:t>
      </w:r>
    </w:p>
    <w:p>
      <w:pPr>
        <w:spacing w:after="0" w:line="1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Name: James Monroe III</w:t>
      </w:r>
    </w:p>
    <w:p>
      <w:pPr>
        <w:ind w:left="3760"/>
        <w:spacing w:after="0"/>
        <w:rPr>
          <w:sz w:val="20"/>
          <w:szCs w:val="20"/>
          <w:color w:val="auto"/>
        </w:rPr>
      </w:pPr>
      <w:r>
        <w:rPr>
          <w:rFonts w:ascii="Times New Roman" w:cs="Times New Roman" w:eastAsia="Times New Roman" w:hAnsi="Times New Roman"/>
          <w:sz w:val="21"/>
          <w:szCs w:val="21"/>
          <w:color w:val="auto"/>
        </w:rPr>
        <w:t>Title: Manager</w:t>
      </w:r>
    </w:p>
    <w:p>
      <w:pPr>
        <w:spacing w:after="0" w:line="200" w:lineRule="exact"/>
        <w:rPr>
          <w:sz w:val="20"/>
          <w:szCs w:val="20"/>
          <w:color w:val="auto"/>
        </w:rPr>
      </w:pPr>
    </w:p>
    <w:p>
      <w:pPr>
        <w:spacing w:after="0" w:line="22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b w:val="1"/>
          <w:bCs w:val="1"/>
          <w:color w:val="auto"/>
        </w:rPr>
        <w:t>Globalstar, Inc.</w:t>
      </w:r>
    </w:p>
    <w:p>
      <w:pPr>
        <w:spacing w:after="0" w:line="23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Rebecca S. Clary</w:t>
      </w:r>
    </w:p>
    <w:p>
      <w:pPr>
        <w:spacing w:after="0" w:line="1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Name: Rebecca S. Clary</w:t>
      </w:r>
    </w:p>
    <w:p>
      <w:pPr>
        <w:ind w:left="3760"/>
        <w:spacing w:after="0"/>
        <w:rPr>
          <w:sz w:val="20"/>
          <w:szCs w:val="20"/>
          <w:color w:val="auto"/>
        </w:rPr>
      </w:pPr>
      <w:r>
        <w:rPr>
          <w:rFonts w:ascii="Times New Roman" w:cs="Times New Roman" w:eastAsia="Times New Roman" w:hAnsi="Times New Roman"/>
          <w:sz w:val="21"/>
          <w:szCs w:val="21"/>
          <w:color w:val="auto"/>
        </w:rPr>
        <w:t>Title: Vice President &amp; Chief Financial Officer</w:t>
      </w:r>
    </w:p>
    <w:p>
      <w:pPr>
        <w:spacing w:after="0" w:line="200" w:lineRule="exact"/>
        <w:rPr>
          <w:sz w:val="20"/>
          <w:szCs w:val="20"/>
          <w:color w:val="auto"/>
        </w:rPr>
      </w:pPr>
    </w:p>
    <w:p>
      <w:pPr>
        <w:spacing w:after="0" w:line="23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b w:val="1"/>
          <w:bCs w:val="1"/>
          <w:color w:val="auto"/>
        </w:rPr>
        <w:t>[*]</w:t>
      </w:r>
    </w:p>
    <w:p>
      <w:pPr>
        <w:spacing w:after="0" w:line="23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w:t>
      </w:r>
    </w:p>
    <w:p>
      <w:pPr>
        <w:spacing w:after="0" w:line="1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Name: Authorized Signatory</w:t>
      </w:r>
    </w:p>
    <w:p>
      <w:pPr>
        <w:ind w:left="3760"/>
        <w:spacing w:after="0"/>
        <w:rPr>
          <w:sz w:val="20"/>
          <w:szCs w:val="20"/>
          <w:color w:val="auto"/>
        </w:rPr>
      </w:pPr>
      <w:r>
        <w:rPr>
          <w:rFonts w:ascii="Times New Roman" w:cs="Times New Roman" w:eastAsia="Times New Roman" w:hAnsi="Times New Roman"/>
          <w:sz w:val="21"/>
          <w:szCs w:val="21"/>
          <w:color w:val="auto"/>
        </w:rPr>
        <w:t>Title:</w:t>
      </w:r>
    </w:p>
    <w:p>
      <w:pPr>
        <w:sectPr>
          <w:pgSz w:w="11900" w:h="16838" w:orient="portrait"/>
          <w:cols w:equalWidth="0" w:num="1">
            <w:col w:w="11240"/>
          </w:cols>
          <w:pgMar w:left="320" w:top="136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Dr. Paul E. Jacobs, certify that:</w:t>
      </w:r>
    </w:p>
    <w:p>
      <w:pPr>
        <w:spacing w:after="0" w:line="249" w:lineRule="exact"/>
        <w:rPr>
          <w:sz w:val="20"/>
          <w:szCs w:val="20"/>
          <w:color w:val="auto"/>
        </w:rPr>
      </w:pPr>
    </w:p>
    <w:p>
      <w:pPr>
        <w:ind w:left="320" w:hanging="315"/>
        <w:spacing w:after="0"/>
        <w:tabs>
          <w:tab w:leader="none" w:pos="3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Globalstar, Inc.;</w:t>
      </w:r>
    </w:p>
    <w:p>
      <w:pPr>
        <w:spacing w:after="0" w:line="248" w:lineRule="exact"/>
        <w:rPr>
          <w:rFonts w:ascii="Times New Roman" w:cs="Times New Roman" w:eastAsia="Times New Roman" w:hAnsi="Times New Roman"/>
          <w:sz w:val="17"/>
          <w:szCs w:val="17"/>
          <w:color w:val="auto"/>
        </w:rPr>
      </w:pPr>
    </w:p>
    <w:p>
      <w:pPr>
        <w:ind w:left="320" w:right="20" w:hanging="315"/>
        <w:spacing w:after="0" w:line="295" w:lineRule="auto"/>
        <w:tabs>
          <w:tab w:leader="none" w:pos="3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Times New Roman" w:cs="Times New Roman" w:eastAsia="Times New Roman" w:hAnsi="Times New Roman"/>
          <w:sz w:val="17"/>
          <w:szCs w:val="17"/>
          <w:color w:val="auto"/>
        </w:rPr>
      </w:pPr>
    </w:p>
    <w:p>
      <w:pPr>
        <w:ind w:left="320" w:right="100" w:hanging="315"/>
        <w:spacing w:after="0" w:line="295" w:lineRule="auto"/>
        <w:tabs>
          <w:tab w:leader="none" w:pos="3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ind w:left="320" w:right="340" w:hanging="315"/>
        <w:spacing w:after="0" w:line="295" w:lineRule="auto"/>
        <w:tabs>
          <w:tab w:leader="none" w:pos="3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2" w:lineRule="exact"/>
        <w:rPr>
          <w:rFonts w:ascii="Times New Roman" w:cs="Times New Roman" w:eastAsia="Times New Roman" w:hAnsi="Times New Roman"/>
          <w:sz w:val="17"/>
          <w:szCs w:val="17"/>
          <w:color w:val="auto"/>
        </w:rPr>
      </w:pPr>
    </w:p>
    <w:p>
      <w:pPr>
        <w:jc w:val="both"/>
        <w:ind w:left="940" w:right="440" w:hanging="308"/>
        <w:spacing w:after="0" w:line="276" w:lineRule="auto"/>
        <w:tabs>
          <w:tab w:leader="none" w:pos="93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8" w:lineRule="exact"/>
        <w:rPr>
          <w:rFonts w:ascii="Times New Roman" w:cs="Times New Roman" w:eastAsia="Times New Roman" w:hAnsi="Times New Roman"/>
          <w:sz w:val="17"/>
          <w:szCs w:val="17"/>
          <w:color w:val="auto"/>
        </w:rPr>
      </w:pPr>
    </w:p>
    <w:p>
      <w:pPr>
        <w:ind w:left="940" w:right="120" w:hanging="308"/>
        <w:spacing w:after="0" w:line="276" w:lineRule="auto"/>
        <w:tabs>
          <w:tab w:leader="none" w:pos="94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17"/>
          <w:szCs w:val="17"/>
          <w:color w:val="auto"/>
        </w:rPr>
      </w:pPr>
    </w:p>
    <w:p>
      <w:pPr>
        <w:ind w:left="940" w:right="40" w:hanging="308"/>
        <w:spacing w:after="0" w:line="295" w:lineRule="auto"/>
        <w:tabs>
          <w:tab w:leader="none" w:pos="93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17"/>
          <w:szCs w:val="17"/>
          <w:color w:val="auto"/>
        </w:rPr>
      </w:pPr>
    </w:p>
    <w:p>
      <w:pPr>
        <w:ind w:left="940" w:right="200" w:hanging="308"/>
        <w:spacing w:after="0" w:line="295" w:lineRule="auto"/>
        <w:tabs>
          <w:tab w:leader="none" w:pos="94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2" w:lineRule="exact"/>
        <w:rPr>
          <w:rFonts w:ascii="Times New Roman" w:cs="Times New Roman" w:eastAsia="Times New Roman" w:hAnsi="Times New Roman"/>
          <w:sz w:val="17"/>
          <w:szCs w:val="17"/>
          <w:color w:val="auto"/>
        </w:rPr>
      </w:pPr>
    </w:p>
    <w:p>
      <w:pPr>
        <w:ind w:left="320" w:right="160" w:hanging="315"/>
        <w:spacing w:after="0" w:line="295" w:lineRule="auto"/>
        <w:tabs>
          <w:tab w:leader="none" w:pos="3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disclosed, based on my most recent evaluation of internal control over financial reporting, to the registrant’s auditors and the audit committee of the registrant’s board of directors:</w:t>
      </w:r>
    </w:p>
    <w:p>
      <w:pPr>
        <w:spacing w:after="0" w:line="172" w:lineRule="exact"/>
        <w:rPr>
          <w:rFonts w:ascii="Times New Roman" w:cs="Times New Roman" w:eastAsia="Times New Roman" w:hAnsi="Times New Roman"/>
          <w:sz w:val="17"/>
          <w:szCs w:val="17"/>
          <w:color w:val="auto"/>
        </w:rPr>
      </w:pPr>
    </w:p>
    <w:p>
      <w:pPr>
        <w:ind w:left="940" w:right="320" w:hanging="308"/>
        <w:spacing w:after="0" w:line="295" w:lineRule="auto"/>
        <w:tabs>
          <w:tab w:leader="none" w:pos="93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940" w:right="280" w:hanging="308"/>
        <w:spacing w:after="0" w:line="295" w:lineRule="auto"/>
        <w:tabs>
          <w:tab w:leader="none" w:pos="94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227"/>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7, 2026</w:t>
            </w:r>
          </w:p>
        </w:tc>
      </w:tr>
      <w:tr>
        <w:trPr>
          <w:trHeight w:val="379"/>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Dr. Paul E. Jacobs</w:t>
            </w:r>
          </w:p>
        </w:tc>
      </w:tr>
      <w:tr>
        <w:trPr>
          <w:trHeight w:val="208"/>
        </w:trPr>
        <w:tc>
          <w:tcPr>
            <w:tcW w:w="72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Dr. Paul E. Jacobs</w:t>
            </w:r>
          </w:p>
        </w:tc>
      </w:tr>
      <w:tr>
        <w:trPr>
          <w:trHeight w:val="229"/>
        </w:trPr>
        <w:tc>
          <w:tcPr>
            <w:tcW w:w="7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Executive Officer (Principal Executive Officer)</w:t>
            </w:r>
          </w:p>
        </w:tc>
      </w:tr>
    </w:tbl>
    <w:p>
      <w:pPr>
        <w:sectPr>
          <w:pgSz w:w="11900" w:h="16838" w:orient="portrait"/>
          <w:cols w:equalWidth="0" w:num="1">
            <w:col w:w="11240"/>
          </w:cols>
          <w:pgMar w:left="320" w:top="864"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Rebecca S. Clary certify that:</w:t>
      </w:r>
    </w:p>
    <w:p>
      <w:pPr>
        <w:spacing w:after="0" w:line="249" w:lineRule="exact"/>
        <w:rPr>
          <w:sz w:val="20"/>
          <w:szCs w:val="20"/>
          <w:color w:val="auto"/>
        </w:rPr>
      </w:pPr>
    </w:p>
    <w:p>
      <w:pPr>
        <w:ind w:left="320" w:hanging="315"/>
        <w:spacing w:after="0"/>
        <w:tabs>
          <w:tab w:leader="none" w:pos="3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Globalstar, Inc.;</w:t>
      </w:r>
    </w:p>
    <w:p>
      <w:pPr>
        <w:spacing w:after="0" w:line="248" w:lineRule="exact"/>
        <w:rPr>
          <w:rFonts w:ascii="Times New Roman" w:cs="Times New Roman" w:eastAsia="Times New Roman" w:hAnsi="Times New Roman"/>
          <w:sz w:val="17"/>
          <w:szCs w:val="17"/>
          <w:color w:val="auto"/>
        </w:rPr>
      </w:pPr>
    </w:p>
    <w:p>
      <w:pPr>
        <w:ind w:left="320" w:right="20" w:hanging="315"/>
        <w:spacing w:after="0" w:line="295" w:lineRule="auto"/>
        <w:tabs>
          <w:tab w:leader="none" w:pos="3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Times New Roman" w:cs="Times New Roman" w:eastAsia="Times New Roman" w:hAnsi="Times New Roman"/>
          <w:sz w:val="17"/>
          <w:szCs w:val="17"/>
          <w:color w:val="auto"/>
        </w:rPr>
      </w:pPr>
    </w:p>
    <w:p>
      <w:pPr>
        <w:ind w:left="320" w:right="100" w:hanging="315"/>
        <w:spacing w:after="0" w:line="295" w:lineRule="auto"/>
        <w:tabs>
          <w:tab w:leader="none" w:pos="3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ind w:left="320" w:right="340" w:hanging="315"/>
        <w:spacing w:after="0" w:line="295" w:lineRule="auto"/>
        <w:tabs>
          <w:tab w:leader="none" w:pos="3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2" w:lineRule="exact"/>
        <w:rPr>
          <w:rFonts w:ascii="Times New Roman" w:cs="Times New Roman" w:eastAsia="Times New Roman" w:hAnsi="Times New Roman"/>
          <w:sz w:val="17"/>
          <w:szCs w:val="17"/>
          <w:color w:val="auto"/>
        </w:rPr>
      </w:pPr>
    </w:p>
    <w:p>
      <w:pPr>
        <w:jc w:val="both"/>
        <w:ind w:left="940" w:right="440" w:hanging="308"/>
        <w:spacing w:after="0" w:line="276" w:lineRule="auto"/>
        <w:tabs>
          <w:tab w:leader="none" w:pos="93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8" w:lineRule="exact"/>
        <w:rPr>
          <w:rFonts w:ascii="Times New Roman" w:cs="Times New Roman" w:eastAsia="Times New Roman" w:hAnsi="Times New Roman"/>
          <w:sz w:val="17"/>
          <w:szCs w:val="17"/>
          <w:color w:val="auto"/>
        </w:rPr>
      </w:pPr>
    </w:p>
    <w:p>
      <w:pPr>
        <w:ind w:left="940" w:right="120" w:hanging="308"/>
        <w:spacing w:after="0" w:line="276" w:lineRule="auto"/>
        <w:tabs>
          <w:tab w:leader="none" w:pos="94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17"/>
          <w:szCs w:val="17"/>
          <w:color w:val="auto"/>
        </w:rPr>
      </w:pPr>
    </w:p>
    <w:p>
      <w:pPr>
        <w:ind w:left="940" w:right="40" w:hanging="308"/>
        <w:spacing w:after="0" w:line="295" w:lineRule="auto"/>
        <w:tabs>
          <w:tab w:leader="none" w:pos="93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17"/>
          <w:szCs w:val="17"/>
          <w:color w:val="auto"/>
        </w:rPr>
      </w:pPr>
    </w:p>
    <w:p>
      <w:pPr>
        <w:ind w:left="940" w:right="200" w:hanging="308"/>
        <w:spacing w:after="0" w:line="295" w:lineRule="auto"/>
        <w:tabs>
          <w:tab w:leader="none" w:pos="94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2" w:lineRule="exact"/>
        <w:rPr>
          <w:rFonts w:ascii="Times New Roman" w:cs="Times New Roman" w:eastAsia="Times New Roman" w:hAnsi="Times New Roman"/>
          <w:sz w:val="17"/>
          <w:szCs w:val="17"/>
          <w:color w:val="auto"/>
        </w:rPr>
      </w:pPr>
    </w:p>
    <w:p>
      <w:pPr>
        <w:ind w:left="320" w:right="160" w:hanging="315"/>
        <w:spacing w:after="0" w:line="295" w:lineRule="auto"/>
        <w:tabs>
          <w:tab w:leader="none" w:pos="3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disclosed, based on my most recent evaluation of internal control over financial reporting, to the registrant’s auditors and the audit committee of the registrant’s board of directors:</w:t>
      </w:r>
    </w:p>
    <w:p>
      <w:pPr>
        <w:spacing w:after="0" w:line="172" w:lineRule="exact"/>
        <w:rPr>
          <w:rFonts w:ascii="Times New Roman" w:cs="Times New Roman" w:eastAsia="Times New Roman" w:hAnsi="Times New Roman"/>
          <w:sz w:val="17"/>
          <w:szCs w:val="17"/>
          <w:color w:val="auto"/>
        </w:rPr>
      </w:pPr>
    </w:p>
    <w:p>
      <w:pPr>
        <w:ind w:left="940" w:right="320" w:hanging="308"/>
        <w:spacing w:after="0" w:line="295" w:lineRule="auto"/>
        <w:tabs>
          <w:tab w:leader="none" w:pos="93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940" w:right="280" w:hanging="308"/>
        <w:spacing w:after="0" w:line="295" w:lineRule="auto"/>
        <w:tabs>
          <w:tab w:leader="none" w:pos="94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227"/>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7, 2026</w:t>
            </w:r>
          </w:p>
        </w:tc>
      </w:tr>
      <w:tr>
        <w:trPr>
          <w:trHeight w:val="379"/>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Rebecca S. Clary</w:t>
            </w:r>
          </w:p>
        </w:tc>
      </w:tr>
      <w:tr>
        <w:trPr>
          <w:trHeight w:val="208"/>
        </w:trPr>
        <w:tc>
          <w:tcPr>
            <w:tcW w:w="72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Rebecca S. Clary</w:t>
            </w:r>
          </w:p>
        </w:tc>
      </w:tr>
      <w:tr>
        <w:trPr>
          <w:trHeight w:val="229"/>
        </w:trPr>
        <w:tc>
          <w:tcPr>
            <w:tcW w:w="7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 (Principal Financial Officer)</w:t>
            </w:r>
          </w:p>
        </w:tc>
      </w:tr>
    </w:tbl>
    <w:p>
      <w:pPr>
        <w:sectPr>
          <w:pgSz w:w="11900" w:h="16838" w:orient="portrait"/>
          <w:cols w:equalWidth="0" w:num="1">
            <w:col w:w="11240"/>
          </w:cols>
          <w:pgMar w:left="320" w:top="864"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Section 906 of the Sarbanes-Oxley Act of 2002</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Chapter 63 of Title 18, United States Code), the undersigned officer of Globalstar, Inc. (the “Company”), does hereby certify that:</w:t>
      </w:r>
    </w:p>
    <w:p>
      <w:pPr>
        <w:spacing w:after="0" w:line="147"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This quarterly report on Form 10-Q for the quarter ended March 31, 2026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660" w:val="left"/>
          <w:tab w:leader="none" w:pos="5040" w:val="left"/>
          <w:tab w:leader="none" w:pos="55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May 7, 2026</w:t>
      </w:r>
      <w:r>
        <w:rPr>
          <w:sz w:val="20"/>
          <w:szCs w:val="20"/>
          <w:color w:val="auto"/>
        </w:rPr>
        <w:tab/>
      </w:r>
      <w:r>
        <w:rPr>
          <w:rFonts w:ascii="Times New Roman" w:cs="Times New Roman" w:eastAsia="Times New Roman" w:hAnsi="Times New Roman"/>
          <w:sz w:val="17"/>
          <w:szCs w:val="17"/>
          <w:color w:val="auto"/>
        </w:rPr>
        <w:t>By:</w:t>
        <w:tab/>
        <w:t>/s/ Dr. Paul E.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3496310</wp:posOffset>
            </wp:positionH>
            <wp:positionV relativeFrom="paragraph">
              <wp:posOffset>20320</wp:posOffset>
            </wp:positionV>
            <wp:extent cx="35020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2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Dr. Paul E. Jacobs</w:t>
      </w:r>
    </w:p>
    <w:p>
      <w:pPr>
        <w:spacing w:after="0" w:line="3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i w:val="1"/>
          <w:iCs w:val="1"/>
          <w:color w:val="auto"/>
        </w:rPr>
        <w:t>Chief Executive Officer (Principal Executive Officer)</w:t>
      </w:r>
    </w:p>
    <w:p>
      <w:pPr>
        <w:sectPr>
          <w:pgSz w:w="11900" w:h="16838" w:orient="portrait"/>
          <w:cols w:equalWidth="0" w:num="1">
            <w:col w:w="11240"/>
          </w:cols>
          <w:pgMar w:left="320" w:top="864"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Section 906 of the Sarbanes-Oxley Act of 2002</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Chapter 63 of Title 18, United States Code), the undersigned officer of Globalstar, Inc. (the “Company”), does hereby certify that:</w:t>
      </w:r>
    </w:p>
    <w:p>
      <w:pPr>
        <w:spacing w:after="0" w:line="147"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This quarterly report on Form 10-Q for the quarter ended March 31, 2026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660" w:val="left"/>
          <w:tab w:leader="none" w:pos="5040" w:val="left"/>
          <w:tab w:leader="none" w:pos="55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May 7, 2026</w:t>
      </w:r>
      <w:r>
        <w:rPr>
          <w:sz w:val="20"/>
          <w:szCs w:val="20"/>
          <w:color w:val="auto"/>
        </w:rPr>
        <w:tab/>
      </w:r>
      <w:r>
        <w:rPr>
          <w:rFonts w:ascii="Times New Roman" w:cs="Times New Roman" w:eastAsia="Times New Roman" w:hAnsi="Times New Roman"/>
          <w:sz w:val="17"/>
          <w:szCs w:val="17"/>
          <w:color w:val="auto"/>
        </w:rPr>
        <w:t>By:</w:t>
        <w:tab/>
        <w:t>/s/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3496310</wp:posOffset>
            </wp:positionH>
            <wp:positionV relativeFrom="paragraph">
              <wp:posOffset>20320</wp:posOffset>
            </wp:positionV>
            <wp:extent cx="35020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2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Rebecca S. Clary</w:t>
      </w:r>
    </w:p>
    <w:p>
      <w:pPr>
        <w:spacing w:after="0" w:line="3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i w:val="1"/>
          <w:iCs w:val="1"/>
          <w:color w:val="auto"/>
        </w:rPr>
        <w:t>Chief Financial Officer (Principal Financial Officer)</w:t>
      </w:r>
    </w:p>
    <w:sectPr>
      <w:pgSz w:w="11900" w:h="16838" w:orient="portrait"/>
      <w:cols w:equalWidth="0" w:num="1">
        <w:col w:w="11240"/>
      </w:cols>
      <w:pgMar w:left="320" w:top="8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lvl w:ilvl="1">
      <w:lvlJc w:val="left"/>
      <w:lvlText w:val="(%2)"/>
      <w:numFmt w:val="decimal"/>
      <w:start w:val="1"/>
    </w:lvl>
  </w:abstractNum>
  <w:abstractNum w:abstractNumId="6">
    <w:nsid w:val="3F2DBA31"/>
    <w:multiLevelType w:val="hybridMultilevel"/>
    <w:lvl w:ilvl="0">
      <w:lvlJc w:val="left"/>
      <w:lvlText w:val="%1."/>
      <w:numFmt w:val="decimal"/>
      <w:start w:val="3"/>
    </w:lvl>
    <w:lvl w:ilvl="1">
      <w:lvlJc w:val="left"/>
      <w:lvlText w:val="%2"/>
      <w:numFmt w:val="decimal"/>
      <w:start w:val="1"/>
    </w:lvl>
  </w:abstractNum>
  <w:abstractNum w:abstractNumId="7">
    <w:nsid w:val="7C83E458"/>
    <w:multiLevelType w:val="hybridMultilevel"/>
    <w:lvl w:ilvl="0">
      <w:lvlJc w:val="left"/>
      <w:lvlText w:val="%1"/>
      <w:numFmt w:val="decimal"/>
      <w:start w:val="1"/>
    </w:lvl>
    <w:lvl w:ilvl="1">
      <w:lvlJc w:val="left"/>
      <w:lvlText w:val="(%2)"/>
      <w:numFmt w:val="decimal"/>
      <w:start w:val="1"/>
    </w:lvl>
  </w:abstractNum>
  <w:abstractNum w:abstractNumId="8">
    <w:nsid w:val="257130A3"/>
    <w:multiLevelType w:val="hybridMultilevel"/>
    <w:lvl w:ilvl="0">
      <w:lvlJc w:val="left"/>
      <w:lvlText w:val="%1."/>
      <w:numFmt w:val="decimal"/>
      <w:start w:val="4"/>
    </w:lvl>
    <w:lvl w:ilvl="1">
      <w:lvlJc w:val="left"/>
      <w:lvlText w:val="%2"/>
      <w:numFmt w:val="decimal"/>
      <w:start w:val="1"/>
    </w:lvl>
  </w:abstractNum>
  <w:abstractNum w:abstractNumId="9">
    <w:nsid w:val="62BBD95A"/>
    <w:multiLevelType w:val="hybridMultilevel"/>
    <w:lvl w:ilvl="0">
      <w:lvlJc w:val="left"/>
      <w:lvlText w:val="%1."/>
      <w:numFmt w:val="decimal"/>
      <w:start w:val="6"/>
    </w:lvl>
  </w:abstractNum>
  <w:abstractNum w:abstractNumId="10">
    <w:nsid w:val="436C6125"/>
    <w:multiLevelType w:val="hybridMultilevel"/>
    <w:lvl w:ilvl="0">
      <w:lvlJc w:val="left"/>
      <w:lvlText w:val="%1."/>
      <w:numFmt w:val="decimal"/>
      <w:start w:val="11"/>
    </w:lvl>
  </w:abstractNum>
  <w:abstractNum w:abstractNumId="11">
    <w:nsid w:val="628C895D"/>
    <w:multiLevelType w:val="hybridMultilevel"/>
    <w:lvl w:ilvl="0">
      <w:lvlJc w:val="left"/>
      <w:lvlText w:val="%1."/>
      <w:numFmt w:val="decimal"/>
      <w:start w:val="14"/>
    </w:lvl>
  </w:abstractNum>
  <w:abstractNum w:abstractNumId="12">
    <w:nsid w:val="333AB105"/>
    <w:multiLevelType w:val="hybridMultilevel"/>
    <w:lvl w:ilvl="0">
      <w:lvlJc w:val="left"/>
      <w:lvlText w:val="(%1)"/>
      <w:numFmt w:val="lowerRoman"/>
      <w:start w:val="2"/>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
      <w:numFmt w:val="bullet"/>
      <w:start w:val="1"/>
    </w:lvl>
    <w:lvl w:ilvl="1">
      <w:lvlJc w:val="left"/>
      <w:lvlText w:val="#"/>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2"/>
    </w:lvl>
  </w:abstractNum>
  <w:abstractNum w:abstractNumId="22">
    <w:nsid w:val="189A769B"/>
    <w:multiLevelType w:val="hybridMultilevel"/>
    <w:lvl w:ilvl="0">
      <w:lvlJc w:val="left"/>
      <w:lvlText w:val="%1"/>
      <w:numFmt w:val="decimal"/>
      <w:start w:val="1"/>
    </w:lvl>
    <w:lvl w:ilvl="1">
      <w:lvlJc w:val="left"/>
      <w:lvlText w:val="(%2)"/>
      <w:numFmt w:val="lowerLetter"/>
      <w:start w:val="25"/>
    </w:lvl>
  </w:abstractNum>
  <w:abstractNum w:abstractNumId="23">
    <w:nsid w:val="54E49EB4"/>
    <w:multiLevelType w:val="hybridMultilevel"/>
    <w:lvl w:ilvl="0">
      <w:lvlJc w:val="left"/>
      <w:lvlText w:val="%1."/>
      <w:numFmt w:val="decimal"/>
      <w:start w:val="4"/>
    </w:lvl>
    <w:lvl w:ilvl="1">
      <w:lvlJc w:val="left"/>
      <w:lvlText w:val="%2"/>
      <w:numFmt w:val="lowerLetter"/>
      <w:start w:val="1"/>
    </w:lvl>
  </w:abstractNum>
  <w:abstractNum w:abstractNumId="24">
    <w:nsid w:val="71F32454"/>
    <w:multiLevelType w:val="hybridMultilevel"/>
    <w:lvl w:ilvl="0">
      <w:lvlJc w:val="left"/>
      <w:lvlText w:val="%1."/>
      <w:numFmt w:val="decimal"/>
      <w:start w:val="6"/>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lowerLetter"/>
      <w:start w:val="6"/>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58" Type="http://schemas.openxmlformats.org/officeDocument/2006/relationships/hyperlink" Target="https://www.sec.gov/Archives/edgar/data/1366868/000114036126014528/ef20070409_ex2-1.htm" TargetMode="External"/><Relationship Id="rId59" Type="http://schemas.openxmlformats.org/officeDocument/2006/relationships/hyperlink" Target="https://www.sec.gov/Archives/edgar/data/1366868/000136686825000104/ex31-compositecertificateo.htm" TargetMode="External"/><Relationship Id="rId60" Type="http://schemas.openxmlformats.org/officeDocument/2006/relationships/hyperlink" Target="https://www.sec.gov/Archives/edgar/data/1366868/000136686825000077/ex32-sixthamendedbylaws.htm" TargetMode="External"/><Relationship Id="rId61" Type="http://schemas.openxmlformats.org/officeDocument/2006/relationships/hyperlink" Target="https://www.sec.gov/Archives/edgar/data/1366868/000114036126014528/ef20070409_ex10-1.htm" TargetMode="External"/><Relationship Id="rId62" Type="http://schemas.openxmlformats.org/officeDocument/2006/relationships/hyperlink" Target="https://www.sec.gov/Archives/edgar/data/1366868/000114036126014528/ef20070409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2026-05-07T15:44:02Z</dcterms:created>
  <dcterms:modified xsi:type="dcterms:W3CDTF">2026-05-07T15:44:02Z</dcterms:modified>
</cp:coreProperties>
</file>