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31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317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Ponder L Barbee IV</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1351 HOLIDAY SQUARE BLVD.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Globalstar,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GSAT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0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09/12/2022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1005"/>
        <w:spacing w:after="0"/>
        <w:rPr>
          <w:sz w:val="20"/>
          <w:szCs w:val="20"/>
          <w:color w:val="auto"/>
        </w:rPr>
      </w:pPr>
      <w:r>
        <w:rPr>
          <w:rFonts w:ascii="Times New Roman" w:cs="Times New Roman" w:eastAsia="Times New Roman" w:hAnsi="Times New Roman"/>
          <w:sz w:val="17"/>
          <w:szCs w:val="17"/>
          <w:color w:val="0000FF"/>
        </w:rPr>
        <w:t>General Counsel</w:t>
      </w:r>
    </w:p>
    <w:p>
      <w:pPr>
        <w:spacing w:after="0" w:line="32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6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COVINGTON</w:t>
            </w:r>
          </w:p>
        </w:tc>
        <w:tc>
          <w:tcPr>
            <w:tcW w:w="9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LA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70433</w:t>
            </w:r>
          </w:p>
        </w:tc>
      </w:tr>
      <w:tr>
        <w:trPr>
          <w:trHeight w:val="155"/>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(City)</w:t>
            </w:r>
          </w:p>
        </w:tc>
        <w:tc>
          <w:tcPr>
            <w:tcW w:w="92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1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4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0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Voting Common Stock</w:t>
            </w:r>
          </w:p>
        </w:tc>
        <w:tc>
          <w:tcPr>
            <w:tcW w:w="1500" w:type="dxa"/>
            <w:vAlign w:val="bottom"/>
            <w:tcBorders>
              <w:bottom w:val="single" w:sz="8" w:color="2C2C2C"/>
            </w:tcBorders>
            <w:gridSpan w:val="2"/>
          </w:tcPr>
          <w:p>
            <w:pPr>
              <w:jc w:val="right"/>
              <w:ind w:right="160"/>
              <w:spacing w:after="0"/>
              <w:rPr>
                <w:sz w:val="20"/>
                <w:szCs w:val="20"/>
                <w:color w:val="auto"/>
              </w:rPr>
            </w:pPr>
            <w:r>
              <w:rPr>
                <w:rFonts w:ascii="Times New Roman" w:cs="Times New Roman" w:eastAsia="Times New Roman" w:hAnsi="Times New Roman"/>
                <w:sz w:val="17"/>
                <w:szCs w:val="17"/>
                <w:color w:val="0000FF"/>
              </w:rPr>
              <w:t>09/12/2022</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tcBorders>
              <w:bottom w:val="single" w:sz="8" w:color="2C2C2C"/>
            </w:tcBorders>
          </w:tcPr>
          <w:p>
            <w:pPr>
              <w:jc w:val="right"/>
              <w:ind w:right="112"/>
              <w:spacing w:after="0"/>
              <w:rPr>
                <w:sz w:val="20"/>
                <w:szCs w:val="20"/>
                <w:color w:val="auto"/>
              </w:rPr>
            </w:pPr>
            <w:r>
              <w:rPr>
                <w:rFonts w:ascii="Times New Roman" w:cs="Times New Roman" w:eastAsia="Times New Roman" w:hAnsi="Times New Roman"/>
                <w:sz w:val="17"/>
                <w:szCs w:val="17"/>
                <w:color w:val="0000FF"/>
              </w:rPr>
              <w:t>11,000</w:t>
            </w:r>
          </w:p>
        </w:tc>
        <w:tc>
          <w:tcPr>
            <w:tcW w:w="44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A</w:t>
            </w:r>
          </w:p>
        </w:tc>
        <w:tc>
          <w:tcPr>
            <w:tcW w:w="860" w:type="dxa"/>
            <w:vAlign w:val="bottom"/>
            <w:tcBorders>
              <w:bottom w:val="single" w:sz="8" w:color="2C2C2C"/>
            </w:tcBorders>
            <w:gridSpan w:val="3"/>
          </w:tcPr>
          <w:p>
            <w:pPr>
              <w:ind w:left="10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1.8236</w:t>
            </w:r>
            <w:r>
              <w:rPr>
                <w:rFonts w:ascii="Times New Roman" w:cs="Times New Roman" w:eastAsia="Times New Roman" w:hAnsi="Times New Roman"/>
                <w:sz w:val="22"/>
                <w:szCs w:val="22"/>
                <w:color w:val="008000"/>
                <w:vertAlign w:val="superscript"/>
              </w:rPr>
              <w:t>(1)</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1,623,418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Voting Common Stock</w:t>
            </w:r>
          </w:p>
        </w:tc>
        <w:tc>
          <w:tcPr>
            <w:tcW w:w="1500" w:type="dxa"/>
            <w:vAlign w:val="bottom"/>
            <w:tcBorders>
              <w:bottom w:val="single" w:sz="8" w:color="2C2C2C"/>
            </w:tcBorders>
            <w:gridSpan w:val="2"/>
          </w:tcPr>
          <w:p>
            <w:pPr>
              <w:jc w:val="right"/>
              <w:ind w:right="160"/>
              <w:spacing w:after="0"/>
              <w:rPr>
                <w:sz w:val="20"/>
                <w:szCs w:val="20"/>
                <w:color w:val="auto"/>
              </w:rPr>
            </w:pPr>
            <w:r>
              <w:rPr>
                <w:rFonts w:ascii="Times New Roman" w:cs="Times New Roman" w:eastAsia="Times New Roman" w:hAnsi="Times New Roman"/>
                <w:sz w:val="17"/>
                <w:szCs w:val="17"/>
                <w:color w:val="0000FF"/>
              </w:rPr>
              <w:t>09/13/2022</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tcBorders>
              <w:bottom w:val="single" w:sz="8" w:color="2C2C2C"/>
            </w:tcBorders>
          </w:tcPr>
          <w:p>
            <w:pPr>
              <w:jc w:val="right"/>
              <w:ind w:right="152"/>
              <w:spacing w:after="0"/>
              <w:rPr>
                <w:sz w:val="20"/>
                <w:szCs w:val="20"/>
                <w:color w:val="auto"/>
              </w:rPr>
            </w:pPr>
            <w:r>
              <w:rPr>
                <w:rFonts w:ascii="Times New Roman" w:cs="Times New Roman" w:eastAsia="Times New Roman" w:hAnsi="Times New Roman"/>
                <w:sz w:val="17"/>
                <w:szCs w:val="17"/>
                <w:color w:val="0000FF"/>
              </w:rPr>
              <w:t>3,000</w:t>
            </w:r>
          </w:p>
        </w:tc>
        <w:tc>
          <w:tcPr>
            <w:tcW w:w="44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A</w:t>
            </w:r>
          </w:p>
        </w:tc>
        <w:tc>
          <w:tcPr>
            <w:tcW w:w="860" w:type="dxa"/>
            <w:vAlign w:val="bottom"/>
            <w:tcBorders>
              <w:bottom w:val="single" w:sz="8" w:color="2C2C2C"/>
            </w:tcBorders>
            <w:gridSpan w:val="3"/>
          </w:tcPr>
          <w:p>
            <w:pPr>
              <w:ind w:left="10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1.7767</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1,626,418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jc w:val="right"/>
              <w:ind w:right="1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6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jc w:val="right"/>
              <w:ind w:right="14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were purchased in multiple transactions at prices ranging from $1.775 to $1.8592 per share. The price reported reflects the volume weighted average purchase price for the transactions. The reporting person undertakes to provide upon request by the SEC staff, the issuer or a security holder of the issuer, full information regarding the number of shares purchased at each separate price.</w:t>
      </w:r>
    </w:p>
    <w:p>
      <w:pPr>
        <w:spacing w:after="0" w:line="7" w:lineRule="exact"/>
        <w:rPr>
          <w:rFonts w:ascii="Times New Roman" w:cs="Times New Roman" w:eastAsia="Times New Roman" w:hAnsi="Times New Roman"/>
          <w:sz w:val="13"/>
          <w:szCs w:val="13"/>
          <w:color w:val="008000"/>
        </w:rPr>
      </w:pPr>
    </w:p>
    <w:p>
      <w:pPr>
        <w:ind w:left="40" w:right="4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were purchased in multiple transactions at prices ranging from $1.77 to $1.79 per share. The price reported reflects the volume weighted average purchase price for the transactions. The reporting person undertakes to provide upon request by the SEC staff, the issuer or a security holder of the issuer, full information regarding the number of shares purchased at each separate price.</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Arthur McMahon, III,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10299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02995" cy="8255"/>
                    </a:xfrm>
                    <a:prstGeom prst="rect">
                      <a:avLst/>
                    </a:prstGeom>
                    <a:noFill/>
                  </pic:spPr>
                </pic:pic>
              </a:graphicData>
            </a:graphic>
          </wp:anchor>
        </w:drawing>
      </w:r>
    </w:p>
    <w:p>
      <w:pPr>
        <w:spacing w:after="0" w:line="11" w:lineRule="exact"/>
        <w:rPr>
          <w:sz w:val="24"/>
          <w:szCs w:val="24"/>
          <w:color w:val="auto"/>
        </w:rPr>
      </w:pPr>
    </w:p>
    <w:p>
      <w:pPr>
        <w:ind w:left="6580"/>
        <w:spacing w:after="0"/>
        <w:tabs>
          <w:tab w:leader="none" w:pos="8760" w:val="left"/>
        </w:tabs>
        <w:rPr>
          <w:sz w:val="20"/>
          <w:szCs w:val="20"/>
          <w:color w:val="auto"/>
        </w:rPr>
      </w:pPr>
      <w:r>
        <w:rPr>
          <w:rFonts w:ascii="Times New Roman" w:cs="Times New Roman" w:eastAsia="Times New Roman" w:hAnsi="Times New Roman"/>
          <w:sz w:val="17"/>
          <w:szCs w:val="17"/>
          <w:color w:val="0000FF"/>
        </w:rPr>
        <w:t>attorney-in-fact for L. Barbee</w:t>
        <w:tab/>
        <w:t>09/14/2022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Ponder IV</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5529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55295" cy="8255"/>
                    </a:xfrm>
                    <a:prstGeom prst="rect">
                      <a:avLst/>
                    </a:prstGeom>
                    <a:noFill/>
                  </pic:spPr>
                </pic:pic>
              </a:graphicData>
            </a:graphic>
          </wp:anchor>
        </w:drawing>
      </w:r>
    </w:p>
    <w:p>
      <w:pPr>
        <w:spacing w:after="0" w:line="40"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496862" TargetMode="External"/><Relationship Id="rId13" Type="http://schemas.openxmlformats.org/officeDocument/2006/relationships/hyperlink" Target="http://www.sec.gov/cgi-bin/browse-edgar?action=getcompany&amp;CIK=000136686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2022-09-14T14:02:26Z</dcterms:created>
  <dcterms:modified xsi:type="dcterms:W3CDTF">2022-09-14T14:02:26Z</dcterms:modified>
</cp:coreProperties>
</file>