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5</w:t>
            </w:r>
          </w:p>
        </w:tc>
        <w:tc>
          <w:tcPr>
            <w:tcW w:w="7240" w:type="dxa"/>
            <w:vAlign w:val="bottom"/>
            <w:gridSpan w:val="9"/>
          </w:tcPr>
          <w:p>
            <w:pPr>
              <w:jc w:val="center"/>
              <w:ind w:right="10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jc w:val="center"/>
              <w:ind w:right="28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40" w:type="dxa"/>
            <w:vAlign w:val="bottom"/>
            <w:gridSpan w:val="5"/>
            <w:vMerge w:val="restart"/>
          </w:tcPr>
          <w:p>
            <w:pPr>
              <w:jc w:val="center"/>
              <w:ind w:left="3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Kagan David B.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Globalstar,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GSAT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1351 HOLIDAY SQUARE BLVD.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6927850</wp:posOffset>
            </wp:positionH>
            <wp:positionV relativeFrom="paragraph">
              <wp:posOffset>-1704340</wp:posOffset>
            </wp:positionV>
            <wp:extent cx="8255" cy="6127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-1712595</wp:posOffset>
            </wp:positionV>
            <wp:extent cx="8255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5643880</wp:posOffset>
            </wp:positionH>
            <wp:positionV relativeFrom="paragraph">
              <wp:posOffset>-1687830</wp:posOffset>
            </wp:positionV>
            <wp:extent cx="1267460" cy="5715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-1505585</wp:posOffset>
            </wp:positionV>
            <wp:extent cx="6966585" cy="2327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232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-1505585</wp:posOffset>
            </wp:positionV>
            <wp:extent cx="6966585" cy="2327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232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3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154305</wp:posOffset>
            </wp:positionV>
            <wp:extent cx="6966585" cy="1101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110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0.4559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4,665,722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01/13/2026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203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0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 Award vests as to one-third immediately and one-third on each of December 6, 2020 and 2021.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83,362 shares acquired under the Globalstar Employee Stock Purchase Plan on June 15, 2019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-10160</wp:posOffset>
            </wp:positionV>
            <wp:extent cx="1079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-14605</wp:posOffset>
            </wp:positionV>
            <wp:extent cx="1890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Kagan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-14605</wp:posOffset>
            </wp:positionV>
            <wp:extent cx="2813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8" Type="http://schemas.openxmlformats.org/officeDocument/2006/relationships/hyperlink" Target="http://www.sec.gov/cgi-bin/browse-edgar?action=getcompany&amp;CIK=0001664362" TargetMode="External"/><Relationship Id="rId9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2020-04-13T13:35:11Z</dcterms:created>
  <dcterms:modified xsi:type="dcterms:W3CDTF">2020-04-13T13:35:11Z</dcterms:modified>
</cp:coreProperties>
</file>