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120"/>
        <w:spacing w:after="0"/>
        <w:rPr>
          <w:sz w:val="20"/>
          <w:szCs w:val="20"/>
          <w:color w:val="auto"/>
        </w:rPr>
      </w:pPr>
      <w:r>
        <w:rPr>
          <w:rFonts w:ascii="Arial" w:cs="Arial" w:eastAsia="Arial" w:hAnsi="Arial"/>
          <w:sz w:val="16"/>
          <w:szCs w:val="16"/>
          <w:b w:val="1"/>
          <w:bCs w:val="1"/>
          <w:color w:val="auto"/>
        </w:rPr>
        <w:t>Registration No. 333-______</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823" w:right="239" w:bottom="1440" w:gutter="0" w:footer="0" w:header="0"/>
        </w:sectPr>
      </w:pPr>
    </w:p>
    <w:p>
      <w:pPr>
        <w:spacing w:after="0" w:line="59" w:lineRule="exact"/>
        <w:rPr>
          <w:sz w:val="24"/>
          <w:szCs w:val="24"/>
          <w:color w:val="auto"/>
        </w:rPr>
      </w:pPr>
    </w:p>
    <w:p>
      <w:pPr>
        <w:ind w:left="30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41-2116508</w:t>
      </w:r>
    </w:p>
    <w:p>
      <w:pPr>
        <w:spacing w:after="0" w:line="90" w:lineRule="exact"/>
        <w:rPr>
          <w:sz w:val="24"/>
          <w:szCs w:val="24"/>
          <w:color w:val="auto"/>
        </w:rPr>
      </w:pPr>
    </w:p>
    <w:p>
      <w:pPr>
        <w:sectPr>
          <w:pgSz w:w="11900" w:h="16838" w:orient="portrait"/>
          <w:cols w:equalWidth="0" w:num="2">
            <w:col w:w="6860" w:space="720"/>
            <w:col w:w="3840"/>
          </w:cols>
          <w:pgMar w:left="240" w:top="823" w:right="239" w:bottom="1440" w:gutter="0" w:footer="0" w:header="0"/>
          <w:type w:val="continuous"/>
        </w:sectPr>
      </w:pPr>
    </w:p>
    <w:p>
      <w:pPr>
        <w:jc w:val="center"/>
        <w:ind w:left="860"/>
        <w:spacing w:after="0"/>
        <w:rPr>
          <w:sz w:val="20"/>
          <w:szCs w:val="20"/>
          <w:color w:val="auto"/>
        </w:rPr>
      </w:pPr>
      <w:r>
        <w:rPr>
          <w:rFonts w:ascii="Arial" w:cs="Arial" w:eastAsia="Arial" w:hAnsi="Arial"/>
          <w:sz w:val="18"/>
          <w:szCs w:val="18"/>
          <w:color w:val="auto"/>
        </w:rPr>
        <w:t>(State or other jurisdiction</w:t>
      </w:r>
    </w:p>
    <w:p>
      <w:pPr>
        <w:spacing w:after="0" w:line="23" w:lineRule="exact"/>
        <w:rPr>
          <w:sz w:val="24"/>
          <w:szCs w:val="24"/>
          <w:color w:val="auto"/>
        </w:rPr>
      </w:pPr>
    </w:p>
    <w:p>
      <w:pPr>
        <w:jc w:val="center"/>
        <w:ind w:left="86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100"/>
        <w:spacing w:after="0"/>
        <w:rPr>
          <w:sz w:val="20"/>
          <w:szCs w:val="20"/>
          <w:color w:val="auto"/>
        </w:rPr>
      </w:pPr>
      <w:r>
        <w:rPr>
          <w:rFonts w:ascii="Arial" w:cs="Arial" w:eastAsia="Arial" w:hAnsi="Arial"/>
          <w:sz w:val="17"/>
          <w:szCs w:val="17"/>
          <w:color w:val="auto"/>
        </w:rPr>
        <w:t>(I.R.S. Employer Identification No.)</w:t>
      </w:r>
    </w:p>
    <w:p>
      <w:pPr>
        <w:spacing w:after="0" w:line="70" w:lineRule="exact"/>
        <w:rPr>
          <w:sz w:val="24"/>
          <w:szCs w:val="24"/>
          <w:color w:val="auto"/>
        </w:rPr>
      </w:pPr>
    </w:p>
    <w:p>
      <w:pPr>
        <w:sectPr>
          <w:pgSz w:w="11900" w:h="16838" w:orient="portrait"/>
          <w:cols w:equalWidth="0" w:num="2">
            <w:col w:w="5980" w:space="720"/>
            <w:col w:w="4720"/>
          </w:cols>
          <w:pgMar w:left="240" w:top="823"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1351 Holiday Square Blvd.</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Covington, Louisiana 70433</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Globalstar, Inc.</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Third Amended and Restated Globalstar, Inc. 2006 Equity Incentive Plan</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(Full title of the plan)</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Rebecca S. Clary</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Chief Financial Officer</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Globalstar, Inc.</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1351 Holiday Square Blvd.</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Covington, Louisiana 70433</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(985) 335-1500</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including area code, of agent for service)</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16" w:lineRule="exact"/>
        <w:rPr>
          <w:sz w:val="24"/>
          <w:szCs w:val="24"/>
          <w:color w:val="auto"/>
        </w:rPr>
      </w:pPr>
    </w:p>
    <w:tbl>
      <w:tblPr>
        <w:tblLayout w:type="fixed"/>
        <w:tblInd w:w="1100" w:type="dxa"/>
        <w:tblCellMar>
          <w:top w:w="0" w:type="dxa"/>
          <w:left w:w="0" w:type="dxa"/>
          <w:bottom w:w="0" w:type="dxa"/>
          <w:right w:w="0" w:type="dxa"/>
        </w:tblCellMar>
      </w:tblPr>
      <w:tr>
        <w:trPr>
          <w:trHeight w:val="230"/>
        </w:trPr>
        <w:tc>
          <w:tcPr>
            <w:tcW w:w="2100" w:type="dxa"/>
            <w:vAlign w:val="bottom"/>
          </w:tcPr>
          <w:p>
            <w:pPr>
              <w:ind w:left="220"/>
              <w:spacing w:after="0"/>
              <w:rPr>
                <w:sz w:val="20"/>
                <w:szCs w:val="20"/>
                <w:color w:val="auto"/>
              </w:rPr>
            </w:pPr>
            <w:r>
              <w:rPr>
                <w:rFonts w:ascii="Arial" w:cs="Arial" w:eastAsia="Arial" w:hAnsi="Arial"/>
                <w:sz w:val="18"/>
                <w:szCs w:val="18"/>
                <w:color w:val="auto"/>
                <w:w w:val="96"/>
              </w:rPr>
              <w:t>Large accelerated filer o</w:t>
            </w:r>
          </w:p>
        </w:tc>
        <w:tc>
          <w:tcPr>
            <w:tcW w:w="2060" w:type="dxa"/>
            <w:vAlign w:val="bottom"/>
            <w:gridSpan w:val="2"/>
          </w:tcPr>
          <w:p>
            <w:pPr>
              <w:ind w:left="640"/>
              <w:spacing w:after="0"/>
              <w:rPr>
                <w:sz w:val="20"/>
                <w:szCs w:val="20"/>
                <w:color w:val="auto"/>
              </w:rPr>
            </w:pPr>
            <w:r>
              <w:rPr>
                <w:rFonts w:ascii="Arial" w:cs="Arial" w:eastAsia="Arial" w:hAnsi="Arial"/>
                <w:sz w:val="18"/>
                <w:szCs w:val="18"/>
                <w:color w:val="auto"/>
                <w:w w:val="97"/>
              </w:rPr>
              <w:t>Accelerated filer x</w:t>
            </w:r>
          </w:p>
        </w:tc>
        <w:tc>
          <w:tcPr>
            <w:tcW w:w="3280" w:type="dxa"/>
            <w:vAlign w:val="bottom"/>
            <w:gridSpan w:val="2"/>
          </w:tcPr>
          <w:p>
            <w:pPr>
              <w:jc w:val="center"/>
              <w:ind w:right="10"/>
              <w:spacing w:after="0"/>
              <w:rPr>
                <w:sz w:val="20"/>
                <w:szCs w:val="20"/>
                <w:color w:val="auto"/>
              </w:rPr>
            </w:pPr>
            <w:r>
              <w:rPr>
                <w:rFonts w:ascii="Arial" w:cs="Arial" w:eastAsia="Arial" w:hAnsi="Arial"/>
                <w:sz w:val="18"/>
                <w:szCs w:val="18"/>
                <w:color w:val="auto"/>
                <w:w w:val="91"/>
              </w:rPr>
              <w:t>Non-accelerated filer o</w:t>
            </w:r>
          </w:p>
        </w:tc>
        <w:tc>
          <w:tcPr>
            <w:tcW w:w="1780" w:type="dxa"/>
            <w:vAlign w:val="bottom"/>
          </w:tcPr>
          <w:p>
            <w:pPr>
              <w:jc w:val="center"/>
              <w:ind w:right="310"/>
              <w:spacing w:after="0"/>
              <w:rPr>
                <w:sz w:val="20"/>
                <w:szCs w:val="20"/>
                <w:color w:val="auto"/>
              </w:rPr>
            </w:pPr>
            <w:r>
              <w:rPr>
                <w:rFonts w:ascii="Arial" w:cs="Arial" w:eastAsia="Arial" w:hAnsi="Arial"/>
                <w:sz w:val="18"/>
                <w:szCs w:val="18"/>
                <w:color w:val="auto"/>
                <w:w w:val="91"/>
              </w:rPr>
              <w:t>Smaller reporting</w:t>
            </w:r>
          </w:p>
        </w:tc>
      </w:tr>
      <w:tr>
        <w:trPr>
          <w:trHeight w:val="256"/>
        </w:trPr>
        <w:tc>
          <w:tcPr>
            <w:tcW w:w="2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80" w:type="dxa"/>
            <w:vAlign w:val="bottom"/>
            <w:gridSpan w:val="2"/>
          </w:tcPr>
          <w:p>
            <w:pPr>
              <w:jc w:val="center"/>
              <w:ind w:right="10"/>
              <w:spacing w:after="0"/>
              <w:rPr>
                <w:sz w:val="20"/>
                <w:szCs w:val="20"/>
                <w:color w:val="auto"/>
              </w:rPr>
            </w:pPr>
            <w:r>
              <w:rPr>
                <w:rFonts w:ascii="Arial" w:cs="Arial" w:eastAsia="Arial" w:hAnsi="Arial"/>
                <w:sz w:val="18"/>
                <w:szCs w:val="18"/>
                <w:color w:val="auto"/>
                <w:w w:val="91"/>
              </w:rPr>
              <w:t>(Do not check if a smaller</w:t>
            </w:r>
          </w:p>
        </w:tc>
        <w:tc>
          <w:tcPr>
            <w:tcW w:w="1780" w:type="dxa"/>
            <w:vAlign w:val="bottom"/>
          </w:tcPr>
          <w:p>
            <w:pPr>
              <w:jc w:val="center"/>
              <w:ind w:right="330"/>
              <w:spacing w:after="0"/>
              <w:rPr>
                <w:sz w:val="20"/>
                <w:szCs w:val="20"/>
                <w:color w:val="auto"/>
              </w:rPr>
            </w:pPr>
            <w:r>
              <w:rPr>
                <w:rFonts w:ascii="Arial" w:cs="Arial" w:eastAsia="Arial" w:hAnsi="Arial"/>
                <w:sz w:val="18"/>
                <w:szCs w:val="18"/>
                <w:color w:val="auto"/>
                <w:w w:val="90"/>
              </w:rPr>
              <w:t>company o</w:t>
            </w:r>
          </w:p>
        </w:tc>
      </w:tr>
      <w:tr>
        <w:trPr>
          <w:trHeight w:val="230"/>
        </w:trPr>
        <w:tc>
          <w:tcPr>
            <w:tcW w:w="2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gridSpan w:val="2"/>
          </w:tcPr>
          <w:p>
            <w:pPr>
              <w:jc w:val="center"/>
              <w:ind w:right="10"/>
              <w:spacing w:after="0"/>
              <w:rPr>
                <w:sz w:val="20"/>
                <w:szCs w:val="20"/>
                <w:color w:val="auto"/>
              </w:rPr>
            </w:pPr>
            <w:r>
              <w:rPr>
                <w:rFonts w:ascii="Arial" w:cs="Arial" w:eastAsia="Arial" w:hAnsi="Arial"/>
                <w:sz w:val="18"/>
                <w:szCs w:val="18"/>
                <w:color w:val="auto"/>
                <w:w w:val="91"/>
              </w:rPr>
              <w:t>reporting company)</w:t>
            </w:r>
          </w:p>
        </w:tc>
        <w:tc>
          <w:tcPr>
            <w:tcW w:w="1780" w:type="dxa"/>
            <w:vAlign w:val="bottom"/>
          </w:tcPr>
          <w:p>
            <w:pPr>
              <w:spacing w:after="0"/>
              <w:rPr>
                <w:sz w:val="20"/>
                <w:szCs w:val="20"/>
                <w:color w:val="auto"/>
              </w:rPr>
            </w:pPr>
          </w:p>
        </w:tc>
      </w:tr>
      <w:tr>
        <w:trPr>
          <w:trHeight w:val="385"/>
        </w:trPr>
        <w:tc>
          <w:tcPr>
            <w:tcW w:w="210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4"/>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r>
        <w:trPr>
          <w:trHeight w:val="243"/>
        </w:trPr>
        <w:tc>
          <w:tcPr>
            <w:tcW w:w="2100" w:type="dxa"/>
            <w:vAlign w:val="bottom"/>
          </w:tcPr>
          <w:p>
            <w:pPr>
              <w:spacing w:after="0"/>
              <w:rPr>
                <w:sz w:val="21"/>
                <w:szCs w:val="21"/>
                <w:color w:val="auto"/>
              </w:rPr>
            </w:pPr>
          </w:p>
        </w:tc>
        <w:tc>
          <w:tcPr>
            <w:tcW w:w="5340" w:type="dxa"/>
            <w:vAlign w:val="bottom"/>
            <w:gridSpan w:val="4"/>
          </w:tcPr>
          <w:p>
            <w:pPr>
              <w:ind w:left="900"/>
              <w:spacing w:after="0"/>
              <w:rPr>
                <w:sz w:val="20"/>
                <w:szCs w:val="20"/>
                <w:color w:val="auto"/>
              </w:rPr>
            </w:pPr>
            <w:r>
              <w:rPr>
                <w:rFonts w:ascii="Arial" w:cs="Arial" w:eastAsia="Arial" w:hAnsi="Arial"/>
                <w:sz w:val="18"/>
                <w:szCs w:val="18"/>
                <w:color w:val="auto"/>
              </w:rPr>
              <w:t>CALCULATION OF REGISTRATION FEE</w:t>
            </w:r>
          </w:p>
        </w:tc>
        <w:tc>
          <w:tcPr>
            <w:tcW w:w="1780" w:type="dxa"/>
            <w:vAlign w:val="bottom"/>
          </w:tcPr>
          <w:p>
            <w:pPr>
              <w:spacing w:after="0"/>
              <w:rPr>
                <w:sz w:val="21"/>
                <w:szCs w:val="21"/>
                <w:color w:val="auto"/>
              </w:rPr>
            </w:pPr>
          </w:p>
        </w:tc>
      </w:tr>
      <w:tr>
        <w:trPr>
          <w:trHeight w:val="34"/>
        </w:trPr>
        <w:tc>
          <w:tcPr>
            <w:tcW w:w="2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661"/>
        </w:trPr>
        <w:tc>
          <w:tcPr>
            <w:tcW w:w="2100" w:type="dxa"/>
            <w:vAlign w:val="bottom"/>
          </w:tcPr>
          <w:p>
            <w:pPr>
              <w:jc w:val="center"/>
              <w:ind w:right="270"/>
              <w:spacing w:after="0"/>
              <w:rPr>
                <w:sz w:val="20"/>
                <w:szCs w:val="20"/>
                <w:color w:val="auto"/>
              </w:rPr>
            </w:pPr>
            <w:r>
              <w:rPr>
                <w:rFonts w:ascii="Arial" w:cs="Arial" w:eastAsia="Arial" w:hAnsi="Arial"/>
                <w:sz w:val="18"/>
                <w:szCs w:val="18"/>
                <w:color w:val="auto"/>
                <w:w w:val="99"/>
              </w:rPr>
              <w:t>Title of</w:t>
            </w: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Proposed maximum</w:t>
            </w:r>
          </w:p>
        </w:tc>
        <w:tc>
          <w:tcPr>
            <w:tcW w:w="1780" w:type="dxa"/>
            <w:vAlign w:val="bottom"/>
          </w:tcPr>
          <w:p>
            <w:pPr>
              <w:spacing w:after="0"/>
              <w:rPr>
                <w:sz w:val="24"/>
                <w:szCs w:val="24"/>
                <w:color w:val="auto"/>
              </w:rPr>
            </w:pPr>
          </w:p>
        </w:tc>
      </w:tr>
      <w:tr>
        <w:trPr>
          <w:trHeight w:val="216"/>
        </w:trPr>
        <w:tc>
          <w:tcPr>
            <w:tcW w:w="2100" w:type="dxa"/>
            <w:vAlign w:val="bottom"/>
          </w:tcPr>
          <w:p>
            <w:pPr>
              <w:jc w:val="center"/>
              <w:ind w:right="290"/>
              <w:spacing w:after="0"/>
              <w:rPr>
                <w:sz w:val="20"/>
                <w:szCs w:val="20"/>
                <w:color w:val="auto"/>
              </w:rPr>
            </w:pPr>
            <w:r>
              <w:rPr>
                <w:rFonts w:ascii="Arial" w:cs="Arial" w:eastAsia="Arial" w:hAnsi="Arial"/>
                <w:sz w:val="18"/>
                <w:szCs w:val="18"/>
                <w:color w:val="auto"/>
                <w:w w:val="89"/>
              </w:rPr>
              <w:t>securities to be</w:t>
            </w: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93"/>
              </w:rPr>
              <w:t>Amount to be</w:t>
            </w:r>
          </w:p>
        </w:tc>
        <w:tc>
          <w:tcPr>
            <w:tcW w:w="238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Proposed maximum offering</w:t>
            </w: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aggregate</w:t>
            </w:r>
          </w:p>
        </w:tc>
        <w:tc>
          <w:tcPr>
            <w:tcW w:w="1780" w:type="dxa"/>
            <w:vAlign w:val="bottom"/>
          </w:tcPr>
          <w:p>
            <w:pPr>
              <w:jc w:val="center"/>
              <w:spacing w:after="0"/>
              <w:rPr>
                <w:sz w:val="20"/>
                <w:szCs w:val="20"/>
                <w:color w:val="auto"/>
              </w:rPr>
            </w:pPr>
            <w:r>
              <w:rPr>
                <w:rFonts w:ascii="Arial" w:cs="Arial" w:eastAsia="Arial" w:hAnsi="Arial"/>
                <w:sz w:val="18"/>
                <w:szCs w:val="18"/>
                <w:color w:val="auto"/>
                <w:w w:val="97"/>
              </w:rPr>
              <w:t>Amount of</w:t>
            </w:r>
          </w:p>
        </w:tc>
      </w:tr>
      <w:tr>
        <w:trPr>
          <w:trHeight w:val="329"/>
        </w:trPr>
        <w:tc>
          <w:tcPr>
            <w:tcW w:w="2100" w:type="dxa"/>
            <w:vAlign w:val="bottom"/>
          </w:tcPr>
          <w:p>
            <w:pPr>
              <w:jc w:val="center"/>
              <w:ind w:right="270"/>
              <w:spacing w:after="0"/>
              <w:rPr>
                <w:sz w:val="20"/>
                <w:szCs w:val="20"/>
                <w:color w:val="auto"/>
              </w:rPr>
            </w:pPr>
            <w:r>
              <w:rPr>
                <w:rFonts w:ascii="Arial" w:cs="Arial" w:eastAsia="Arial" w:hAnsi="Arial"/>
                <w:sz w:val="18"/>
                <w:szCs w:val="18"/>
                <w:color w:val="auto"/>
                <w:w w:val="87"/>
              </w:rPr>
              <w:t>registered</w:t>
            </w:r>
            <w:r>
              <w:rPr>
                <w:rFonts w:ascii="Arial" w:cs="Arial" w:eastAsia="Arial" w:hAnsi="Arial"/>
                <w:sz w:val="25"/>
                <w:szCs w:val="25"/>
                <w:color w:val="auto"/>
                <w:w w:val="87"/>
                <w:vertAlign w:val="superscript"/>
              </w:rPr>
              <w:t>1</w:t>
            </w: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85"/>
              </w:rPr>
              <w:t>registered</w:t>
            </w:r>
            <w:r>
              <w:rPr>
                <w:rFonts w:ascii="Arial" w:cs="Arial" w:eastAsia="Arial" w:hAnsi="Arial"/>
                <w:sz w:val="25"/>
                <w:szCs w:val="25"/>
                <w:color w:val="auto"/>
                <w:w w:val="85"/>
                <w:vertAlign w:val="superscript"/>
              </w:rPr>
              <w:t>2</w:t>
            </w:r>
          </w:p>
        </w:tc>
        <w:tc>
          <w:tcPr>
            <w:tcW w:w="660" w:type="dxa"/>
            <w:vAlign w:val="bottom"/>
          </w:tcPr>
          <w:p>
            <w:pPr>
              <w:spacing w:after="0"/>
              <w:rPr>
                <w:sz w:val="24"/>
                <w:szCs w:val="24"/>
                <w:color w:val="auto"/>
              </w:rPr>
            </w:pPr>
          </w:p>
        </w:tc>
        <w:tc>
          <w:tcPr>
            <w:tcW w:w="1720" w:type="dxa"/>
            <w:vAlign w:val="bottom"/>
          </w:tcPr>
          <w:p>
            <w:pPr>
              <w:jc w:val="center"/>
              <w:ind w:right="350"/>
              <w:spacing w:after="0"/>
              <w:rPr>
                <w:sz w:val="20"/>
                <w:szCs w:val="20"/>
                <w:color w:val="auto"/>
              </w:rPr>
            </w:pPr>
            <w:r>
              <w:rPr>
                <w:rFonts w:ascii="Arial" w:cs="Arial" w:eastAsia="Arial" w:hAnsi="Arial"/>
                <w:sz w:val="18"/>
                <w:szCs w:val="18"/>
                <w:color w:val="auto"/>
                <w:w w:val="86"/>
              </w:rPr>
              <w:t>price per share</w:t>
            </w:r>
            <w:r>
              <w:rPr>
                <w:rFonts w:ascii="Arial" w:cs="Arial" w:eastAsia="Arial" w:hAnsi="Arial"/>
                <w:sz w:val="25"/>
                <w:szCs w:val="25"/>
                <w:color w:val="auto"/>
                <w:w w:val="86"/>
                <w:vertAlign w:val="superscript"/>
              </w:rPr>
              <w:t>3</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offering price</w:t>
            </w:r>
            <w:r>
              <w:rPr>
                <w:rFonts w:ascii="Arial" w:cs="Arial" w:eastAsia="Arial" w:hAnsi="Arial"/>
                <w:sz w:val="25"/>
                <w:szCs w:val="25"/>
                <w:color w:val="auto"/>
                <w:w w:val="91"/>
                <w:vertAlign w:val="superscript"/>
              </w:rPr>
              <w:t>3</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registration fee</w:t>
            </w:r>
          </w:p>
        </w:tc>
      </w:tr>
      <w:tr>
        <w:trPr>
          <w:trHeight w:val="152"/>
        </w:trPr>
        <w:tc>
          <w:tcPr>
            <w:tcW w:w="2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r>
      <w:tr>
        <w:trPr>
          <w:trHeight w:val="432"/>
        </w:trPr>
        <w:tc>
          <w:tcPr>
            <w:tcW w:w="2100" w:type="dxa"/>
            <w:vAlign w:val="bottom"/>
          </w:tcPr>
          <w:p>
            <w:pPr>
              <w:jc w:val="center"/>
              <w:ind w:right="270"/>
              <w:spacing w:after="0"/>
              <w:rPr>
                <w:sz w:val="20"/>
                <w:szCs w:val="20"/>
                <w:color w:val="auto"/>
              </w:rPr>
            </w:pPr>
            <w:r>
              <w:rPr>
                <w:rFonts w:ascii="Arial" w:cs="Arial" w:eastAsia="Arial" w:hAnsi="Arial"/>
                <w:sz w:val="18"/>
                <w:szCs w:val="18"/>
                <w:color w:val="auto"/>
                <w:w w:val="92"/>
              </w:rPr>
              <w:t>Voting Common Stock,</w:t>
            </w: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6"/>
        </w:trPr>
        <w:tc>
          <w:tcPr>
            <w:tcW w:w="2100" w:type="dxa"/>
            <w:vAlign w:val="bottom"/>
          </w:tcPr>
          <w:p>
            <w:pPr>
              <w:ind w:left="20"/>
              <w:spacing w:after="0"/>
              <w:rPr>
                <w:sz w:val="20"/>
                <w:szCs w:val="20"/>
                <w:color w:val="auto"/>
              </w:rPr>
            </w:pPr>
            <w:r>
              <w:rPr>
                <w:rFonts w:ascii="Arial" w:cs="Arial" w:eastAsia="Arial" w:hAnsi="Arial"/>
                <w:sz w:val="18"/>
                <w:szCs w:val="18"/>
                <w:color w:val="auto"/>
              </w:rPr>
              <w:t>$0.0001 par value</w:t>
            </w:r>
          </w:p>
        </w:tc>
        <w:tc>
          <w:tcPr>
            <w:tcW w:w="1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28,935,673</w:t>
            </w:r>
          </w:p>
        </w:tc>
        <w:tc>
          <w:tcPr>
            <w:tcW w:w="660" w:type="dxa"/>
            <w:vAlign w:val="bottom"/>
          </w:tcPr>
          <w:p>
            <w:pPr>
              <w:spacing w:after="0"/>
              <w:rPr>
                <w:sz w:val="20"/>
                <w:szCs w:val="20"/>
                <w:color w:val="auto"/>
              </w:rPr>
            </w:pPr>
          </w:p>
        </w:tc>
        <w:tc>
          <w:tcPr>
            <w:tcW w:w="1720" w:type="dxa"/>
            <w:vAlign w:val="bottom"/>
          </w:tcPr>
          <w:p>
            <w:pPr>
              <w:jc w:val="center"/>
              <w:ind w:right="350"/>
              <w:spacing w:after="0"/>
              <w:rPr>
                <w:sz w:val="20"/>
                <w:szCs w:val="20"/>
                <w:color w:val="auto"/>
              </w:rPr>
            </w:pPr>
            <w:r>
              <w:rPr>
                <w:rFonts w:ascii="Arial" w:cs="Arial" w:eastAsia="Arial" w:hAnsi="Arial"/>
                <w:sz w:val="18"/>
                <w:szCs w:val="18"/>
                <w:color w:val="auto"/>
                <w:w w:val="88"/>
              </w:rPr>
              <w:t>$0.41</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$11,863,625.93</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$1,539.90</w:t>
            </w:r>
          </w:p>
        </w:tc>
      </w:tr>
    </w:tbl>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______________________________________________________________________________________________________</w:t>
      </w:r>
    </w:p>
    <w:p>
      <w:pPr>
        <w:spacing w:after="0" w:line="184" w:lineRule="exact"/>
        <w:rPr>
          <w:sz w:val="24"/>
          <w:szCs w:val="24"/>
          <w:color w:val="auto"/>
        </w:rPr>
      </w:pPr>
    </w:p>
    <w:p>
      <w:pPr>
        <w:ind w:left="100" w:hanging="92"/>
        <w:spacing w:after="0"/>
        <w:tabs>
          <w:tab w:leader="none" w:pos="100" w:val="left"/>
        </w:tabs>
        <w:numPr>
          <w:ilvl w:val="0"/>
          <w:numId w:val="1"/>
        </w:numPr>
        <w:rPr>
          <w:rFonts w:ascii="Arial" w:cs="Arial" w:eastAsia="Arial" w:hAnsi="Arial"/>
          <w:sz w:val="24"/>
          <w:szCs w:val="24"/>
          <w:color w:val="auto"/>
          <w:vertAlign w:val="superscript"/>
        </w:rPr>
      </w:pPr>
      <w:r>
        <w:rPr>
          <w:rFonts w:ascii="Arial" w:cs="Arial" w:eastAsia="Arial" w:hAnsi="Arial"/>
          <w:sz w:val="17"/>
          <w:szCs w:val="17"/>
          <w:color w:val="auto"/>
        </w:rPr>
        <w:t>The securities to be registered include options and rights to acquire Common Stock.</w:t>
      </w:r>
    </w:p>
    <w:p>
      <w:pPr>
        <w:spacing w:after="0" w:line="202" w:lineRule="exact"/>
        <w:rPr>
          <w:sz w:val="24"/>
          <w:szCs w:val="24"/>
          <w:color w:val="auto"/>
        </w:rPr>
      </w:pPr>
    </w:p>
    <w:p>
      <w:pPr>
        <w:ind w:firstLine="8"/>
        <w:spacing w:after="0" w:line="216" w:lineRule="auto"/>
        <w:tabs>
          <w:tab w:leader="none" w:pos="121"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This registration statement also covers such indeterminable number of additional shares of Common Stock of the registrant as may become issuable with respect to any or all of such registered shares pursuant to the antidilution provisions of the plan.</w:t>
      </w:r>
    </w:p>
    <w:p>
      <w:pPr>
        <w:sectPr>
          <w:pgSz w:w="11900" w:h="16838" w:orient="portrait"/>
          <w:cols w:equalWidth="0" w:num="1">
            <w:col w:w="11420"/>
          </w:cols>
          <w:pgMar w:left="240" w:top="823" w:right="239" w:bottom="1440" w:gutter="0" w:footer="0" w:header="0"/>
          <w:type w:val="continuous"/>
        </w:sectPr>
      </w:pPr>
    </w:p>
    <w:bookmarkStart w:id="1" w:name="page2"/>
    <w:bookmarkEnd w:id="1"/>
    <w:p>
      <w:pPr>
        <w:jc w:val="both"/>
        <w:ind w:left="-8" w:firstLine="8"/>
        <w:spacing w:after="0" w:line="226" w:lineRule="auto"/>
        <w:tabs>
          <w:tab w:leader="none" w:pos="10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 proposed maximum offering price per share and the proposed maximum aggregate offering price are estimated solely for purposes of calculating the registration fee and are based, pursuant to Rule 457(h) under the Securities Act of 1933, upon the average of the high and low prices of the Common Stock on December 12, 2019, as reported on NYSE American.</w:t>
      </w:r>
    </w:p>
    <w:p>
      <w:pPr>
        <w:sectPr>
          <w:pgSz w:w="11900" w:h="16838" w:orient="portrait"/>
          <w:cols w:equalWidth="0" w:num="1">
            <w:col w:w="11412"/>
          </w:cols>
          <w:pgMar w:left="248" w:top="55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color w:val="auto"/>
        </w:rPr>
        <w:t>PART 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INFORMATION REQUIRED IN THE REGISTRATION STATEMENT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Explanatory Note: This registration statement on Form S-8 registers an additional 28,935,673 shares of the Common Stock of</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Globalstar, Inc. which may be issued pursuant to the Third Amended and Restated Globalstar, Inc. 2006 Equity Incentive Plan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“Plan”). Previous registration statements on Form S-8 registered 1,200,000 shares (File No. 333-138590), 600,000 shares (File No.</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333-145283), 1,673,858 shares (File No. 333-149747), 3,000,000 shares (File No. 333-150871), 2,732,117 shares (File No. 333-</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156884), 10,000,000 shares (File No. 333-161510), 5,487,680 shares (File No. 333-165444), 5,813,653 shares (File No. 333-</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173218), 5,943,516 shares (File No. 333-180178), 7,081,715 shares (File No. 333-188538) and 10,717,669 shares (File No. 333-</w:t>
      </w:r>
    </w:p>
    <w:p>
      <w:pPr>
        <w:spacing w:after="0" w:line="3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196327) of Common Stock under the Plan. The contents of those registration statements are incorporated herein by reference except to the extent an item is restated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80" w:type="dxa"/>
            <w:vAlign w:val="bottom"/>
            <w:gridSpan w:val="2"/>
          </w:tcPr>
          <w:p>
            <w:pPr>
              <w:spacing w:after="0"/>
              <w:rPr>
                <w:sz w:val="20"/>
                <w:szCs w:val="20"/>
                <w:color w:val="auto"/>
              </w:rPr>
            </w:pPr>
            <w:r>
              <w:rPr>
                <w:rFonts w:ascii="Arial" w:cs="Arial" w:eastAsia="Arial" w:hAnsi="Arial"/>
                <w:sz w:val="22"/>
                <w:szCs w:val="22"/>
                <w:color w:val="auto"/>
              </w:rPr>
              <w:t>Item 8.</w:t>
            </w:r>
          </w:p>
        </w:tc>
        <w:tc>
          <w:tcPr>
            <w:tcW w:w="1400" w:type="dxa"/>
            <w:vAlign w:val="bottom"/>
            <w:gridSpan w:val="2"/>
          </w:tcPr>
          <w:p>
            <w:pPr>
              <w:spacing w:after="0"/>
              <w:rPr>
                <w:sz w:val="20"/>
                <w:szCs w:val="20"/>
                <w:color w:val="auto"/>
              </w:rPr>
            </w:pPr>
            <w:r>
              <w:rPr>
                <w:rFonts w:ascii="Arial" w:cs="Arial" w:eastAsia="Arial" w:hAnsi="Arial"/>
                <w:sz w:val="22"/>
                <w:szCs w:val="22"/>
                <w:color w:val="auto"/>
              </w:rPr>
              <w:t>Exhibits</w:t>
            </w:r>
          </w:p>
        </w:tc>
        <w:tc>
          <w:tcPr>
            <w:tcW w:w="14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588"/>
        </w:trPr>
        <w:tc>
          <w:tcPr>
            <w:tcW w:w="6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5.1</w:t>
            </w:r>
          </w:p>
        </w:tc>
        <w:tc>
          <w:tcPr>
            <w:tcW w:w="680" w:type="dxa"/>
            <w:vAlign w:val="bottom"/>
          </w:tcPr>
          <w:p>
            <w:pPr>
              <w:spacing w:after="0"/>
              <w:rPr>
                <w:sz w:val="24"/>
                <w:szCs w:val="24"/>
                <w:color w:val="auto"/>
              </w:rPr>
            </w:pPr>
          </w:p>
        </w:tc>
        <w:tc>
          <w:tcPr>
            <w:tcW w:w="14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Opinion of Counsel</w:t>
            </w:r>
          </w:p>
        </w:tc>
        <w:tc>
          <w:tcPr>
            <w:tcW w:w="3800" w:type="dxa"/>
            <w:vAlign w:val="bottom"/>
            <w:gridSpan w:val="3"/>
          </w:tcPr>
          <w:p>
            <w:pPr>
              <w:spacing w:after="0"/>
              <w:rPr>
                <w:sz w:val="24"/>
                <w:szCs w:val="24"/>
                <w:color w:val="auto"/>
              </w:rPr>
            </w:pPr>
          </w:p>
        </w:tc>
      </w:tr>
      <w:tr>
        <w:trPr>
          <w:trHeight w:val="250"/>
        </w:trPr>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ind w:left="140"/>
              <w:spacing w:after="0"/>
              <w:rPr>
                <w:sz w:val="20"/>
                <w:szCs w:val="20"/>
                <w:color w:val="auto"/>
              </w:rPr>
            </w:pPr>
            <w:r>
              <w:rPr>
                <w:rFonts w:ascii="Arial" w:cs="Arial" w:eastAsia="Arial" w:hAnsi="Arial"/>
                <w:sz w:val="18"/>
                <w:szCs w:val="18"/>
                <w:color w:val="auto"/>
              </w:rPr>
              <w:t>23.1</w:t>
            </w:r>
          </w:p>
        </w:tc>
        <w:tc>
          <w:tcPr>
            <w:tcW w:w="680" w:type="dxa"/>
            <w:vAlign w:val="bottom"/>
          </w:tcPr>
          <w:p>
            <w:pPr>
              <w:spacing w:after="0"/>
              <w:rPr>
                <w:sz w:val="21"/>
                <w:szCs w:val="21"/>
                <w:color w:val="auto"/>
              </w:rPr>
            </w:pPr>
          </w:p>
        </w:tc>
        <w:tc>
          <w:tcPr>
            <w:tcW w:w="5220" w:type="dxa"/>
            <w:vAlign w:val="bottom"/>
            <w:gridSpan w:val="4"/>
          </w:tcPr>
          <w:p>
            <w:pPr>
              <w:spacing w:after="0"/>
              <w:rPr>
                <w:sz w:val="20"/>
                <w:szCs w:val="20"/>
                <w:color w:val="auto"/>
              </w:rPr>
            </w:pPr>
            <w:r>
              <w:rPr>
                <w:rFonts w:ascii="Arial" w:cs="Arial" w:eastAsia="Arial" w:hAnsi="Arial"/>
                <w:sz w:val="18"/>
                <w:szCs w:val="18"/>
                <w:color w:val="0000FF"/>
              </w:rPr>
              <w:t>Consent of Counsel (included in Exhibit 5.1)</w:t>
            </w: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ind w:left="140"/>
              <w:spacing w:after="0"/>
              <w:rPr>
                <w:sz w:val="20"/>
                <w:szCs w:val="20"/>
                <w:color w:val="auto"/>
              </w:rPr>
            </w:pPr>
            <w:r>
              <w:rPr>
                <w:rFonts w:ascii="Arial" w:cs="Arial" w:eastAsia="Arial" w:hAnsi="Arial"/>
                <w:sz w:val="18"/>
                <w:szCs w:val="18"/>
                <w:color w:val="auto"/>
              </w:rPr>
              <w:t>23.2</w:t>
            </w:r>
          </w:p>
        </w:tc>
        <w:tc>
          <w:tcPr>
            <w:tcW w:w="680" w:type="dxa"/>
            <w:vAlign w:val="bottom"/>
          </w:tcPr>
          <w:p>
            <w:pPr>
              <w:spacing w:after="0"/>
              <w:rPr>
                <w:sz w:val="21"/>
                <w:szCs w:val="21"/>
                <w:color w:val="auto"/>
              </w:rPr>
            </w:pPr>
          </w:p>
        </w:tc>
        <w:tc>
          <w:tcPr>
            <w:tcW w:w="52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0"/>
              </w:rPr>
              <w:t>Consent of Crowe LLP, Independent Registered Public Accounting Firm</w:t>
            </w:r>
          </w:p>
        </w:tc>
      </w:tr>
      <w:tr>
        <w:trPr>
          <w:trHeight w:val="250"/>
        </w:trPr>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ind w:left="140"/>
              <w:spacing w:after="0"/>
              <w:rPr>
                <w:sz w:val="20"/>
                <w:szCs w:val="20"/>
                <w:color w:val="auto"/>
              </w:rPr>
            </w:pPr>
            <w:r>
              <w:rPr>
                <w:rFonts w:ascii="Arial" w:cs="Arial" w:eastAsia="Arial" w:hAnsi="Arial"/>
                <w:sz w:val="18"/>
                <w:szCs w:val="18"/>
                <w:color w:val="auto"/>
              </w:rPr>
              <w:t>24.1</w:t>
            </w:r>
          </w:p>
        </w:tc>
        <w:tc>
          <w:tcPr>
            <w:tcW w:w="680" w:type="dxa"/>
            <w:vAlign w:val="bottom"/>
          </w:tcPr>
          <w:p>
            <w:pPr>
              <w:spacing w:after="0"/>
              <w:rPr>
                <w:sz w:val="21"/>
                <w:szCs w:val="21"/>
                <w:color w:val="auto"/>
              </w:rPr>
            </w:pPr>
          </w:p>
        </w:tc>
        <w:tc>
          <w:tcPr>
            <w:tcW w:w="5220" w:type="dxa"/>
            <w:vAlign w:val="bottom"/>
            <w:gridSpan w:val="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Powers of Attorney (included on signature page)</w:t>
              </w:r>
            </w:hyperlink>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ectPr>
          <w:pgSz w:w="11900" w:h="16838" w:orient="portrait"/>
          <w:cols w:equalWidth="0" w:num="1">
            <w:col w:w="11420"/>
          </w:cols>
          <w:pgMar w:left="240" w:top="5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u w:val="single" w:color="auto"/>
          <w:color w:val="auto"/>
        </w:rPr>
        <w:t>SIGNATURE</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Covington, State of Louisiana, as of December 13, 2019.</w:t>
      </w:r>
    </w:p>
    <w:p>
      <w:pPr>
        <w:spacing w:after="0" w:line="134"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GLOBALSTAR, INC.</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Rebecca S. Clary</w:t>
      </w:r>
    </w:p>
    <w:p>
      <w:pPr>
        <w:spacing w:after="0" w:line="22"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Rebecca S. Clary</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Chief Financial Officer</w:t>
      </w:r>
    </w:p>
    <w:p>
      <w:pPr>
        <w:sectPr>
          <w:pgSz w:w="11900" w:h="16838" w:orient="portrait"/>
          <w:cols w:equalWidth="0" w:num="1">
            <w:col w:w="11420"/>
          </w:cols>
          <w:pgMar w:left="240" w:top="78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u w:val="single" w:color="auto"/>
          <w:color w:val="auto"/>
        </w:rPr>
        <w:t>SIGNATURES AND POWER OF ATTORNEY</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officers and directors of Globalstar, Inc. whose signatures appear below, hereby constitute and appoint James Monroe</w:t>
      </w:r>
    </w:p>
    <w:p>
      <w:pPr>
        <w:spacing w:after="0" w:line="56" w:lineRule="exact"/>
        <w:rPr>
          <w:sz w:val="20"/>
          <w:szCs w:val="20"/>
          <w:color w:val="auto"/>
        </w:rPr>
      </w:pPr>
    </w:p>
    <w:p>
      <w:pPr>
        <w:jc w:val="both"/>
        <w:ind w:firstLine="8"/>
        <w:spacing w:after="0" w:line="257" w:lineRule="exact"/>
        <w:tabs>
          <w:tab w:leader="none" w:pos="285" w:val="left"/>
        </w:tabs>
        <w:numPr>
          <w:ilvl w:val="0"/>
          <w:numId w:val="4"/>
        </w:numPr>
        <w:rPr>
          <w:rFonts w:ascii="Arial" w:cs="Arial" w:eastAsia="Arial" w:hAnsi="Arial"/>
          <w:sz w:val="22"/>
          <w:szCs w:val="22"/>
          <w:color w:val="auto"/>
        </w:rPr>
      </w:pPr>
      <w:r>
        <w:rPr>
          <w:rFonts w:ascii="Arial" w:cs="Arial" w:eastAsia="Arial" w:hAnsi="Arial"/>
          <w:sz w:val="22"/>
          <w:szCs w:val="22"/>
          <w:color w:val="auto"/>
        </w:rPr>
        <w:t>and Rebecca S. Clary, and each of them, their true and lawful attorneys and agents, with full power of substitution, each with power to act alone, to sign and execute on behalf of the undersigned any amendment or amendments to this registration statement on Form S</w:t>
      </w:r>
      <w:r>
        <w:rPr>
          <w:rFonts w:ascii="MS PGothic" w:cs="MS PGothic" w:eastAsia="MS PGothic" w:hAnsi="MS PGothic"/>
          <w:sz w:val="22"/>
          <w:szCs w:val="22"/>
          <w:color w:val="auto"/>
        </w:rPr>
        <w:t>‑</w:t>
      </w:r>
      <w:r>
        <w:rPr>
          <w:rFonts w:ascii="Arial" w:cs="Arial" w:eastAsia="Arial" w:hAnsi="Arial"/>
          <w:sz w:val="22"/>
          <w:szCs w:val="22"/>
          <w:color w:val="auto"/>
        </w:rPr>
        <w:t>8, and each of the undersigned does hereby ratify and confirm all that each said attorney and agent, or his substitute, shall do or cause to be done by virtue hereof.</w:t>
      </w:r>
    </w:p>
    <w:p>
      <w:pPr>
        <w:spacing w:after="0" w:line="20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Act of 1933, this registration statement has been signed by the following persons in the capacities indicated as of December 13, 2019.</w:t>
      </w:r>
    </w:p>
    <w:p>
      <w:pPr>
        <w:spacing w:after="0" w:line="313"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740" w:type="dxa"/>
            <w:vAlign w:val="bottom"/>
            <w:gridSpan w:val="10"/>
          </w:tcPr>
          <w:p>
            <w:pPr>
              <w:spacing w:after="0"/>
              <w:rPr>
                <w:sz w:val="20"/>
                <w:szCs w:val="20"/>
                <w:color w:val="auto"/>
              </w:rPr>
            </w:pPr>
            <w:r>
              <w:rPr>
                <w:rFonts w:ascii="Arial" w:cs="Arial" w:eastAsia="Arial" w:hAnsi="Arial"/>
                <w:sz w:val="18"/>
                <w:szCs w:val="18"/>
                <w:b w:val="1"/>
                <w:bCs w:val="1"/>
                <w:color w:val="auto"/>
                <w:w w:val="86"/>
              </w:rPr>
              <w:t>Signature</w:t>
            </w:r>
          </w:p>
        </w:tc>
        <w:tc>
          <w:tcPr>
            <w:tcW w:w="5280" w:type="dxa"/>
            <w:vAlign w:val="bottom"/>
            <w:gridSpan w:val="3"/>
          </w:tcPr>
          <w:p>
            <w:pPr>
              <w:ind w:left="406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100" w:type="dxa"/>
            <w:vAlign w:val="bottom"/>
            <w:gridSpan w:val="11"/>
          </w:tcPr>
          <w:p>
            <w:pPr>
              <w:spacing w:after="0"/>
              <w:rPr>
                <w:sz w:val="20"/>
                <w:szCs w:val="20"/>
                <w:color w:val="auto"/>
              </w:rPr>
            </w:pPr>
            <w:r>
              <w:rPr>
                <w:rFonts w:ascii="Arial" w:cs="Arial" w:eastAsia="Arial" w:hAnsi="Arial"/>
                <w:sz w:val="22"/>
                <w:szCs w:val="22"/>
                <w:color w:val="auto"/>
              </w:rPr>
              <w:t>/s/ James Monroe III</w:t>
            </w:r>
          </w:p>
        </w:tc>
        <w:tc>
          <w:tcPr>
            <w:tcW w:w="5280" w:type="dxa"/>
            <w:vAlign w:val="bottom"/>
            <w:gridSpan w:val="3"/>
            <w:vMerge w:val="restart"/>
          </w:tcPr>
          <w:p>
            <w:pPr>
              <w:ind w:left="1400"/>
              <w:spacing w:after="0"/>
              <w:rPr>
                <w:sz w:val="20"/>
                <w:szCs w:val="20"/>
                <w:color w:val="auto"/>
              </w:rPr>
            </w:pPr>
            <w:r>
              <w:rPr>
                <w:rFonts w:ascii="Arial" w:cs="Arial" w:eastAsia="Arial" w:hAnsi="Arial"/>
                <w:sz w:val="22"/>
                <w:szCs w:val="22"/>
                <w:color w:val="auto"/>
              </w:rPr>
              <w:t>Executive Chairman of the Board</w:t>
            </w:r>
          </w:p>
        </w:tc>
        <w:tc>
          <w:tcPr>
            <w:tcW w:w="0" w:type="dxa"/>
            <w:vAlign w:val="bottom"/>
          </w:tcPr>
          <w:p>
            <w:pPr>
              <w:spacing w:after="0"/>
              <w:rPr>
                <w:sz w:val="1"/>
                <w:szCs w:val="1"/>
                <w:color w:val="auto"/>
              </w:rPr>
            </w:pPr>
          </w:p>
        </w:tc>
      </w:tr>
      <w:tr>
        <w:trPr>
          <w:trHeight w:val="274"/>
        </w:trPr>
        <w:tc>
          <w:tcPr>
            <w:tcW w:w="1800" w:type="dxa"/>
            <w:vAlign w:val="bottom"/>
            <w:tcBorders>
              <w:top w:val="single" w:sz="8" w:color="auto"/>
            </w:tcBorders>
            <w:gridSpan w:val="7"/>
          </w:tcPr>
          <w:p>
            <w:pPr>
              <w:spacing w:after="0"/>
              <w:rPr>
                <w:sz w:val="20"/>
                <w:szCs w:val="20"/>
                <w:color w:val="auto"/>
              </w:rPr>
            </w:pPr>
            <w:r>
              <w:rPr>
                <w:rFonts w:ascii="Arial" w:cs="Arial" w:eastAsia="Arial" w:hAnsi="Arial"/>
                <w:sz w:val="22"/>
                <w:szCs w:val="22"/>
                <w:color w:val="auto"/>
              </w:rPr>
              <w:t>James Monroe III</w:t>
            </w:r>
          </w:p>
        </w:tc>
        <w:tc>
          <w:tcPr>
            <w:tcW w:w="300" w:type="dxa"/>
            <w:vAlign w:val="bottom"/>
            <w:gridSpan w:val="4"/>
          </w:tcPr>
          <w:p>
            <w:pPr>
              <w:spacing w:after="0"/>
              <w:rPr>
                <w:sz w:val="23"/>
                <w:szCs w:val="23"/>
                <w:color w:val="auto"/>
              </w:rPr>
            </w:pPr>
          </w:p>
        </w:tc>
        <w:tc>
          <w:tcPr>
            <w:tcW w:w="528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100" w:type="dxa"/>
            <w:vAlign w:val="bottom"/>
            <w:gridSpan w:val="11"/>
          </w:tcPr>
          <w:p>
            <w:pPr>
              <w:spacing w:after="0" w:line="246" w:lineRule="exact"/>
              <w:rPr>
                <w:sz w:val="20"/>
                <w:szCs w:val="20"/>
                <w:color w:val="auto"/>
              </w:rPr>
            </w:pPr>
            <w:r>
              <w:rPr>
                <w:rFonts w:ascii="Arial" w:cs="Arial" w:eastAsia="Arial" w:hAnsi="Arial"/>
                <w:sz w:val="22"/>
                <w:szCs w:val="22"/>
                <w:color w:val="auto"/>
              </w:rPr>
              <w:t>/s/ David B. Kagan</w:t>
            </w:r>
          </w:p>
        </w:tc>
        <w:tc>
          <w:tcPr>
            <w:tcW w:w="5280" w:type="dxa"/>
            <w:vAlign w:val="bottom"/>
            <w:gridSpan w:val="3"/>
          </w:tcPr>
          <w:p>
            <w:pPr>
              <w:ind w:left="1400"/>
              <w:spacing w:after="0" w:line="246" w:lineRule="exact"/>
              <w:rPr>
                <w:sz w:val="20"/>
                <w:szCs w:val="20"/>
                <w:color w:val="auto"/>
              </w:rPr>
            </w:pPr>
            <w:r>
              <w:rPr>
                <w:rFonts w:ascii="Arial" w:cs="Arial" w:eastAsia="Arial" w:hAnsi="Arial"/>
                <w:sz w:val="22"/>
                <w:szCs w:val="22"/>
                <w:color w:val="auto"/>
              </w:rPr>
              <w:t>Chief Executive Officer</w:t>
            </w:r>
          </w:p>
        </w:tc>
        <w:tc>
          <w:tcPr>
            <w:tcW w:w="0" w:type="dxa"/>
            <w:vAlign w:val="bottom"/>
          </w:tcPr>
          <w:p>
            <w:pPr>
              <w:spacing w:after="0"/>
              <w:rPr>
                <w:sz w:val="1"/>
                <w:szCs w:val="1"/>
                <w:color w:val="auto"/>
              </w:rPr>
            </w:pPr>
          </w:p>
        </w:tc>
      </w:tr>
      <w:tr>
        <w:trPr>
          <w:trHeight w:val="274"/>
        </w:trPr>
        <w:tc>
          <w:tcPr>
            <w:tcW w:w="166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David B. Kagan</w:t>
            </w:r>
          </w:p>
        </w:tc>
        <w:tc>
          <w:tcPr>
            <w:tcW w:w="440" w:type="dxa"/>
            <w:vAlign w:val="bottom"/>
            <w:gridSpan w:val="8"/>
          </w:tcPr>
          <w:p>
            <w:pPr>
              <w:spacing w:after="0"/>
              <w:rPr>
                <w:sz w:val="23"/>
                <w:szCs w:val="23"/>
                <w:color w:val="auto"/>
              </w:rPr>
            </w:pPr>
          </w:p>
        </w:tc>
        <w:tc>
          <w:tcPr>
            <w:tcW w:w="5280" w:type="dxa"/>
            <w:vAlign w:val="bottom"/>
            <w:gridSpan w:val="3"/>
          </w:tcPr>
          <w:p>
            <w:pPr>
              <w:ind w:left="1400"/>
              <w:spacing w:after="0"/>
              <w:rPr>
                <w:sz w:val="20"/>
                <w:szCs w:val="20"/>
                <w:color w:val="auto"/>
              </w:rPr>
            </w:pPr>
            <w:r>
              <w:rPr>
                <w:rFonts w:ascii="Arial" w:cs="Arial" w:eastAsia="Arial" w:hAnsi="Arial"/>
                <w:sz w:val="22"/>
                <w:szCs w:val="22"/>
                <w:color w:val="auto"/>
              </w:rPr>
              <w:t>(Principal Executive Officer)</w:t>
            </w:r>
          </w:p>
        </w:tc>
        <w:tc>
          <w:tcPr>
            <w:tcW w:w="0" w:type="dxa"/>
            <w:vAlign w:val="bottom"/>
          </w:tcPr>
          <w:p>
            <w:pPr>
              <w:spacing w:after="0"/>
              <w:rPr>
                <w:sz w:val="1"/>
                <w:szCs w:val="1"/>
                <w:color w:val="auto"/>
              </w:rPr>
            </w:pPr>
          </w:p>
        </w:tc>
      </w:tr>
      <w:tr>
        <w:trPr>
          <w:trHeight w:val="247"/>
        </w:trPr>
        <w:tc>
          <w:tcPr>
            <w:tcW w:w="2100" w:type="dxa"/>
            <w:vAlign w:val="bottom"/>
            <w:gridSpan w:val="11"/>
          </w:tcPr>
          <w:p>
            <w:pPr>
              <w:spacing w:after="0" w:line="246" w:lineRule="exact"/>
              <w:rPr>
                <w:sz w:val="20"/>
                <w:szCs w:val="20"/>
                <w:color w:val="auto"/>
              </w:rPr>
            </w:pPr>
            <w:r>
              <w:rPr>
                <w:rFonts w:ascii="Arial" w:cs="Arial" w:eastAsia="Arial" w:hAnsi="Arial"/>
                <w:sz w:val="22"/>
                <w:szCs w:val="22"/>
                <w:color w:val="auto"/>
              </w:rPr>
              <w:t>/s/ Rebecca S. Clary</w:t>
            </w:r>
          </w:p>
        </w:tc>
        <w:tc>
          <w:tcPr>
            <w:tcW w:w="5280" w:type="dxa"/>
            <w:vAlign w:val="bottom"/>
            <w:gridSpan w:val="3"/>
          </w:tcPr>
          <w:p>
            <w:pPr>
              <w:ind w:left="1400"/>
              <w:spacing w:after="0" w:line="246" w:lineRule="exact"/>
              <w:rPr>
                <w:sz w:val="20"/>
                <w:szCs w:val="20"/>
                <w:color w:val="auto"/>
              </w:rPr>
            </w:pPr>
            <w:r>
              <w:rPr>
                <w:rFonts w:ascii="Arial" w:cs="Arial" w:eastAsia="Arial" w:hAnsi="Arial"/>
                <w:sz w:val="22"/>
                <w:szCs w:val="22"/>
                <w:color w:val="auto"/>
              </w:rPr>
              <w:t>Chief Financial Officer</w:t>
            </w:r>
          </w:p>
        </w:tc>
        <w:tc>
          <w:tcPr>
            <w:tcW w:w="0" w:type="dxa"/>
            <w:vAlign w:val="bottom"/>
          </w:tcPr>
          <w:p>
            <w:pPr>
              <w:spacing w:after="0"/>
              <w:rPr>
                <w:sz w:val="1"/>
                <w:szCs w:val="1"/>
                <w:color w:val="auto"/>
              </w:rPr>
            </w:pPr>
          </w:p>
        </w:tc>
      </w:tr>
      <w:tr>
        <w:trPr>
          <w:trHeight w:val="274"/>
        </w:trPr>
        <w:tc>
          <w:tcPr>
            <w:tcW w:w="1760" w:type="dxa"/>
            <w:vAlign w:val="bottom"/>
            <w:tcBorders>
              <w:top w:val="single" w:sz="8" w:color="auto"/>
            </w:tcBorders>
            <w:gridSpan w:val="5"/>
          </w:tcPr>
          <w:p>
            <w:pPr>
              <w:spacing w:after="0"/>
              <w:rPr>
                <w:sz w:val="20"/>
                <w:szCs w:val="20"/>
                <w:color w:val="auto"/>
              </w:rPr>
            </w:pPr>
            <w:r>
              <w:rPr>
                <w:rFonts w:ascii="Arial" w:cs="Arial" w:eastAsia="Arial" w:hAnsi="Arial"/>
                <w:sz w:val="22"/>
                <w:szCs w:val="22"/>
                <w:color w:val="auto"/>
              </w:rPr>
              <w:t>Rebecca S. Clary</w:t>
            </w:r>
          </w:p>
        </w:tc>
        <w:tc>
          <w:tcPr>
            <w:tcW w:w="340" w:type="dxa"/>
            <w:vAlign w:val="bottom"/>
            <w:gridSpan w:val="6"/>
          </w:tcPr>
          <w:p>
            <w:pPr>
              <w:spacing w:after="0"/>
              <w:rPr>
                <w:sz w:val="23"/>
                <w:szCs w:val="23"/>
                <w:color w:val="auto"/>
              </w:rPr>
            </w:pPr>
          </w:p>
        </w:tc>
        <w:tc>
          <w:tcPr>
            <w:tcW w:w="5280" w:type="dxa"/>
            <w:vAlign w:val="bottom"/>
            <w:gridSpan w:val="3"/>
          </w:tcPr>
          <w:p>
            <w:pPr>
              <w:ind w:left="1400"/>
              <w:spacing w:after="0"/>
              <w:rPr>
                <w:sz w:val="20"/>
                <w:szCs w:val="20"/>
                <w:color w:val="auto"/>
              </w:rPr>
            </w:pPr>
            <w:r>
              <w:rPr>
                <w:rFonts w:ascii="Arial" w:cs="Arial" w:eastAsia="Arial" w:hAnsi="Arial"/>
                <w:sz w:val="22"/>
                <w:szCs w:val="22"/>
                <w:color w:val="auto"/>
                <w:w w:val="91"/>
              </w:rPr>
              <w:t>(Principal Financial and Accounting Officer)</w:t>
            </w:r>
          </w:p>
        </w:tc>
        <w:tc>
          <w:tcPr>
            <w:tcW w:w="0" w:type="dxa"/>
            <w:vAlign w:val="bottom"/>
          </w:tcPr>
          <w:p>
            <w:pPr>
              <w:spacing w:after="0"/>
              <w:rPr>
                <w:sz w:val="1"/>
                <w:szCs w:val="1"/>
                <w:color w:val="auto"/>
              </w:rPr>
            </w:pPr>
          </w:p>
        </w:tc>
      </w:tr>
      <w:tr>
        <w:trPr>
          <w:trHeight w:val="247"/>
        </w:trPr>
        <w:tc>
          <w:tcPr>
            <w:tcW w:w="2100" w:type="dxa"/>
            <w:vAlign w:val="bottom"/>
            <w:gridSpan w:val="11"/>
          </w:tcPr>
          <w:p>
            <w:pPr>
              <w:spacing w:after="0" w:line="246" w:lineRule="exact"/>
              <w:rPr>
                <w:sz w:val="20"/>
                <w:szCs w:val="20"/>
                <w:color w:val="auto"/>
              </w:rPr>
            </w:pPr>
            <w:r>
              <w:rPr>
                <w:rFonts w:ascii="Arial" w:cs="Arial" w:eastAsia="Arial" w:hAnsi="Arial"/>
                <w:sz w:val="22"/>
                <w:szCs w:val="22"/>
                <w:color w:val="auto"/>
              </w:rPr>
              <w:t>/s/ William A. Hasler</w:t>
            </w:r>
          </w:p>
        </w:tc>
        <w:tc>
          <w:tcPr>
            <w:tcW w:w="5280" w:type="dxa"/>
            <w:vAlign w:val="bottom"/>
            <w:gridSpan w:val="3"/>
            <w:vMerge w:val="restart"/>
          </w:tcPr>
          <w:p>
            <w:pPr>
              <w:ind w:left="1400"/>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r>
        <w:trPr>
          <w:trHeight w:val="274"/>
        </w:trPr>
        <w:tc>
          <w:tcPr>
            <w:tcW w:w="1840" w:type="dxa"/>
            <w:vAlign w:val="bottom"/>
            <w:tcBorders>
              <w:top w:val="single" w:sz="8" w:color="auto"/>
            </w:tcBorders>
            <w:gridSpan w:val="8"/>
          </w:tcPr>
          <w:p>
            <w:pPr>
              <w:spacing w:after="0"/>
              <w:rPr>
                <w:sz w:val="20"/>
                <w:szCs w:val="20"/>
                <w:color w:val="auto"/>
              </w:rPr>
            </w:pPr>
            <w:r>
              <w:rPr>
                <w:rFonts w:ascii="Arial" w:cs="Arial" w:eastAsia="Arial" w:hAnsi="Arial"/>
                <w:sz w:val="22"/>
                <w:szCs w:val="22"/>
                <w:color w:val="auto"/>
              </w:rPr>
              <w:t>William A. Hasler</w:t>
            </w:r>
          </w:p>
        </w:tc>
        <w:tc>
          <w:tcPr>
            <w:tcW w:w="260" w:type="dxa"/>
            <w:vAlign w:val="bottom"/>
            <w:gridSpan w:val="3"/>
          </w:tcPr>
          <w:p>
            <w:pPr>
              <w:spacing w:after="0"/>
              <w:rPr>
                <w:sz w:val="23"/>
                <w:szCs w:val="23"/>
                <w:color w:val="auto"/>
              </w:rPr>
            </w:pPr>
          </w:p>
        </w:tc>
        <w:tc>
          <w:tcPr>
            <w:tcW w:w="528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100" w:type="dxa"/>
            <w:vAlign w:val="bottom"/>
            <w:gridSpan w:val="11"/>
          </w:tcPr>
          <w:p>
            <w:pPr>
              <w:spacing w:after="0" w:line="246" w:lineRule="exact"/>
              <w:rPr>
                <w:sz w:val="20"/>
                <w:szCs w:val="20"/>
                <w:color w:val="auto"/>
              </w:rPr>
            </w:pPr>
            <w:r>
              <w:rPr>
                <w:rFonts w:ascii="Arial" w:cs="Arial" w:eastAsia="Arial" w:hAnsi="Arial"/>
                <w:sz w:val="22"/>
                <w:szCs w:val="22"/>
                <w:color w:val="auto"/>
              </w:rPr>
              <w:t>/s/ James F. Lynch</w:t>
            </w:r>
          </w:p>
        </w:tc>
        <w:tc>
          <w:tcPr>
            <w:tcW w:w="5280" w:type="dxa"/>
            <w:vAlign w:val="bottom"/>
            <w:gridSpan w:val="3"/>
            <w:vMerge w:val="restart"/>
          </w:tcPr>
          <w:p>
            <w:pPr>
              <w:ind w:left="1400"/>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r>
        <w:trPr>
          <w:trHeight w:val="274"/>
        </w:trPr>
        <w:tc>
          <w:tcPr>
            <w:tcW w:w="160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James F. Lynch</w:t>
            </w:r>
          </w:p>
        </w:tc>
        <w:tc>
          <w:tcPr>
            <w:tcW w:w="500" w:type="dxa"/>
            <w:vAlign w:val="bottom"/>
            <w:gridSpan w:val="9"/>
          </w:tcPr>
          <w:p>
            <w:pPr>
              <w:spacing w:after="0"/>
              <w:rPr>
                <w:sz w:val="23"/>
                <w:szCs w:val="23"/>
                <w:color w:val="auto"/>
              </w:rPr>
            </w:pPr>
          </w:p>
        </w:tc>
        <w:tc>
          <w:tcPr>
            <w:tcW w:w="528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100" w:type="dxa"/>
            <w:vAlign w:val="bottom"/>
            <w:gridSpan w:val="11"/>
          </w:tcPr>
          <w:p>
            <w:pPr>
              <w:spacing w:after="0" w:line="246" w:lineRule="exact"/>
              <w:rPr>
                <w:sz w:val="20"/>
                <w:szCs w:val="20"/>
                <w:color w:val="auto"/>
              </w:rPr>
            </w:pPr>
            <w:r>
              <w:rPr>
                <w:rFonts w:ascii="Arial" w:cs="Arial" w:eastAsia="Arial" w:hAnsi="Arial"/>
                <w:sz w:val="22"/>
                <w:szCs w:val="22"/>
                <w:color w:val="auto"/>
              </w:rPr>
              <w:t>/s/ Michael J. Lovett</w:t>
            </w:r>
          </w:p>
        </w:tc>
        <w:tc>
          <w:tcPr>
            <w:tcW w:w="5280" w:type="dxa"/>
            <w:vAlign w:val="bottom"/>
            <w:gridSpan w:val="3"/>
            <w:vMerge w:val="restart"/>
          </w:tcPr>
          <w:p>
            <w:pPr>
              <w:ind w:left="1400"/>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r>
        <w:trPr>
          <w:trHeight w:val="274"/>
        </w:trPr>
        <w:tc>
          <w:tcPr>
            <w:tcW w:w="1780" w:type="dxa"/>
            <w:vAlign w:val="bottom"/>
            <w:tcBorders>
              <w:top w:val="single" w:sz="8" w:color="auto"/>
            </w:tcBorders>
            <w:gridSpan w:val="6"/>
          </w:tcPr>
          <w:p>
            <w:pPr>
              <w:spacing w:after="0"/>
              <w:rPr>
                <w:sz w:val="20"/>
                <w:szCs w:val="20"/>
                <w:color w:val="auto"/>
              </w:rPr>
            </w:pPr>
            <w:r>
              <w:rPr>
                <w:rFonts w:ascii="Arial" w:cs="Arial" w:eastAsia="Arial" w:hAnsi="Arial"/>
                <w:sz w:val="22"/>
                <w:szCs w:val="22"/>
                <w:color w:val="auto"/>
              </w:rPr>
              <w:t>Michael J. Lovett</w:t>
            </w:r>
          </w:p>
        </w:tc>
        <w:tc>
          <w:tcPr>
            <w:tcW w:w="320" w:type="dxa"/>
            <w:vAlign w:val="bottom"/>
            <w:gridSpan w:val="5"/>
          </w:tcPr>
          <w:p>
            <w:pPr>
              <w:spacing w:after="0"/>
              <w:rPr>
                <w:sz w:val="23"/>
                <w:szCs w:val="23"/>
                <w:color w:val="auto"/>
              </w:rPr>
            </w:pPr>
          </w:p>
        </w:tc>
        <w:tc>
          <w:tcPr>
            <w:tcW w:w="528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1680" w:type="dxa"/>
            <w:vAlign w:val="bottom"/>
            <w:tcBorders>
              <w:bottom w:val="single" w:sz="8" w:color="auto"/>
            </w:tcBorders>
            <w:gridSpan w:val="4"/>
          </w:tcPr>
          <w:p>
            <w:pPr>
              <w:spacing w:after="0" w:line="246" w:lineRule="exact"/>
              <w:rPr>
                <w:sz w:val="20"/>
                <w:szCs w:val="20"/>
                <w:color w:val="auto"/>
              </w:rPr>
            </w:pPr>
            <w:r>
              <w:rPr>
                <w:rFonts w:ascii="Arial" w:cs="Arial" w:eastAsia="Arial" w:hAnsi="Arial"/>
                <w:sz w:val="22"/>
                <w:szCs w:val="22"/>
                <w:color w:val="auto"/>
                <w:w w:val="90"/>
              </w:rPr>
              <w:t>/s/ Keith O. Cowan</w:t>
            </w:r>
          </w:p>
        </w:tc>
        <w:tc>
          <w:tcPr>
            <w:tcW w:w="420" w:type="dxa"/>
            <w:vAlign w:val="bottom"/>
            <w:gridSpan w:val="7"/>
          </w:tcPr>
          <w:p>
            <w:pPr>
              <w:spacing w:after="0"/>
              <w:rPr>
                <w:sz w:val="21"/>
                <w:szCs w:val="21"/>
                <w:color w:val="auto"/>
              </w:rPr>
            </w:pPr>
          </w:p>
        </w:tc>
        <w:tc>
          <w:tcPr>
            <w:tcW w:w="5280" w:type="dxa"/>
            <w:vAlign w:val="bottom"/>
            <w:gridSpan w:val="3"/>
            <w:vMerge w:val="restart"/>
          </w:tcPr>
          <w:p>
            <w:pPr>
              <w:ind w:left="1400"/>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r>
        <w:trPr>
          <w:trHeight w:val="274"/>
        </w:trPr>
        <w:tc>
          <w:tcPr>
            <w:tcW w:w="2100" w:type="dxa"/>
            <w:vAlign w:val="bottom"/>
            <w:gridSpan w:val="11"/>
          </w:tcPr>
          <w:p>
            <w:pPr>
              <w:spacing w:after="0"/>
              <w:rPr>
                <w:sz w:val="20"/>
                <w:szCs w:val="20"/>
                <w:color w:val="auto"/>
              </w:rPr>
            </w:pPr>
            <w:r>
              <w:rPr>
                <w:rFonts w:ascii="Arial" w:cs="Arial" w:eastAsia="Arial" w:hAnsi="Arial"/>
                <w:sz w:val="22"/>
                <w:szCs w:val="22"/>
                <w:color w:val="auto"/>
              </w:rPr>
              <w:t>Keith O. Cowan</w:t>
            </w:r>
          </w:p>
        </w:tc>
        <w:tc>
          <w:tcPr>
            <w:tcW w:w="528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100" w:type="dxa"/>
            <w:vAlign w:val="bottom"/>
            <w:gridSpan w:val="11"/>
          </w:tcPr>
          <w:p>
            <w:pPr>
              <w:spacing w:after="0" w:line="246" w:lineRule="exact"/>
              <w:rPr>
                <w:sz w:val="20"/>
                <w:szCs w:val="20"/>
                <w:color w:val="auto"/>
              </w:rPr>
            </w:pPr>
            <w:r>
              <w:rPr>
                <w:rFonts w:ascii="Arial" w:cs="Arial" w:eastAsia="Arial" w:hAnsi="Arial"/>
                <w:sz w:val="22"/>
                <w:szCs w:val="22"/>
                <w:color w:val="auto"/>
              </w:rPr>
              <w:t>/s/ Benjamin G. Wolff</w:t>
            </w:r>
          </w:p>
        </w:tc>
        <w:tc>
          <w:tcPr>
            <w:tcW w:w="5280" w:type="dxa"/>
            <w:vAlign w:val="bottom"/>
            <w:gridSpan w:val="3"/>
            <w:vMerge w:val="restart"/>
          </w:tcPr>
          <w:p>
            <w:pPr>
              <w:ind w:left="1400"/>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r>
        <w:trPr>
          <w:trHeight w:val="274"/>
        </w:trPr>
        <w:tc>
          <w:tcPr>
            <w:tcW w:w="1920" w:type="dxa"/>
            <w:vAlign w:val="bottom"/>
            <w:tcBorders>
              <w:top w:val="single" w:sz="8" w:color="auto"/>
            </w:tcBorders>
            <w:gridSpan w:val="10"/>
          </w:tcPr>
          <w:p>
            <w:pPr>
              <w:spacing w:after="0"/>
              <w:rPr>
                <w:sz w:val="20"/>
                <w:szCs w:val="20"/>
                <w:color w:val="auto"/>
              </w:rPr>
            </w:pPr>
            <w:r>
              <w:rPr>
                <w:rFonts w:ascii="Arial" w:cs="Arial" w:eastAsia="Arial" w:hAnsi="Arial"/>
                <w:sz w:val="22"/>
                <w:szCs w:val="22"/>
                <w:color w:val="auto"/>
              </w:rPr>
              <w:t>Benjamin G. Wolff</w:t>
            </w:r>
          </w:p>
        </w:tc>
        <w:tc>
          <w:tcPr>
            <w:tcW w:w="180" w:type="dxa"/>
            <w:vAlign w:val="bottom"/>
          </w:tcPr>
          <w:p>
            <w:pPr>
              <w:spacing w:after="0"/>
              <w:rPr>
                <w:sz w:val="23"/>
                <w:szCs w:val="23"/>
                <w:color w:val="auto"/>
              </w:rPr>
            </w:pPr>
          </w:p>
        </w:tc>
        <w:tc>
          <w:tcPr>
            <w:tcW w:w="528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1860" w:type="dxa"/>
            <w:vAlign w:val="bottom"/>
            <w:tcBorders>
              <w:bottom w:val="single" w:sz="8" w:color="auto"/>
            </w:tcBorders>
            <w:gridSpan w:val="9"/>
          </w:tcPr>
          <w:p>
            <w:pPr>
              <w:spacing w:after="0" w:line="246" w:lineRule="exact"/>
              <w:rPr>
                <w:sz w:val="20"/>
                <w:szCs w:val="20"/>
                <w:color w:val="auto"/>
              </w:rPr>
            </w:pPr>
            <w:r>
              <w:rPr>
                <w:rFonts w:ascii="Arial" w:cs="Arial" w:eastAsia="Arial" w:hAnsi="Arial"/>
                <w:sz w:val="22"/>
                <w:szCs w:val="22"/>
                <w:color w:val="auto"/>
                <w:w w:val="91"/>
              </w:rPr>
              <w:t>/s/ Timothy E. Taylor</w:t>
            </w:r>
          </w:p>
        </w:tc>
        <w:tc>
          <w:tcPr>
            <w:tcW w:w="240" w:type="dxa"/>
            <w:vAlign w:val="bottom"/>
            <w:gridSpan w:val="2"/>
          </w:tcPr>
          <w:p>
            <w:pPr>
              <w:spacing w:after="0"/>
              <w:rPr>
                <w:sz w:val="21"/>
                <w:szCs w:val="21"/>
                <w:color w:val="auto"/>
              </w:rPr>
            </w:pPr>
          </w:p>
        </w:tc>
        <w:tc>
          <w:tcPr>
            <w:tcW w:w="5280" w:type="dxa"/>
            <w:vAlign w:val="bottom"/>
            <w:gridSpan w:val="3"/>
            <w:vMerge w:val="restart"/>
          </w:tcPr>
          <w:p>
            <w:pPr>
              <w:ind w:left="1400"/>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r>
        <w:trPr>
          <w:trHeight w:val="274"/>
        </w:trPr>
        <w:tc>
          <w:tcPr>
            <w:tcW w:w="2100" w:type="dxa"/>
            <w:vAlign w:val="bottom"/>
            <w:gridSpan w:val="11"/>
          </w:tcPr>
          <w:p>
            <w:pPr>
              <w:spacing w:after="0"/>
              <w:rPr>
                <w:sz w:val="20"/>
                <w:szCs w:val="20"/>
                <w:color w:val="auto"/>
              </w:rPr>
            </w:pPr>
            <w:r>
              <w:rPr>
                <w:rFonts w:ascii="Arial" w:cs="Arial" w:eastAsia="Arial" w:hAnsi="Arial"/>
                <w:sz w:val="22"/>
                <w:szCs w:val="22"/>
                <w:color w:val="auto"/>
              </w:rPr>
              <w:t>Timothy E. Taylor</w:t>
            </w:r>
          </w:p>
        </w:tc>
        <w:tc>
          <w:tcPr>
            <w:tcW w:w="528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Exhibits 5.1 and 23.1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Taft Stettinius &amp; Hollister LLP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425 Walnut Street, Suite 1800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Cincinnati, Ohio 45202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13, 2019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Globalstar,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1351 Holiday Square Blvd.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Covington, Louisiana 70433</w:t>
      </w:r>
    </w:p>
    <w:p>
      <w:pPr>
        <w:spacing w:after="0" w:line="242"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Registration Statement on Form S-8</w:t>
      </w:r>
    </w:p>
    <w:p>
      <w:pPr>
        <w:spacing w:after="0" w:line="233" w:lineRule="exact"/>
        <w:rPr>
          <w:sz w:val="20"/>
          <w:szCs w:val="20"/>
          <w:color w:val="auto"/>
        </w:rPr>
      </w:pPr>
    </w:p>
    <w:p>
      <w:pPr>
        <w:jc w:val="both"/>
        <w:ind w:right="20"/>
        <w:spacing w:after="0" w:line="261" w:lineRule="exact"/>
        <w:rPr>
          <w:sz w:val="20"/>
          <w:szCs w:val="20"/>
          <w:color w:val="auto"/>
        </w:rPr>
      </w:pPr>
      <w:r>
        <w:rPr>
          <w:rFonts w:ascii="Arial" w:cs="Arial" w:eastAsia="Arial" w:hAnsi="Arial"/>
          <w:sz w:val="22"/>
          <w:szCs w:val="22"/>
          <w:color w:val="auto"/>
        </w:rPr>
        <w:t>We have acted as counsel to Globalstar, Inc., a Delaware corporation (the “Company”), in connection with a Registration Statement on Form S</w:t>
      </w:r>
      <w:r>
        <w:rPr>
          <w:rFonts w:ascii="MS PGothic" w:cs="MS PGothic" w:eastAsia="MS PGothic" w:hAnsi="MS PGothic"/>
          <w:sz w:val="22"/>
          <w:szCs w:val="22"/>
          <w:color w:val="auto"/>
        </w:rPr>
        <w:t>‑</w:t>
      </w:r>
      <w:r>
        <w:rPr>
          <w:rFonts w:ascii="Arial" w:cs="Arial" w:eastAsia="Arial" w:hAnsi="Arial"/>
          <w:sz w:val="22"/>
          <w:szCs w:val="22"/>
          <w:color w:val="auto"/>
        </w:rPr>
        <w:t>8 (the “Registration Statement”) under the Securities Act of 1933 for the registration of 28,935,673 shares of the voting common stock, $0.0001 par value, of the Company (the “Shares”) that may be issued pursuant to the Third Amended and Restated Globalstar, Inc. 2006 Equity Incentive Plan (the “Plan”).</w:t>
      </w:r>
    </w:p>
    <w:p>
      <w:pPr>
        <w:spacing w:after="0" w:line="215"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In connection with this opinion, we have examined all documents, records, certificates and matters of law as in our judgment are necessary or appropriate to enable us to render the opinion expressed below.</w:t>
      </w:r>
    </w:p>
    <w:p>
      <w:pPr>
        <w:spacing w:after="0" w:line="175" w:lineRule="exact"/>
        <w:rPr>
          <w:sz w:val="20"/>
          <w:szCs w:val="20"/>
          <w:color w:val="auto"/>
        </w:rPr>
      </w:pPr>
    </w:p>
    <w:p>
      <w:pPr>
        <w:ind w:right="580"/>
        <w:spacing w:after="0" w:line="253" w:lineRule="auto"/>
        <w:rPr>
          <w:sz w:val="20"/>
          <w:szCs w:val="20"/>
          <w:color w:val="auto"/>
        </w:rPr>
      </w:pPr>
      <w:r>
        <w:rPr>
          <w:rFonts w:ascii="Arial" w:cs="Arial" w:eastAsia="Arial" w:hAnsi="Arial"/>
          <w:sz w:val="22"/>
          <w:szCs w:val="22"/>
          <w:color w:val="auto"/>
        </w:rPr>
        <w:t>Based on such examination, we are of the opinion that the Shares covered by the Registration Statement, when issued against receipt of the consideration therefor in accordance with the provisions of the Plan, will be legally issued, fully paid and nonassessable.</w:t>
      </w:r>
    </w:p>
    <w:p>
      <w:pPr>
        <w:spacing w:after="0" w:line="186" w:lineRule="exact"/>
        <w:rPr>
          <w:sz w:val="20"/>
          <w:szCs w:val="20"/>
          <w:color w:val="auto"/>
        </w:rPr>
      </w:pPr>
    </w:p>
    <w:p>
      <w:pPr>
        <w:ind w:right="520"/>
        <w:spacing w:after="0" w:line="263" w:lineRule="auto"/>
        <w:rPr>
          <w:sz w:val="20"/>
          <w:szCs w:val="20"/>
          <w:color w:val="auto"/>
        </w:rPr>
      </w:pPr>
      <w:r>
        <w:rPr>
          <w:rFonts w:ascii="Arial" w:cs="Arial" w:eastAsia="Arial" w:hAnsi="Arial"/>
          <w:sz w:val="22"/>
          <w:szCs w:val="22"/>
          <w:color w:val="auto"/>
        </w:rPr>
        <w:t>We hereby consent to the filing of this opinion as an exhibit to the Registration Statement and the use of our name wherever it appears in said Registration Statement.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TAFT STETTINIUS &amp; HOLLISTER LLP</w:t>
      </w:r>
    </w:p>
    <w:p>
      <w:pPr>
        <w:sectPr>
          <w:pgSz w:w="11900" w:h="16838" w:orient="portrait"/>
          <w:cols w:equalWidth="0" w:num="1">
            <w:col w:w="11420"/>
          </w:cols>
          <w:pgMar w:left="240" w:top="558"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23.2</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2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We consent to the incorporation by reference in this Registration Statement on Form S-8 of Globalstar, Inc. of our report dated February 28, 2019 with respect to the consolidated financial statements and effectiveness of internal control over financial reporting of Globalstar, Inc., which report appears in the Annual Report on Form 10-K of Globalstar, Inc. for the year ended December 31, 2018.</w:t>
      </w:r>
    </w:p>
    <w:p>
      <w:pPr>
        <w:spacing w:after="0" w:line="38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Crowe LLP</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Oak Brook, Illinois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December 13, 2019</w:t>
      </w:r>
    </w:p>
    <w:sectPr>
      <w:pgSz w:w="11900" w:h="16838" w:orient="portrait"/>
      <w:cols w:equalWidth="0" w:num="1">
        <w:col w:w="11420"/>
      </w:cols>
      <w:pgMar w:left="240" w:top="7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bullet"/>
      <w:start w:val="1"/>
    </w:lvl>
  </w:abstractNum>
  <w:abstractNum w:abstractNumId="1">
    <w:nsid w:val="19495CFF"/>
    <w:multiLevelType w:val="hybridMultilevel"/>
    <w:lvl w:ilvl="0">
      <w:lvlJc w:val="left"/>
      <w:lvlText w:val="2"/>
      <w:numFmt w:val="bullet"/>
      <w:start w:val="1"/>
    </w:lvl>
  </w:abstractNum>
  <w:abstractNum w:abstractNumId="2">
    <w:nsid w:val="2AE8944A"/>
    <w:multiLevelType w:val="hybridMultilevel"/>
    <w:lvl w:ilvl="0">
      <w:lvlJc w:val="left"/>
      <w:lvlText w:val="3"/>
      <w:numFmt w:val="bullet"/>
      <w:start w:val="1"/>
    </w:lvl>
  </w:abstractNum>
  <w:abstractNum w:abstractNumId="3">
    <w:nsid w:val="625558EC"/>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2019-12-13T16:06:17Z</dcterms:created>
  <dcterms:modified xsi:type="dcterms:W3CDTF">2019-12-13T16:06:17Z</dcterms:modified>
</cp:coreProperties>
</file>