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134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1347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JACOBS PAUL 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10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1351 HOLIDAY SQUARE BLVD</w:t>
            </w:r>
          </w:p>
        </w:tc>
        <w:tc>
          <w:tcPr>
            <w:tcW w:w="12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COVINGTON</w:t>
            </w:r>
          </w:p>
        </w:tc>
        <w:tc>
          <w:tcPr>
            <w:tcW w:w="13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LA</w:t>
            </w: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70433</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100"/>
              <w:spacing w:after="0"/>
              <w:rPr>
                <w:sz w:val="20"/>
                <w:szCs w:val="20"/>
                <w:color w:val="auto"/>
              </w:rPr>
            </w:pPr>
            <w:r>
              <w:rPr>
                <w:rFonts w:ascii="Arial" w:cs="Arial" w:eastAsia="Arial" w:hAnsi="Arial"/>
                <w:sz w:val="13"/>
                <w:szCs w:val="13"/>
                <w:color w:val="auto"/>
              </w:rPr>
              <w:t>(State)</w:t>
            </w:r>
          </w:p>
        </w:tc>
        <w:tc>
          <w:tcPr>
            <w:tcW w:w="122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Globalstar,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GSAT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44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03/05/2024</w:t>
            </w:r>
          </w:p>
        </w:tc>
        <w:tc>
          <w:tcPr>
            <w:tcW w:w="2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80" w:type="dxa"/>
            <w:vAlign w:val="bottom"/>
            <w:gridSpan w:val="3"/>
            <w:vMerge w:val="continue"/>
          </w:tcPr>
          <w:p>
            <w:pPr>
              <w:spacing w:after="0"/>
              <w:rPr>
                <w:sz w:val="11"/>
                <w:szCs w:val="11"/>
                <w:color w:val="auto"/>
              </w:rPr>
            </w:pPr>
          </w:p>
        </w:tc>
        <w:tc>
          <w:tcPr>
            <w:tcW w:w="2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24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03/05/2024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127,820</w:t>
            </w:r>
            <w:r>
              <w:rPr>
                <w:rFonts w:ascii="Times New Roman" w:cs="Times New Roman" w:eastAsia="Times New Roman" w:hAnsi="Times New Roman"/>
                <w:sz w:val="22"/>
                <w:szCs w:val="22"/>
                <w:color w:val="008000"/>
                <w:vertAlign w:val="superscript"/>
              </w:rPr>
              <w:t>(1)</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1.33</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154,558</w:t>
            </w:r>
          </w:p>
        </w:tc>
        <w:tc>
          <w:tcPr>
            <w:tcW w:w="920" w:type="dxa"/>
            <w:vAlign w:val="bottom"/>
            <w:tcBorders>
              <w:bottom w:val="single" w:sz="8" w:color="2C2C2C"/>
            </w:tcBorders>
          </w:tcPr>
          <w:p>
            <w:pPr>
              <w:jc w:val="center"/>
              <w:ind w:right="5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03/05/2024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78,035</w:t>
            </w:r>
            <w:r>
              <w:rPr>
                <w:rFonts w:ascii="Times New Roman" w:cs="Times New Roman" w:eastAsia="Times New Roman" w:hAnsi="Times New Roman"/>
                <w:sz w:val="22"/>
                <w:szCs w:val="22"/>
                <w:color w:val="008000"/>
                <w:vertAlign w:val="superscript"/>
              </w:rPr>
              <w:t>(2)</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1.33</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76,523</w:t>
            </w:r>
          </w:p>
        </w:tc>
        <w:tc>
          <w:tcPr>
            <w:tcW w:w="920" w:type="dxa"/>
            <w:vAlign w:val="bottom"/>
            <w:tcBorders>
              <w:bottom w:val="single" w:sz="8" w:color="2C2C2C"/>
            </w:tcBorders>
          </w:tcPr>
          <w:p>
            <w:pPr>
              <w:jc w:val="center"/>
              <w:ind w:right="5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vMerge w:val="restart"/>
          </w:tcPr>
          <w:p>
            <w:pPr>
              <w:jc w:val="center"/>
              <w:ind w:right="437"/>
              <w:spacing w:after="0"/>
              <w:rPr>
                <w:sz w:val="20"/>
                <w:szCs w:val="20"/>
                <w:color w:val="auto"/>
              </w:rPr>
            </w:pPr>
            <w:r>
              <w:rPr>
                <w:rFonts w:ascii="Times New Roman" w:cs="Times New Roman" w:eastAsia="Times New Roman" w:hAnsi="Times New Roman"/>
                <w:sz w:val="17"/>
                <w:szCs w:val="17"/>
                <w:color w:val="0000FF"/>
              </w:rPr>
              <w:t>1</w:t>
            </w:r>
          </w:p>
        </w:tc>
        <w:tc>
          <w:tcPr>
            <w:tcW w:w="920" w:type="dxa"/>
            <w:vAlign w:val="bottom"/>
            <w:vMerge w:val="restart"/>
          </w:tcPr>
          <w:p>
            <w:pPr>
              <w:jc w:val="center"/>
              <w:ind w:right="57"/>
              <w:spacing w:after="0" w:line="387" w:lineRule="exact"/>
              <w:rPr>
                <w:sz w:val="20"/>
                <w:szCs w:val="20"/>
                <w:color w:val="auto"/>
              </w:rPr>
            </w:pPr>
            <w:r>
              <w:rPr>
                <w:rFonts w:ascii="Times New Roman" w:cs="Times New Roman" w:eastAsia="Times New Roman" w:hAnsi="Times New Roman"/>
                <w:sz w:val="34"/>
                <w:szCs w:val="34"/>
                <w:color w:val="0000FF"/>
                <w:w w:val="97"/>
                <w:vertAlign w:val="subscript"/>
              </w:rPr>
              <w:t>I</w:t>
            </w:r>
            <w:r>
              <w:rPr>
                <w:rFonts w:ascii="Times New Roman" w:cs="Times New Roman" w:eastAsia="Times New Roman" w:hAnsi="Times New Roman"/>
                <w:sz w:val="11"/>
                <w:szCs w:val="11"/>
                <w:color w:val="008000"/>
                <w:w w:val="97"/>
              </w:rPr>
              <w:t>(3)</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XCOM</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Labs,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Inc.</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16,745,989</w:t>
            </w:r>
          </w:p>
        </w:tc>
        <w:tc>
          <w:tcPr>
            <w:tcW w:w="920" w:type="dxa"/>
            <w:vAlign w:val="bottom"/>
            <w:tcBorders>
              <w:bottom w:val="single" w:sz="8" w:color="2C2C2C"/>
            </w:tcBorders>
          </w:tcPr>
          <w:p>
            <w:pPr>
              <w:jc w:val="center"/>
              <w:ind w:right="57"/>
              <w:spacing w:after="0" w:line="320" w:lineRule="exact"/>
              <w:rPr>
                <w:sz w:val="20"/>
                <w:szCs w:val="20"/>
                <w:color w:val="auto"/>
              </w:rPr>
            </w:pPr>
            <w:r>
              <w:rPr>
                <w:rFonts w:ascii="Times New Roman" w:cs="Times New Roman" w:eastAsia="Times New Roman" w:hAnsi="Times New Roman"/>
                <w:sz w:val="34"/>
                <w:szCs w:val="34"/>
                <w:color w:val="0000FF"/>
                <w:w w:val="97"/>
                <w:vertAlign w:val="subscript"/>
              </w:rPr>
              <w:t>I</w:t>
            </w:r>
            <w:r>
              <w:rPr>
                <w:rFonts w:ascii="Times New Roman" w:cs="Times New Roman" w:eastAsia="Times New Roman" w:hAnsi="Times New Roman"/>
                <w:sz w:val="11"/>
                <w:szCs w:val="11"/>
                <w:color w:val="008000"/>
                <w:w w:val="97"/>
              </w:rPr>
              <w:t>(4)</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under Globalstar, Inc.'s Equity Incentive Plan, which vested immediately upon the grant.</w:t>
      </w:r>
    </w:p>
    <w:p>
      <w:pPr>
        <w:spacing w:after="0" w:line="50"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automatically withheld, based on the fair market value of the Common Stock on the vesting date, to pay required withholding taxes upon the vesting of the Restricted Stock Award reported above.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XCOM, a corporation controlled by the reporting person.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acquired by The Paul Eric Jacobs Trust, DTD April 9, 2018 in exchange for forgiveness of XCOM debt.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Arthur McMahon,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75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7505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Dr. Paul E. 03/07/2024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Jacobs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3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337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91310" TargetMode="External"/><Relationship Id="rId13" Type="http://schemas.openxmlformats.org/officeDocument/2006/relationships/hyperlink" Target="http://www.sec.gov/cgi-bin/browse-edgar?action=getcompany&amp;CIK=00013668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2024-03-07T19:59:16Z</dcterms:created>
  <dcterms:modified xsi:type="dcterms:W3CDTF">2024-03-07T19:59:16Z</dcterms:modified>
</cp:coreProperties>
</file>