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200660</wp:posOffset>
            </wp:positionV>
            <wp:extent cx="7246620" cy="260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26035"/>
                    </a:xfrm>
                    <a:prstGeom prst="rect">
                      <a:avLst/>
                    </a:prstGeom>
                    <a:noFill/>
                  </pic:spPr>
                </pic:pic>
              </a:graphicData>
            </a:graphic>
          </wp:anchor>
        </w:drawing>
        <w:t>UNITED STATES</w:t>
      </w:r>
    </w:p>
    <w:p>
      <w:pPr>
        <w:spacing w:after="0" w:line="33"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SECURITIES AND EXCHANGE COMMISSION</w:t>
      </w:r>
    </w:p>
    <w:p>
      <w:pPr>
        <w:spacing w:after="0" w:line="4"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2938145</wp:posOffset>
            </wp:positionH>
            <wp:positionV relativeFrom="paragraph">
              <wp:posOffset>142240</wp:posOffset>
            </wp:positionV>
            <wp:extent cx="138938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389380" cy="8890"/>
                    </a:xfrm>
                    <a:prstGeom prst="rect">
                      <a:avLst/>
                    </a:prstGeom>
                    <a:noFill/>
                  </pic:spPr>
                </pic:pic>
              </a:graphicData>
            </a:graphic>
          </wp:anchor>
        </w:drawing>
      </w:r>
    </w:p>
    <w:p>
      <w:pPr>
        <w:spacing w:after="0" w:line="392"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FORM 8-K</w:t>
      </w:r>
    </w:p>
    <w:p>
      <w:pPr>
        <w:spacing w:after="0" w:line="226"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Pursuant to Section 13 or 15(d) of the</w:t>
      </w:r>
    </w:p>
    <w:p>
      <w:pPr>
        <w:jc w:val="center"/>
        <w:ind w:right="-119"/>
        <w:spacing w:after="0"/>
        <w:rPr>
          <w:sz w:val="20"/>
          <w:szCs w:val="20"/>
          <w:color w:val="auto"/>
        </w:rPr>
      </w:pPr>
      <w:r>
        <w:rPr>
          <w:rFonts w:ascii="Arial" w:cs="Arial" w:eastAsia="Arial" w:hAnsi="Arial"/>
          <w:sz w:val="22"/>
          <w:szCs w:val="22"/>
          <w:b w:val="1"/>
          <w:bCs w:val="1"/>
          <w:color w:val="auto"/>
        </w:rPr>
        <w:t>Securities and Exchange Act of 1934</w:t>
      </w:r>
    </w:p>
    <w:p>
      <w:pPr>
        <w:spacing w:after="0" w:line="191"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 xml:space="preserve">Date of Report (Date of earliest event reported): </w:t>
      </w:r>
      <w:r>
        <w:rPr>
          <w:rFonts w:ascii="Arial" w:cs="Arial" w:eastAsia="Arial" w:hAnsi="Arial"/>
          <w:sz w:val="18"/>
          <w:szCs w:val="18"/>
          <w:b w:val="1"/>
          <w:bCs w:val="1"/>
          <w:color w:val="auto"/>
        </w:rPr>
        <w:t>November 21, 2006</w:t>
      </w:r>
    </w:p>
    <w:p>
      <w:pPr>
        <w:spacing w:after="0" w:line="202"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GLOBALSTAR, INC.</w:t>
      </w:r>
    </w:p>
    <w:p>
      <w:pPr>
        <w:spacing w:after="0" w:line="40"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(Exact name of registrant as specified in its charter)</w:t>
      </w:r>
    </w:p>
    <w:p>
      <w:pPr>
        <w:spacing w:after="0" w:line="205" w:lineRule="exact"/>
        <w:rPr>
          <w:sz w:val="24"/>
          <w:szCs w:val="24"/>
          <w:color w:val="auto"/>
        </w:rPr>
      </w:pPr>
    </w:p>
    <w:tbl>
      <w:tblPr>
        <w:tblLayout w:type="fixed"/>
        <w:tblInd w:w="840" w:type="dxa"/>
        <w:tblCellMar>
          <w:top w:w="0" w:type="dxa"/>
          <w:left w:w="0" w:type="dxa"/>
          <w:bottom w:w="0" w:type="dxa"/>
          <w:right w:w="0" w:type="dxa"/>
        </w:tblCellMar>
      </w:tblPr>
      <w:tr>
        <w:trPr>
          <w:trHeight w:val="220"/>
        </w:trPr>
        <w:tc>
          <w:tcPr>
            <w:tcW w:w="3180" w:type="dxa"/>
            <w:vAlign w:val="bottom"/>
          </w:tcPr>
          <w:p>
            <w:pPr>
              <w:jc w:val="center"/>
              <w:ind w:right="1130"/>
              <w:spacing w:after="0"/>
              <w:rPr>
                <w:sz w:val="20"/>
                <w:szCs w:val="20"/>
                <w:color w:val="auto"/>
              </w:rPr>
            </w:pPr>
            <w:r>
              <w:rPr>
                <w:rFonts w:ascii="Arial" w:cs="Arial" w:eastAsia="Arial" w:hAnsi="Arial"/>
                <w:sz w:val="18"/>
                <w:szCs w:val="18"/>
                <w:b w:val="1"/>
                <w:bCs w:val="1"/>
                <w:color w:val="auto"/>
                <w:w w:val="91"/>
              </w:rPr>
              <w:t>Delaware</w:t>
            </w:r>
          </w:p>
        </w:tc>
        <w:tc>
          <w:tcPr>
            <w:tcW w:w="3560" w:type="dxa"/>
            <w:vAlign w:val="bottom"/>
          </w:tcPr>
          <w:p>
            <w:pPr>
              <w:jc w:val="center"/>
              <w:ind w:right="70"/>
              <w:spacing w:after="0"/>
              <w:rPr>
                <w:sz w:val="20"/>
                <w:szCs w:val="20"/>
                <w:color w:val="auto"/>
              </w:rPr>
            </w:pPr>
            <w:r>
              <w:rPr>
                <w:rFonts w:ascii="Arial" w:cs="Arial" w:eastAsia="Arial" w:hAnsi="Arial"/>
                <w:sz w:val="18"/>
                <w:szCs w:val="18"/>
                <w:b w:val="1"/>
                <w:bCs w:val="1"/>
                <w:color w:val="auto"/>
                <w:w w:val="88"/>
              </w:rPr>
              <w:t>001-33117</w:t>
            </w:r>
          </w:p>
        </w:tc>
        <w:tc>
          <w:tcPr>
            <w:tcW w:w="2700" w:type="dxa"/>
            <w:vAlign w:val="bottom"/>
          </w:tcPr>
          <w:p>
            <w:pPr>
              <w:jc w:val="right"/>
              <w:ind w:right="150"/>
              <w:spacing w:after="0"/>
              <w:rPr>
                <w:sz w:val="20"/>
                <w:szCs w:val="20"/>
                <w:color w:val="auto"/>
              </w:rPr>
            </w:pPr>
            <w:r>
              <w:rPr>
                <w:rFonts w:ascii="Arial" w:cs="Arial" w:eastAsia="Arial" w:hAnsi="Arial"/>
                <w:sz w:val="18"/>
                <w:szCs w:val="18"/>
                <w:b w:val="1"/>
                <w:bCs w:val="1"/>
                <w:color w:val="auto"/>
              </w:rPr>
              <w:t>41-2116508</w:t>
            </w:r>
          </w:p>
        </w:tc>
      </w:tr>
      <w:tr>
        <w:trPr>
          <w:trHeight w:val="216"/>
        </w:trPr>
        <w:tc>
          <w:tcPr>
            <w:tcW w:w="3180" w:type="dxa"/>
            <w:vAlign w:val="bottom"/>
          </w:tcPr>
          <w:p>
            <w:pPr>
              <w:jc w:val="center"/>
              <w:ind w:right="1130"/>
              <w:spacing w:after="0"/>
              <w:rPr>
                <w:sz w:val="20"/>
                <w:szCs w:val="20"/>
                <w:color w:val="auto"/>
              </w:rPr>
            </w:pPr>
            <w:r>
              <w:rPr>
                <w:rFonts w:ascii="Arial" w:cs="Arial" w:eastAsia="Arial" w:hAnsi="Arial"/>
                <w:sz w:val="18"/>
                <w:szCs w:val="18"/>
                <w:color w:val="auto"/>
                <w:w w:val="91"/>
              </w:rPr>
              <w:t>(State or Other Jurisdiction</w:t>
            </w:r>
          </w:p>
        </w:tc>
        <w:tc>
          <w:tcPr>
            <w:tcW w:w="3560" w:type="dxa"/>
            <w:vAlign w:val="bottom"/>
          </w:tcPr>
          <w:p>
            <w:pPr>
              <w:jc w:val="center"/>
              <w:ind w:right="70"/>
              <w:spacing w:after="0"/>
              <w:rPr>
                <w:sz w:val="20"/>
                <w:szCs w:val="20"/>
                <w:color w:val="auto"/>
              </w:rPr>
            </w:pPr>
            <w:r>
              <w:rPr>
                <w:rFonts w:ascii="Arial" w:cs="Arial" w:eastAsia="Arial" w:hAnsi="Arial"/>
                <w:sz w:val="18"/>
                <w:szCs w:val="18"/>
                <w:color w:val="auto"/>
                <w:w w:val="91"/>
              </w:rPr>
              <w:t>(Commission</w:t>
            </w:r>
          </w:p>
        </w:tc>
        <w:tc>
          <w:tcPr>
            <w:tcW w:w="2700" w:type="dxa"/>
            <w:vAlign w:val="bottom"/>
          </w:tcPr>
          <w:p>
            <w:pPr>
              <w:jc w:val="center"/>
              <w:ind w:left="1270"/>
              <w:spacing w:after="0"/>
              <w:rPr>
                <w:sz w:val="20"/>
                <w:szCs w:val="20"/>
                <w:color w:val="auto"/>
              </w:rPr>
            </w:pPr>
            <w:r>
              <w:rPr>
                <w:rFonts w:ascii="Arial" w:cs="Arial" w:eastAsia="Arial" w:hAnsi="Arial"/>
                <w:sz w:val="18"/>
                <w:szCs w:val="18"/>
                <w:color w:val="auto"/>
                <w:w w:val="93"/>
              </w:rPr>
              <w:t>(IRS Employer</w:t>
            </w:r>
          </w:p>
        </w:tc>
      </w:tr>
      <w:tr>
        <w:trPr>
          <w:trHeight w:val="230"/>
        </w:trPr>
        <w:tc>
          <w:tcPr>
            <w:tcW w:w="3180" w:type="dxa"/>
            <w:vAlign w:val="bottom"/>
          </w:tcPr>
          <w:p>
            <w:pPr>
              <w:jc w:val="center"/>
              <w:ind w:right="1130"/>
              <w:spacing w:after="0"/>
              <w:rPr>
                <w:sz w:val="20"/>
                <w:szCs w:val="20"/>
                <w:color w:val="auto"/>
              </w:rPr>
            </w:pPr>
            <w:r>
              <w:rPr>
                <w:rFonts w:ascii="Arial" w:cs="Arial" w:eastAsia="Arial" w:hAnsi="Arial"/>
                <w:sz w:val="18"/>
                <w:szCs w:val="18"/>
                <w:color w:val="auto"/>
                <w:w w:val="94"/>
              </w:rPr>
              <w:t>of Incorporation)</w:t>
            </w:r>
          </w:p>
        </w:tc>
        <w:tc>
          <w:tcPr>
            <w:tcW w:w="3560" w:type="dxa"/>
            <w:vAlign w:val="bottom"/>
          </w:tcPr>
          <w:p>
            <w:pPr>
              <w:jc w:val="center"/>
              <w:ind w:right="70"/>
              <w:spacing w:after="0"/>
              <w:rPr>
                <w:sz w:val="20"/>
                <w:szCs w:val="20"/>
                <w:color w:val="auto"/>
              </w:rPr>
            </w:pPr>
            <w:r>
              <w:rPr>
                <w:rFonts w:ascii="Arial" w:cs="Arial" w:eastAsia="Arial" w:hAnsi="Arial"/>
                <w:sz w:val="18"/>
                <w:szCs w:val="18"/>
                <w:color w:val="auto"/>
                <w:w w:val="92"/>
              </w:rPr>
              <w:t>File Number)</w:t>
            </w:r>
          </w:p>
        </w:tc>
        <w:tc>
          <w:tcPr>
            <w:tcW w:w="2700" w:type="dxa"/>
            <w:vAlign w:val="bottom"/>
          </w:tcPr>
          <w:p>
            <w:pPr>
              <w:jc w:val="center"/>
              <w:ind w:left="1270"/>
              <w:spacing w:after="0"/>
              <w:rPr>
                <w:sz w:val="20"/>
                <w:szCs w:val="20"/>
                <w:color w:val="auto"/>
              </w:rPr>
            </w:pPr>
            <w:r>
              <w:rPr>
                <w:rFonts w:ascii="Arial" w:cs="Arial" w:eastAsia="Arial" w:hAnsi="Arial"/>
                <w:sz w:val="18"/>
                <w:szCs w:val="18"/>
                <w:color w:val="auto"/>
                <w:w w:val="95"/>
              </w:rPr>
              <w:t>Identification No.)</w:t>
            </w:r>
          </w:p>
        </w:tc>
      </w:tr>
      <w:tr>
        <w:trPr>
          <w:trHeight w:val="418"/>
        </w:trPr>
        <w:tc>
          <w:tcPr>
            <w:tcW w:w="6740" w:type="dxa"/>
            <w:vAlign w:val="bottom"/>
            <w:gridSpan w:val="2"/>
          </w:tcPr>
          <w:p>
            <w:pPr>
              <w:jc w:val="center"/>
              <w:ind w:right="790"/>
              <w:spacing w:after="0"/>
              <w:rPr>
                <w:sz w:val="20"/>
                <w:szCs w:val="20"/>
                <w:color w:val="auto"/>
              </w:rPr>
            </w:pPr>
            <w:r>
              <w:rPr>
                <w:rFonts w:ascii="Arial" w:cs="Arial" w:eastAsia="Arial" w:hAnsi="Arial"/>
                <w:sz w:val="18"/>
                <w:szCs w:val="18"/>
                <w:b w:val="1"/>
                <w:bCs w:val="1"/>
                <w:color w:val="auto"/>
                <w:w w:val="92"/>
              </w:rPr>
              <w:t>461 South Milpitas Blvd. Milpitas, California</w:t>
            </w:r>
          </w:p>
        </w:tc>
        <w:tc>
          <w:tcPr>
            <w:tcW w:w="2700" w:type="dxa"/>
            <w:vAlign w:val="bottom"/>
          </w:tcPr>
          <w:p>
            <w:pPr>
              <w:jc w:val="right"/>
              <w:ind w:right="350"/>
              <w:spacing w:after="0"/>
              <w:rPr>
                <w:sz w:val="20"/>
                <w:szCs w:val="20"/>
                <w:color w:val="auto"/>
              </w:rPr>
            </w:pPr>
            <w:r>
              <w:rPr>
                <w:rFonts w:ascii="Arial" w:cs="Arial" w:eastAsia="Arial" w:hAnsi="Arial"/>
                <w:sz w:val="18"/>
                <w:szCs w:val="18"/>
                <w:b w:val="1"/>
                <w:bCs w:val="1"/>
                <w:color w:val="auto"/>
              </w:rPr>
              <w:t>95035</w:t>
            </w:r>
          </w:p>
        </w:tc>
      </w:tr>
      <w:tr>
        <w:trPr>
          <w:trHeight w:val="230"/>
        </w:trPr>
        <w:tc>
          <w:tcPr>
            <w:tcW w:w="6740" w:type="dxa"/>
            <w:vAlign w:val="bottom"/>
            <w:gridSpan w:val="2"/>
          </w:tcPr>
          <w:p>
            <w:pPr>
              <w:jc w:val="center"/>
              <w:ind w:right="790"/>
              <w:spacing w:after="0"/>
              <w:rPr>
                <w:sz w:val="20"/>
                <w:szCs w:val="20"/>
                <w:color w:val="auto"/>
              </w:rPr>
            </w:pPr>
            <w:r>
              <w:rPr>
                <w:rFonts w:ascii="Arial" w:cs="Arial" w:eastAsia="Arial" w:hAnsi="Arial"/>
                <w:sz w:val="18"/>
                <w:szCs w:val="18"/>
                <w:color w:val="auto"/>
                <w:w w:val="92"/>
              </w:rPr>
              <w:t>(Address of Principal Executive Offices)</w:t>
            </w:r>
          </w:p>
        </w:tc>
        <w:tc>
          <w:tcPr>
            <w:tcW w:w="2700" w:type="dxa"/>
            <w:vAlign w:val="bottom"/>
          </w:tcPr>
          <w:p>
            <w:pPr>
              <w:jc w:val="center"/>
              <w:ind w:left="1270"/>
              <w:spacing w:after="0"/>
              <w:rPr>
                <w:sz w:val="20"/>
                <w:szCs w:val="20"/>
                <w:color w:val="auto"/>
              </w:rPr>
            </w:pPr>
            <w:r>
              <w:rPr>
                <w:rFonts w:ascii="Arial" w:cs="Arial" w:eastAsia="Arial" w:hAnsi="Arial"/>
                <w:sz w:val="18"/>
                <w:szCs w:val="18"/>
                <w:color w:val="auto"/>
                <w:w w:val="91"/>
              </w:rPr>
              <w:t>(Zip Code)</w:t>
            </w:r>
          </w:p>
        </w:tc>
      </w:tr>
    </w:tbl>
    <w:p>
      <w:pPr>
        <w:spacing w:after="0" w:line="252" w:lineRule="exact"/>
        <w:rPr>
          <w:sz w:val="24"/>
          <w:szCs w:val="24"/>
          <w:color w:val="auto"/>
        </w:rPr>
      </w:pPr>
    </w:p>
    <w:p>
      <w:pPr>
        <w:spacing w:after="0"/>
        <w:rPr>
          <w:sz w:val="20"/>
          <w:szCs w:val="20"/>
          <w:color w:val="auto"/>
        </w:rPr>
      </w:pPr>
      <w:r>
        <w:rPr>
          <w:rFonts w:ascii="Arial" w:cs="Arial" w:eastAsia="Arial" w:hAnsi="Arial"/>
          <w:sz w:val="18"/>
          <w:szCs w:val="18"/>
          <w:color w:val="auto"/>
        </w:rPr>
        <w:t xml:space="preserve">Registrant’s telephone number, including area code: </w:t>
      </w:r>
      <w:r>
        <w:rPr>
          <w:rFonts w:ascii="Arial" w:cs="Arial" w:eastAsia="Arial" w:hAnsi="Arial"/>
          <w:sz w:val="18"/>
          <w:szCs w:val="18"/>
          <w:b w:val="1"/>
          <w:bCs w:val="1"/>
          <w:color w:val="auto"/>
        </w:rPr>
        <w:t>(408) 933-4000</w:t>
      </w:r>
    </w:p>
    <w:p>
      <w:pPr>
        <w:spacing w:after="0" w:line="225"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N/A</w:t>
      </w:r>
    </w:p>
    <w:p>
      <w:pPr>
        <w:spacing w:after="0" w:line="27"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11" w:lineRule="exact"/>
        <w:rPr>
          <w:sz w:val="24"/>
          <w:szCs w:val="24"/>
          <w:color w:val="auto"/>
        </w:rPr>
      </w:pPr>
    </w:p>
    <w:p>
      <w:pPr>
        <w:spacing w:after="0" w:line="258"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w:t>
      </w:r>
      <w:r>
        <w:rPr>
          <w:rFonts w:ascii="Arial" w:cs="Arial" w:eastAsia="Arial" w:hAnsi="Arial"/>
          <w:sz w:val="18"/>
          <w:szCs w:val="18"/>
          <w:i w:val="1"/>
          <w:iCs w:val="1"/>
          <w:color w:val="auto"/>
        </w:rPr>
        <w:t>see</w:t>
      </w:r>
      <w:r>
        <w:rPr>
          <w:rFonts w:ascii="Arial" w:cs="Arial" w:eastAsia="Arial" w:hAnsi="Arial"/>
          <w:sz w:val="18"/>
          <w:szCs w:val="18"/>
          <w:color w:val="auto"/>
        </w:rPr>
        <w:t xml:space="preserve"> General Instruction A.2. below):</w:t>
      </w:r>
    </w:p>
    <w:p>
      <w:pPr>
        <w:spacing w:after="0" w:line="1" w:lineRule="exact"/>
        <w:rPr>
          <w:sz w:val="24"/>
          <w:szCs w:val="24"/>
          <w:color w:val="auto"/>
        </w:rPr>
      </w:pPr>
    </w:p>
    <w:p>
      <w:pPr>
        <w:ind w:left="600" w:hanging="268"/>
        <w:spacing w:after="0"/>
        <w:tabs>
          <w:tab w:leader="none" w:pos="600" w:val="left"/>
        </w:tabs>
        <w:numPr>
          <w:ilvl w:val="0"/>
          <w:numId w:val="1"/>
        </w:numPr>
        <w:rPr>
          <w:rFonts w:ascii="Arial" w:cs="Arial" w:eastAsia="Arial" w:hAnsi="Arial"/>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9" w:lineRule="exact"/>
        <w:rPr>
          <w:rFonts w:ascii="Arial" w:cs="Arial" w:eastAsia="Arial" w:hAnsi="Arial"/>
          <w:sz w:val="18"/>
          <w:szCs w:val="18"/>
          <w:color w:val="auto"/>
        </w:rPr>
      </w:pPr>
    </w:p>
    <w:p>
      <w:pPr>
        <w:ind w:left="600" w:hanging="268"/>
        <w:spacing w:after="0"/>
        <w:tabs>
          <w:tab w:leader="none" w:pos="600" w:val="left"/>
        </w:tabs>
        <w:numPr>
          <w:ilvl w:val="0"/>
          <w:numId w:val="1"/>
        </w:numPr>
        <w:rPr>
          <w:rFonts w:ascii="Arial" w:cs="Arial" w:eastAsia="Arial" w:hAnsi="Arial"/>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9" w:lineRule="exact"/>
        <w:rPr>
          <w:rFonts w:ascii="Arial" w:cs="Arial" w:eastAsia="Arial" w:hAnsi="Arial"/>
          <w:sz w:val="18"/>
          <w:szCs w:val="18"/>
          <w:color w:val="auto"/>
        </w:rPr>
      </w:pPr>
    </w:p>
    <w:p>
      <w:pPr>
        <w:ind w:left="600" w:hanging="268"/>
        <w:spacing w:after="0"/>
        <w:tabs>
          <w:tab w:leader="none" w:pos="60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9" w:lineRule="exact"/>
        <w:rPr>
          <w:rFonts w:ascii="Arial" w:cs="Arial" w:eastAsia="Arial" w:hAnsi="Arial"/>
          <w:sz w:val="18"/>
          <w:szCs w:val="18"/>
          <w:color w:val="auto"/>
        </w:rPr>
      </w:pPr>
    </w:p>
    <w:p>
      <w:pPr>
        <w:ind w:left="600" w:hanging="268"/>
        <w:spacing w:after="0"/>
        <w:tabs>
          <w:tab w:leader="none" w:pos="60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280035</wp:posOffset>
            </wp:positionV>
            <wp:extent cx="7246620" cy="260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323215</wp:posOffset>
            </wp:positionV>
            <wp:extent cx="7246620" cy="260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569595</wp:posOffset>
            </wp:positionV>
            <wp:extent cx="7267575" cy="298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54"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Item 2.02 Results of Operations and Financial Condition.</w:t>
      </w:r>
    </w:p>
    <w:p>
      <w:pPr>
        <w:spacing w:after="0" w:line="229" w:lineRule="exact"/>
        <w:rPr>
          <w:sz w:val="24"/>
          <w:szCs w:val="24"/>
          <w:color w:val="auto"/>
        </w:rPr>
      </w:pPr>
    </w:p>
    <w:p>
      <w:pPr>
        <w:ind w:right="440"/>
        <w:spacing w:after="0" w:line="277" w:lineRule="auto"/>
        <w:rPr>
          <w:sz w:val="20"/>
          <w:szCs w:val="20"/>
          <w:color w:val="auto"/>
        </w:rPr>
      </w:pPr>
      <w:r>
        <w:rPr>
          <w:rFonts w:ascii="Arial" w:cs="Arial" w:eastAsia="Arial" w:hAnsi="Arial"/>
          <w:sz w:val="18"/>
          <w:szCs w:val="18"/>
          <w:color w:val="auto"/>
        </w:rPr>
        <w:t>On November 21, 2006, Globalstar, Inc. issued a press release to report 2006 third quarter financial results. The text of the press release is furnished as Exhibit 99.1 to this Form 8-K.</w:t>
      </w:r>
    </w:p>
    <w:p>
      <w:pPr>
        <w:spacing w:after="0" w:line="170" w:lineRule="exact"/>
        <w:rPr>
          <w:sz w:val="24"/>
          <w:szCs w:val="24"/>
          <w:color w:val="auto"/>
        </w:rPr>
      </w:pPr>
    </w:p>
    <w:p>
      <w:pPr>
        <w:ind w:right="100"/>
        <w:spacing w:after="0" w:line="279" w:lineRule="auto"/>
        <w:rPr>
          <w:sz w:val="20"/>
          <w:szCs w:val="20"/>
          <w:color w:val="auto"/>
        </w:rPr>
      </w:pPr>
      <w:r>
        <w:rPr>
          <w:rFonts w:ascii="Arial" w:cs="Arial" w:eastAsia="Arial" w:hAnsi="Arial"/>
          <w:sz w:val="17"/>
          <w:szCs w:val="17"/>
          <w:color w:val="auto"/>
        </w:rPr>
        <w:t>The information in this Item 2.02 and the Exhibit attached to this Current Report on Form 8-K is furnished pursuant to the rules and regulations of the Securities and Exchange Commission and shall not be deemed “filed” for purposes of Section 18 of the Securities Exchange Act of 1934 (the “Exchange Act”) or otherwise subject to the liabilities of that section, nor shall it be deemed incorporated by reference in any filing under the Securities Act of 1933 or the Exchange Act, except as expressly set forth by specific reference in such a filing.</w:t>
      </w:r>
    </w:p>
    <w:p>
      <w:pPr>
        <w:spacing w:after="0" w:line="167"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Item 8.01 Other Events</w:t>
      </w:r>
    </w:p>
    <w:p>
      <w:pPr>
        <w:spacing w:after="0" w:line="229" w:lineRule="exact"/>
        <w:rPr>
          <w:sz w:val="24"/>
          <w:szCs w:val="24"/>
          <w:color w:val="auto"/>
        </w:rPr>
      </w:pPr>
    </w:p>
    <w:p>
      <w:pPr>
        <w:ind w:right="120"/>
        <w:spacing w:after="0" w:line="342" w:lineRule="auto"/>
        <w:rPr>
          <w:sz w:val="20"/>
          <w:szCs w:val="20"/>
          <w:color w:val="auto"/>
        </w:rPr>
      </w:pPr>
      <w:r>
        <w:rPr>
          <w:rFonts w:ascii="Arial" w:cs="Arial" w:eastAsia="Arial" w:hAnsi="Arial"/>
          <w:sz w:val="16"/>
          <w:szCs w:val="16"/>
          <w:color w:val="auto"/>
        </w:rPr>
        <w:t>Thermo Funding Company has notified Globalstar that it has elected to exercise its right under the terms of its Standby Stock Purchase Agreement to purchase at this time from Globalstar an additional 2,000,000 shares of common stock at $16.17 per share for an aggregate purchase price of $32.3 million.</w:t>
      </w:r>
    </w:p>
    <w:p>
      <w:pPr>
        <w:spacing w:after="0" w:line="120"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229" w:lineRule="exact"/>
        <w:rPr>
          <w:sz w:val="24"/>
          <w:szCs w:val="24"/>
          <w:color w:val="auto"/>
        </w:rPr>
      </w:pPr>
    </w:p>
    <w:p>
      <w:pPr>
        <w:spacing w:after="0"/>
        <w:rPr>
          <w:sz w:val="20"/>
          <w:szCs w:val="20"/>
          <w:color w:val="auto"/>
        </w:rPr>
      </w:pPr>
      <w:r>
        <w:rPr>
          <w:rFonts w:ascii="Arial" w:cs="Arial" w:eastAsia="Arial" w:hAnsi="Arial"/>
          <w:sz w:val="18"/>
          <w:szCs w:val="18"/>
          <w:i w:val="1"/>
          <w:iCs w:val="1"/>
          <w:color w:val="auto"/>
        </w:rPr>
        <w:t>(d) Exhibits.</w:t>
      </w:r>
    </w:p>
    <w:p>
      <w:pPr>
        <w:spacing w:after="0" w:line="225" w:lineRule="exact"/>
        <w:rPr>
          <w:sz w:val="24"/>
          <w:szCs w:val="24"/>
          <w:color w:val="auto"/>
        </w:rPr>
      </w:pPr>
    </w:p>
    <w:p>
      <w:pPr>
        <w:spacing w:after="0"/>
        <w:tabs>
          <w:tab w:leader="none" w:pos="700" w:val="left"/>
        </w:tabs>
        <w:rPr>
          <w:sz w:val="20"/>
          <w:szCs w:val="20"/>
          <w:color w:val="auto"/>
        </w:rPr>
      </w:pPr>
      <w:r>
        <w:rPr>
          <w:rFonts w:ascii="Arial" w:cs="Arial" w:eastAsia="Arial" w:hAnsi="Arial"/>
          <w:sz w:val="18"/>
          <w:szCs w:val="18"/>
          <w:color w:val="auto"/>
        </w:rPr>
        <w:t>99.1</w:t>
      </w:r>
      <w:r>
        <w:rPr>
          <w:sz w:val="20"/>
          <w:szCs w:val="20"/>
          <w:color w:val="auto"/>
        </w:rPr>
        <w:tab/>
      </w:r>
      <w:r>
        <w:rPr>
          <w:rFonts w:ascii="Arial" w:cs="Arial" w:eastAsia="Arial" w:hAnsi="Arial"/>
          <w:sz w:val="15"/>
          <w:szCs w:val="15"/>
          <w:color w:val="auto"/>
        </w:rPr>
        <w:t>Press release dated November 21, 2006</w:t>
      </w:r>
    </w:p>
    <w:p>
      <w:pPr>
        <w:spacing w:after="0" w:line="200" w:lineRule="exact"/>
        <w:rPr>
          <w:sz w:val="24"/>
          <w:szCs w:val="24"/>
          <w:color w:val="auto"/>
        </w:rPr>
      </w:pPr>
    </w:p>
    <w:p>
      <w:pPr>
        <w:spacing w:after="0" w:line="241"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28"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4"/>
          <w:szCs w:val="24"/>
          <w:color w:val="auto"/>
        </w:rPr>
      </w:pPr>
    </w:p>
    <w:p>
      <w:pPr>
        <w:ind w:right="2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ectPr>
          <w:pgSz w:w="11900" w:h="16838" w:orient="portrait"/>
          <w:cols w:equalWidth="0" w:num="1">
            <w:col w:w="11300"/>
          </w:cols>
          <w:pgMar w:left="240" w:top="530" w:right="359" w:bottom="0" w:gutter="0" w:footer="0" w:header="0"/>
        </w:sectPr>
      </w:pPr>
    </w:p>
    <w:bookmarkStart w:id="1" w:name="page2"/>
    <w:bookmarkEnd w:id="1"/>
    <w:p>
      <w:pPr>
        <w:ind w:left="5720"/>
        <w:spacing w:after="0"/>
        <w:rPr>
          <w:sz w:val="20"/>
          <w:szCs w:val="20"/>
          <w:color w:val="auto"/>
        </w:rPr>
      </w:pPr>
      <w:r>
        <w:rPr>
          <w:rFonts w:ascii="Arial" w:cs="Arial" w:eastAsia="Arial" w:hAnsi="Arial"/>
          <w:sz w:val="18"/>
          <w:szCs w:val="18"/>
          <w:color w:val="auto"/>
        </w:rPr>
        <w:t>GLOBALSTAR, INC.</w:t>
      </w:r>
    </w:p>
    <w:p>
      <w:pPr>
        <w:spacing w:after="0" w:line="200" w:lineRule="exact"/>
        <w:rPr>
          <w:sz w:val="20"/>
          <w:szCs w:val="20"/>
          <w:color w:val="auto"/>
        </w:rPr>
      </w:pPr>
    </w:p>
    <w:p>
      <w:pPr>
        <w:spacing w:after="0" w:line="241"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/s/ Fuad Ahmad</w:t>
      </w:r>
    </w:p>
    <w:p>
      <w:pPr>
        <w:spacing w:after="0" w:line="2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Fuad Ahmad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3632835</wp:posOffset>
            </wp:positionH>
            <wp:positionV relativeFrom="paragraph">
              <wp:posOffset>-130810</wp:posOffset>
            </wp:positionV>
            <wp:extent cx="361886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618865" cy="8890"/>
                    </a:xfrm>
                    <a:prstGeom prst="rect">
                      <a:avLst/>
                    </a:prstGeom>
                    <a:noFill/>
                  </pic:spPr>
                </pic:pic>
              </a:graphicData>
            </a:graphic>
          </wp:anchor>
        </w:drawing>
      </w:r>
    </w:p>
    <w:p>
      <w:pPr>
        <w:spacing w:after="0" w:line="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Vice President and</w:t>
      </w:r>
    </w:p>
    <w:p>
      <w:pPr>
        <w:spacing w:after="0" w:line="9" w:lineRule="exact"/>
        <w:rPr>
          <w:sz w:val="20"/>
          <w:szCs w:val="20"/>
          <w:color w:val="auto"/>
        </w:rPr>
      </w:pPr>
    </w:p>
    <w:p>
      <w:pPr>
        <w:ind w:left="5720"/>
        <w:spacing w:after="0"/>
        <w:rPr>
          <w:sz w:val="20"/>
          <w:szCs w:val="20"/>
          <w:color w:val="auto"/>
        </w:rPr>
      </w:pPr>
      <w:r>
        <w:rPr>
          <w:rFonts w:ascii="Arial" w:cs="Arial" w:eastAsia="Arial" w:hAnsi="Arial"/>
          <w:sz w:val="17"/>
          <w:szCs w:val="17"/>
          <w:color w:val="auto"/>
        </w:rPr>
        <w:t>Chief Financial Officer</w:t>
      </w:r>
    </w:p>
    <w:p>
      <w:pPr>
        <w:spacing w:after="0" w:line="276" w:lineRule="exact"/>
        <w:rPr>
          <w:sz w:val="20"/>
          <w:szCs w:val="20"/>
          <w:color w:val="auto"/>
        </w:rPr>
      </w:pPr>
    </w:p>
    <w:p>
      <w:pPr>
        <w:spacing w:after="0"/>
        <w:rPr>
          <w:sz w:val="20"/>
          <w:szCs w:val="20"/>
          <w:color w:val="auto"/>
        </w:rPr>
      </w:pPr>
      <w:r>
        <w:rPr>
          <w:rFonts w:ascii="Arial" w:cs="Arial" w:eastAsia="Arial" w:hAnsi="Arial"/>
          <w:sz w:val="18"/>
          <w:szCs w:val="18"/>
          <w:color w:val="auto"/>
        </w:rPr>
        <w:t>Date: November 21, 2006</w:t>
      </w:r>
    </w:p>
    <w:p>
      <w:pPr>
        <w:spacing w:after="0" w:line="200" w:lineRule="exact"/>
        <w:rPr>
          <w:sz w:val="20"/>
          <w:szCs w:val="20"/>
          <w:color w:val="auto"/>
        </w:rPr>
      </w:pPr>
    </w:p>
    <w:p>
      <w:pPr>
        <w:spacing w:after="0" w:line="241"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0219"/>
          </w:cols>
          <w:pgMar w:left="240" w:top="341" w:right="1440" w:bottom="1440" w:gutter="0" w:footer="0" w:header="0"/>
        </w:sectPr>
      </w:pPr>
    </w:p>
    <w:bookmarkStart w:id="2" w:name="page3"/>
    <w:bookmarkEnd w:id="2"/>
    <w:p>
      <w:pPr>
        <w:jc w:val="right"/>
        <w:spacing w:after="0"/>
        <w:rPr>
          <w:sz w:val="20"/>
          <w:szCs w:val="20"/>
          <w:color w:val="auto"/>
        </w:rPr>
      </w:pPr>
      <w:r>
        <w:rPr>
          <w:rFonts w:ascii="Arial" w:cs="Arial" w:eastAsia="Arial" w:hAnsi="Arial"/>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154940</wp:posOffset>
            </wp:positionV>
            <wp:extent cx="1174750" cy="4629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174750" cy="4629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spacing w:after="0"/>
        <w:rPr>
          <w:sz w:val="20"/>
          <w:szCs w:val="20"/>
          <w:color w:val="auto"/>
        </w:rPr>
      </w:pPr>
      <w:r>
        <w:rPr>
          <w:rFonts w:ascii="Arial" w:cs="Arial" w:eastAsia="Arial" w:hAnsi="Arial"/>
          <w:sz w:val="14"/>
          <w:szCs w:val="14"/>
          <w:color w:val="auto"/>
        </w:rPr>
        <w:t>461 SO. MILPITAS BLVD. BUILDING 5</w:t>
      </w:r>
    </w:p>
    <w:p>
      <w:pPr>
        <w:spacing w:after="0" w:line="221" w:lineRule="auto"/>
        <w:rPr>
          <w:sz w:val="20"/>
          <w:szCs w:val="20"/>
          <w:color w:val="auto"/>
        </w:rPr>
      </w:pPr>
      <w:r>
        <w:rPr>
          <w:rFonts w:ascii="Arial" w:cs="Arial" w:eastAsia="Arial" w:hAnsi="Arial"/>
          <w:sz w:val="14"/>
          <w:szCs w:val="14"/>
          <w:color w:val="auto"/>
        </w:rPr>
        <w:t>MILPITAS CA</w:t>
      </w:r>
    </w:p>
    <w:p>
      <w:pPr>
        <w:spacing w:after="0"/>
        <w:rPr>
          <w:sz w:val="20"/>
          <w:szCs w:val="20"/>
          <w:color w:val="auto"/>
        </w:rPr>
      </w:pPr>
      <w:r>
        <w:rPr>
          <w:rFonts w:ascii="Arial" w:cs="Arial" w:eastAsia="Arial" w:hAnsi="Arial"/>
          <w:sz w:val="14"/>
          <w:szCs w:val="14"/>
          <w:color w:val="auto"/>
        </w:rPr>
        <w:t>95035 USA</w:t>
      </w:r>
    </w:p>
    <w:p>
      <w:pPr>
        <w:spacing w:after="0" w:line="187" w:lineRule="exact"/>
        <w:rPr>
          <w:sz w:val="20"/>
          <w:szCs w:val="20"/>
          <w:color w:val="auto"/>
        </w:rPr>
      </w:pPr>
    </w:p>
    <w:p>
      <w:pPr>
        <w:spacing w:after="0"/>
        <w:rPr>
          <w:sz w:val="20"/>
          <w:szCs w:val="20"/>
          <w:color w:val="auto"/>
        </w:rPr>
      </w:pPr>
      <w:r>
        <w:rPr>
          <w:rFonts w:ascii="Arial" w:cs="Arial" w:eastAsia="Arial" w:hAnsi="Arial"/>
          <w:sz w:val="25"/>
          <w:szCs w:val="25"/>
          <w:b w:val="1"/>
          <w:bCs w:val="1"/>
          <w:color w:val="auto"/>
        </w:rPr>
        <w:t>NEWS</w:t>
      </w:r>
    </w:p>
    <w:p>
      <w:pPr>
        <w:spacing w:after="0" w:line="3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 Immediate Release</w:t>
      </w:r>
    </w:p>
    <w:p>
      <w:pPr>
        <w:spacing w:after="0" w:line="196"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GLOBALSTAR, INC. ANNOUNCES RESULTS FOR THIRD</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QUARTER 2006</w:t>
      </w:r>
    </w:p>
    <w:p>
      <w:pPr>
        <w:spacing w:after="0" w:line="195" w:lineRule="exact"/>
        <w:rPr>
          <w:sz w:val="20"/>
          <w:szCs w:val="20"/>
          <w:color w:val="auto"/>
        </w:rPr>
      </w:pPr>
    </w:p>
    <w:p>
      <w:pPr>
        <w:jc w:val="center"/>
        <w:spacing w:after="0"/>
        <w:rPr>
          <w:sz w:val="20"/>
          <w:szCs w:val="20"/>
          <w:color w:val="auto"/>
        </w:rPr>
      </w:pPr>
      <w:r>
        <w:rPr>
          <w:rFonts w:ascii="Arial" w:cs="Arial" w:eastAsia="Arial" w:hAnsi="Arial"/>
          <w:sz w:val="18"/>
          <w:szCs w:val="18"/>
          <w:b w:val="1"/>
          <w:bCs w:val="1"/>
          <w:i w:val="1"/>
          <w:iCs w:val="1"/>
          <w:color w:val="auto"/>
        </w:rPr>
        <w:t>Strong performance led by subscriber growth and increased earnings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Highlights Include:</w:t>
      </w:r>
    </w:p>
    <w:p>
      <w:pPr>
        <w:spacing w:after="0" w:line="225" w:lineRule="exact"/>
        <w:rPr>
          <w:sz w:val="20"/>
          <w:szCs w:val="20"/>
          <w:color w:val="auto"/>
        </w:rPr>
      </w:pPr>
    </w:p>
    <w:p>
      <w:pPr>
        <w:ind w:left="620" w:hanging="288"/>
        <w:spacing w:after="0"/>
        <w:tabs>
          <w:tab w:leader="none" w:pos="620" w:val="left"/>
        </w:tabs>
        <w:numPr>
          <w:ilvl w:val="0"/>
          <w:numId w:val="2"/>
        </w:numPr>
        <w:rPr>
          <w:rFonts w:ascii="Arial" w:cs="Arial" w:eastAsia="Arial" w:hAnsi="Arial"/>
          <w:sz w:val="18"/>
          <w:szCs w:val="18"/>
          <w:color w:val="auto"/>
        </w:rPr>
      </w:pPr>
      <w:r>
        <w:rPr>
          <w:rFonts w:ascii="Arial" w:cs="Arial" w:eastAsia="Arial" w:hAnsi="Arial"/>
          <w:sz w:val="18"/>
          <w:szCs w:val="18"/>
          <w:b w:val="1"/>
          <w:bCs w:val="1"/>
          <w:i w:val="1"/>
          <w:iCs w:val="1"/>
          <w:color w:val="auto"/>
        </w:rPr>
        <w:t>Total number of subscribers increased during the past 12 months by 39% to surpass the 250,000-subscriber mark</w:t>
      </w:r>
    </w:p>
    <w:p>
      <w:pPr>
        <w:spacing w:after="0" w:line="225" w:lineRule="exact"/>
        <w:rPr>
          <w:rFonts w:ascii="Arial" w:cs="Arial" w:eastAsia="Arial" w:hAnsi="Arial"/>
          <w:sz w:val="18"/>
          <w:szCs w:val="18"/>
          <w:color w:val="auto"/>
        </w:rPr>
      </w:pPr>
    </w:p>
    <w:p>
      <w:pPr>
        <w:ind w:left="660" w:hanging="328"/>
        <w:spacing w:after="0" w:line="277" w:lineRule="auto"/>
        <w:tabs>
          <w:tab w:leader="none" w:pos="624" w:val="left"/>
        </w:tabs>
        <w:numPr>
          <w:ilvl w:val="0"/>
          <w:numId w:val="2"/>
        </w:numPr>
        <w:rPr>
          <w:rFonts w:ascii="Arial" w:cs="Arial" w:eastAsia="Arial" w:hAnsi="Arial"/>
          <w:sz w:val="18"/>
          <w:szCs w:val="18"/>
          <w:color w:val="auto"/>
        </w:rPr>
      </w:pPr>
      <w:r>
        <w:rPr>
          <w:rFonts w:ascii="Arial" w:cs="Arial" w:eastAsia="Arial" w:hAnsi="Arial"/>
          <w:sz w:val="18"/>
          <w:szCs w:val="18"/>
          <w:b w:val="1"/>
          <w:bCs w:val="1"/>
          <w:i w:val="1"/>
          <w:iCs w:val="1"/>
          <w:color w:val="auto"/>
        </w:rPr>
        <w:t>Operating income increased by 44% during the third quarter and by 16% during the first 9 months of 2006 when compared to the same periods in 2005</w:t>
      </w:r>
    </w:p>
    <w:p>
      <w:pPr>
        <w:spacing w:after="0" w:line="170" w:lineRule="exact"/>
        <w:rPr>
          <w:rFonts w:ascii="Arial" w:cs="Arial" w:eastAsia="Arial" w:hAnsi="Arial"/>
          <w:sz w:val="18"/>
          <w:szCs w:val="18"/>
          <w:color w:val="auto"/>
        </w:rPr>
      </w:pPr>
    </w:p>
    <w:p>
      <w:pPr>
        <w:ind w:left="660" w:right="160" w:hanging="328"/>
        <w:spacing w:after="0" w:line="277" w:lineRule="auto"/>
        <w:tabs>
          <w:tab w:leader="none" w:pos="624" w:val="left"/>
        </w:tabs>
        <w:numPr>
          <w:ilvl w:val="0"/>
          <w:numId w:val="2"/>
        </w:numPr>
        <w:rPr>
          <w:rFonts w:ascii="Arial" w:cs="Arial" w:eastAsia="Arial" w:hAnsi="Arial"/>
          <w:sz w:val="18"/>
          <w:szCs w:val="18"/>
          <w:color w:val="auto"/>
        </w:rPr>
      </w:pPr>
      <w:r>
        <w:rPr>
          <w:rFonts w:ascii="Arial" w:cs="Arial" w:eastAsia="Arial" w:hAnsi="Arial"/>
          <w:sz w:val="18"/>
          <w:szCs w:val="18"/>
          <w:b w:val="1"/>
          <w:bCs w:val="1"/>
          <w:i w:val="1"/>
          <w:iCs w:val="1"/>
          <w:color w:val="auto"/>
        </w:rPr>
        <w:t>Adjusted EBITDA increased by 46% during the third quarter and by 63% during the first 9 months of 2006 when compared to the same periods in 2005</w:t>
      </w:r>
    </w:p>
    <w:p>
      <w:pPr>
        <w:spacing w:after="0" w:line="170" w:lineRule="exact"/>
        <w:rPr>
          <w:rFonts w:ascii="Arial" w:cs="Arial" w:eastAsia="Arial" w:hAnsi="Arial"/>
          <w:sz w:val="18"/>
          <w:szCs w:val="18"/>
          <w:color w:val="auto"/>
        </w:rPr>
      </w:pPr>
    </w:p>
    <w:p>
      <w:pPr>
        <w:ind w:left="660" w:right="120" w:hanging="328"/>
        <w:spacing w:after="0" w:line="277" w:lineRule="auto"/>
        <w:tabs>
          <w:tab w:leader="none" w:pos="624" w:val="left"/>
        </w:tabs>
        <w:numPr>
          <w:ilvl w:val="0"/>
          <w:numId w:val="2"/>
        </w:numPr>
        <w:rPr>
          <w:rFonts w:ascii="Arial" w:cs="Arial" w:eastAsia="Arial" w:hAnsi="Arial"/>
          <w:sz w:val="18"/>
          <w:szCs w:val="18"/>
          <w:color w:val="auto"/>
        </w:rPr>
      </w:pPr>
      <w:r>
        <w:rPr>
          <w:rFonts w:ascii="Arial" w:cs="Arial" w:eastAsia="Arial" w:hAnsi="Arial"/>
          <w:sz w:val="18"/>
          <w:szCs w:val="18"/>
          <w:b w:val="1"/>
          <w:bCs w:val="1"/>
          <w:i w:val="1"/>
          <w:iCs w:val="1"/>
          <w:color w:val="auto"/>
        </w:rPr>
        <w:t>Service Revenue increased by 24% during the third quarter and by 22% during the first 9 months of 2006 when compared to the same periods in 2005</w:t>
      </w:r>
    </w:p>
    <w:p>
      <w:pPr>
        <w:spacing w:after="0" w:line="170" w:lineRule="exact"/>
        <w:rPr>
          <w:rFonts w:ascii="Arial" w:cs="Arial" w:eastAsia="Arial" w:hAnsi="Arial"/>
          <w:sz w:val="18"/>
          <w:szCs w:val="18"/>
          <w:color w:val="auto"/>
        </w:rPr>
      </w:pPr>
    </w:p>
    <w:p>
      <w:pPr>
        <w:ind w:left="660" w:right="200" w:hanging="328"/>
        <w:spacing w:after="0" w:line="277" w:lineRule="auto"/>
        <w:tabs>
          <w:tab w:leader="none" w:pos="624" w:val="left"/>
        </w:tabs>
        <w:numPr>
          <w:ilvl w:val="0"/>
          <w:numId w:val="2"/>
        </w:numPr>
        <w:rPr>
          <w:rFonts w:ascii="Arial" w:cs="Arial" w:eastAsia="Arial" w:hAnsi="Arial"/>
          <w:sz w:val="18"/>
          <w:szCs w:val="18"/>
          <w:color w:val="auto"/>
        </w:rPr>
      </w:pPr>
      <w:r>
        <w:rPr>
          <w:rFonts w:ascii="Arial" w:cs="Arial" w:eastAsia="Arial" w:hAnsi="Arial"/>
          <w:sz w:val="18"/>
          <w:szCs w:val="18"/>
          <w:b w:val="1"/>
          <w:bCs w:val="1"/>
          <w:i w:val="1"/>
          <w:iCs w:val="1"/>
          <w:color w:val="auto"/>
        </w:rPr>
        <w:t>Adjusted Service Revenue increased by 22% during the third quarter and by 31% during the first 9 months of 2006 when compared to the same periods in 2005</w:t>
      </w:r>
    </w:p>
    <w:p>
      <w:pPr>
        <w:spacing w:after="0" w:line="170" w:lineRule="exact"/>
        <w:rPr>
          <w:rFonts w:ascii="Arial" w:cs="Arial" w:eastAsia="Arial" w:hAnsi="Arial"/>
          <w:sz w:val="18"/>
          <w:szCs w:val="18"/>
          <w:color w:val="auto"/>
        </w:rPr>
      </w:pPr>
    </w:p>
    <w:p>
      <w:pPr>
        <w:ind w:left="620" w:hanging="288"/>
        <w:spacing w:after="0"/>
        <w:tabs>
          <w:tab w:leader="none" w:pos="620" w:val="left"/>
        </w:tabs>
        <w:numPr>
          <w:ilvl w:val="0"/>
          <w:numId w:val="2"/>
        </w:numPr>
        <w:rPr>
          <w:rFonts w:ascii="Arial" w:cs="Arial" w:eastAsia="Arial" w:hAnsi="Arial"/>
          <w:sz w:val="18"/>
          <w:szCs w:val="18"/>
          <w:color w:val="auto"/>
        </w:rPr>
      </w:pPr>
      <w:r>
        <w:rPr>
          <w:rFonts w:ascii="Arial" w:cs="Arial" w:eastAsia="Arial" w:hAnsi="Arial"/>
          <w:sz w:val="18"/>
          <w:szCs w:val="18"/>
          <w:b w:val="1"/>
          <w:bCs w:val="1"/>
          <w:i w:val="1"/>
          <w:iCs w:val="1"/>
          <w:color w:val="auto"/>
        </w:rPr>
        <w:t>Third quarter 2006 Churn Rate decreased to 0.9% per month compared to 1.0% during the same period in 2005</w:t>
      </w:r>
    </w:p>
    <w:p>
      <w:pPr>
        <w:spacing w:after="0" w:line="230" w:lineRule="exact"/>
        <w:rPr>
          <w:sz w:val="20"/>
          <w:szCs w:val="20"/>
          <w:color w:val="auto"/>
        </w:rPr>
      </w:pPr>
    </w:p>
    <w:p>
      <w:pPr>
        <w:ind w:left="340"/>
        <w:spacing w:after="0"/>
        <w:rPr>
          <w:sz w:val="20"/>
          <w:szCs w:val="20"/>
          <w:color w:val="auto"/>
        </w:rPr>
      </w:pPr>
      <w:r>
        <w:rPr>
          <w:rFonts w:ascii="Arial" w:cs="Arial" w:eastAsia="Arial" w:hAnsi="Arial"/>
          <w:sz w:val="16"/>
          <w:szCs w:val="16"/>
          <w:b w:val="1"/>
          <w:bCs w:val="1"/>
          <w:i w:val="1"/>
          <w:iCs w:val="1"/>
          <w:color w:val="auto"/>
        </w:rPr>
        <w:t>(See the chart titled “Definition of Terms and Reconciliation of Non-GAAP Financial Measures” found later in this release)</w:t>
      </w:r>
    </w:p>
    <w:p>
      <w:pPr>
        <w:spacing w:after="0" w:line="226" w:lineRule="exact"/>
        <w:rPr>
          <w:sz w:val="20"/>
          <w:szCs w:val="20"/>
          <w:color w:val="auto"/>
        </w:rPr>
      </w:pPr>
    </w:p>
    <w:p>
      <w:pPr>
        <w:ind w:right="40"/>
        <w:spacing w:after="0" w:line="258" w:lineRule="auto"/>
        <w:rPr>
          <w:sz w:val="20"/>
          <w:szCs w:val="20"/>
          <w:color w:val="auto"/>
        </w:rPr>
      </w:pPr>
      <w:r>
        <w:rPr>
          <w:rFonts w:ascii="Arial" w:cs="Arial" w:eastAsia="Arial" w:hAnsi="Arial"/>
          <w:sz w:val="18"/>
          <w:szCs w:val="18"/>
          <w:b w:val="1"/>
          <w:bCs w:val="1"/>
          <w:color w:val="auto"/>
        </w:rPr>
        <w:t>MILPITAS, CA. — (November 21, 2006</w:t>
      </w:r>
      <w:r>
        <w:rPr>
          <w:rFonts w:ascii="Arial" w:cs="Arial" w:eastAsia="Arial" w:hAnsi="Arial"/>
          <w:sz w:val="18"/>
          <w:szCs w:val="18"/>
          <w:color w:val="auto"/>
        </w:rPr>
        <w:t>) — Globalstar, Inc. (NASDAQ:GSAT), a leading provider of mobile satellite voice and data services to</w:t>
      </w:r>
      <w:r>
        <w:rPr>
          <w:rFonts w:ascii="Arial" w:cs="Arial" w:eastAsia="Arial" w:hAnsi="Arial"/>
          <w:sz w:val="18"/>
          <w:szCs w:val="18"/>
          <w:b w:val="1"/>
          <w:bCs w:val="1"/>
          <w:color w:val="auto"/>
        </w:rPr>
        <w:t xml:space="preserve"> </w:t>
      </w:r>
      <w:r>
        <w:rPr>
          <w:rFonts w:ascii="Arial" w:cs="Arial" w:eastAsia="Arial" w:hAnsi="Arial"/>
          <w:sz w:val="18"/>
          <w:szCs w:val="18"/>
          <w:color w:val="auto"/>
        </w:rPr>
        <w:t>businesses, government and individuals announced today its financial and operational results for the three and nine month periods ended September 30, 2006, including continued strong annual year-to-date EBITDA and subscriber growth highlighted by the Company surpassing the quarter million subscriber figure. The Company also completed its initial public offering on November 7, 2006, which generated approximately $118.6 million in net proceeds before offering expenses.</w:t>
      </w:r>
    </w:p>
    <w:p>
      <w:pPr>
        <w:spacing w:after="0" w:line="188"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“Globalstar continued to show strong subscriber growth as well as increases in both revenues and earnings for the nine months ended September 30, 2006 due mainly to our success in attracting new customers in our core markets,” said Jay Monroe,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338455</wp:posOffset>
            </wp:positionV>
            <wp:extent cx="7267575" cy="298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ind w:right="240"/>
        <w:spacing w:after="0" w:line="273" w:lineRule="auto"/>
        <w:rPr>
          <w:sz w:val="20"/>
          <w:szCs w:val="20"/>
          <w:color w:val="auto"/>
        </w:rPr>
      </w:pPr>
      <w:r>
        <w:rPr>
          <w:rFonts w:ascii="Arial" w:cs="Arial" w:eastAsia="Arial" w:hAnsi="Arial"/>
          <w:sz w:val="17"/>
          <w:szCs w:val="17"/>
          <w:color w:val="auto"/>
        </w:rPr>
        <w:t>Chairman and CEO of Globalstar, Inc. Mr. Monroe added, “we believe Globalstar continues to deliver an attractive value proposition to customers who require voice and data communications beyond the boundaries of terrestrial wireless and wireline coverage, and we continue to exhibit strong financial performance along with a decreased churn rate. In addition, Globalstar continued preparations for the launch of eight spare satellites scheduled for the first half of 2007 and has filed with the FCC to permit adjustments to our satellite constellation in order to accommodate the insertion of the spare satellites. Finally, we continue to negotiate a definitive agreement for the development and manufacture of the Globalstar second-generation satellite constellation designed to extend the life of our constellation through at least 2025.”</w:t>
      </w:r>
    </w:p>
    <w:p>
      <w:pPr>
        <w:spacing w:after="0" w:line="178" w:lineRule="exact"/>
        <w:rPr>
          <w:sz w:val="20"/>
          <w:szCs w:val="20"/>
          <w:color w:val="auto"/>
        </w:rPr>
      </w:pPr>
    </w:p>
    <w:p>
      <w:pPr>
        <w:ind w:right="20"/>
        <w:spacing w:after="0" w:line="342" w:lineRule="auto"/>
        <w:rPr>
          <w:sz w:val="20"/>
          <w:szCs w:val="20"/>
          <w:color w:val="auto"/>
        </w:rPr>
      </w:pPr>
      <w:r>
        <w:rPr>
          <w:rFonts w:ascii="Arial" w:cs="Arial" w:eastAsia="Arial" w:hAnsi="Arial"/>
          <w:sz w:val="16"/>
          <w:szCs w:val="16"/>
          <w:color w:val="auto"/>
        </w:rPr>
        <w:t>Thermo Funding Company has notified the Company that it has elected to exercise its right under the terms of the Standby Stock Purchase Agreement to purchase at this time from the Company an additional 2,000,000 shares of common stock at $16.17 per share for an aggregate purchase price of $32.3 million.</w:t>
      </w:r>
    </w:p>
    <w:p>
      <w:pPr>
        <w:spacing w:after="0" w:line="124" w:lineRule="exact"/>
        <w:rPr>
          <w:sz w:val="20"/>
          <w:szCs w:val="20"/>
          <w:color w:val="auto"/>
        </w:rPr>
      </w:pPr>
    </w:p>
    <w:p>
      <w:pPr>
        <w:ind w:right="20"/>
        <w:spacing w:after="0" w:line="273" w:lineRule="auto"/>
        <w:rPr>
          <w:sz w:val="20"/>
          <w:szCs w:val="20"/>
          <w:color w:val="auto"/>
        </w:rPr>
      </w:pPr>
      <w:r>
        <w:rPr>
          <w:rFonts w:ascii="Arial" w:cs="Arial" w:eastAsia="Arial" w:hAnsi="Arial"/>
          <w:sz w:val="17"/>
          <w:szCs w:val="17"/>
          <w:color w:val="auto"/>
        </w:rPr>
        <w:t>Globalstar ended the third quarter of 2006 with 255,729 total subscribers and with quarterly and year-to-date operating income of $8.8 million and $14.5 million, respectively, and Adjusted EBITDA (adjusted for the Company’s Liberty rate plans) of $10.1 million and $23.8 million, respectively. Net income for the third quarter of 2006 was $4.4 million compared to $7.9 million in the same period of 2005 as a result of a change in income tax expense. The Company elected in January 2006 to be treated as a C corporation for U.S. income tax purposes. Previously the Company was not subject to U.S. income taxes. Net income for the 9-month period of 2006 increased to $26.1 million (including an income tax benefit of $13.2 million) compared to $10.7 million (including an income tax expense of $1.0 million) during the same period in 2005.</w:t>
      </w:r>
    </w:p>
    <w:p>
      <w:pPr>
        <w:spacing w:after="0" w:line="178" w:lineRule="exact"/>
        <w:rPr>
          <w:sz w:val="20"/>
          <w:szCs w:val="20"/>
          <w:color w:val="auto"/>
        </w:rPr>
      </w:pPr>
    </w:p>
    <w:p>
      <w:pPr>
        <w:spacing w:after="0" w:line="276" w:lineRule="auto"/>
        <w:rPr>
          <w:sz w:val="20"/>
          <w:szCs w:val="20"/>
          <w:color w:val="auto"/>
        </w:rPr>
      </w:pPr>
      <w:r>
        <w:rPr>
          <w:rFonts w:ascii="Arial" w:cs="Arial" w:eastAsia="Arial" w:hAnsi="Arial"/>
          <w:sz w:val="17"/>
          <w:szCs w:val="17"/>
          <w:color w:val="auto"/>
        </w:rPr>
        <w:t>Quarterly and year-to-date service revenue in 2006 were $27.6 million and $69.9 million, increases of 24 percent and 22 percent, respectively, from service revenue for the same periods in 2005. Adjusted service revenue (adjusted for the Company’s Liberty rate plans) were $27.2 million and $74.7 million in 2006, increases of 22 percent and 31 percent, respectively, over the same periods in 2005. Subscriber equipment sales for the third quarter and nine months of 2006 were $11.0 million and $37.6 million, respectively, compared to $18.3 million and $33.7 million for the corresponding periods in 2005. Subscriber equipment sales in 2005 benefited from additional demand generated by Hurricanes Katrina and Wilma.</w:t>
      </w:r>
    </w:p>
    <w:p>
      <w:pPr>
        <w:spacing w:after="0" w:line="173" w:lineRule="exact"/>
        <w:rPr>
          <w:sz w:val="20"/>
          <w:szCs w:val="20"/>
          <w:color w:val="auto"/>
        </w:rPr>
      </w:pPr>
    </w:p>
    <w:p>
      <w:pPr>
        <w:ind w:right="240"/>
        <w:spacing w:after="0" w:line="342" w:lineRule="auto"/>
        <w:rPr>
          <w:sz w:val="20"/>
          <w:szCs w:val="20"/>
          <w:color w:val="auto"/>
        </w:rPr>
      </w:pPr>
      <w:r>
        <w:rPr>
          <w:rFonts w:ascii="Arial" w:cs="Arial" w:eastAsia="Arial" w:hAnsi="Arial"/>
          <w:sz w:val="16"/>
          <w:szCs w:val="16"/>
          <w:color w:val="auto"/>
        </w:rPr>
        <w:t>Year-to-date fully diluted earnings per share (EPS) for 2006 were $0.42 per share compared to $0.17 per share for the same period in 2005. For the quarter ended September 30, 2006, EPS were $0.07 per share compared to $0.13 per share for the same period in 2005. The decrease in the third quarter resulted</w:t>
      </w:r>
    </w:p>
    <w:p>
      <w:pPr>
        <w:sectPr>
          <w:pgSz w:w="11900" w:h="16838" w:orient="portrait"/>
          <w:cols w:equalWidth="0" w:num="1">
            <w:col w:w="11420"/>
          </w:cols>
          <w:pgMar w:left="240" w:top="121" w:right="239" w:bottom="0" w:gutter="0" w:footer="0" w:header="0"/>
        </w:sectPr>
      </w:pPr>
    </w:p>
    <w:bookmarkStart w:id="3" w:name="page4"/>
    <w:bookmarkEnd w:id="3"/>
    <w:p>
      <w:pPr>
        <w:ind w:right="500"/>
        <w:spacing w:after="0" w:line="277" w:lineRule="auto"/>
        <w:rPr>
          <w:sz w:val="20"/>
          <w:szCs w:val="20"/>
          <w:color w:val="auto"/>
        </w:rPr>
      </w:pPr>
      <w:r>
        <w:rPr>
          <w:rFonts w:ascii="Arial" w:cs="Arial" w:eastAsia="Arial" w:hAnsi="Arial"/>
          <w:sz w:val="18"/>
          <w:szCs w:val="18"/>
          <w:color w:val="auto"/>
        </w:rPr>
        <w:t>primarily from income tax expense, previously referred to, which occurred when the Company elected to be taxed as a C corporation and converted from a limited liability company to a corporation.</w:t>
      </w:r>
    </w:p>
    <w:p>
      <w:pPr>
        <w:spacing w:after="0" w:line="170" w:lineRule="exact"/>
        <w:rPr>
          <w:sz w:val="20"/>
          <w:szCs w:val="20"/>
          <w:color w:val="auto"/>
        </w:rPr>
      </w:pPr>
    </w:p>
    <w:p>
      <w:pPr>
        <w:ind w:right="440"/>
        <w:spacing w:after="0" w:line="277" w:lineRule="auto"/>
        <w:rPr>
          <w:sz w:val="20"/>
          <w:szCs w:val="20"/>
          <w:color w:val="auto"/>
        </w:rPr>
      </w:pPr>
      <w:r>
        <w:rPr>
          <w:rFonts w:ascii="Arial" w:cs="Arial" w:eastAsia="Arial" w:hAnsi="Arial"/>
          <w:sz w:val="18"/>
          <w:szCs w:val="18"/>
          <w:color w:val="auto"/>
        </w:rPr>
        <w:t>Key financial performance measures (see the chart titled “Definition of Terms and Reconciliation of Non-GAAP Financial Measures” found later in this release) for the third quarter and first nine months of 2006 were as follows:</w:t>
      </w:r>
    </w:p>
    <w:p>
      <w:pPr>
        <w:spacing w:after="0" w:line="170" w:lineRule="exact"/>
        <w:rPr>
          <w:sz w:val="20"/>
          <w:szCs w:val="20"/>
          <w:color w:val="auto"/>
        </w:rPr>
      </w:pPr>
    </w:p>
    <w:p>
      <w:pPr>
        <w:ind w:left="360" w:hanging="352"/>
        <w:spacing w:after="0"/>
        <w:tabs>
          <w:tab w:leader="none" w:pos="360" w:val="left"/>
        </w:tabs>
        <w:numPr>
          <w:ilvl w:val="0"/>
          <w:numId w:val="3"/>
        </w:numPr>
        <w:rPr>
          <w:rFonts w:ascii="Arial" w:cs="Arial" w:eastAsia="Arial" w:hAnsi="Arial"/>
          <w:sz w:val="16"/>
          <w:szCs w:val="16"/>
          <w:color w:val="auto"/>
        </w:rPr>
      </w:pPr>
      <w:r>
        <w:rPr>
          <w:rFonts w:ascii="Arial" w:cs="Arial" w:eastAsia="Arial" w:hAnsi="Arial"/>
          <w:sz w:val="16"/>
          <w:szCs w:val="16"/>
          <w:color w:val="auto"/>
        </w:rPr>
        <w:t>Net subscriber growth of approximately 19,200 units during the third quarter boosted the total number of Globalstar subscribers ending September 30,</w:t>
      </w:r>
    </w:p>
    <w:p>
      <w:pPr>
        <w:spacing w:after="0" w:line="46"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18"/>
          <w:szCs w:val="18"/>
          <w:color w:val="auto"/>
        </w:rPr>
        <w:t>2006 to 255,729 for a 12-month increase of 39 percent.</w:t>
      </w:r>
    </w:p>
    <w:p>
      <w:pPr>
        <w:spacing w:after="0" w:line="200" w:lineRule="exact"/>
        <w:rPr>
          <w:rFonts w:ascii="Arial" w:cs="Arial" w:eastAsia="Arial" w:hAnsi="Arial"/>
          <w:sz w:val="16"/>
          <w:szCs w:val="16"/>
          <w:color w:val="auto"/>
        </w:rPr>
      </w:pPr>
    </w:p>
    <w:p>
      <w:pPr>
        <w:spacing w:after="0" w:line="200" w:lineRule="exact"/>
        <w:rPr>
          <w:rFonts w:ascii="Arial" w:cs="Arial" w:eastAsia="Arial" w:hAnsi="Arial"/>
          <w:sz w:val="16"/>
          <w:szCs w:val="16"/>
          <w:color w:val="auto"/>
        </w:rPr>
      </w:pPr>
    </w:p>
    <w:p>
      <w:pPr>
        <w:spacing w:after="0" w:line="200" w:lineRule="exact"/>
        <w:rPr>
          <w:rFonts w:ascii="Arial" w:cs="Arial" w:eastAsia="Arial" w:hAnsi="Arial"/>
          <w:sz w:val="16"/>
          <w:szCs w:val="16"/>
          <w:color w:val="auto"/>
        </w:rPr>
      </w:pPr>
    </w:p>
    <w:p>
      <w:pPr>
        <w:spacing w:after="0" w:line="353" w:lineRule="exact"/>
        <w:rPr>
          <w:rFonts w:ascii="Arial" w:cs="Arial" w:eastAsia="Arial" w:hAnsi="Arial"/>
          <w:sz w:val="16"/>
          <w:szCs w:val="16"/>
          <w:color w:val="auto"/>
        </w:rPr>
      </w:pPr>
    </w:p>
    <w:p>
      <w:pPr>
        <w:ind w:right="220" w:firstLine="8"/>
        <w:spacing w:after="0" w:line="264" w:lineRule="auto"/>
        <w:tabs>
          <w:tab w:leader="none" w:pos="36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Third quarter service revenue increased by 24 percent to $27.6 million compared to the same period in 2005. Year-to-date revenue increased by $16.6 million or 18 percent to $107.4 million and the year-to-date Adjusted Revenue increased by $21.4 million or 24 percent to $112.3 million over the same periods in 2005.</w:t>
      </w:r>
    </w:p>
    <w:p>
      <w:pPr>
        <w:spacing w:after="0" w:line="181" w:lineRule="exact"/>
        <w:rPr>
          <w:rFonts w:ascii="Arial" w:cs="Arial" w:eastAsia="Arial" w:hAnsi="Arial"/>
          <w:sz w:val="18"/>
          <w:szCs w:val="18"/>
          <w:color w:val="auto"/>
        </w:rPr>
      </w:pPr>
    </w:p>
    <w:p>
      <w:pPr>
        <w:ind w:right="240" w:firstLine="8"/>
        <w:spacing w:after="0" w:line="277" w:lineRule="auto"/>
        <w:tabs>
          <w:tab w:leader="none" w:pos="36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Third quarter operating income increased by 44 percent to $8.8 million compared to the same period in 2005. Year-to-date operating income for 2006 increased by 16 percent to $14.5 million from $12.5 million for the same period in 2005.</w:t>
      </w:r>
    </w:p>
    <w:p>
      <w:pPr>
        <w:spacing w:after="0" w:line="170" w:lineRule="exact"/>
        <w:rPr>
          <w:rFonts w:ascii="Arial" w:cs="Arial" w:eastAsia="Arial" w:hAnsi="Arial"/>
          <w:sz w:val="18"/>
          <w:szCs w:val="18"/>
          <w:color w:val="auto"/>
        </w:rPr>
      </w:pPr>
    </w:p>
    <w:p>
      <w:pPr>
        <w:ind w:right="60" w:firstLine="8"/>
        <w:spacing w:after="0" w:line="342" w:lineRule="auto"/>
        <w:tabs>
          <w:tab w:leader="none" w:pos="360" w:val="left"/>
        </w:tabs>
        <w:numPr>
          <w:ilvl w:val="0"/>
          <w:numId w:val="3"/>
        </w:numPr>
        <w:rPr>
          <w:rFonts w:ascii="Arial" w:cs="Arial" w:eastAsia="Arial" w:hAnsi="Arial"/>
          <w:sz w:val="16"/>
          <w:szCs w:val="16"/>
          <w:color w:val="auto"/>
        </w:rPr>
      </w:pPr>
      <w:r>
        <w:rPr>
          <w:rFonts w:ascii="Arial" w:cs="Arial" w:eastAsia="Arial" w:hAnsi="Arial"/>
          <w:sz w:val="16"/>
          <w:szCs w:val="16"/>
          <w:color w:val="auto"/>
        </w:rPr>
        <w:t>Third quarter EBITDA increased by 53 percent to $10.6 million compared to the same period in 2005. Year-to-date EBITDA increased by 30 percent to $18.9 million and the year-to-date Adjusted EBITDA of $23.8 million for the nine months increased by 63 percent over the same periods in 2005.</w:t>
      </w:r>
    </w:p>
    <w:p>
      <w:pPr>
        <w:spacing w:after="0" w:line="123" w:lineRule="exact"/>
        <w:rPr>
          <w:rFonts w:ascii="Arial" w:cs="Arial" w:eastAsia="Arial" w:hAnsi="Arial"/>
          <w:sz w:val="16"/>
          <w:szCs w:val="16"/>
          <w:color w:val="auto"/>
        </w:rPr>
      </w:pPr>
    </w:p>
    <w:p>
      <w:pPr>
        <w:ind w:right="60" w:firstLine="8"/>
        <w:spacing w:after="0" w:line="264" w:lineRule="auto"/>
        <w:tabs>
          <w:tab w:leader="none" w:pos="36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third quarter average monthly Churn Rate dropped to 0.9 percent in the third quarter of 2006 from 1.0 percent during the same quarter in 2005. The year-to-date average monthly Churn Rate for the first nine months of 2006 was 1.0 percent, which dropped by 0.1% when compared to the same period in 2005.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-2046605</wp:posOffset>
            </wp:positionV>
            <wp:extent cx="7267575" cy="298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Conference Call Note</w:t>
      </w:r>
    </w:p>
    <w:p>
      <w:pPr>
        <w:spacing w:after="0" w:line="27" w:lineRule="exact"/>
        <w:rPr>
          <w:sz w:val="20"/>
          <w:szCs w:val="20"/>
          <w:color w:val="auto"/>
        </w:rPr>
      </w:pPr>
    </w:p>
    <w:p>
      <w:pPr>
        <w:ind w:right="440"/>
        <w:spacing w:after="0" w:line="261" w:lineRule="auto"/>
        <w:rPr>
          <w:sz w:val="20"/>
          <w:szCs w:val="20"/>
          <w:color w:val="auto"/>
        </w:rPr>
      </w:pPr>
      <w:r>
        <w:rPr>
          <w:rFonts w:ascii="Arial" w:cs="Arial" w:eastAsia="Arial" w:hAnsi="Arial"/>
          <w:sz w:val="18"/>
          <w:szCs w:val="18"/>
          <w:color w:val="auto"/>
        </w:rPr>
        <w:t>As previously announced, Globalstar will conduct a conference call scheduled for November 21, 2006 at 5:00 p.m. Eastern Time to discuss the Q3 2006 results.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Details are as follows:</w:t>
      </w:r>
    </w:p>
    <w:p>
      <w:pPr>
        <w:sectPr>
          <w:pgSz w:w="11900" w:h="16838" w:orient="portrait"/>
          <w:cols w:equalWidth="0" w:num="1">
            <w:col w:w="11420"/>
          </w:cols>
          <w:pgMar w:left="240" w:top="125" w:right="239" w:bottom="0" w:gutter="0" w:footer="0" w:header="0"/>
        </w:sectPr>
      </w:pPr>
    </w:p>
    <w:p>
      <w:pPr>
        <w:spacing w:after="0" w:line="225" w:lineRule="exact"/>
        <w:rPr>
          <w:sz w:val="20"/>
          <w:szCs w:val="20"/>
          <w:color w:val="auto"/>
        </w:rPr>
      </w:pPr>
    </w:p>
    <w:p>
      <w:pPr>
        <w:spacing w:after="0" w:line="342" w:lineRule="auto"/>
        <w:rPr>
          <w:sz w:val="20"/>
          <w:szCs w:val="20"/>
          <w:color w:val="auto"/>
        </w:rPr>
      </w:pPr>
      <w:r>
        <w:rPr>
          <w:rFonts w:ascii="Arial" w:cs="Arial" w:eastAsia="Arial" w:hAnsi="Arial"/>
          <w:sz w:val="16"/>
          <w:szCs w:val="16"/>
          <w:i w:val="1"/>
          <w:iCs w:val="1"/>
          <w:color w:val="auto"/>
        </w:rPr>
        <w:t>Earnings Call:</w:t>
      </w:r>
    </w:p>
    <w:p>
      <w:pPr>
        <w:spacing w:after="0" w:line="20" w:lineRule="exact"/>
        <w:rPr>
          <w:sz w:val="20"/>
          <w:szCs w:val="20"/>
          <w:color w:val="auto"/>
        </w:rPr>
      </w:pPr>
      <w:r>
        <w:rPr>
          <w:sz w:val="20"/>
          <w:szCs w:val="20"/>
          <w:color w:val="auto"/>
        </w:rPr>
        <w:br w:type="column"/>
      </w:r>
    </w:p>
    <w:p>
      <w:pPr>
        <w:spacing w:after="0" w:line="201" w:lineRule="exact"/>
        <w:rPr>
          <w:sz w:val="20"/>
          <w:szCs w:val="20"/>
          <w:color w:val="auto"/>
        </w:rPr>
      </w:pPr>
    </w:p>
    <w:p>
      <w:pPr>
        <w:spacing w:after="0"/>
        <w:rPr>
          <w:sz w:val="20"/>
          <w:szCs w:val="20"/>
          <w:color w:val="auto"/>
        </w:rPr>
      </w:pPr>
      <w:r>
        <w:rPr>
          <w:rFonts w:ascii="Arial" w:cs="Arial" w:eastAsia="Arial" w:hAnsi="Arial"/>
          <w:sz w:val="16"/>
          <w:szCs w:val="16"/>
          <w:color w:val="auto"/>
        </w:rPr>
        <w:t xml:space="preserve">Dial: </w:t>
      </w:r>
      <w:r>
        <w:rPr>
          <w:rFonts w:ascii="Arial" w:cs="Arial" w:eastAsia="Arial" w:hAnsi="Arial"/>
          <w:sz w:val="16"/>
          <w:szCs w:val="16"/>
          <w:b w:val="1"/>
          <w:bCs w:val="1"/>
          <w:color w:val="auto"/>
        </w:rPr>
        <w:t>800.901.5218</w:t>
      </w:r>
      <w:r>
        <w:rPr>
          <w:rFonts w:ascii="Arial" w:cs="Arial" w:eastAsia="Arial" w:hAnsi="Arial"/>
          <w:sz w:val="16"/>
          <w:szCs w:val="16"/>
          <w:color w:val="auto"/>
        </w:rPr>
        <w:t xml:space="preserve"> (US and Canada), </w:t>
      </w:r>
      <w:r>
        <w:rPr>
          <w:rFonts w:ascii="Arial" w:cs="Arial" w:eastAsia="Arial" w:hAnsi="Arial"/>
          <w:sz w:val="16"/>
          <w:szCs w:val="16"/>
          <w:b w:val="1"/>
          <w:bCs w:val="1"/>
          <w:color w:val="auto"/>
        </w:rPr>
        <w:t>617.786.4511</w:t>
      </w:r>
    </w:p>
    <w:p>
      <w:pPr>
        <w:spacing w:after="0" w:line="50" w:lineRule="exact"/>
        <w:rPr>
          <w:sz w:val="20"/>
          <w:szCs w:val="20"/>
          <w:color w:val="auto"/>
        </w:rPr>
      </w:pPr>
    </w:p>
    <w:p>
      <w:pPr>
        <w:spacing w:after="0"/>
        <w:rPr>
          <w:sz w:val="20"/>
          <w:szCs w:val="20"/>
          <w:color w:val="auto"/>
        </w:rPr>
      </w:pPr>
      <w:r>
        <w:rPr>
          <w:rFonts w:ascii="Arial" w:cs="Arial" w:eastAsia="Arial" w:hAnsi="Arial"/>
          <w:sz w:val="16"/>
          <w:szCs w:val="16"/>
          <w:color w:val="auto"/>
        </w:rPr>
        <w:t xml:space="preserve">(International) and participant pass code </w:t>
      </w:r>
      <w:r>
        <w:rPr>
          <w:rFonts w:ascii="Arial" w:cs="Arial" w:eastAsia="Arial" w:hAnsi="Arial"/>
          <w:sz w:val="16"/>
          <w:szCs w:val="16"/>
          <w:b w:val="1"/>
          <w:bCs w:val="1"/>
          <w:color w:val="auto"/>
        </w:rPr>
        <w:t># 48686784</w:t>
      </w:r>
    </w:p>
    <w:p>
      <w:pPr>
        <w:spacing w:after="0" w:line="233" w:lineRule="exact"/>
        <w:rPr>
          <w:sz w:val="20"/>
          <w:szCs w:val="20"/>
          <w:color w:val="auto"/>
        </w:rPr>
      </w:pPr>
    </w:p>
    <w:p>
      <w:pPr>
        <w:sectPr>
          <w:pgSz w:w="11900" w:h="16838" w:orient="portrait"/>
          <w:cols w:equalWidth="0" w:num="2">
            <w:col w:w="660" w:space="600"/>
            <w:col w:w="10160"/>
          </w:cols>
          <w:pgMar w:left="240" w:top="125" w:right="239" w:bottom="0" w:gutter="0" w:footer="0" w:header="0"/>
          <w:type w:val="continuous"/>
        </w:sectPr>
      </w:pPr>
    </w:p>
    <w:p>
      <w:pPr>
        <w:spacing w:after="0"/>
        <w:rPr>
          <w:sz w:val="20"/>
          <w:szCs w:val="20"/>
          <w:color w:val="auto"/>
        </w:rPr>
      </w:pPr>
      <w:r>
        <w:rPr>
          <w:rFonts w:ascii="Arial" w:cs="Arial" w:eastAsia="Arial" w:hAnsi="Arial"/>
          <w:sz w:val="18"/>
          <w:szCs w:val="18"/>
          <w:i w:val="1"/>
          <w:iCs w:val="1"/>
          <w:color w:val="auto"/>
        </w:rPr>
        <w:t>Audio</w:t>
      </w:r>
    </w:p>
    <w:p>
      <w:pPr>
        <w:spacing w:after="0" w:line="23"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Replay:</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A replay of the earnings call will be available for a limited</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time and can be heard after 7:00 p.m. ET on November 21,</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2006. Dial: </w:t>
      </w:r>
      <w:r>
        <w:rPr>
          <w:rFonts w:ascii="Arial" w:cs="Arial" w:eastAsia="Arial" w:hAnsi="Arial"/>
          <w:sz w:val="18"/>
          <w:szCs w:val="18"/>
          <w:b w:val="1"/>
          <w:bCs w:val="1"/>
          <w:color w:val="auto"/>
        </w:rPr>
        <w:t>888-286-8010</w:t>
      </w:r>
      <w:r>
        <w:rPr>
          <w:rFonts w:ascii="Arial" w:cs="Arial" w:eastAsia="Arial" w:hAnsi="Arial"/>
          <w:sz w:val="18"/>
          <w:szCs w:val="18"/>
          <w:color w:val="auto"/>
        </w:rPr>
        <w:t>(US and Canada),</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 xml:space="preserve">617-801-6888 </w:t>
      </w:r>
      <w:r>
        <w:rPr>
          <w:rFonts w:ascii="Arial" w:cs="Arial" w:eastAsia="Arial" w:hAnsi="Arial"/>
          <w:sz w:val="16"/>
          <w:szCs w:val="16"/>
          <w:color w:val="auto"/>
        </w:rPr>
        <w:t>(International) and pass code</w:t>
      </w:r>
      <w:r>
        <w:rPr>
          <w:rFonts w:ascii="Arial" w:cs="Arial" w:eastAsia="Arial" w:hAnsi="Arial"/>
          <w:sz w:val="16"/>
          <w:szCs w:val="16"/>
          <w:b w:val="1"/>
          <w:bCs w:val="1"/>
          <w:color w:val="auto"/>
        </w:rPr>
        <w:t xml:space="preserve"> # 43737100</w:t>
      </w:r>
      <w:r>
        <w:rPr>
          <w:rFonts w:ascii="Arial" w:cs="Arial" w:eastAsia="Arial" w:hAnsi="Arial"/>
          <w:sz w:val="16"/>
          <w:szCs w:val="16"/>
          <w:color w:val="auto"/>
        </w:rPr>
        <w:t>.</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An audio replay will also be posted on the Company</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website at www.globalstar.com</w:t>
      </w:r>
    </w:p>
    <w:p>
      <w:pPr>
        <w:spacing w:after="0" w:line="200" w:lineRule="exact"/>
        <w:rPr>
          <w:sz w:val="20"/>
          <w:szCs w:val="20"/>
          <w:color w:val="auto"/>
        </w:rPr>
      </w:pPr>
    </w:p>
    <w:p>
      <w:pPr>
        <w:sectPr>
          <w:pgSz w:w="11900" w:h="16838" w:orient="portrait"/>
          <w:cols w:equalWidth="0" w:num="2">
            <w:col w:w="560" w:space="700"/>
            <w:col w:w="10160"/>
          </w:cols>
          <w:pgMar w:left="240" w:top="125" w:right="239" w:bottom="0" w:gutter="0" w:footer="0" w:header="0"/>
          <w:type w:val="continuous"/>
        </w:sectPr>
      </w:pPr>
    </w:p>
    <w:p>
      <w:pPr>
        <w:spacing w:after="0" w:line="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Globalstar, Inc.</w:t>
      </w:r>
    </w:p>
    <w:p>
      <w:pPr>
        <w:spacing w:after="0" w:line="27" w:lineRule="exact"/>
        <w:rPr>
          <w:sz w:val="20"/>
          <w:szCs w:val="20"/>
          <w:color w:val="auto"/>
        </w:rPr>
      </w:pPr>
    </w:p>
    <w:p>
      <w:pPr>
        <w:ind w:right="80"/>
        <w:spacing w:after="0" w:line="270" w:lineRule="auto"/>
        <w:rPr>
          <w:sz w:val="20"/>
          <w:szCs w:val="20"/>
          <w:color w:val="auto"/>
        </w:rPr>
      </w:pPr>
      <w:r>
        <w:rPr>
          <w:rFonts w:ascii="Arial" w:cs="Arial" w:eastAsia="Arial" w:hAnsi="Arial"/>
          <w:sz w:val="17"/>
          <w:szCs w:val="17"/>
          <w:color w:val="auto"/>
        </w:rPr>
        <w:t>With over 250,000 activated satellite voice and data units, Globalstar offers high value, high quality satellite services to commercial and recreational users in more than 120 countries around the world. The company’s voice and data products include mobile and fixed satellite telephones, simplex and duplex satellite data modems and flexible service packages. Many land based and maritime industries benefit from Globalstar with increased productivity from remote areas beyond cellular and landline service. Global customer segments include: oil and gas, government, mining, forestry, commercial fishing, utilities, military, transportation, heavy construction, emergency preparedness, and business continuity as well as individual recreational users. Globalstar data solutions are ideal for various asset tracking, data monitoring and SCADA applications.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343535</wp:posOffset>
            </wp:positionV>
            <wp:extent cx="7267575" cy="298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spacing w:after="0"/>
        <w:rPr>
          <w:sz w:val="20"/>
          <w:szCs w:val="20"/>
          <w:color w:val="auto"/>
        </w:rPr>
      </w:pPr>
      <w:r>
        <w:rPr>
          <w:rFonts w:ascii="Arial" w:cs="Arial" w:eastAsia="Arial" w:hAnsi="Arial"/>
          <w:sz w:val="18"/>
          <w:szCs w:val="18"/>
          <w:color w:val="auto"/>
        </w:rPr>
        <w:t>For more information regarding Globalstar, please visit Globalstar’s web site at www.globalstar.com</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For further </w:t>
      </w:r>
      <w:r>
        <w:rPr>
          <w:rFonts w:ascii="Arial" w:cs="Arial" w:eastAsia="Arial" w:hAnsi="Arial"/>
          <w:sz w:val="18"/>
          <w:szCs w:val="18"/>
          <w:b w:val="1"/>
          <w:bCs w:val="1"/>
          <w:color w:val="auto"/>
        </w:rPr>
        <w:t>media</w:t>
      </w:r>
      <w:r>
        <w:rPr>
          <w:rFonts w:ascii="Arial" w:cs="Arial" w:eastAsia="Arial" w:hAnsi="Arial"/>
          <w:sz w:val="18"/>
          <w:szCs w:val="18"/>
          <w:color w:val="auto"/>
        </w:rPr>
        <w:t xml:space="preserve"> information:</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Globalstar,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Dean Hirasawa</w:t>
      </w:r>
    </w:p>
    <w:p>
      <w:pPr>
        <w:spacing w:after="0" w:line="9" w:lineRule="exact"/>
        <w:rPr>
          <w:sz w:val="20"/>
          <w:szCs w:val="20"/>
          <w:color w:val="auto"/>
        </w:rPr>
      </w:pPr>
    </w:p>
    <w:p>
      <w:pPr>
        <w:ind w:right="9120" w:firstLine="8"/>
        <w:spacing w:after="0" w:line="323" w:lineRule="auto"/>
        <w:tabs>
          <w:tab w:leader="none" w:pos="435" w:val="left"/>
        </w:tabs>
        <w:numPr>
          <w:ilvl w:val="0"/>
          <w:numId w:val="4"/>
        </w:numPr>
        <w:rPr>
          <w:rFonts w:ascii="Arial" w:cs="Arial" w:eastAsia="Arial" w:hAnsi="Arial"/>
          <w:sz w:val="16"/>
          <w:szCs w:val="16"/>
          <w:color w:val="auto"/>
        </w:rPr>
      </w:pPr>
      <w:r>
        <w:rPr>
          <w:rFonts w:ascii="Arial" w:cs="Arial" w:eastAsia="Arial" w:hAnsi="Arial"/>
          <w:sz w:val="16"/>
          <w:szCs w:val="16"/>
          <w:color w:val="auto"/>
        </w:rPr>
        <w:t>933-4006 Dean.hirasawa@globalstar.com</w:t>
      </w:r>
    </w:p>
    <w:p>
      <w:pPr>
        <w:spacing w:after="0" w:line="1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Safe Harbor Language for Globalstar Releases</w:t>
      </w:r>
    </w:p>
    <w:p>
      <w:pPr>
        <w:spacing w:after="0" w:line="27" w:lineRule="exact"/>
        <w:rPr>
          <w:sz w:val="20"/>
          <w:szCs w:val="20"/>
          <w:color w:val="auto"/>
        </w:rPr>
      </w:pPr>
    </w:p>
    <w:p>
      <w:pPr>
        <w:spacing w:after="0" w:line="286" w:lineRule="auto"/>
        <w:rPr>
          <w:sz w:val="20"/>
          <w:szCs w:val="20"/>
          <w:color w:val="auto"/>
        </w:rPr>
      </w:pPr>
      <w:r>
        <w:rPr>
          <w:rFonts w:ascii="Arial" w:cs="Arial" w:eastAsia="Arial" w:hAnsi="Arial"/>
          <w:sz w:val="16"/>
          <w:szCs w:val="16"/>
          <w:color w:val="auto"/>
        </w:rPr>
        <w:t>This press release contains certain statements such as “Globalstar continued to make preparations for the launch of eight spare satellites scheduled for the first half of 2007 and has continued to negotiate the development and manufacture of the Globalstar second-generation satellite constellation,” that are “forward-looking statements” within the meaning of the Private Securities Litigation Reform Act of 1995. These statements are subject to a number of assumptions, risks and uncertainties, many of which are beyond Globalstar’s control, including demand for our products and services; problems relating to the construction, launch or in-orbit performance of our existing and future satellites, problems relating to the ground-based facilities operated by us or by independent gateway operators; our ability to attract sufficient additional funding if needed to meet our future capital requirements; competition and our competitiveness vis-a-vis other providers of satellite and ground-based communications products and services; the pace and effects of industry consolidation; the continued availability of launch insurance on commercially reasonable terms, and the effects of any insurance exclusions; changes in technology; our ability to continue to attract and retain qualified personnel; worldwide economic, geopolitical and business conditions and risks associated with doing business on a global basis; and legal, regulatory, and tax developments, including changes in domestic and international government regulation.</w:t>
      </w:r>
    </w:p>
    <w:p>
      <w:pPr>
        <w:sectPr>
          <w:pgSz w:w="11900" w:h="16838" w:orient="portrait"/>
          <w:cols w:equalWidth="0" w:num="1">
            <w:col w:w="11420"/>
          </w:cols>
          <w:pgMar w:left="240" w:top="125" w:right="239" w:bottom="0" w:gutter="0" w:footer="0" w:header="0"/>
          <w:type w:val="continuous"/>
        </w:sectPr>
      </w:pPr>
    </w:p>
    <w:bookmarkStart w:id="4" w:name="page5"/>
    <w:bookmarkEnd w:id="4"/>
    <w:p>
      <w:pPr>
        <w:ind w:right="40"/>
        <w:spacing w:after="0" w:line="259" w:lineRule="auto"/>
        <w:rPr>
          <w:sz w:val="20"/>
          <w:szCs w:val="20"/>
          <w:color w:val="auto"/>
        </w:rPr>
      </w:pPr>
      <w:r>
        <w:rPr>
          <w:rFonts w:ascii="Arial" w:cs="Arial" w:eastAsia="Arial" w:hAnsi="Arial"/>
          <w:sz w:val="18"/>
          <w:szCs w:val="18"/>
          <w:color w:val="auto"/>
        </w:rPr>
        <w:t>Any forward-looking statements made in this press release speak as of the date made and are not guarantees of future performance. Actual results or developments may differ materially from the expectations expressed or implied in the forward-looking statements, and the company undertakes no obligation to update any such statements. Additional information on factors that could influence Globalstar’s financial results is included in its filings with the Securities and Exchange Commission, including its Registration Statement on Form S-1.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348615</wp:posOffset>
            </wp:positionV>
            <wp:extent cx="7267575" cy="298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OPERATIONS</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thousands, except share and per share data)</w:t>
      </w:r>
    </w:p>
    <w:p>
      <w:pPr>
        <w:spacing w:after="0" w:line="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52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840" w:type="dxa"/>
            <w:vAlign w:val="bottom"/>
            <w:gridSpan w:val="5"/>
          </w:tcPr>
          <w:p>
            <w:pPr>
              <w:jc w:val="right"/>
              <w:ind w:right="560"/>
              <w:spacing w:after="0"/>
              <w:rPr>
                <w:sz w:val="20"/>
                <w:szCs w:val="20"/>
                <w:color w:val="auto"/>
              </w:rPr>
            </w:pPr>
            <w:r>
              <w:rPr>
                <w:rFonts w:ascii="Arial" w:cs="Arial" w:eastAsia="Arial" w:hAnsi="Arial"/>
                <w:sz w:val="14"/>
                <w:szCs w:val="14"/>
                <w:b w:val="1"/>
                <w:bCs w:val="1"/>
                <w:color w:val="auto"/>
                <w:w w:val="95"/>
              </w:rPr>
              <w:t>Three months ended September 30,</w:t>
            </w:r>
          </w:p>
        </w:tc>
        <w:tc>
          <w:tcPr>
            <w:tcW w:w="200" w:type="dxa"/>
            <w:vAlign w:val="bottom"/>
          </w:tcPr>
          <w:p>
            <w:pPr>
              <w:spacing w:after="0"/>
              <w:rPr>
                <w:sz w:val="14"/>
                <w:szCs w:val="14"/>
                <w:color w:val="auto"/>
              </w:rPr>
            </w:pPr>
          </w:p>
        </w:tc>
        <w:tc>
          <w:tcPr>
            <w:tcW w:w="2640" w:type="dxa"/>
            <w:vAlign w:val="bottom"/>
            <w:gridSpan w:val="5"/>
          </w:tcPr>
          <w:p>
            <w:pPr>
              <w:jc w:val="right"/>
              <w:ind w:right="440"/>
              <w:spacing w:after="0"/>
              <w:rPr>
                <w:sz w:val="20"/>
                <w:szCs w:val="20"/>
                <w:color w:val="auto"/>
              </w:rPr>
            </w:pPr>
            <w:r>
              <w:rPr>
                <w:rFonts w:ascii="Arial" w:cs="Arial" w:eastAsia="Arial" w:hAnsi="Arial"/>
                <w:sz w:val="14"/>
                <w:szCs w:val="14"/>
                <w:b w:val="1"/>
                <w:bCs w:val="1"/>
                <w:color w:val="auto"/>
                <w:w w:val="94"/>
              </w:rPr>
              <w:t>Nine months ended September 30,</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5280" w:type="dxa"/>
            <w:vAlign w:val="bottom"/>
            <w:tcBorders>
              <w:bottom w:val="single" w:sz="8" w:color="CCEEFF"/>
            </w:tcBorders>
          </w:tcPr>
          <w:p>
            <w:pPr>
              <w:spacing w:after="0"/>
              <w:rPr>
                <w:sz w:val="11"/>
                <w:szCs w:val="11"/>
                <w:color w:val="auto"/>
              </w:rPr>
            </w:pPr>
          </w:p>
        </w:tc>
        <w:tc>
          <w:tcPr>
            <w:tcW w:w="260" w:type="dxa"/>
            <w:vAlign w:val="bottom"/>
            <w:tcBorders>
              <w:bottom w:val="single" w:sz="8" w:color="CCEEFF"/>
            </w:tcBorders>
          </w:tcPr>
          <w:p>
            <w:pPr>
              <w:spacing w:after="0"/>
              <w:rPr>
                <w:sz w:val="11"/>
                <w:szCs w:val="11"/>
                <w:color w:val="auto"/>
              </w:rPr>
            </w:pPr>
          </w:p>
        </w:tc>
        <w:tc>
          <w:tcPr>
            <w:tcW w:w="180" w:type="dxa"/>
            <w:vAlign w:val="bottom"/>
            <w:tcBorders>
              <w:top w:val="single" w:sz="8" w:color="auto"/>
              <w:bottom w:val="single" w:sz="8" w:color="auto"/>
            </w:tcBorders>
          </w:tcPr>
          <w:p>
            <w:pPr>
              <w:spacing w:after="0"/>
              <w:rPr>
                <w:sz w:val="11"/>
                <w:szCs w:val="11"/>
                <w:color w:val="auto"/>
              </w:rPr>
            </w:pPr>
          </w:p>
        </w:tc>
        <w:tc>
          <w:tcPr>
            <w:tcW w:w="1040" w:type="dxa"/>
            <w:vAlign w:val="bottom"/>
            <w:tcBorders>
              <w:top w:val="single" w:sz="8" w:color="auto"/>
              <w:bottom w:val="single" w:sz="8" w:color="auto"/>
            </w:tcBorders>
          </w:tcPr>
          <w:p>
            <w:pPr>
              <w:jc w:val="right"/>
              <w:ind w:right="372"/>
              <w:spacing w:after="0" w:line="129" w:lineRule="exact"/>
              <w:rPr>
                <w:sz w:val="20"/>
                <w:szCs w:val="20"/>
                <w:color w:val="auto"/>
              </w:rPr>
            </w:pPr>
            <w:r>
              <w:rPr>
                <w:rFonts w:ascii="Arial" w:cs="Arial" w:eastAsia="Arial" w:hAnsi="Arial"/>
                <w:sz w:val="14"/>
                <w:szCs w:val="14"/>
                <w:b w:val="1"/>
                <w:bCs w:val="1"/>
                <w:color w:val="auto"/>
              </w:rPr>
              <w:t>2006</w:t>
            </w:r>
          </w:p>
        </w:tc>
        <w:tc>
          <w:tcPr>
            <w:tcW w:w="280" w:type="dxa"/>
            <w:vAlign w:val="bottom"/>
            <w:tcBorders>
              <w:top w:val="single" w:sz="8" w:color="auto"/>
              <w:bottom w:val="single" w:sz="8" w:color="CCEEFF"/>
            </w:tcBorders>
          </w:tcPr>
          <w:p>
            <w:pPr>
              <w:spacing w:after="0"/>
              <w:rPr>
                <w:sz w:val="11"/>
                <w:szCs w:val="11"/>
                <w:color w:val="auto"/>
              </w:rPr>
            </w:pPr>
          </w:p>
        </w:tc>
        <w:tc>
          <w:tcPr>
            <w:tcW w:w="260" w:type="dxa"/>
            <w:vAlign w:val="bottom"/>
            <w:tcBorders>
              <w:top w:val="single" w:sz="8" w:color="auto"/>
              <w:bottom w:val="single" w:sz="8" w:color="auto"/>
            </w:tcBorders>
          </w:tcPr>
          <w:p>
            <w:pPr>
              <w:spacing w:after="0"/>
              <w:rPr>
                <w:sz w:val="11"/>
                <w:szCs w:val="11"/>
                <w:color w:val="auto"/>
              </w:rPr>
            </w:pPr>
          </w:p>
        </w:tc>
        <w:tc>
          <w:tcPr>
            <w:tcW w:w="980" w:type="dxa"/>
            <w:vAlign w:val="bottom"/>
            <w:tcBorders>
              <w:top w:val="single" w:sz="8" w:color="auto"/>
              <w:bottom w:val="single" w:sz="8" w:color="auto"/>
            </w:tcBorders>
          </w:tcPr>
          <w:p>
            <w:pPr>
              <w:jc w:val="right"/>
              <w:ind w:right="391"/>
              <w:spacing w:after="0" w:line="129" w:lineRule="exact"/>
              <w:rPr>
                <w:sz w:val="20"/>
                <w:szCs w:val="20"/>
                <w:color w:val="auto"/>
              </w:rPr>
            </w:pPr>
            <w:r>
              <w:rPr>
                <w:rFonts w:ascii="Arial" w:cs="Arial" w:eastAsia="Arial" w:hAnsi="Arial"/>
                <w:sz w:val="14"/>
                <w:szCs w:val="14"/>
                <w:b w:val="1"/>
                <w:bCs w:val="1"/>
                <w:color w:val="auto"/>
              </w:rPr>
              <w:t>2005</w:t>
            </w:r>
          </w:p>
        </w:tc>
        <w:tc>
          <w:tcPr>
            <w:tcW w:w="280" w:type="dxa"/>
            <w:vAlign w:val="bottom"/>
            <w:tcBorders>
              <w:bottom w:val="single" w:sz="8" w:color="CCEEFF"/>
            </w:tcBorders>
          </w:tcPr>
          <w:p>
            <w:pPr>
              <w:spacing w:after="0"/>
              <w:rPr>
                <w:sz w:val="11"/>
                <w:szCs w:val="11"/>
                <w:color w:val="auto"/>
              </w:rPr>
            </w:pPr>
          </w:p>
        </w:tc>
        <w:tc>
          <w:tcPr>
            <w:tcW w:w="200" w:type="dxa"/>
            <w:vAlign w:val="bottom"/>
            <w:tcBorders>
              <w:top w:val="single" w:sz="8" w:color="auto"/>
              <w:bottom w:val="single" w:sz="8" w:color="auto"/>
            </w:tcBorders>
          </w:tcPr>
          <w:p>
            <w:pPr>
              <w:spacing w:after="0"/>
              <w:rPr>
                <w:sz w:val="11"/>
                <w:szCs w:val="11"/>
                <w:color w:val="auto"/>
              </w:rPr>
            </w:pPr>
          </w:p>
        </w:tc>
        <w:tc>
          <w:tcPr>
            <w:tcW w:w="1040" w:type="dxa"/>
            <w:vAlign w:val="bottom"/>
            <w:tcBorders>
              <w:top w:val="single" w:sz="8" w:color="auto"/>
              <w:bottom w:val="single" w:sz="8" w:color="auto"/>
            </w:tcBorders>
          </w:tcPr>
          <w:p>
            <w:pPr>
              <w:jc w:val="right"/>
              <w:ind w:right="412"/>
              <w:spacing w:after="0" w:line="129" w:lineRule="exact"/>
              <w:rPr>
                <w:sz w:val="20"/>
                <w:szCs w:val="20"/>
                <w:color w:val="auto"/>
              </w:rPr>
            </w:pPr>
            <w:r>
              <w:rPr>
                <w:rFonts w:ascii="Arial" w:cs="Arial" w:eastAsia="Arial" w:hAnsi="Arial"/>
                <w:sz w:val="14"/>
                <w:szCs w:val="14"/>
                <w:b w:val="1"/>
                <w:bCs w:val="1"/>
                <w:color w:val="auto"/>
              </w:rPr>
              <w:t>2006</w:t>
            </w:r>
          </w:p>
        </w:tc>
        <w:tc>
          <w:tcPr>
            <w:tcW w:w="260" w:type="dxa"/>
            <w:vAlign w:val="bottom"/>
            <w:tcBorders>
              <w:top w:val="single" w:sz="8" w:color="auto"/>
              <w:bottom w:val="single" w:sz="8" w:color="CCEEFF"/>
            </w:tcBorders>
          </w:tcPr>
          <w:p>
            <w:pPr>
              <w:spacing w:after="0"/>
              <w:rPr>
                <w:sz w:val="11"/>
                <w:szCs w:val="11"/>
                <w:color w:val="auto"/>
              </w:rPr>
            </w:pPr>
          </w:p>
        </w:tc>
        <w:tc>
          <w:tcPr>
            <w:tcW w:w="260" w:type="dxa"/>
            <w:vAlign w:val="bottom"/>
            <w:tcBorders>
              <w:top w:val="single" w:sz="8" w:color="auto"/>
              <w:bottom w:val="single" w:sz="8" w:color="auto"/>
            </w:tcBorders>
          </w:tcPr>
          <w:p>
            <w:pPr>
              <w:spacing w:after="0"/>
              <w:rPr>
                <w:sz w:val="11"/>
                <w:szCs w:val="11"/>
                <w:color w:val="auto"/>
              </w:rPr>
            </w:pPr>
          </w:p>
        </w:tc>
        <w:tc>
          <w:tcPr>
            <w:tcW w:w="980" w:type="dxa"/>
            <w:vAlign w:val="bottom"/>
            <w:tcBorders>
              <w:top w:val="single" w:sz="8" w:color="auto"/>
              <w:bottom w:val="single" w:sz="8" w:color="auto"/>
            </w:tcBorders>
          </w:tcPr>
          <w:p>
            <w:pPr>
              <w:jc w:val="right"/>
              <w:ind w:right="391"/>
              <w:spacing w:after="0" w:line="129" w:lineRule="exact"/>
              <w:rPr>
                <w:sz w:val="20"/>
                <w:szCs w:val="20"/>
                <w:color w:val="auto"/>
              </w:rPr>
            </w:pPr>
            <w:r>
              <w:rPr>
                <w:rFonts w:ascii="Arial" w:cs="Arial" w:eastAsia="Arial" w:hAnsi="Arial"/>
                <w:sz w:val="14"/>
                <w:szCs w:val="14"/>
                <w:b w:val="1"/>
                <w:bCs w:val="1"/>
                <w:color w:val="auto"/>
              </w:rPr>
              <w:t>2005</w:t>
            </w:r>
          </w:p>
        </w:tc>
        <w:tc>
          <w:tcPr>
            <w:tcW w:w="100" w:type="dxa"/>
            <w:vAlign w:val="bottom"/>
            <w:tcBorders>
              <w:bottom w:val="single" w:sz="8" w:color="CCEEFF"/>
            </w:tcBorders>
          </w:tcPr>
          <w:p>
            <w:pPr>
              <w:spacing w:after="0"/>
              <w:rPr>
                <w:sz w:val="11"/>
                <w:szCs w:val="11"/>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5280" w:type="dxa"/>
            <w:vAlign w:val="bottom"/>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Revenue:</w:t>
            </w:r>
          </w:p>
        </w:tc>
        <w:tc>
          <w:tcPr>
            <w:tcW w:w="2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80" w:type="dxa"/>
            <w:vAlign w:val="bottom"/>
          </w:tcPr>
          <w:p>
            <w:pPr>
              <w:ind w:left="160"/>
              <w:spacing w:after="0"/>
              <w:rPr>
                <w:sz w:val="20"/>
                <w:szCs w:val="20"/>
                <w:color w:val="auto"/>
              </w:rPr>
            </w:pPr>
            <w:r>
              <w:rPr>
                <w:rFonts w:ascii="Arial" w:cs="Arial" w:eastAsia="Arial" w:hAnsi="Arial"/>
                <w:sz w:val="18"/>
                <w:szCs w:val="18"/>
                <w:color w:val="auto"/>
              </w:rPr>
              <w:t>Service revenue</w:t>
            </w:r>
          </w:p>
        </w:tc>
        <w:tc>
          <w:tcPr>
            <w:tcW w:w="4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27,649</w:t>
            </w:r>
          </w:p>
        </w:tc>
        <w:tc>
          <w:tcPr>
            <w:tcW w:w="280" w:type="dxa"/>
            <w:vAlign w:val="bottom"/>
          </w:tcPr>
          <w:p>
            <w:pPr>
              <w:spacing w:after="0"/>
              <w:rPr>
                <w:sz w:val="18"/>
                <w:szCs w:val="18"/>
                <w:color w:val="auto"/>
              </w:rPr>
            </w:pPr>
          </w:p>
        </w:tc>
        <w:tc>
          <w:tcPr>
            <w:tcW w:w="260" w:type="dxa"/>
            <w:vAlign w:val="bottom"/>
          </w:tcPr>
          <w:p>
            <w:pPr>
              <w:jc w:val="right"/>
              <w:ind w:right="105"/>
              <w:spacing w:after="0"/>
              <w:rPr>
                <w:sz w:val="20"/>
                <w:szCs w:val="20"/>
                <w:color w:val="auto"/>
              </w:rPr>
            </w:pPr>
            <w:r>
              <w:rPr>
                <w:rFonts w:ascii="Arial" w:cs="Arial" w:eastAsia="Arial" w:hAnsi="Arial"/>
                <w:sz w:val="15"/>
                <w:szCs w:val="15"/>
                <w:color w:val="auto"/>
                <w:w w:val="71"/>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22,210</w:t>
            </w:r>
          </w:p>
        </w:tc>
        <w:tc>
          <w:tcPr>
            <w:tcW w:w="280" w:type="dxa"/>
            <w:vAlign w:val="bottom"/>
          </w:tcPr>
          <w:p>
            <w:pPr>
              <w:spacing w:after="0"/>
              <w:rPr>
                <w:sz w:val="18"/>
                <w:szCs w:val="18"/>
                <w:color w:val="auto"/>
              </w:rPr>
            </w:pPr>
          </w:p>
        </w:tc>
        <w:tc>
          <w:tcPr>
            <w:tcW w:w="200" w:type="dxa"/>
            <w:vAlign w:val="bottom"/>
          </w:tcPr>
          <w:p>
            <w:pPr>
              <w:jc w:val="right"/>
              <w:ind w:right="45"/>
              <w:spacing w:after="0"/>
              <w:rPr>
                <w:sz w:val="20"/>
                <w:szCs w:val="20"/>
                <w:color w:val="auto"/>
              </w:rPr>
            </w:pPr>
            <w:r>
              <w:rPr>
                <w:rFonts w:ascii="Arial" w:cs="Arial" w:eastAsia="Arial" w:hAnsi="Arial"/>
                <w:sz w:val="15"/>
                <w:szCs w:val="15"/>
                <w:color w:val="auto"/>
                <w:w w:val="71"/>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69,851</w:t>
            </w:r>
          </w:p>
        </w:tc>
        <w:tc>
          <w:tcPr>
            <w:tcW w:w="260" w:type="dxa"/>
            <w:vAlign w:val="bottom"/>
          </w:tcPr>
          <w:p>
            <w:pPr>
              <w:spacing w:after="0"/>
              <w:rPr>
                <w:sz w:val="18"/>
                <w:szCs w:val="18"/>
                <w:color w:val="auto"/>
              </w:rPr>
            </w:pPr>
          </w:p>
        </w:tc>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57,175</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Subscriber equipment sales</w:t>
            </w:r>
          </w:p>
        </w:tc>
        <w:tc>
          <w:tcPr>
            <w:tcW w:w="26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11,046</w:t>
            </w:r>
          </w:p>
        </w:tc>
        <w:tc>
          <w:tcPr>
            <w:tcW w:w="28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18,340</w:t>
            </w:r>
          </w:p>
        </w:tc>
        <w:tc>
          <w:tcPr>
            <w:tcW w:w="28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37,585</w:t>
            </w:r>
          </w:p>
        </w:tc>
        <w:tc>
          <w:tcPr>
            <w:tcW w:w="26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33,700</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280" w:type="dxa"/>
            <w:vAlign w:val="bottom"/>
            <w:tcBorders>
              <w:bottom w:val="single" w:sz="8" w:color="CCEEFF"/>
            </w:tcBorders>
          </w:tcPr>
          <w:p>
            <w:pPr>
              <w:ind w:left="340"/>
              <w:spacing w:after="0"/>
              <w:rPr>
                <w:sz w:val="20"/>
                <w:szCs w:val="20"/>
                <w:color w:val="auto"/>
              </w:rPr>
            </w:pPr>
            <w:r>
              <w:rPr>
                <w:rFonts w:ascii="Arial" w:cs="Arial" w:eastAsia="Arial" w:hAnsi="Arial"/>
                <w:sz w:val="18"/>
                <w:szCs w:val="18"/>
                <w:color w:val="auto"/>
              </w:rPr>
              <w:t>Total revenue</w:t>
            </w:r>
          </w:p>
        </w:tc>
        <w:tc>
          <w:tcPr>
            <w:tcW w:w="26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38,695</w:t>
            </w:r>
          </w:p>
        </w:tc>
        <w:tc>
          <w:tcPr>
            <w:tcW w:w="280" w:type="dxa"/>
            <w:vAlign w:val="bottom"/>
            <w:tcBorders>
              <w:bottom w:val="single" w:sz="8" w:color="CCEEFF"/>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40,550</w:t>
            </w:r>
          </w:p>
        </w:tc>
        <w:tc>
          <w:tcPr>
            <w:tcW w:w="28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107,436</w:t>
            </w:r>
          </w:p>
        </w:tc>
        <w:tc>
          <w:tcPr>
            <w:tcW w:w="260" w:type="dxa"/>
            <w:vAlign w:val="bottom"/>
            <w:tcBorders>
              <w:bottom w:val="single" w:sz="8" w:color="CCEEFF"/>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90,875</w:t>
            </w:r>
          </w:p>
        </w:tc>
        <w:tc>
          <w:tcPr>
            <w:tcW w:w="10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5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280" w:type="dxa"/>
            <w:vAlign w:val="bottom"/>
          </w:tcPr>
          <w:p>
            <w:pPr>
              <w:spacing w:after="0"/>
              <w:rPr>
                <w:sz w:val="20"/>
                <w:szCs w:val="20"/>
                <w:color w:val="auto"/>
              </w:rPr>
            </w:pPr>
            <w:r>
              <w:rPr>
                <w:rFonts w:ascii="Arial" w:cs="Arial" w:eastAsia="Arial" w:hAnsi="Arial"/>
                <w:sz w:val="18"/>
                <w:szCs w:val="18"/>
                <w:b w:val="1"/>
                <w:bCs w:val="1"/>
                <w:color w:val="auto"/>
              </w:rPr>
              <w:t>Operating expenses:</w:t>
            </w: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5280" w:type="dxa"/>
            <w:vAlign w:val="bottom"/>
          </w:tcPr>
          <w:p>
            <w:pPr>
              <w:ind w:left="160"/>
              <w:spacing w:after="0" w:line="201" w:lineRule="exact"/>
              <w:rPr>
                <w:sz w:val="20"/>
                <w:szCs w:val="20"/>
                <w:color w:val="auto"/>
              </w:rPr>
            </w:pPr>
            <w:r>
              <w:rPr>
                <w:rFonts w:ascii="Arial" w:cs="Arial" w:eastAsia="Arial" w:hAnsi="Arial"/>
                <w:sz w:val="18"/>
                <w:szCs w:val="18"/>
                <w:color w:val="auto"/>
                <w:w w:val="96"/>
              </w:rPr>
              <w:t>Cost of services (exclusive of depreciation and amortization shown</w:t>
            </w:r>
          </w:p>
        </w:tc>
        <w:tc>
          <w:tcPr>
            <w:tcW w:w="2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280" w:type="dxa"/>
            <w:vAlign w:val="bottom"/>
          </w:tcPr>
          <w:p>
            <w:pPr>
              <w:ind w:left="340"/>
              <w:spacing w:after="0"/>
              <w:rPr>
                <w:sz w:val="20"/>
                <w:szCs w:val="20"/>
                <w:color w:val="auto"/>
              </w:rPr>
            </w:pPr>
            <w:r>
              <w:rPr>
                <w:rFonts w:ascii="Arial" w:cs="Arial" w:eastAsia="Arial" w:hAnsi="Arial"/>
                <w:sz w:val="18"/>
                <w:szCs w:val="18"/>
                <w:color w:val="auto"/>
              </w:rPr>
              <w:t>separately below)</w:t>
            </w:r>
          </w:p>
        </w:tc>
        <w:tc>
          <w:tcPr>
            <w:tcW w:w="2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6,695</w:t>
            </w:r>
          </w:p>
        </w:tc>
        <w:tc>
          <w:tcPr>
            <w:tcW w:w="2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5,465</w:t>
            </w:r>
          </w:p>
        </w:tc>
        <w:tc>
          <w:tcPr>
            <w:tcW w:w="2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20,583</w:t>
            </w:r>
          </w:p>
        </w:tc>
        <w:tc>
          <w:tcPr>
            <w:tcW w:w="2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19,245</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Cost of subscriber equipment sales</w:t>
            </w: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10,902</w:t>
            </w:r>
          </w:p>
        </w:tc>
        <w:tc>
          <w:tcPr>
            <w:tcW w:w="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16,057</w:t>
            </w:r>
          </w:p>
        </w:tc>
        <w:tc>
          <w:tcPr>
            <w:tcW w:w="2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36,671</w:t>
            </w:r>
          </w:p>
        </w:tc>
        <w:tc>
          <w:tcPr>
            <w:tcW w:w="2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28,273</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80" w:type="dxa"/>
            <w:vAlign w:val="bottom"/>
          </w:tcPr>
          <w:p>
            <w:pPr>
              <w:ind w:left="160"/>
              <w:spacing w:after="0"/>
              <w:rPr>
                <w:sz w:val="20"/>
                <w:szCs w:val="20"/>
                <w:color w:val="auto"/>
              </w:rPr>
            </w:pPr>
            <w:r>
              <w:rPr>
                <w:rFonts w:ascii="Arial" w:cs="Arial" w:eastAsia="Arial" w:hAnsi="Arial"/>
                <w:sz w:val="18"/>
                <w:szCs w:val="18"/>
                <w:color w:val="auto"/>
              </w:rPr>
              <w:t>Marketing, general and administrative</w:t>
            </w: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10,543</w:t>
            </w: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12,053</w:t>
            </w:r>
          </w:p>
        </w:tc>
        <w:tc>
          <w:tcPr>
            <w:tcW w:w="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31,234</w:t>
            </w: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28,679</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Depreciation and amortization</w:t>
            </w: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1,726</w:t>
            </w:r>
          </w:p>
        </w:tc>
        <w:tc>
          <w:tcPr>
            <w:tcW w:w="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786</w:t>
            </w:r>
          </w:p>
        </w:tc>
        <w:tc>
          <w:tcPr>
            <w:tcW w:w="2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4,424</w:t>
            </w:r>
          </w:p>
        </w:tc>
        <w:tc>
          <w:tcPr>
            <w:tcW w:w="2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2,026</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80" w:type="dxa"/>
            <w:vAlign w:val="bottom"/>
          </w:tcPr>
          <w:p>
            <w:pPr>
              <w:ind w:left="160"/>
              <w:spacing w:after="0"/>
              <w:rPr>
                <w:sz w:val="20"/>
                <w:szCs w:val="20"/>
                <w:color w:val="auto"/>
              </w:rPr>
            </w:pPr>
            <w:r>
              <w:rPr>
                <w:rFonts w:ascii="Arial" w:cs="Arial" w:eastAsia="Arial" w:hAnsi="Arial"/>
                <w:sz w:val="18"/>
                <w:szCs w:val="18"/>
                <w:color w:val="auto"/>
              </w:rPr>
              <w:t>Impairment of assets</w:t>
            </w: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2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75</w:t>
            </w:r>
          </w:p>
        </w:tc>
        <w:tc>
          <w:tcPr>
            <w:tcW w:w="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0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114</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280" w:type="dxa"/>
            <w:vAlign w:val="bottom"/>
            <w:tcBorders>
              <w:top w:val="single" w:sz="8" w:color="CCEEFF"/>
            </w:tcBorders>
            <w:shd w:val="clear" w:color="auto" w:fill="CCEEFF"/>
          </w:tcPr>
          <w:p>
            <w:pPr>
              <w:ind w:left="340"/>
              <w:spacing w:after="0"/>
              <w:rPr>
                <w:sz w:val="20"/>
                <w:szCs w:val="20"/>
                <w:color w:val="auto"/>
              </w:rPr>
            </w:pPr>
            <w:r>
              <w:rPr>
                <w:rFonts w:ascii="Arial" w:cs="Arial" w:eastAsia="Arial" w:hAnsi="Arial"/>
                <w:sz w:val="18"/>
                <w:szCs w:val="18"/>
                <w:color w:val="auto"/>
              </w:rPr>
              <w:t>Total operating expenses</w:t>
            </w:r>
          </w:p>
        </w:tc>
        <w:tc>
          <w:tcPr>
            <w:tcW w:w="26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spacing w:after="0"/>
              <w:rPr>
                <w:sz w:val="18"/>
                <w:szCs w:val="18"/>
                <w:color w:val="auto"/>
              </w:rPr>
            </w:pP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29,866</w:t>
            </w:r>
          </w:p>
        </w:tc>
        <w:tc>
          <w:tcPr>
            <w:tcW w:w="28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bottom w:val="single" w:sz="8" w:color="auto"/>
            </w:tcBorders>
            <w:shd w:val="clear" w:color="auto" w:fill="CCEEFF"/>
          </w:tcPr>
          <w:p>
            <w:pPr>
              <w:spacing w:after="0"/>
              <w:rPr>
                <w:sz w:val="18"/>
                <w:szCs w:val="18"/>
                <w:color w:val="auto"/>
              </w:rPr>
            </w:pP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34,436</w:t>
            </w:r>
          </w:p>
        </w:tc>
        <w:tc>
          <w:tcPr>
            <w:tcW w:w="28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bottom w:val="single" w:sz="8" w:color="auto"/>
            </w:tcBorders>
            <w:shd w:val="clear" w:color="auto" w:fill="CCEEFF"/>
          </w:tcPr>
          <w:p>
            <w:pPr>
              <w:spacing w:after="0"/>
              <w:rPr>
                <w:sz w:val="18"/>
                <w:szCs w:val="18"/>
                <w:color w:val="auto"/>
              </w:rPr>
            </w:pP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92,912</w:t>
            </w:r>
          </w:p>
        </w:tc>
        <w:tc>
          <w:tcPr>
            <w:tcW w:w="26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bottom w:val="single" w:sz="8" w:color="auto"/>
            </w:tcBorders>
            <w:shd w:val="clear" w:color="auto" w:fill="CCEEFF"/>
          </w:tcPr>
          <w:p>
            <w:pPr>
              <w:spacing w:after="0"/>
              <w:rPr>
                <w:sz w:val="18"/>
                <w:szCs w:val="18"/>
                <w:color w:val="auto"/>
              </w:rPr>
            </w:pP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78,337</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5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280" w:type="dxa"/>
            <w:vAlign w:val="bottom"/>
            <w:shd w:val="clear" w:color="auto" w:fill="CCEEFF"/>
          </w:tcPr>
          <w:p>
            <w:pPr>
              <w:spacing w:after="0"/>
              <w:rPr>
                <w:sz w:val="20"/>
                <w:szCs w:val="20"/>
                <w:color w:val="auto"/>
              </w:rPr>
            </w:pPr>
            <w:r>
              <w:rPr>
                <w:rFonts w:ascii="Arial" w:cs="Arial" w:eastAsia="Arial" w:hAnsi="Arial"/>
                <w:sz w:val="18"/>
                <w:szCs w:val="18"/>
                <w:color w:val="auto"/>
              </w:rPr>
              <w:t>Operating income</w:t>
            </w: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8,829</w:t>
            </w:r>
          </w:p>
        </w:tc>
        <w:tc>
          <w:tcPr>
            <w:tcW w:w="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6,114</w:t>
            </w:r>
          </w:p>
        </w:tc>
        <w:tc>
          <w:tcPr>
            <w:tcW w:w="2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14,524</w:t>
            </w:r>
          </w:p>
        </w:tc>
        <w:tc>
          <w:tcPr>
            <w:tcW w:w="2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12,538</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280" w:type="dxa"/>
            <w:vAlign w:val="bottom"/>
            <w:shd w:val="clear" w:color="auto" w:fill="CCEEFF"/>
          </w:tcPr>
          <w:p>
            <w:pPr>
              <w:spacing w:after="0"/>
              <w:rPr>
                <w:sz w:val="20"/>
                <w:szCs w:val="20"/>
                <w:color w:val="auto"/>
              </w:rPr>
            </w:pPr>
            <w:r>
              <w:rPr>
                <w:rFonts w:ascii="Arial" w:cs="Arial" w:eastAsia="Arial" w:hAnsi="Arial"/>
                <w:sz w:val="18"/>
                <w:szCs w:val="18"/>
                <w:color w:val="auto"/>
              </w:rPr>
              <w:t>Other income (expense):</w:t>
            </w: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80" w:type="dxa"/>
            <w:vAlign w:val="bottom"/>
          </w:tcPr>
          <w:p>
            <w:pPr>
              <w:ind w:left="160"/>
              <w:spacing w:after="0"/>
              <w:rPr>
                <w:sz w:val="20"/>
                <w:szCs w:val="20"/>
                <w:color w:val="auto"/>
              </w:rPr>
            </w:pPr>
            <w:r>
              <w:rPr>
                <w:rFonts w:ascii="Arial" w:cs="Arial" w:eastAsia="Arial" w:hAnsi="Arial"/>
                <w:sz w:val="18"/>
                <w:szCs w:val="18"/>
                <w:color w:val="auto"/>
              </w:rPr>
              <w:t>Interest income</w:t>
            </w: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80</w:t>
            </w: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56</w:t>
            </w:r>
          </w:p>
        </w:tc>
        <w:tc>
          <w:tcPr>
            <w:tcW w:w="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446</w:t>
            </w: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118</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Interest expense</w:t>
            </w: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(148)</w:t>
            </w:r>
          </w:p>
        </w:tc>
        <w:tc>
          <w:tcPr>
            <w:tcW w:w="26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(50)</w:t>
            </w:r>
          </w:p>
        </w:tc>
        <w:tc>
          <w:tcPr>
            <w:tcW w:w="2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(256)</w:t>
            </w:r>
          </w:p>
        </w:tc>
        <w:tc>
          <w:tcPr>
            <w:tcW w:w="2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(244)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80" w:type="dxa"/>
            <w:vAlign w:val="bottom"/>
          </w:tcPr>
          <w:p>
            <w:pPr>
              <w:ind w:left="160"/>
              <w:spacing w:after="0"/>
              <w:rPr>
                <w:sz w:val="20"/>
                <w:szCs w:val="20"/>
                <w:color w:val="auto"/>
              </w:rPr>
            </w:pPr>
            <w:r>
              <w:rPr>
                <w:rFonts w:ascii="Arial" w:cs="Arial" w:eastAsia="Arial" w:hAnsi="Arial"/>
                <w:sz w:val="18"/>
                <w:szCs w:val="18"/>
                <w:color w:val="auto"/>
              </w:rPr>
              <w:t>Other</w:t>
            </w: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(84)</w:t>
            </w:r>
          </w:p>
        </w:tc>
        <w:tc>
          <w:tcPr>
            <w:tcW w:w="260" w:type="dxa"/>
            <w:vAlign w:val="bottom"/>
          </w:tcPr>
          <w:p>
            <w:pPr>
              <w:spacing w:after="0"/>
              <w:rPr>
                <w:sz w:val="18"/>
                <w:szCs w:val="18"/>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8"/>
                <w:szCs w:val="18"/>
                <w:color w:val="auto"/>
              </w:rPr>
              <w:t>(119)</w:t>
            </w:r>
          </w:p>
        </w:tc>
        <w:tc>
          <w:tcPr>
            <w:tcW w:w="200" w:type="dxa"/>
            <w:vAlign w:val="bottom"/>
          </w:tcPr>
          <w:p>
            <w:pPr>
              <w:spacing w:after="0"/>
              <w:rPr>
                <w:sz w:val="18"/>
                <w:szCs w:val="18"/>
                <w:color w:val="auto"/>
              </w:rPr>
            </w:pPr>
          </w:p>
        </w:tc>
        <w:tc>
          <w:tcPr>
            <w:tcW w:w="1300" w:type="dxa"/>
            <w:vAlign w:val="bottom"/>
            <w:gridSpan w:val="2"/>
          </w:tcPr>
          <w:p>
            <w:pPr>
              <w:jc w:val="right"/>
              <w:ind w:right="200"/>
              <w:spacing w:after="0"/>
              <w:rPr>
                <w:sz w:val="20"/>
                <w:szCs w:val="20"/>
                <w:color w:val="auto"/>
              </w:rPr>
            </w:pPr>
            <w:r>
              <w:rPr>
                <w:rFonts w:ascii="Arial" w:cs="Arial" w:eastAsia="Arial" w:hAnsi="Arial"/>
                <w:sz w:val="18"/>
                <w:szCs w:val="18"/>
                <w:color w:val="auto"/>
              </w:rPr>
              <w:t>(1,844)</w:t>
            </w:r>
          </w:p>
        </w:tc>
        <w:tc>
          <w:tcPr>
            <w:tcW w:w="260" w:type="dxa"/>
            <w:vAlign w:val="bottom"/>
          </w:tcPr>
          <w:p>
            <w:pPr>
              <w:spacing w:after="0"/>
              <w:rPr>
                <w:sz w:val="18"/>
                <w:szCs w:val="18"/>
                <w:color w:val="auto"/>
              </w:rPr>
            </w:pPr>
          </w:p>
        </w:tc>
        <w:tc>
          <w:tcPr>
            <w:tcW w:w="1080" w:type="dxa"/>
            <w:vAlign w:val="bottom"/>
            <w:gridSpan w:val="2"/>
          </w:tcPr>
          <w:p>
            <w:pPr>
              <w:jc w:val="right"/>
              <w:ind w:right="40"/>
              <w:spacing w:after="0"/>
              <w:rPr>
                <w:sz w:val="20"/>
                <w:szCs w:val="20"/>
                <w:color w:val="auto"/>
              </w:rPr>
            </w:pPr>
            <w:r>
              <w:rPr>
                <w:rFonts w:ascii="Arial" w:cs="Arial" w:eastAsia="Arial" w:hAnsi="Arial"/>
                <w:sz w:val="18"/>
                <w:szCs w:val="18"/>
                <w:color w:val="auto"/>
              </w:rPr>
              <w:t>(657)</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280" w:type="dxa"/>
            <w:vAlign w:val="bottom"/>
            <w:tcBorders>
              <w:top w:val="single" w:sz="8" w:color="CCEEFF"/>
            </w:tcBorders>
            <w:shd w:val="clear" w:color="auto" w:fill="CCEEFF"/>
          </w:tcPr>
          <w:p>
            <w:pPr>
              <w:ind w:left="340"/>
              <w:spacing w:after="0"/>
              <w:rPr>
                <w:sz w:val="20"/>
                <w:szCs w:val="20"/>
                <w:color w:val="auto"/>
              </w:rPr>
            </w:pPr>
            <w:r>
              <w:rPr>
                <w:rFonts w:ascii="Arial" w:cs="Arial" w:eastAsia="Arial" w:hAnsi="Arial"/>
                <w:sz w:val="18"/>
                <w:szCs w:val="18"/>
                <w:color w:val="auto"/>
              </w:rPr>
              <w:t>Total other income (expense)</w:t>
            </w:r>
          </w:p>
        </w:tc>
        <w:tc>
          <w:tcPr>
            <w:tcW w:w="26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10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(152)</w:t>
            </w:r>
          </w:p>
        </w:tc>
        <w:tc>
          <w:tcPr>
            <w:tcW w:w="28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(113)</w:t>
            </w:r>
          </w:p>
        </w:tc>
        <w:tc>
          <w:tcPr>
            <w:tcW w:w="28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10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(1,654)</w:t>
            </w:r>
          </w:p>
        </w:tc>
        <w:tc>
          <w:tcPr>
            <w:tcW w:w="26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(783)</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280" w:type="dxa"/>
            <w:vAlign w:val="bottom"/>
            <w:shd w:val="clear" w:color="auto" w:fill="CCEEFF"/>
          </w:tcPr>
          <w:p>
            <w:pPr>
              <w:spacing w:after="0"/>
              <w:rPr>
                <w:sz w:val="20"/>
                <w:szCs w:val="20"/>
                <w:color w:val="auto"/>
              </w:rPr>
            </w:pPr>
            <w:r>
              <w:rPr>
                <w:rFonts w:ascii="Arial" w:cs="Arial" w:eastAsia="Arial" w:hAnsi="Arial"/>
                <w:sz w:val="18"/>
                <w:szCs w:val="18"/>
                <w:color w:val="auto"/>
              </w:rPr>
              <w:t>Income before income taxes</w:t>
            </w: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8,677</w:t>
            </w:r>
          </w:p>
        </w:tc>
        <w:tc>
          <w:tcPr>
            <w:tcW w:w="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6,001</w:t>
            </w:r>
          </w:p>
        </w:tc>
        <w:tc>
          <w:tcPr>
            <w:tcW w:w="2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12,870</w:t>
            </w:r>
          </w:p>
        </w:tc>
        <w:tc>
          <w:tcPr>
            <w:tcW w:w="2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11,755</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80" w:type="dxa"/>
            <w:vAlign w:val="bottom"/>
          </w:tcPr>
          <w:p>
            <w:pPr>
              <w:spacing w:after="0"/>
              <w:rPr>
                <w:sz w:val="20"/>
                <w:szCs w:val="20"/>
                <w:color w:val="auto"/>
              </w:rPr>
            </w:pPr>
            <w:r>
              <w:rPr>
                <w:rFonts w:ascii="Arial" w:cs="Arial" w:eastAsia="Arial" w:hAnsi="Arial"/>
                <w:sz w:val="18"/>
                <w:szCs w:val="18"/>
                <w:color w:val="auto"/>
              </w:rPr>
              <w:t>Income tax expense (benefit)</w:t>
            </w: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4,253</w:t>
            </w: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8"/>
                <w:szCs w:val="18"/>
                <w:color w:val="auto"/>
              </w:rPr>
              <w:t>(1,871)</w:t>
            </w:r>
          </w:p>
        </w:tc>
        <w:tc>
          <w:tcPr>
            <w:tcW w:w="200" w:type="dxa"/>
            <w:vAlign w:val="bottom"/>
          </w:tcPr>
          <w:p>
            <w:pPr>
              <w:spacing w:after="0"/>
              <w:rPr>
                <w:sz w:val="18"/>
                <w:szCs w:val="18"/>
                <w:color w:val="auto"/>
              </w:rPr>
            </w:pPr>
          </w:p>
        </w:tc>
        <w:tc>
          <w:tcPr>
            <w:tcW w:w="1300" w:type="dxa"/>
            <w:vAlign w:val="bottom"/>
            <w:gridSpan w:val="2"/>
          </w:tcPr>
          <w:p>
            <w:pPr>
              <w:jc w:val="right"/>
              <w:ind w:right="200"/>
              <w:spacing w:after="0"/>
              <w:rPr>
                <w:sz w:val="20"/>
                <w:szCs w:val="20"/>
                <w:color w:val="auto"/>
              </w:rPr>
            </w:pPr>
            <w:r>
              <w:rPr>
                <w:rFonts w:ascii="Arial" w:cs="Arial" w:eastAsia="Arial" w:hAnsi="Arial"/>
                <w:sz w:val="18"/>
                <w:szCs w:val="18"/>
                <w:color w:val="auto"/>
              </w:rPr>
              <w:t>(13,206)</w:t>
            </w:r>
          </w:p>
        </w:tc>
        <w:tc>
          <w:tcPr>
            <w:tcW w:w="2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1,027</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528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104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1040" w:type="dxa"/>
            <w:vAlign w:val="bottom"/>
            <w:tcBorders>
              <w:top w:val="single" w:sz="8" w:color="auto"/>
            </w:tcBorders>
            <w:shd w:val="clear" w:color="auto" w:fill="CCEEFF"/>
          </w:tcPr>
          <w:p>
            <w:pPr>
              <w:spacing w:after="0"/>
              <w:rPr>
                <w:sz w:val="18"/>
                <w:szCs w:val="18"/>
                <w:color w:val="auto"/>
              </w:rPr>
            </w:pPr>
          </w:p>
        </w:tc>
        <w:tc>
          <w:tcPr>
            <w:tcW w:w="26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56"/>
        </w:trPr>
        <w:tc>
          <w:tcPr>
            <w:tcW w:w="20" w:type="dxa"/>
            <w:vAlign w:val="bottom"/>
            <w:vMerge w:val="continue"/>
          </w:tcPr>
          <w:p>
            <w:pPr>
              <w:spacing w:after="0"/>
              <w:rPr>
                <w:sz w:val="22"/>
                <w:szCs w:val="22"/>
                <w:color w:val="auto"/>
              </w:rPr>
            </w:pPr>
          </w:p>
        </w:tc>
        <w:tc>
          <w:tcPr>
            <w:tcW w:w="5280" w:type="dxa"/>
            <w:vAlign w:val="bottom"/>
          </w:tcPr>
          <w:p>
            <w:pPr>
              <w:spacing w:after="0"/>
              <w:rPr>
                <w:sz w:val="20"/>
                <w:szCs w:val="20"/>
                <w:color w:val="auto"/>
              </w:rPr>
            </w:pPr>
            <w:r>
              <w:rPr>
                <w:rFonts w:ascii="Arial" w:cs="Arial" w:eastAsia="Arial" w:hAnsi="Arial"/>
                <w:sz w:val="18"/>
                <w:szCs w:val="18"/>
                <w:color w:val="auto"/>
              </w:rPr>
              <w:t>Net income</w:t>
            </w:r>
          </w:p>
        </w:tc>
        <w:tc>
          <w:tcPr>
            <w:tcW w:w="4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4,424</w:t>
            </w:r>
          </w:p>
        </w:tc>
        <w:tc>
          <w:tcPr>
            <w:tcW w:w="280" w:type="dxa"/>
            <w:vAlign w:val="bottom"/>
          </w:tcPr>
          <w:p>
            <w:pPr>
              <w:spacing w:after="0"/>
              <w:rPr>
                <w:sz w:val="22"/>
                <w:szCs w:val="22"/>
                <w:color w:val="auto"/>
              </w:rPr>
            </w:pPr>
          </w:p>
        </w:tc>
        <w:tc>
          <w:tcPr>
            <w:tcW w:w="260" w:type="dxa"/>
            <w:vAlign w:val="bottom"/>
          </w:tcPr>
          <w:p>
            <w:pPr>
              <w:jc w:val="right"/>
              <w:ind w:right="105"/>
              <w:spacing w:after="0"/>
              <w:rPr>
                <w:sz w:val="20"/>
                <w:szCs w:val="20"/>
                <w:color w:val="auto"/>
              </w:rPr>
            </w:pPr>
            <w:r>
              <w:rPr>
                <w:rFonts w:ascii="Arial" w:cs="Arial" w:eastAsia="Arial" w:hAnsi="Arial"/>
                <w:sz w:val="15"/>
                <w:szCs w:val="15"/>
                <w:color w:val="auto"/>
                <w:w w:val="71"/>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7,872</w:t>
            </w:r>
          </w:p>
        </w:tc>
        <w:tc>
          <w:tcPr>
            <w:tcW w:w="280" w:type="dxa"/>
            <w:vAlign w:val="bottom"/>
          </w:tcPr>
          <w:p>
            <w:pPr>
              <w:spacing w:after="0"/>
              <w:rPr>
                <w:sz w:val="22"/>
                <w:szCs w:val="22"/>
                <w:color w:val="auto"/>
              </w:rPr>
            </w:pPr>
          </w:p>
        </w:tc>
        <w:tc>
          <w:tcPr>
            <w:tcW w:w="200" w:type="dxa"/>
            <w:vAlign w:val="bottom"/>
          </w:tcPr>
          <w:p>
            <w:pPr>
              <w:jc w:val="right"/>
              <w:ind w:right="45"/>
              <w:spacing w:after="0"/>
              <w:rPr>
                <w:sz w:val="20"/>
                <w:szCs w:val="20"/>
                <w:color w:val="auto"/>
              </w:rPr>
            </w:pPr>
            <w:r>
              <w:rPr>
                <w:rFonts w:ascii="Arial" w:cs="Arial" w:eastAsia="Arial" w:hAnsi="Arial"/>
                <w:sz w:val="15"/>
                <w:szCs w:val="15"/>
                <w:color w:val="auto"/>
                <w:w w:val="71"/>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26,076</w:t>
            </w:r>
          </w:p>
        </w:tc>
        <w:tc>
          <w:tcPr>
            <w:tcW w:w="260" w:type="dxa"/>
            <w:vAlign w:val="bottom"/>
          </w:tcPr>
          <w:p>
            <w:pPr>
              <w:spacing w:after="0"/>
              <w:rPr>
                <w:sz w:val="22"/>
                <w:szCs w:val="22"/>
                <w:color w:val="auto"/>
              </w:rPr>
            </w:pPr>
          </w:p>
        </w:tc>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10,728</w:t>
            </w: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7"/>
        </w:trPr>
        <w:tc>
          <w:tcPr>
            <w:tcW w:w="20" w:type="dxa"/>
            <w:vAlign w:val="bottom"/>
            <w:vMerge w:val="restart"/>
          </w:tcPr>
          <w:p>
            <w:pPr>
              <w:spacing w:after="0"/>
              <w:rPr>
                <w:sz w:val="17"/>
                <w:szCs w:val="17"/>
                <w:color w:val="auto"/>
              </w:rPr>
            </w:pPr>
          </w:p>
        </w:tc>
        <w:tc>
          <w:tcPr>
            <w:tcW w:w="5280" w:type="dxa"/>
            <w:vAlign w:val="bottom"/>
            <w:tcBorders>
              <w:top w:val="single" w:sz="8" w:color="CCEEFF"/>
            </w:tcBorders>
            <w:shd w:val="clear" w:color="auto" w:fill="CCEEFF"/>
          </w:tcPr>
          <w:p>
            <w:pPr>
              <w:spacing w:after="0"/>
              <w:rPr>
                <w:sz w:val="17"/>
                <w:szCs w:val="17"/>
                <w:color w:val="auto"/>
              </w:rPr>
            </w:pPr>
          </w:p>
        </w:tc>
        <w:tc>
          <w:tcPr>
            <w:tcW w:w="260" w:type="dxa"/>
            <w:vAlign w:val="bottom"/>
            <w:tcBorders>
              <w:top w:val="single" w:sz="8" w:color="CCEEFF"/>
            </w:tcBorders>
            <w:shd w:val="clear" w:color="auto" w:fill="CCEEFF"/>
          </w:tcPr>
          <w:p>
            <w:pPr>
              <w:spacing w:after="0"/>
              <w:rPr>
                <w:sz w:val="17"/>
                <w:szCs w:val="17"/>
                <w:color w:val="auto"/>
              </w:rPr>
            </w:pPr>
          </w:p>
        </w:tc>
        <w:tc>
          <w:tcPr>
            <w:tcW w:w="180" w:type="dxa"/>
            <w:vAlign w:val="bottom"/>
            <w:tcBorders>
              <w:top w:val="single" w:sz="8" w:color="auto"/>
            </w:tcBorders>
            <w:shd w:val="clear" w:color="auto" w:fill="CCEEFF"/>
          </w:tcPr>
          <w:p>
            <w:pPr>
              <w:spacing w:after="0"/>
              <w:rPr>
                <w:sz w:val="17"/>
                <w:szCs w:val="17"/>
                <w:color w:val="auto"/>
              </w:rPr>
            </w:pPr>
          </w:p>
        </w:tc>
        <w:tc>
          <w:tcPr>
            <w:tcW w:w="1040" w:type="dxa"/>
            <w:vAlign w:val="bottom"/>
            <w:tcBorders>
              <w:top w:val="single" w:sz="8" w:color="auto"/>
            </w:tcBorders>
            <w:shd w:val="clear" w:color="auto" w:fill="CCEEFF"/>
          </w:tcPr>
          <w:p>
            <w:pPr>
              <w:spacing w:after="0"/>
              <w:rPr>
                <w:sz w:val="17"/>
                <w:szCs w:val="17"/>
                <w:color w:val="auto"/>
              </w:rPr>
            </w:pPr>
          </w:p>
        </w:tc>
        <w:tc>
          <w:tcPr>
            <w:tcW w:w="280" w:type="dxa"/>
            <w:vAlign w:val="bottom"/>
            <w:tcBorders>
              <w:top w:val="single" w:sz="8" w:color="CCEEFF"/>
            </w:tcBorders>
            <w:shd w:val="clear" w:color="auto" w:fill="CCEEFF"/>
          </w:tcPr>
          <w:p>
            <w:pPr>
              <w:spacing w:after="0"/>
              <w:rPr>
                <w:sz w:val="17"/>
                <w:szCs w:val="17"/>
                <w:color w:val="auto"/>
              </w:rPr>
            </w:pPr>
          </w:p>
        </w:tc>
        <w:tc>
          <w:tcPr>
            <w:tcW w:w="260" w:type="dxa"/>
            <w:vAlign w:val="bottom"/>
            <w:tcBorders>
              <w:top w:val="single" w:sz="8" w:color="auto"/>
            </w:tcBorders>
            <w:shd w:val="clear" w:color="auto" w:fill="CCEEFF"/>
          </w:tcPr>
          <w:p>
            <w:pPr>
              <w:spacing w:after="0"/>
              <w:rPr>
                <w:sz w:val="17"/>
                <w:szCs w:val="17"/>
                <w:color w:val="auto"/>
              </w:rPr>
            </w:pPr>
          </w:p>
        </w:tc>
        <w:tc>
          <w:tcPr>
            <w:tcW w:w="980" w:type="dxa"/>
            <w:vAlign w:val="bottom"/>
            <w:tcBorders>
              <w:top w:val="single" w:sz="8" w:color="auto"/>
            </w:tcBorders>
            <w:shd w:val="clear" w:color="auto" w:fill="CCEEFF"/>
          </w:tcPr>
          <w:p>
            <w:pPr>
              <w:spacing w:after="0"/>
              <w:rPr>
                <w:sz w:val="17"/>
                <w:szCs w:val="17"/>
                <w:color w:val="auto"/>
              </w:rPr>
            </w:pPr>
          </w:p>
        </w:tc>
        <w:tc>
          <w:tcPr>
            <w:tcW w:w="28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spacing w:after="0"/>
              <w:rPr>
                <w:sz w:val="17"/>
                <w:szCs w:val="17"/>
                <w:color w:val="auto"/>
              </w:rPr>
            </w:pPr>
          </w:p>
        </w:tc>
        <w:tc>
          <w:tcPr>
            <w:tcW w:w="1040" w:type="dxa"/>
            <w:vAlign w:val="bottom"/>
            <w:tcBorders>
              <w:top w:val="single" w:sz="8" w:color="auto"/>
            </w:tcBorders>
            <w:shd w:val="clear" w:color="auto" w:fill="CCEEFF"/>
          </w:tcPr>
          <w:p>
            <w:pPr>
              <w:spacing w:after="0"/>
              <w:rPr>
                <w:sz w:val="17"/>
                <w:szCs w:val="17"/>
                <w:color w:val="auto"/>
              </w:rPr>
            </w:pPr>
          </w:p>
        </w:tc>
        <w:tc>
          <w:tcPr>
            <w:tcW w:w="260" w:type="dxa"/>
            <w:vAlign w:val="bottom"/>
            <w:tcBorders>
              <w:top w:val="single" w:sz="8" w:color="CCEEFF"/>
            </w:tcBorders>
            <w:shd w:val="clear" w:color="auto" w:fill="CCEEFF"/>
          </w:tcPr>
          <w:p>
            <w:pPr>
              <w:spacing w:after="0"/>
              <w:rPr>
                <w:sz w:val="17"/>
                <w:szCs w:val="17"/>
                <w:color w:val="auto"/>
              </w:rPr>
            </w:pPr>
          </w:p>
        </w:tc>
        <w:tc>
          <w:tcPr>
            <w:tcW w:w="260" w:type="dxa"/>
            <w:vAlign w:val="bottom"/>
            <w:tcBorders>
              <w:top w:val="single" w:sz="8" w:color="auto"/>
            </w:tcBorders>
            <w:shd w:val="clear" w:color="auto" w:fill="CCEEFF"/>
          </w:tcPr>
          <w:p>
            <w:pPr>
              <w:spacing w:after="0"/>
              <w:rPr>
                <w:sz w:val="17"/>
                <w:szCs w:val="17"/>
                <w:color w:val="auto"/>
              </w:rPr>
            </w:pPr>
          </w:p>
        </w:tc>
        <w:tc>
          <w:tcPr>
            <w:tcW w:w="98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280" w:type="dxa"/>
            <w:vAlign w:val="bottom"/>
          </w:tcPr>
          <w:p>
            <w:pPr>
              <w:spacing w:after="0"/>
              <w:rPr>
                <w:sz w:val="20"/>
                <w:szCs w:val="20"/>
                <w:color w:val="auto"/>
              </w:rPr>
            </w:pPr>
            <w:r>
              <w:rPr>
                <w:rFonts w:ascii="Arial" w:cs="Arial" w:eastAsia="Arial" w:hAnsi="Arial"/>
                <w:sz w:val="18"/>
                <w:szCs w:val="18"/>
                <w:color w:val="auto"/>
              </w:rPr>
              <w:t>Earning per common share:</w:t>
            </w: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Basic</w:t>
            </w:r>
          </w:p>
        </w:tc>
        <w:tc>
          <w:tcPr>
            <w:tcW w:w="4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0.07</w:t>
            </w:r>
          </w:p>
        </w:tc>
        <w:tc>
          <w:tcPr>
            <w:tcW w:w="280" w:type="dxa"/>
            <w:vAlign w:val="bottom"/>
            <w:shd w:val="clear" w:color="auto" w:fill="CCEEFF"/>
          </w:tcPr>
          <w:p>
            <w:pPr>
              <w:spacing w:after="0"/>
              <w:rPr>
                <w:sz w:val="18"/>
                <w:szCs w:val="18"/>
                <w:color w:val="auto"/>
              </w:rPr>
            </w:pPr>
          </w:p>
        </w:tc>
        <w:tc>
          <w:tcPr>
            <w:tcW w:w="260" w:type="dxa"/>
            <w:vAlign w:val="bottom"/>
            <w:shd w:val="clear" w:color="auto" w:fill="CCEEFF"/>
          </w:tcPr>
          <w:p>
            <w:pPr>
              <w:jc w:val="right"/>
              <w:ind w:right="105"/>
              <w:spacing w:after="0"/>
              <w:rPr>
                <w:sz w:val="20"/>
                <w:szCs w:val="20"/>
                <w:color w:val="auto"/>
              </w:rPr>
            </w:pPr>
            <w:r>
              <w:rPr>
                <w:rFonts w:ascii="Arial" w:cs="Arial" w:eastAsia="Arial" w:hAnsi="Arial"/>
                <w:sz w:val="15"/>
                <w:szCs w:val="15"/>
                <w:color w:val="auto"/>
                <w:w w:val="71"/>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0.13</w:t>
            </w:r>
          </w:p>
        </w:tc>
        <w:tc>
          <w:tcPr>
            <w:tcW w:w="28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45"/>
              <w:spacing w:after="0"/>
              <w:rPr>
                <w:sz w:val="20"/>
                <w:szCs w:val="20"/>
                <w:color w:val="auto"/>
              </w:rPr>
            </w:pPr>
            <w:r>
              <w:rPr>
                <w:rFonts w:ascii="Arial" w:cs="Arial" w:eastAsia="Arial" w:hAnsi="Arial"/>
                <w:sz w:val="15"/>
                <w:szCs w:val="15"/>
                <w:color w:val="auto"/>
                <w:w w:val="71"/>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0.42</w:t>
            </w:r>
          </w:p>
        </w:tc>
        <w:tc>
          <w:tcPr>
            <w:tcW w:w="260" w:type="dxa"/>
            <w:vAlign w:val="bottom"/>
            <w:shd w:val="clear" w:color="auto" w:fill="CCEEFF"/>
          </w:tcPr>
          <w:p>
            <w:pPr>
              <w:spacing w:after="0"/>
              <w:rPr>
                <w:sz w:val="18"/>
                <w:szCs w:val="18"/>
                <w:color w:val="auto"/>
              </w:rPr>
            </w:pPr>
          </w:p>
        </w:tc>
        <w:tc>
          <w:tcPr>
            <w:tcW w:w="2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0.17</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80" w:type="dxa"/>
            <w:vAlign w:val="bottom"/>
          </w:tcPr>
          <w:p>
            <w:pPr>
              <w:ind w:left="160"/>
              <w:spacing w:after="0"/>
              <w:rPr>
                <w:sz w:val="20"/>
                <w:szCs w:val="20"/>
                <w:color w:val="auto"/>
              </w:rPr>
            </w:pPr>
            <w:r>
              <w:rPr>
                <w:rFonts w:ascii="Arial" w:cs="Arial" w:eastAsia="Arial" w:hAnsi="Arial"/>
                <w:sz w:val="18"/>
                <w:szCs w:val="18"/>
                <w:color w:val="auto"/>
              </w:rPr>
              <w:t>Diluted</w:t>
            </w:r>
          </w:p>
        </w:tc>
        <w:tc>
          <w:tcPr>
            <w:tcW w:w="4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0.07</w:t>
            </w:r>
          </w:p>
        </w:tc>
        <w:tc>
          <w:tcPr>
            <w:tcW w:w="280" w:type="dxa"/>
            <w:vAlign w:val="bottom"/>
          </w:tcPr>
          <w:p>
            <w:pPr>
              <w:spacing w:after="0"/>
              <w:rPr>
                <w:sz w:val="18"/>
                <w:szCs w:val="18"/>
                <w:color w:val="auto"/>
              </w:rPr>
            </w:pPr>
          </w:p>
        </w:tc>
        <w:tc>
          <w:tcPr>
            <w:tcW w:w="260" w:type="dxa"/>
            <w:vAlign w:val="bottom"/>
          </w:tcPr>
          <w:p>
            <w:pPr>
              <w:jc w:val="right"/>
              <w:ind w:right="105"/>
              <w:spacing w:after="0"/>
              <w:rPr>
                <w:sz w:val="20"/>
                <w:szCs w:val="20"/>
                <w:color w:val="auto"/>
              </w:rPr>
            </w:pPr>
            <w:r>
              <w:rPr>
                <w:rFonts w:ascii="Arial" w:cs="Arial" w:eastAsia="Arial" w:hAnsi="Arial"/>
                <w:sz w:val="15"/>
                <w:szCs w:val="15"/>
                <w:color w:val="auto"/>
                <w:w w:val="71"/>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0.13</w:t>
            </w:r>
          </w:p>
        </w:tc>
        <w:tc>
          <w:tcPr>
            <w:tcW w:w="280" w:type="dxa"/>
            <w:vAlign w:val="bottom"/>
          </w:tcPr>
          <w:p>
            <w:pPr>
              <w:spacing w:after="0"/>
              <w:rPr>
                <w:sz w:val="18"/>
                <w:szCs w:val="18"/>
                <w:color w:val="auto"/>
              </w:rPr>
            </w:pPr>
          </w:p>
        </w:tc>
        <w:tc>
          <w:tcPr>
            <w:tcW w:w="200" w:type="dxa"/>
            <w:vAlign w:val="bottom"/>
          </w:tcPr>
          <w:p>
            <w:pPr>
              <w:jc w:val="right"/>
              <w:ind w:right="45"/>
              <w:spacing w:after="0"/>
              <w:rPr>
                <w:sz w:val="20"/>
                <w:szCs w:val="20"/>
                <w:color w:val="auto"/>
              </w:rPr>
            </w:pPr>
            <w:r>
              <w:rPr>
                <w:rFonts w:ascii="Arial" w:cs="Arial" w:eastAsia="Arial" w:hAnsi="Arial"/>
                <w:sz w:val="15"/>
                <w:szCs w:val="15"/>
                <w:color w:val="auto"/>
                <w:w w:val="71"/>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0.42</w:t>
            </w:r>
          </w:p>
        </w:tc>
        <w:tc>
          <w:tcPr>
            <w:tcW w:w="260" w:type="dxa"/>
            <w:vAlign w:val="bottom"/>
          </w:tcPr>
          <w:p>
            <w:pPr>
              <w:spacing w:after="0"/>
              <w:rPr>
                <w:sz w:val="18"/>
                <w:szCs w:val="18"/>
                <w:color w:val="auto"/>
              </w:rPr>
            </w:pPr>
          </w:p>
        </w:tc>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0.17</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80" w:type="dxa"/>
            <w:vAlign w:val="bottom"/>
            <w:shd w:val="clear" w:color="auto" w:fill="CCEEFF"/>
          </w:tcPr>
          <w:p>
            <w:pPr>
              <w:spacing w:after="0"/>
              <w:rPr>
                <w:sz w:val="20"/>
                <w:szCs w:val="20"/>
                <w:color w:val="auto"/>
              </w:rPr>
            </w:pPr>
            <w:r>
              <w:rPr>
                <w:rFonts w:ascii="Arial" w:cs="Arial" w:eastAsia="Arial" w:hAnsi="Arial"/>
                <w:sz w:val="18"/>
                <w:szCs w:val="18"/>
                <w:color w:val="auto"/>
              </w:rPr>
              <w:t>Weighted-average shares outstanding:</w:t>
            </w: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80" w:type="dxa"/>
            <w:vAlign w:val="bottom"/>
          </w:tcPr>
          <w:p>
            <w:pPr>
              <w:ind w:left="160"/>
              <w:spacing w:after="0"/>
              <w:rPr>
                <w:sz w:val="20"/>
                <w:szCs w:val="20"/>
                <w:color w:val="auto"/>
              </w:rPr>
            </w:pPr>
            <w:r>
              <w:rPr>
                <w:rFonts w:ascii="Arial" w:cs="Arial" w:eastAsia="Arial" w:hAnsi="Arial"/>
                <w:sz w:val="18"/>
                <w:szCs w:val="18"/>
                <w:color w:val="auto"/>
              </w:rPr>
              <w:t>Basic</w:t>
            </w: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62,875,494</w:t>
            </w: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61,855,668</w:t>
            </w:r>
          </w:p>
        </w:tc>
        <w:tc>
          <w:tcPr>
            <w:tcW w:w="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62,267,130</w:t>
            </w: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61,855,668</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Diluted</w:t>
            </w: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63,205,380</w:t>
            </w:r>
          </w:p>
        </w:tc>
        <w:tc>
          <w:tcPr>
            <w:tcW w:w="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61,907,874</w:t>
            </w:r>
          </w:p>
        </w:tc>
        <w:tc>
          <w:tcPr>
            <w:tcW w:w="2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62,597,016</w:t>
            </w:r>
          </w:p>
        </w:tc>
        <w:tc>
          <w:tcPr>
            <w:tcW w:w="2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61,907,874</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392430</wp:posOffset>
            </wp:positionV>
            <wp:extent cx="7267575" cy="298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Definition of Terms and Reconciliation of Non-GAAP Financial Measures</w:t>
      </w:r>
    </w:p>
    <w:p>
      <w:pPr>
        <w:spacing w:after="0" w:line="27" w:lineRule="exact"/>
        <w:rPr>
          <w:sz w:val="20"/>
          <w:szCs w:val="20"/>
          <w:color w:val="auto"/>
        </w:rPr>
      </w:pPr>
    </w:p>
    <w:p>
      <w:pPr>
        <w:ind w:right="760"/>
        <w:spacing w:after="0" w:line="323" w:lineRule="auto"/>
        <w:rPr>
          <w:sz w:val="20"/>
          <w:szCs w:val="20"/>
          <w:color w:val="auto"/>
        </w:rPr>
      </w:pPr>
      <w:r>
        <w:rPr>
          <w:rFonts w:ascii="Arial" w:cs="Arial" w:eastAsia="Arial" w:hAnsi="Arial"/>
          <w:sz w:val="16"/>
          <w:szCs w:val="16"/>
          <w:color w:val="auto"/>
        </w:rPr>
        <w:t>The Company utilizes certain financial measures that are widely used in the telecommunications industry and are not calculated based on GAAP. A reconciliation of these measures to GAAP and a discussion of certain other operating metrics used in the industry are presented below.</w:t>
      </w:r>
    </w:p>
    <w:p>
      <w:pPr>
        <w:spacing w:after="0" w:line="1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RECONCILIATION OF GAAP TO ADJUSTED /1</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 in Thousands, except ARPU)</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15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gridSpan w:val="2"/>
          </w:tcPr>
          <w:p>
            <w:pPr>
              <w:jc w:val="center"/>
              <w:ind w:right="240"/>
              <w:spacing w:after="0"/>
              <w:rPr>
                <w:sz w:val="20"/>
                <w:szCs w:val="20"/>
                <w:color w:val="auto"/>
              </w:rPr>
            </w:pPr>
            <w:r>
              <w:rPr>
                <w:rFonts w:ascii="Arial" w:cs="Arial" w:eastAsia="Arial" w:hAnsi="Arial"/>
                <w:sz w:val="14"/>
                <w:szCs w:val="14"/>
                <w:b w:val="1"/>
                <w:bCs w:val="1"/>
                <w:color w:val="auto"/>
              </w:rPr>
              <w:t>Q3</w:t>
            </w:r>
          </w:p>
        </w:tc>
        <w:tc>
          <w:tcPr>
            <w:tcW w:w="8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gridSpan w:val="4"/>
          </w:tcPr>
          <w:p>
            <w:pPr>
              <w:ind w:left="20"/>
              <w:spacing w:after="0"/>
              <w:rPr>
                <w:sz w:val="20"/>
                <w:szCs w:val="20"/>
                <w:color w:val="auto"/>
              </w:rPr>
            </w:pPr>
            <w:r>
              <w:rPr>
                <w:rFonts w:ascii="Arial" w:cs="Arial" w:eastAsia="Arial" w:hAnsi="Arial"/>
                <w:sz w:val="14"/>
                <w:szCs w:val="14"/>
                <w:b w:val="1"/>
                <w:bCs w:val="1"/>
                <w:color w:val="auto"/>
              </w:rPr>
              <w:t>YTD September</w:t>
            </w:r>
          </w:p>
        </w:tc>
        <w:tc>
          <w:tcPr>
            <w:tcW w:w="14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2005 /3</w:t>
            </w:r>
          </w:p>
        </w:tc>
        <w:tc>
          <w:tcPr>
            <w:tcW w:w="9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1520" w:type="dxa"/>
            <w:vAlign w:val="bottom"/>
          </w:tcPr>
          <w:p>
            <w:pPr>
              <w:spacing w:after="0"/>
              <w:rPr>
                <w:sz w:val="8"/>
                <w:szCs w:val="8"/>
                <w:color w:val="auto"/>
              </w:rPr>
            </w:pPr>
          </w:p>
        </w:tc>
        <w:tc>
          <w:tcPr>
            <w:tcW w:w="220" w:type="dxa"/>
            <w:vAlign w:val="bottom"/>
          </w:tcPr>
          <w:p>
            <w:pPr>
              <w:spacing w:after="0"/>
              <w:rPr>
                <w:sz w:val="8"/>
                <w:szCs w:val="8"/>
                <w:color w:val="auto"/>
              </w:rPr>
            </w:pPr>
          </w:p>
        </w:tc>
        <w:tc>
          <w:tcPr>
            <w:tcW w:w="180" w:type="dxa"/>
            <w:vAlign w:val="bottom"/>
          </w:tcPr>
          <w:p>
            <w:pPr>
              <w:spacing w:after="0"/>
              <w:rPr>
                <w:sz w:val="8"/>
                <w:szCs w:val="8"/>
                <w:color w:val="auto"/>
              </w:rPr>
            </w:pPr>
          </w:p>
        </w:tc>
        <w:tc>
          <w:tcPr>
            <w:tcW w:w="1020" w:type="dxa"/>
            <w:vAlign w:val="bottom"/>
            <w:gridSpan w:val="2"/>
          </w:tcPr>
          <w:p>
            <w:pPr>
              <w:jc w:val="right"/>
              <w:ind w:right="500"/>
              <w:spacing w:after="0" w:line="102" w:lineRule="exact"/>
              <w:rPr>
                <w:sz w:val="20"/>
                <w:szCs w:val="20"/>
                <w:color w:val="auto"/>
              </w:rPr>
            </w:pPr>
            <w:r>
              <w:rPr>
                <w:rFonts w:ascii="Arial" w:cs="Arial" w:eastAsia="Arial" w:hAnsi="Arial"/>
                <w:sz w:val="11"/>
                <w:szCs w:val="11"/>
                <w:b w:val="1"/>
                <w:bCs w:val="1"/>
                <w:color w:val="auto"/>
              </w:rPr>
              <w:t>GAAP</w:t>
            </w:r>
          </w:p>
        </w:tc>
        <w:tc>
          <w:tcPr>
            <w:tcW w:w="80" w:type="dxa"/>
            <w:vAlign w:val="bottom"/>
          </w:tcPr>
          <w:p>
            <w:pPr>
              <w:spacing w:after="0"/>
              <w:rPr>
                <w:sz w:val="8"/>
                <w:szCs w:val="8"/>
                <w:color w:val="auto"/>
              </w:rPr>
            </w:pPr>
          </w:p>
        </w:tc>
        <w:tc>
          <w:tcPr>
            <w:tcW w:w="1120" w:type="dxa"/>
            <w:vAlign w:val="bottom"/>
            <w:gridSpan w:val="2"/>
          </w:tcPr>
          <w:p>
            <w:pPr>
              <w:jc w:val="center"/>
              <w:ind w:right="240"/>
              <w:spacing w:after="0" w:line="102" w:lineRule="exact"/>
              <w:rPr>
                <w:sz w:val="20"/>
                <w:szCs w:val="20"/>
                <w:color w:val="auto"/>
              </w:rPr>
            </w:pPr>
            <w:r>
              <w:rPr>
                <w:rFonts w:ascii="Arial" w:cs="Arial" w:eastAsia="Arial" w:hAnsi="Arial"/>
                <w:sz w:val="11"/>
                <w:szCs w:val="11"/>
                <w:b w:val="1"/>
                <w:bCs w:val="1"/>
                <w:color w:val="auto"/>
              </w:rPr>
              <w:t>Liberty Plans</w:t>
            </w:r>
          </w:p>
        </w:tc>
        <w:tc>
          <w:tcPr>
            <w:tcW w:w="80" w:type="dxa"/>
            <w:vAlign w:val="bottom"/>
          </w:tcPr>
          <w:p>
            <w:pPr>
              <w:spacing w:after="0"/>
              <w:rPr>
                <w:sz w:val="8"/>
                <w:szCs w:val="8"/>
                <w:color w:val="auto"/>
              </w:rPr>
            </w:pPr>
          </w:p>
        </w:tc>
        <w:tc>
          <w:tcPr>
            <w:tcW w:w="140" w:type="dxa"/>
            <w:vAlign w:val="bottom"/>
          </w:tcPr>
          <w:p>
            <w:pPr>
              <w:spacing w:after="0"/>
              <w:rPr>
                <w:sz w:val="8"/>
                <w:szCs w:val="8"/>
                <w:color w:val="auto"/>
              </w:rPr>
            </w:pPr>
          </w:p>
        </w:tc>
        <w:tc>
          <w:tcPr>
            <w:tcW w:w="840" w:type="dxa"/>
            <w:vAlign w:val="bottom"/>
          </w:tcPr>
          <w:p>
            <w:pPr>
              <w:jc w:val="right"/>
              <w:ind w:right="150"/>
              <w:spacing w:after="0" w:line="102" w:lineRule="exact"/>
              <w:rPr>
                <w:sz w:val="20"/>
                <w:szCs w:val="20"/>
                <w:color w:val="auto"/>
              </w:rPr>
            </w:pPr>
            <w:r>
              <w:rPr>
                <w:rFonts w:ascii="Arial" w:cs="Arial" w:eastAsia="Arial" w:hAnsi="Arial"/>
                <w:sz w:val="11"/>
                <w:szCs w:val="11"/>
                <w:b w:val="1"/>
                <w:bCs w:val="1"/>
                <w:color w:val="auto"/>
              </w:rPr>
              <w:t>Adjusted</w:t>
            </w:r>
          </w:p>
        </w:tc>
        <w:tc>
          <w:tcPr>
            <w:tcW w:w="160" w:type="dxa"/>
            <w:vAlign w:val="bottom"/>
          </w:tcPr>
          <w:p>
            <w:pPr>
              <w:spacing w:after="0"/>
              <w:rPr>
                <w:sz w:val="8"/>
                <w:szCs w:val="8"/>
                <w:color w:val="auto"/>
              </w:rPr>
            </w:pPr>
          </w:p>
        </w:tc>
        <w:tc>
          <w:tcPr>
            <w:tcW w:w="200" w:type="dxa"/>
            <w:vAlign w:val="bottom"/>
          </w:tcPr>
          <w:p>
            <w:pPr>
              <w:spacing w:after="0"/>
              <w:rPr>
                <w:sz w:val="8"/>
                <w:szCs w:val="8"/>
                <w:color w:val="auto"/>
              </w:rPr>
            </w:pPr>
          </w:p>
        </w:tc>
        <w:tc>
          <w:tcPr>
            <w:tcW w:w="1000" w:type="dxa"/>
            <w:vAlign w:val="bottom"/>
            <w:gridSpan w:val="2"/>
          </w:tcPr>
          <w:p>
            <w:pPr>
              <w:jc w:val="right"/>
              <w:ind w:right="480"/>
              <w:spacing w:after="0" w:line="102" w:lineRule="exact"/>
              <w:rPr>
                <w:sz w:val="20"/>
                <w:szCs w:val="20"/>
                <w:color w:val="auto"/>
              </w:rPr>
            </w:pPr>
            <w:r>
              <w:rPr>
                <w:rFonts w:ascii="Arial" w:cs="Arial" w:eastAsia="Arial" w:hAnsi="Arial"/>
                <w:sz w:val="11"/>
                <w:szCs w:val="11"/>
                <w:b w:val="1"/>
                <w:bCs w:val="1"/>
                <w:color w:val="auto"/>
              </w:rPr>
              <w:t>GAAP</w:t>
            </w: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1100" w:type="dxa"/>
            <w:vAlign w:val="bottom"/>
            <w:gridSpan w:val="2"/>
          </w:tcPr>
          <w:p>
            <w:pPr>
              <w:jc w:val="center"/>
              <w:ind w:right="220"/>
              <w:spacing w:after="0" w:line="102" w:lineRule="exact"/>
              <w:rPr>
                <w:sz w:val="20"/>
                <w:szCs w:val="20"/>
                <w:color w:val="auto"/>
              </w:rPr>
            </w:pPr>
            <w:r>
              <w:rPr>
                <w:rFonts w:ascii="Arial" w:cs="Arial" w:eastAsia="Arial" w:hAnsi="Arial"/>
                <w:sz w:val="11"/>
                <w:szCs w:val="11"/>
                <w:b w:val="1"/>
                <w:bCs w:val="1"/>
                <w:color w:val="auto"/>
              </w:rPr>
              <w:t>Liberty Plans</w:t>
            </w:r>
          </w:p>
        </w:tc>
        <w:tc>
          <w:tcPr>
            <w:tcW w:w="140" w:type="dxa"/>
            <w:vAlign w:val="bottom"/>
          </w:tcPr>
          <w:p>
            <w:pPr>
              <w:spacing w:after="0"/>
              <w:rPr>
                <w:sz w:val="8"/>
                <w:szCs w:val="8"/>
                <w:color w:val="auto"/>
              </w:rPr>
            </w:pPr>
          </w:p>
        </w:tc>
        <w:tc>
          <w:tcPr>
            <w:tcW w:w="900" w:type="dxa"/>
            <w:vAlign w:val="bottom"/>
          </w:tcPr>
          <w:p>
            <w:pPr>
              <w:jc w:val="right"/>
              <w:ind w:right="170"/>
              <w:spacing w:after="0" w:line="102" w:lineRule="exact"/>
              <w:rPr>
                <w:sz w:val="20"/>
                <w:szCs w:val="20"/>
                <w:color w:val="auto"/>
              </w:rPr>
            </w:pPr>
            <w:r>
              <w:rPr>
                <w:rFonts w:ascii="Arial" w:cs="Arial" w:eastAsia="Arial" w:hAnsi="Arial"/>
                <w:sz w:val="11"/>
                <w:szCs w:val="11"/>
                <w:b w:val="1"/>
                <w:bCs w:val="1"/>
                <w:color w:val="auto"/>
              </w:rPr>
              <w:t>Adjusted</w:t>
            </w:r>
          </w:p>
        </w:tc>
        <w:tc>
          <w:tcPr>
            <w:tcW w:w="160" w:type="dxa"/>
            <w:vAlign w:val="bottom"/>
          </w:tcPr>
          <w:p>
            <w:pPr>
              <w:spacing w:after="0"/>
              <w:rPr>
                <w:sz w:val="8"/>
                <w:szCs w:val="8"/>
                <w:color w:val="auto"/>
              </w:rPr>
            </w:pPr>
          </w:p>
        </w:tc>
        <w:tc>
          <w:tcPr>
            <w:tcW w:w="260" w:type="dxa"/>
            <w:vAlign w:val="bottom"/>
          </w:tcPr>
          <w:p>
            <w:pPr>
              <w:spacing w:after="0"/>
              <w:rPr>
                <w:sz w:val="8"/>
                <w:szCs w:val="8"/>
                <w:color w:val="auto"/>
              </w:rPr>
            </w:pPr>
          </w:p>
        </w:tc>
        <w:tc>
          <w:tcPr>
            <w:tcW w:w="960" w:type="dxa"/>
            <w:vAlign w:val="bottom"/>
            <w:gridSpan w:val="2"/>
            <w:vMerge w:val="restart"/>
          </w:tcPr>
          <w:p>
            <w:pPr>
              <w:jc w:val="right"/>
              <w:ind w:right="600"/>
              <w:spacing w:after="0"/>
              <w:rPr>
                <w:sz w:val="20"/>
                <w:szCs w:val="20"/>
                <w:color w:val="auto"/>
              </w:rPr>
            </w:pPr>
            <w:r>
              <w:rPr>
                <w:rFonts w:ascii="Arial" w:cs="Arial" w:eastAsia="Arial" w:hAnsi="Arial"/>
                <w:sz w:val="14"/>
                <w:szCs w:val="14"/>
                <w:b w:val="1"/>
                <w:bCs w:val="1"/>
                <w:color w:val="auto"/>
              </w:rPr>
              <w:t>Q3</w:t>
            </w:r>
          </w:p>
        </w:tc>
        <w:tc>
          <w:tcPr>
            <w:tcW w:w="160" w:type="dxa"/>
            <w:vAlign w:val="bottom"/>
          </w:tcPr>
          <w:p>
            <w:pPr>
              <w:spacing w:after="0"/>
              <w:rPr>
                <w:sz w:val="8"/>
                <w:szCs w:val="8"/>
                <w:color w:val="auto"/>
              </w:rPr>
            </w:pPr>
          </w:p>
        </w:tc>
        <w:tc>
          <w:tcPr>
            <w:tcW w:w="900" w:type="dxa"/>
            <w:vAlign w:val="bottom"/>
          </w:tcPr>
          <w:p>
            <w:pPr>
              <w:jc w:val="right"/>
              <w:ind w:right="310"/>
              <w:spacing w:after="0" w:line="102" w:lineRule="exact"/>
              <w:rPr>
                <w:sz w:val="20"/>
                <w:szCs w:val="20"/>
                <w:color w:val="auto"/>
              </w:rPr>
            </w:pPr>
            <w:r>
              <w:rPr>
                <w:rFonts w:ascii="Arial" w:cs="Arial" w:eastAsia="Arial" w:hAnsi="Arial"/>
                <w:sz w:val="11"/>
                <w:szCs w:val="11"/>
                <w:b w:val="1"/>
                <w:bCs w:val="1"/>
                <w:color w:val="auto"/>
              </w:rPr>
              <w:t>YTD</w:t>
            </w:r>
          </w:p>
        </w:tc>
        <w:tc>
          <w:tcPr>
            <w:tcW w:w="1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15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60" w:type="dxa"/>
            <w:vAlign w:val="bottom"/>
          </w:tcPr>
          <w:p>
            <w:pPr>
              <w:jc w:val="right"/>
              <w:ind w:right="330"/>
              <w:spacing w:after="0"/>
              <w:rPr>
                <w:sz w:val="20"/>
                <w:szCs w:val="20"/>
                <w:color w:val="auto"/>
              </w:rPr>
            </w:pPr>
            <w:r>
              <w:rPr>
                <w:rFonts w:ascii="Arial" w:cs="Arial" w:eastAsia="Arial" w:hAnsi="Arial"/>
                <w:sz w:val="14"/>
                <w:szCs w:val="14"/>
                <w:b w:val="1"/>
                <w:bCs w:val="1"/>
                <w:color w:val="auto"/>
              </w:rPr>
              <w:t>2006</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1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3"/>
              </w:rPr>
              <w:t>Adjusted</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40" w:type="dxa"/>
            <w:vAlign w:val="bottom"/>
          </w:tcPr>
          <w:p>
            <w:pPr>
              <w:jc w:val="right"/>
              <w:ind w:right="270"/>
              <w:spacing w:after="0"/>
              <w:rPr>
                <w:sz w:val="20"/>
                <w:szCs w:val="20"/>
                <w:color w:val="auto"/>
              </w:rPr>
            </w:pPr>
            <w:r>
              <w:rPr>
                <w:rFonts w:ascii="Arial" w:cs="Arial" w:eastAsia="Arial" w:hAnsi="Arial"/>
                <w:sz w:val="14"/>
                <w:szCs w:val="14"/>
                <w:b w:val="1"/>
                <w:bCs w:val="1"/>
                <w:color w:val="auto"/>
              </w:rPr>
              <w:t>2006</w:t>
            </w:r>
          </w:p>
        </w:tc>
        <w:tc>
          <w:tcPr>
            <w:tcW w:w="1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60" w:type="dxa"/>
            <w:vAlign w:val="bottom"/>
          </w:tcPr>
          <w:p>
            <w:pPr>
              <w:jc w:val="right"/>
              <w:ind w:right="330"/>
              <w:spacing w:after="0"/>
              <w:rPr>
                <w:sz w:val="20"/>
                <w:szCs w:val="20"/>
                <w:color w:val="auto"/>
              </w:rPr>
            </w:pPr>
            <w:r>
              <w:rPr>
                <w:rFonts w:ascii="Arial" w:cs="Arial" w:eastAsia="Arial" w:hAnsi="Arial"/>
                <w:sz w:val="14"/>
                <w:szCs w:val="14"/>
                <w:b w:val="1"/>
                <w:bCs w:val="1"/>
                <w:color w:val="auto"/>
              </w:rPr>
              <w:t>2006</w:t>
            </w: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10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3"/>
              </w:rPr>
              <w:t>Adjusted</w:t>
            </w:r>
          </w:p>
        </w:tc>
        <w:tc>
          <w:tcPr>
            <w:tcW w:w="140" w:type="dxa"/>
            <w:vAlign w:val="bottom"/>
          </w:tcPr>
          <w:p>
            <w:pPr>
              <w:spacing w:after="0"/>
              <w:rPr>
                <w:sz w:val="14"/>
                <w:szCs w:val="14"/>
                <w:color w:val="auto"/>
              </w:rPr>
            </w:pPr>
          </w:p>
        </w:tc>
        <w:tc>
          <w:tcPr>
            <w:tcW w:w="900" w:type="dxa"/>
            <w:vAlign w:val="bottom"/>
          </w:tcPr>
          <w:p>
            <w:pPr>
              <w:jc w:val="right"/>
              <w:ind w:right="310"/>
              <w:spacing w:after="0"/>
              <w:rPr>
                <w:sz w:val="20"/>
                <w:szCs w:val="20"/>
                <w:color w:val="auto"/>
              </w:rPr>
            </w:pPr>
            <w:r>
              <w:rPr>
                <w:rFonts w:ascii="Arial" w:cs="Arial" w:eastAsia="Arial" w:hAnsi="Arial"/>
                <w:sz w:val="14"/>
                <w:szCs w:val="14"/>
                <w:b w:val="1"/>
                <w:bCs w:val="1"/>
                <w:color w:val="auto"/>
              </w:rPr>
              <w:t>2006</w:t>
            </w:r>
          </w:p>
        </w:tc>
        <w:tc>
          <w:tcPr>
            <w:tcW w:w="1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960" w:type="dxa"/>
            <w:vAlign w:val="bottom"/>
            <w:gridSpan w:val="2"/>
            <w:vMerge w:val="continue"/>
          </w:tcPr>
          <w:p>
            <w:pPr>
              <w:spacing w:after="0"/>
              <w:rPr>
                <w:sz w:val="14"/>
                <w:szCs w:val="14"/>
                <w:color w:val="auto"/>
              </w:rPr>
            </w:pPr>
          </w:p>
        </w:tc>
        <w:tc>
          <w:tcPr>
            <w:tcW w:w="160" w:type="dxa"/>
            <w:vAlign w:val="bottom"/>
          </w:tcPr>
          <w:p>
            <w:pPr>
              <w:spacing w:after="0"/>
              <w:rPr>
                <w:sz w:val="14"/>
                <w:szCs w:val="14"/>
                <w:color w:val="auto"/>
              </w:rPr>
            </w:pPr>
          </w:p>
        </w:tc>
        <w:tc>
          <w:tcPr>
            <w:tcW w:w="1060" w:type="dxa"/>
            <w:vAlign w:val="bottom"/>
            <w:gridSpan w:val="2"/>
          </w:tcPr>
          <w:p>
            <w:pPr>
              <w:jc w:val="right"/>
              <w:ind w:right="360"/>
              <w:spacing w:after="0"/>
              <w:rPr>
                <w:sz w:val="20"/>
                <w:szCs w:val="20"/>
                <w:color w:val="auto"/>
              </w:rPr>
            </w:pPr>
            <w:r>
              <w:rPr>
                <w:rFonts w:ascii="Arial" w:cs="Arial" w:eastAsia="Arial" w:hAnsi="Arial"/>
                <w:sz w:val="14"/>
                <w:szCs w:val="14"/>
                <w:b w:val="1"/>
                <w:bCs w:val="1"/>
                <w:color w:val="auto"/>
                <w:w w:val="93"/>
              </w:rPr>
              <w:t>September</w:t>
            </w:r>
          </w:p>
        </w:tc>
        <w:tc>
          <w:tcPr>
            <w:tcW w:w="0" w:type="dxa"/>
            <w:vAlign w:val="bottom"/>
          </w:tcPr>
          <w:p>
            <w:pPr>
              <w:spacing w:after="0"/>
              <w:rPr>
                <w:sz w:val="1"/>
                <w:szCs w:val="1"/>
                <w:color w:val="auto"/>
              </w:rPr>
            </w:pPr>
          </w:p>
        </w:tc>
      </w:tr>
      <w:tr>
        <w:trPr>
          <w:trHeight w:val="142"/>
        </w:trPr>
        <w:tc>
          <w:tcPr>
            <w:tcW w:w="20" w:type="dxa"/>
            <w:vAlign w:val="bottom"/>
            <w:vMerge w:val="restart"/>
          </w:tcPr>
          <w:p>
            <w:pPr>
              <w:spacing w:after="0"/>
              <w:rPr>
                <w:sz w:val="12"/>
                <w:szCs w:val="12"/>
                <w:color w:val="auto"/>
              </w:rPr>
            </w:pPr>
          </w:p>
        </w:tc>
        <w:tc>
          <w:tcPr>
            <w:tcW w:w="15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80" w:type="dxa"/>
            <w:vAlign w:val="bottom"/>
            <w:tcBorders>
              <w:top w:val="single" w:sz="8" w:color="auto"/>
            </w:tcBorders>
          </w:tcPr>
          <w:p>
            <w:pPr>
              <w:spacing w:after="0"/>
              <w:rPr>
                <w:sz w:val="12"/>
                <w:szCs w:val="12"/>
                <w:color w:val="auto"/>
              </w:rPr>
            </w:pPr>
          </w:p>
        </w:tc>
        <w:tc>
          <w:tcPr>
            <w:tcW w:w="86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96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84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860" w:type="dxa"/>
            <w:vAlign w:val="bottom"/>
            <w:tcBorders>
              <w:top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980" w:type="dxa"/>
            <w:vAlign w:val="bottom"/>
            <w:tcBorders>
              <w:top w:val="single" w:sz="8" w:color="auto"/>
            </w:tcBorders>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90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80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90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152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Revenue</w:t>
            </w:r>
          </w:p>
        </w:tc>
        <w:tc>
          <w:tcPr>
            <w:tcW w:w="22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9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9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520" w:type="dxa"/>
            <w:vAlign w:val="bottom"/>
          </w:tcPr>
          <w:p>
            <w:pPr>
              <w:ind w:left="140"/>
              <w:spacing w:after="0" w:line="149" w:lineRule="exact"/>
              <w:rPr>
                <w:sz w:val="20"/>
                <w:szCs w:val="20"/>
                <w:color w:val="auto"/>
              </w:rPr>
            </w:pPr>
            <w:r>
              <w:rPr>
                <w:rFonts w:ascii="Arial" w:cs="Arial" w:eastAsia="Arial" w:hAnsi="Arial"/>
                <w:sz w:val="14"/>
                <w:szCs w:val="14"/>
                <w:color w:val="auto"/>
              </w:rPr>
              <w:t>Service Revenue</w:t>
            </w:r>
          </w:p>
        </w:tc>
        <w:tc>
          <w:tcPr>
            <w:tcW w:w="400" w:type="dxa"/>
            <w:vAlign w:val="bottom"/>
            <w:gridSpan w:val="2"/>
          </w:tcPr>
          <w:p>
            <w:pPr>
              <w:jc w:val="right"/>
              <w:ind w:right="69"/>
              <w:spacing w:after="0" w:line="149" w:lineRule="exact"/>
              <w:rPr>
                <w:sz w:val="20"/>
                <w:szCs w:val="20"/>
                <w:color w:val="auto"/>
              </w:rPr>
            </w:pPr>
            <w:r>
              <w:rPr>
                <w:rFonts w:ascii="Arial" w:cs="Arial" w:eastAsia="Arial" w:hAnsi="Arial"/>
                <w:sz w:val="14"/>
                <w:szCs w:val="14"/>
                <w:color w:val="auto"/>
              </w:rPr>
              <w:t>$</w:t>
            </w: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27,649</w:t>
            </w:r>
          </w:p>
        </w:tc>
        <w:tc>
          <w:tcPr>
            <w:tcW w:w="160" w:type="dxa"/>
            <w:vAlign w:val="bottom"/>
          </w:tcPr>
          <w:p>
            <w:pPr>
              <w:spacing w:after="0"/>
              <w:rPr>
                <w:sz w:val="12"/>
                <w:szCs w:val="12"/>
                <w:color w:val="auto"/>
              </w:rPr>
            </w:pP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112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(448.0)</w:t>
            </w:r>
          </w:p>
        </w:tc>
        <w:tc>
          <w:tcPr>
            <w:tcW w:w="22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840" w:type="dxa"/>
            <w:vAlign w:val="bottom"/>
          </w:tcPr>
          <w:p>
            <w:pPr>
              <w:jc w:val="right"/>
              <w:spacing w:after="0" w:line="149" w:lineRule="exact"/>
              <w:rPr>
                <w:sz w:val="20"/>
                <w:szCs w:val="20"/>
                <w:color w:val="auto"/>
              </w:rPr>
            </w:pPr>
            <w:r>
              <w:rPr>
                <w:rFonts w:ascii="Arial" w:cs="Arial" w:eastAsia="Arial" w:hAnsi="Arial"/>
                <w:sz w:val="14"/>
                <w:szCs w:val="14"/>
                <w:color w:val="auto"/>
              </w:rPr>
              <w:t>27,201</w:t>
            </w:r>
          </w:p>
        </w:tc>
        <w:tc>
          <w:tcPr>
            <w:tcW w:w="160" w:type="dxa"/>
            <w:vAlign w:val="bottom"/>
          </w:tcPr>
          <w:p>
            <w:pPr>
              <w:spacing w:after="0"/>
              <w:rPr>
                <w:sz w:val="12"/>
                <w:szCs w:val="12"/>
                <w:color w:val="auto"/>
              </w:rPr>
            </w:pPr>
          </w:p>
        </w:tc>
        <w:tc>
          <w:tcPr>
            <w:tcW w:w="200" w:type="dxa"/>
            <w:vAlign w:val="bottom"/>
          </w:tcPr>
          <w:p>
            <w:pPr>
              <w:jc w:val="right"/>
              <w:ind w:right="48"/>
              <w:spacing w:after="0" w:line="149" w:lineRule="exact"/>
              <w:rPr>
                <w:sz w:val="20"/>
                <w:szCs w:val="20"/>
                <w:color w:val="auto"/>
              </w:rPr>
            </w:pPr>
            <w:r>
              <w:rPr>
                <w:rFonts w:ascii="Arial" w:cs="Arial" w:eastAsia="Arial" w:hAnsi="Arial"/>
                <w:sz w:val="14"/>
                <w:szCs w:val="14"/>
                <w:color w:val="auto"/>
                <w:w w:val="76"/>
              </w:rPr>
              <w:t>$</w:t>
            </w: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69,851</w:t>
            </w:r>
          </w:p>
        </w:tc>
        <w:tc>
          <w:tcPr>
            <w:tcW w:w="140" w:type="dxa"/>
            <w:vAlign w:val="bottom"/>
          </w:tcPr>
          <w:p>
            <w:pPr>
              <w:spacing w:after="0"/>
              <w:rPr>
                <w:sz w:val="12"/>
                <w:szCs w:val="12"/>
                <w:color w:val="auto"/>
              </w:rPr>
            </w:pPr>
          </w:p>
        </w:tc>
        <w:tc>
          <w:tcPr>
            <w:tcW w:w="100" w:type="dxa"/>
            <w:vAlign w:val="bottom"/>
            <w:gridSpan w:val="2"/>
          </w:tcPr>
          <w:p>
            <w:pPr>
              <w:ind w:left="20"/>
              <w:spacing w:after="0" w:line="149" w:lineRule="exact"/>
              <w:rPr>
                <w:sz w:val="20"/>
                <w:szCs w:val="20"/>
                <w:color w:val="auto"/>
              </w:rPr>
            </w:pPr>
            <w:r>
              <w:rPr>
                <w:rFonts w:ascii="Arial" w:cs="Arial" w:eastAsia="Arial" w:hAnsi="Arial"/>
                <w:sz w:val="14"/>
                <w:szCs w:val="14"/>
                <w:color w:val="auto"/>
                <w:w w:val="76"/>
              </w:rPr>
              <w:t>$</w:t>
            </w:r>
          </w:p>
        </w:tc>
        <w:tc>
          <w:tcPr>
            <w:tcW w:w="980" w:type="dxa"/>
            <w:vAlign w:val="bottom"/>
          </w:tcPr>
          <w:p>
            <w:pPr>
              <w:jc w:val="right"/>
              <w:spacing w:after="0" w:line="149" w:lineRule="exact"/>
              <w:rPr>
                <w:sz w:val="20"/>
                <w:szCs w:val="20"/>
                <w:color w:val="auto"/>
              </w:rPr>
            </w:pPr>
            <w:r>
              <w:rPr>
                <w:rFonts w:ascii="Arial" w:cs="Arial" w:eastAsia="Arial" w:hAnsi="Arial"/>
                <w:sz w:val="14"/>
                <w:szCs w:val="14"/>
                <w:color w:val="auto"/>
              </w:rPr>
              <w:t>4,818</w:t>
            </w:r>
          </w:p>
        </w:tc>
        <w:tc>
          <w:tcPr>
            <w:tcW w:w="120" w:type="dxa"/>
            <w:vAlign w:val="bottom"/>
          </w:tcPr>
          <w:p>
            <w:pPr>
              <w:spacing w:after="0"/>
              <w:rPr>
                <w:sz w:val="12"/>
                <w:szCs w:val="12"/>
                <w:color w:val="auto"/>
              </w:rPr>
            </w:pPr>
          </w:p>
        </w:tc>
        <w:tc>
          <w:tcPr>
            <w:tcW w:w="140" w:type="dxa"/>
            <w:vAlign w:val="bottom"/>
          </w:tcPr>
          <w:p>
            <w:pPr>
              <w:jc w:val="right"/>
              <w:ind w:right="29"/>
              <w:spacing w:after="0"/>
              <w:rPr>
                <w:sz w:val="20"/>
                <w:szCs w:val="20"/>
                <w:color w:val="auto"/>
              </w:rPr>
            </w:pPr>
            <w:r>
              <w:rPr>
                <w:rFonts w:ascii="Arial" w:cs="Arial" w:eastAsia="Arial" w:hAnsi="Arial"/>
                <w:sz w:val="10"/>
                <w:szCs w:val="10"/>
                <w:color w:val="auto"/>
                <w:w w:val="71"/>
              </w:rPr>
              <w:t>$</w:t>
            </w:r>
          </w:p>
        </w:tc>
        <w:tc>
          <w:tcPr>
            <w:tcW w:w="900" w:type="dxa"/>
            <w:vAlign w:val="bottom"/>
          </w:tcPr>
          <w:p>
            <w:pPr>
              <w:jc w:val="right"/>
              <w:spacing w:after="0" w:line="149" w:lineRule="exact"/>
              <w:rPr>
                <w:sz w:val="20"/>
                <w:szCs w:val="20"/>
                <w:color w:val="auto"/>
              </w:rPr>
            </w:pPr>
            <w:r>
              <w:rPr>
                <w:rFonts w:ascii="Arial" w:cs="Arial" w:eastAsia="Arial" w:hAnsi="Arial"/>
                <w:sz w:val="14"/>
                <w:szCs w:val="14"/>
                <w:color w:val="auto"/>
              </w:rPr>
              <w:t>74,669</w:t>
            </w:r>
          </w:p>
        </w:tc>
        <w:tc>
          <w:tcPr>
            <w:tcW w:w="160" w:type="dxa"/>
            <w:vAlign w:val="bottom"/>
          </w:tcPr>
          <w:p>
            <w:pPr>
              <w:spacing w:after="0"/>
              <w:rPr>
                <w:sz w:val="12"/>
                <w:szCs w:val="12"/>
                <w:color w:val="auto"/>
              </w:rPr>
            </w:pPr>
          </w:p>
        </w:tc>
        <w:tc>
          <w:tcPr>
            <w:tcW w:w="260" w:type="dxa"/>
            <w:vAlign w:val="bottom"/>
          </w:tcPr>
          <w:p>
            <w:pPr>
              <w:jc w:val="right"/>
              <w:ind w:right="108"/>
              <w:spacing w:after="0" w:line="149" w:lineRule="exact"/>
              <w:rPr>
                <w:sz w:val="20"/>
                <w:szCs w:val="20"/>
                <w:color w:val="auto"/>
              </w:rPr>
            </w:pPr>
            <w:r>
              <w:rPr>
                <w:rFonts w:ascii="Arial" w:cs="Arial" w:eastAsia="Arial" w:hAnsi="Arial"/>
                <w:sz w:val="14"/>
                <w:szCs w:val="14"/>
                <w:color w:val="auto"/>
                <w:w w:val="76"/>
              </w:rPr>
              <w:t>$</w:t>
            </w: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22,210</w:t>
            </w:r>
          </w:p>
        </w:tc>
        <w:tc>
          <w:tcPr>
            <w:tcW w:w="160" w:type="dxa"/>
            <w:vAlign w:val="bottom"/>
          </w:tcPr>
          <w:p>
            <w:pPr>
              <w:spacing w:after="0"/>
              <w:rPr>
                <w:sz w:val="12"/>
                <w:szCs w:val="12"/>
                <w:color w:val="auto"/>
              </w:rPr>
            </w:pPr>
          </w:p>
        </w:tc>
        <w:tc>
          <w:tcPr>
            <w:tcW w:w="160" w:type="dxa"/>
            <w:vAlign w:val="bottom"/>
          </w:tcPr>
          <w:p>
            <w:pPr>
              <w:jc w:val="right"/>
              <w:ind w:right="8"/>
              <w:spacing w:after="0" w:line="149" w:lineRule="exact"/>
              <w:rPr>
                <w:sz w:val="20"/>
                <w:szCs w:val="20"/>
                <w:color w:val="auto"/>
              </w:rPr>
            </w:pPr>
            <w:r>
              <w:rPr>
                <w:rFonts w:ascii="Arial" w:cs="Arial" w:eastAsia="Arial" w:hAnsi="Arial"/>
                <w:sz w:val="14"/>
                <w:szCs w:val="14"/>
                <w:color w:val="auto"/>
                <w:w w:val="76"/>
              </w:rPr>
              <w:t>$</w:t>
            </w:r>
          </w:p>
        </w:tc>
        <w:tc>
          <w:tcPr>
            <w:tcW w:w="900" w:type="dxa"/>
            <w:vAlign w:val="bottom"/>
          </w:tcPr>
          <w:p>
            <w:pPr>
              <w:jc w:val="right"/>
              <w:spacing w:after="0" w:line="149" w:lineRule="exact"/>
              <w:rPr>
                <w:sz w:val="20"/>
                <w:szCs w:val="20"/>
                <w:color w:val="auto"/>
              </w:rPr>
            </w:pPr>
            <w:r>
              <w:rPr>
                <w:rFonts w:ascii="Arial" w:cs="Arial" w:eastAsia="Arial" w:hAnsi="Arial"/>
                <w:sz w:val="14"/>
                <w:szCs w:val="14"/>
                <w:color w:val="auto"/>
              </w:rPr>
              <w:t>57,175</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52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Equipment Revenue</w:t>
            </w:r>
          </w:p>
        </w:tc>
        <w:tc>
          <w:tcPr>
            <w:tcW w:w="22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11,046</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1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11,046</w:t>
            </w:r>
          </w:p>
        </w:tc>
        <w:tc>
          <w:tcPr>
            <w:tcW w:w="1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37,585</w:t>
            </w: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2"/>
                <w:szCs w:val="12"/>
                <w:color w:val="auto"/>
              </w:rPr>
            </w:pPr>
          </w:p>
        </w:tc>
        <w:tc>
          <w:tcPr>
            <w:tcW w:w="9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37,585</w:t>
            </w:r>
          </w:p>
        </w:tc>
        <w:tc>
          <w:tcPr>
            <w:tcW w:w="1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18,340</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9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33,700</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520" w:type="dxa"/>
            <w:vAlign w:val="bottom"/>
          </w:tcPr>
          <w:p>
            <w:pPr>
              <w:ind w:left="140"/>
              <w:spacing w:after="0" w:line="142" w:lineRule="exact"/>
              <w:rPr>
                <w:sz w:val="20"/>
                <w:szCs w:val="20"/>
                <w:color w:val="auto"/>
              </w:rPr>
            </w:pPr>
            <w:r>
              <w:rPr>
                <w:rFonts w:ascii="Arial" w:cs="Arial" w:eastAsia="Arial" w:hAnsi="Arial"/>
                <w:sz w:val="14"/>
                <w:szCs w:val="14"/>
                <w:b w:val="1"/>
                <w:bCs w:val="1"/>
                <w:color w:val="auto"/>
              </w:rPr>
              <w:t>Total Revenue</w:t>
            </w:r>
          </w:p>
        </w:tc>
        <w:tc>
          <w:tcPr>
            <w:tcW w:w="220" w:type="dxa"/>
            <w:vAlign w:val="bottom"/>
          </w:tcPr>
          <w:p>
            <w:pPr>
              <w:spacing w:after="0"/>
              <w:rPr>
                <w:sz w:val="12"/>
                <w:szCs w:val="12"/>
                <w:color w:val="auto"/>
              </w:rPr>
            </w:pPr>
          </w:p>
        </w:tc>
        <w:tc>
          <w:tcPr>
            <w:tcW w:w="180" w:type="dxa"/>
            <w:vAlign w:val="bottom"/>
            <w:tcBorders>
              <w:top w:val="single" w:sz="8" w:color="auto"/>
            </w:tcBorders>
          </w:tcPr>
          <w:p>
            <w:pPr>
              <w:jc w:val="right"/>
              <w:ind w:right="69"/>
              <w:spacing w:after="0"/>
              <w:rPr>
                <w:sz w:val="20"/>
                <w:szCs w:val="20"/>
                <w:color w:val="auto"/>
              </w:rPr>
            </w:pPr>
            <w:r>
              <w:rPr>
                <w:rFonts w:ascii="Arial" w:cs="Arial" w:eastAsia="Arial" w:hAnsi="Arial"/>
                <w:sz w:val="10"/>
                <w:szCs w:val="10"/>
                <w:b w:val="1"/>
                <w:bCs w:val="1"/>
                <w:color w:val="auto"/>
                <w:w w:val="71"/>
              </w:rPr>
              <w:t>$</w:t>
            </w:r>
          </w:p>
        </w:tc>
        <w:tc>
          <w:tcPr>
            <w:tcW w:w="86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38,695</w:t>
            </w:r>
          </w:p>
        </w:tc>
        <w:tc>
          <w:tcPr>
            <w:tcW w:w="160" w:type="dxa"/>
            <w:vAlign w:val="bottom"/>
          </w:tcPr>
          <w:p>
            <w:pPr>
              <w:spacing w:after="0"/>
              <w:rPr>
                <w:sz w:val="12"/>
                <w:szCs w:val="12"/>
                <w:color w:val="auto"/>
              </w:rPr>
            </w:pPr>
          </w:p>
        </w:tc>
        <w:tc>
          <w:tcPr>
            <w:tcW w:w="80" w:type="dxa"/>
            <w:vAlign w:val="bottom"/>
            <w:tcBorders>
              <w:top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96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(448)</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76"/>
              </w:rPr>
              <w:t>$</w:t>
            </w:r>
          </w:p>
        </w:tc>
        <w:tc>
          <w:tcPr>
            <w:tcW w:w="84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38,247</w:t>
            </w:r>
          </w:p>
        </w:tc>
        <w:tc>
          <w:tcPr>
            <w:tcW w:w="160" w:type="dxa"/>
            <w:vAlign w:val="bottom"/>
          </w:tcPr>
          <w:p>
            <w:pPr>
              <w:spacing w:after="0"/>
              <w:rPr>
                <w:sz w:val="12"/>
                <w:szCs w:val="12"/>
                <w:color w:val="auto"/>
              </w:rPr>
            </w:pPr>
          </w:p>
        </w:tc>
        <w:tc>
          <w:tcPr>
            <w:tcW w:w="200" w:type="dxa"/>
            <w:vAlign w:val="bottom"/>
            <w:tcBorders>
              <w:top w:val="single" w:sz="8" w:color="auto"/>
            </w:tcBorders>
          </w:tcPr>
          <w:p>
            <w:pPr>
              <w:jc w:val="right"/>
              <w:ind w:right="48"/>
              <w:spacing w:after="0" w:line="142" w:lineRule="exact"/>
              <w:rPr>
                <w:sz w:val="20"/>
                <w:szCs w:val="20"/>
                <w:color w:val="auto"/>
              </w:rPr>
            </w:pPr>
            <w:r>
              <w:rPr>
                <w:rFonts w:ascii="Arial" w:cs="Arial" w:eastAsia="Arial" w:hAnsi="Arial"/>
                <w:sz w:val="14"/>
                <w:szCs w:val="14"/>
                <w:b w:val="1"/>
                <w:bCs w:val="1"/>
                <w:color w:val="auto"/>
                <w:w w:val="76"/>
              </w:rPr>
              <w:t>$</w:t>
            </w:r>
          </w:p>
        </w:tc>
        <w:tc>
          <w:tcPr>
            <w:tcW w:w="86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107,436</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Borders>
              <w:top w:val="single" w:sz="8" w:color="auto"/>
            </w:tcBorders>
          </w:tcPr>
          <w:p>
            <w:pPr>
              <w:spacing w:after="0" w:line="142" w:lineRule="exact"/>
              <w:rPr>
                <w:sz w:val="20"/>
                <w:szCs w:val="20"/>
                <w:color w:val="auto"/>
              </w:rPr>
            </w:pPr>
            <w:r>
              <w:rPr>
                <w:rFonts w:ascii="Arial" w:cs="Arial" w:eastAsia="Arial" w:hAnsi="Arial"/>
                <w:sz w:val="14"/>
                <w:szCs w:val="14"/>
                <w:b w:val="1"/>
                <w:bCs w:val="1"/>
                <w:color w:val="auto"/>
                <w:w w:val="76"/>
              </w:rPr>
              <w:t>$</w:t>
            </w:r>
          </w:p>
        </w:tc>
        <w:tc>
          <w:tcPr>
            <w:tcW w:w="98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4,818</w:t>
            </w:r>
          </w:p>
        </w:tc>
        <w:tc>
          <w:tcPr>
            <w:tcW w:w="120" w:type="dxa"/>
            <w:vAlign w:val="bottom"/>
          </w:tcPr>
          <w:p>
            <w:pPr>
              <w:spacing w:after="0"/>
              <w:rPr>
                <w:sz w:val="12"/>
                <w:szCs w:val="12"/>
                <w:color w:val="auto"/>
              </w:rPr>
            </w:pPr>
          </w:p>
        </w:tc>
        <w:tc>
          <w:tcPr>
            <w:tcW w:w="140" w:type="dxa"/>
            <w:vAlign w:val="bottom"/>
            <w:tcBorders>
              <w:top w:val="single" w:sz="8" w:color="auto"/>
            </w:tcBorders>
          </w:tcPr>
          <w:p>
            <w:pPr>
              <w:jc w:val="right"/>
              <w:ind w:right="29"/>
              <w:spacing w:after="0"/>
              <w:rPr>
                <w:sz w:val="20"/>
                <w:szCs w:val="20"/>
                <w:color w:val="auto"/>
              </w:rPr>
            </w:pPr>
            <w:r>
              <w:rPr>
                <w:rFonts w:ascii="Arial" w:cs="Arial" w:eastAsia="Arial" w:hAnsi="Arial"/>
                <w:sz w:val="10"/>
                <w:szCs w:val="10"/>
                <w:b w:val="1"/>
                <w:bCs w:val="1"/>
                <w:color w:val="auto"/>
                <w:w w:val="71"/>
              </w:rPr>
              <w:t>$</w:t>
            </w:r>
          </w:p>
        </w:tc>
        <w:tc>
          <w:tcPr>
            <w:tcW w:w="9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112,254</w:t>
            </w:r>
          </w:p>
        </w:tc>
        <w:tc>
          <w:tcPr>
            <w:tcW w:w="160" w:type="dxa"/>
            <w:vAlign w:val="bottom"/>
          </w:tcPr>
          <w:p>
            <w:pPr>
              <w:spacing w:after="0"/>
              <w:rPr>
                <w:sz w:val="12"/>
                <w:szCs w:val="12"/>
                <w:color w:val="auto"/>
              </w:rPr>
            </w:pPr>
          </w:p>
        </w:tc>
        <w:tc>
          <w:tcPr>
            <w:tcW w:w="260" w:type="dxa"/>
            <w:vAlign w:val="bottom"/>
            <w:tcBorders>
              <w:top w:val="single" w:sz="8" w:color="auto"/>
            </w:tcBorders>
          </w:tcPr>
          <w:p>
            <w:pPr>
              <w:jc w:val="right"/>
              <w:ind w:right="108"/>
              <w:spacing w:after="0" w:line="142" w:lineRule="exact"/>
              <w:rPr>
                <w:sz w:val="20"/>
                <w:szCs w:val="20"/>
                <w:color w:val="auto"/>
              </w:rPr>
            </w:pPr>
            <w:r>
              <w:rPr>
                <w:rFonts w:ascii="Arial" w:cs="Arial" w:eastAsia="Arial" w:hAnsi="Arial"/>
                <w:sz w:val="14"/>
                <w:szCs w:val="14"/>
                <w:b w:val="1"/>
                <w:bCs w:val="1"/>
                <w:color w:val="auto"/>
                <w:w w:val="76"/>
              </w:rPr>
              <w:t>$</w:t>
            </w:r>
          </w:p>
        </w:tc>
        <w:tc>
          <w:tcPr>
            <w:tcW w:w="8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40,550</w:t>
            </w:r>
          </w:p>
        </w:tc>
        <w:tc>
          <w:tcPr>
            <w:tcW w:w="160" w:type="dxa"/>
            <w:vAlign w:val="bottom"/>
          </w:tcPr>
          <w:p>
            <w:pPr>
              <w:spacing w:after="0"/>
              <w:rPr>
                <w:sz w:val="12"/>
                <w:szCs w:val="12"/>
                <w:color w:val="auto"/>
              </w:rPr>
            </w:pPr>
          </w:p>
        </w:tc>
        <w:tc>
          <w:tcPr>
            <w:tcW w:w="160" w:type="dxa"/>
            <w:vAlign w:val="bottom"/>
            <w:tcBorders>
              <w:top w:val="single" w:sz="8" w:color="auto"/>
            </w:tcBorders>
          </w:tcPr>
          <w:p>
            <w:pPr>
              <w:jc w:val="right"/>
              <w:ind w:right="8"/>
              <w:spacing w:after="0" w:line="142" w:lineRule="exact"/>
              <w:rPr>
                <w:sz w:val="20"/>
                <w:szCs w:val="20"/>
                <w:color w:val="auto"/>
              </w:rPr>
            </w:pPr>
            <w:r>
              <w:rPr>
                <w:rFonts w:ascii="Arial" w:cs="Arial" w:eastAsia="Arial" w:hAnsi="Arial"/>
                <w:sz w:val="14"/>
                <w:szCs w:val="14"/>
                <w:b w:val="1"/>
                <w:bCs w:val="1"/>
                <w:color w:val="auto"/>
                <w:w w:val="76"/>
              </w:rPr>
              <w:t>$</w:t>
            </w:r>
          </w:p>
        </w:tc>
        <w:tc>
          <w:tcPr>
            <w:tcW w:w="9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90,875</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vMerge w:val="restart"/>
          </w:tcPr>
          <w:p>
            <w:pPr>
              <w:spacing w:after="0"/>
              <w:rPr>
                <w:sz w:val="12"/>
                <w:szCs w:val="12"/>
                <w:color w:val="auto"/>
              </w:rPr>
            </w:pPr>
          </w:p>
        </w:tc>
        <w:tc>
          <w:tcPr>
            <w:tcW w:w="15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9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9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0"/>
        </w:trPr>
        <w:tc>
          <w:tcPr>
            <w:tcW w:w="20" w:type="dxa"/>
            <w:vAlign w:val="bottom"/>
            <w:vMerge w:val="continue"/>
          </w:tcPr>
          <w:p>
            <w:pPr>
              <w:spacing w:after="0"/>
              <w:rPr>
                <w:sz w:val="11"/>
                <w:szCs w:val="11"/>
                <w:color w:val="auto"/>
              </w:rPr>
            </w:pPr>
          </w:p>
        </w:tc>
        <w:tc>
          <w:tcPr>
            <w:tcW w:w="1520" w:type="dxa"/>
            <w:vAlign w:val="bottom"/>
          </w:tcPr>
          <w:p>
            <w:pPr>
              <w:spacing w:after="0" w:line="130" w:lineRule="exact"/>
              <w:rPr>
                <w:sz w:val="20"/>
                <w:szCs w:val="20"/>
                <w:color w:val="auto"/>
              </w:rPr>
            </w:pPr>
            <w:r>
              <w:rPr>
                <w:rFonts w:ascii="Arial" w:cs="Arial" w:eastAsia="Arial" w:hAnsi="Arial"/>
                <w:sz w:val="14"/>
                <w:szCs w:val="14"/>
                <w:color w:val="auto"/>
              </w:rPr>
              <w:t>Cost of Subscriber</w:t>
            </w:r>
          </w:p>
        </w:tc>
        <w:tc>
          <w:tcPr>
            <w:tcW w:w="2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1520" w:type="dxa"/>
            <w:vAlign w:val="bottom"/>
          </w:tcPr>
          <w:p>
            <w:pPr>
              <w:ind w:left="160"/>
              <w:spacing w:after="0"/>
              <w:rPr>
                <w:sz w:val="20"/>
                <w:szCs w:val="20"/>
                <w:color w:val="auto"/>
              </w:rPr>
            </w:pPr>
            <w:r>
              <w:rPr>
                <w:rFonts w:ascii="Arial" w:cs="Arial" w:eastAsia="Arial" w:hAnsi="Arial"/>
                <w:sz w:val="14"/>
                <w:szCs w:val="14"/>
                <w:color w:val="auto"/>
              </w:rPr>
              <w:t>Equipment</w:t>
            </w:r>
          </w:p>
        </w:tc>
        <w:tc>
          <w:tcPr>
            <w:tcW w:w="2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10,902</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12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10,902</w:t>
            </w:r>
          </w:p>
        </w:tc>
        <w:tc>
          <w:tcPr>
            <w:tcW w:w="1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36,671</w:t>
            </w: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4"/>
                <w:szCs w:val="14"/>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36,671</w:t>
            </w:r>
          </w:p>
        </w:tc>
        <w:tc>
          <w:tcPr>
            <w:tcW w:w="1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16,057</w:t>
            </w: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28,273</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5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Operations</w:t>
            </w:r>
          </w:p>
        </w:tc>
        <w:tc>
          <w:tcPr>
            <w:tcW w:w="22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6,695</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1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6,695</w:t>
            </w:r>
          </w:p>
        </w:tc>
        <w:tc>
          <w:tcPr>
            <w:tcW w:w="1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20,583</w:t>
            </w: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2"/>
                <w:szCs w:val="12"/>
                <w:color w:val="auto"/>
              </w:rPr>
            </w:pPr>
          </w:p>
        </w:tc>
        <w:tc>
          <w:tcPr>
            <w:tcW w:w="9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20,583</w:t>
            </w:r>
          </w:p>
        </w:tc>
        <w:tc>
          <w:tcPr>
            <w:tcW w:w="1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5,540</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9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19,359</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520" w:type="dxa"/>
            <w:vAlign w:val="bottom"/>
          </w:tcPr>
          <w:p>
            <w:pPr>
              <w:spacing w:after="0" w:line="149" w:lineRule="exact"/>
              <w:rPr>
                <w:sz w:val="20"/>
                <w:szCs w:val="20"/>
                <w:color w:val="auto"/>
              </w:rPr>
            </w:pPr>
            <w:r>
              <w:rPr>
                <w:rFonts w:ascii="Arial" w:cs="Arial" w:eastAsia="Arial" w:hAnsi="Arial"/>
                <w:sz w:val="14"/>
                <w:szCs w:val="14"/>
                <w:color w:val="auto"/>
              </w:rPr>
              <w:t>MG&amp;A</w:t>
            </w:r>
          </w:p>
        </w:tc>
        <w:tc>
          <w:tcPr>
            <w:tcW w:w="2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10,543</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40" w:type="dxa"/>
            <w:vAlign w:val="bottom"/>
          </w:tcPr>
          <w:p>
            <w:pPr>
              <w:jc w:val="right"/>
              <w:spacing w:after="0" w:line="149" w:lineRule="exact"/>
              <w:rPr>
                <w:sz w:val="20"/>
                <w:szCs w:val="20"/>
                <w:color w:val="auto"/>
              </w:rPr>
            </w:pPr>
            <w:r>
              <w:rPr>
                <w:rFonts w:ascii="Arial" w:cs="Arial" w:eastAsia="Arial" w:hAnsi="Arial"/>
                <w:sz w:val="14"/>
                <w:szCs w:val="14"/>
                <w:color w:val="auto"/>
              </w:rPr>
              <w:t>10,543</w:t>
            </w:r>
          </w:p>
        </w:tc>
        <w:tc>
          <w:tcPr>
            <w:tcW w:w="1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31,234</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0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900" w:type="dxa"/>
            <w:vAlign w:val="bottom"/>
          </w:tcPr>
          <w:p>
            <w:pPr>
              <w:jc w:val="right"/>
              <w:spacing w:after="0" w:line="149" w:lineRule="exact"/>
              <w:rPr>
                <w:sz w:val="20"/>
                <w:szCs w:val="20"/>
                <w:color w:val="auto"/>
              </w:rPr>
            </w:pPr>
            <w:r>
              <w:rPr>
                <w:rFonts w:ascii="Arial" w:cs="Arial" w:eastAsia="Arial" w:hAnsi="Arial"/>
                <w:sz w:val="14"/>
                <w:szCs w:val="14"/>
                <w:color w:val="auto"/>
              </w:rPr>
              <w:t>31,234</w:t>
            </w:r>
          </w:p>
        </w:tc>
        <w:tc>
          <w:tcPr>
            <w:tcW w:w="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12,053</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00" w:type="dxa"/>
            <w:vAlign w:val="bottom"/>
          </w:tcPr>
          <w:p>
            <w:pPr>
              <w:jc w:val="right"/>
              <w:spacing w:after="0" w:line="149" w:lineRule="exact"/>
              <w:rPr>
                <w:sz w:val="20"/>
                <w:szCs w:val="20"/>
                <w:color w:val="auto"/>
              </w:rPr>
            </w:pPr>
            <w:r>
              <w:rPr>
                <w:rFonts w:ascii="Arial" w:cs="Arial" w:eastAsia="Arial" w:hAnsi="Arial"/>
                <w:sz w:val="14"/>
                <w:szCs w:val="14"/>
                <w:color w:val="auto"/>
              </w:rPr>
              <w:t>28,679</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vMerge w:val="restart"/>
          </w:tcPr>
          <w:p>
            <w:pPr>
              <w:spacing w:after="0"/>
              <w:rPr>
                <w:sz w:val="12"/>
                <w:szCs w:val="12"/>
                <w:color w:val="auto"/>
              </w:rPr>
            </w:pPr>
          </w:p>
        </w:tc>
        <w:tc>
          <w:tcPr>
            <w:tcW w:w="15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9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9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1520" w:type="dxa"/>
            <w:vAlign w:val="bottom"/>
          </w:tcPr>
          <w:p>
            <w:pPr>
              <w:spacing w:after="0" w:line="149" w:lineRule="exact"/>
              <w:rPr>
                <w:sz w:val="20"/>
                <w:szCs w:val="20"/>
                <w:color w:val="auto"/>
              </w:rPr>
            </w:pPr>
            <w:r>
              <w:rPr>
                <w:rFonts w:ascii="Arial" w:cs="Arial" w:eastAsia="Arial" w:hAnsi="Arial"/>
                <w:sz w:val="14"/>
                <w:szCs w:val="14"/>
                <w:b w:val="1"/>
                <w:bCs w:val="1"/>
                <w:color w:val="auto"/>
              </w:rPr>
              <w:t>EBITDA /2</w:t>
            </w:r>
          </w:p>
        </w:tc>
        <w:tc>
          <w:tcPr>
            <w:tcW w:w="400" w:type="dxa"/>
            <w:vAlign w:val="bottom"/>
            <w:gridSpan w:val="2"/>
          </w:tcPr>
          <w:p>
            <w:pPr>
              <w:jc w:val="right"/>
              <w:ind w:right="69"/>
              <w:spacing w:after="0" w:line="149" w:lineRule="exact"/>
              <w:rPr>
                <w:sz w:val="20"/>
                <w:szCs w:val="20"/>
                <w:color w:val="auto"/>
              </w:rPr>
            </w:pPr>
            <w:r>
              <w:rPr>
                <w:rFonts w:ascii="Arial" w:cs="Arial" w:eastAsia="Arial" w:hAnsi="Arial"/>
                <w:sz w:val="14"/>
                <w:szCs w:val="14"/>
                <w:b w:val="1"/>
                <w:bCs w:val="1"/>
                <w:color w:val="auto"/>
              </w:rPr>
              <w:t>$</w:t>
            </w: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10,555</w:t>
            </w:r>
          </w:p>
        </w:tc>
        <w:tc>
          <w:tcPr>
            <w:tcW w:w="160" w:type="dxa"/>
            <w:vAlign w:val="bottom"/>
          </w:tcPr>
          <w:p>
            <w:pPr>
              <w:spacing w:after="0"/>
              <w:rPr>
                <w:sz w:val="12"/>
                <w:szCs w:val="12"/>
                <w:color w:val="auto"/>
              </w:rPr>
            </w:pPr>
          </w:p>
        </w:tc>
        <w:tc>
          <w:tcPr>
            <w:tcW w:w="80" w:type="dxa"/>
            <w:vAlign w:val="bottom"/>
          </w:tcPr>
          <w:p>
            <w:pPr>
              <w:jc w:val="right"/>
              <w:spacing w:after="0"/>
              <w:rPr>
                <w:sz w:val="20"/>
                <w:szCs w:val="20"/>
                <w:color w:val="auto"/>
              </w:rPr>
            </w:pPr>
            <w:r>
              <w:rPr>
                <w:rFonts w:ascii="Arial" w:cs="Arial" w:eastAsia="Arial" w:hAnsi="Arial"/>
                <w:sz w:val="10"/>
                <w:szCs w:val="10"/>
                <w:b w:val="1"/>
                <w:bCs w:val="1"/>
                <w:color w:val="auto"/>
                <w:w w:val="71"/>
              </w:rPr>
              <w:t>$</w:t>
            </w:r>
          </w:p>
        </w:tc>
        <w:tc>
          <w:tcPr>
            <w:tcW w:w="112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rPr>
              <w:t>(448)</w:t>
            </w:r>
          </w:p>
        </w:tc>
        <w:tc>
          <w:tcPr>
            <w:tcW w:w="22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w:t>
            </w:r>
          </w:p>
        </w:tc>
        <w:tc>
          <w:tcPr>
            <w:tcW w:w="8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10,107</w:t>
            </w:r>
          </w:p>
        </w:tc>
        <w:tc>
          <w:tcPr>
            <w:tcW w:w="160" w:type="dxa"/>
            <w:vAlign w:val="bottom"/>
          </w:tcPr>
          <w:p>
            <w:pPr>
              <w:spacing w:after="0"/>
              <w:rPr>
                <w:sz w:val="12"/>
                <w:szCs w:val="12"/>
                <w:color w:val="auto"/>
              </w:rPr>
            </w:pPr>
          </w:p>
        </w:tc>
        <w:tc>
          <w:tcPr>
            <w:tcW w:w="200" w:type="dxa"/>
            <w:vAlign w:val="bottom"/>
          </w:tcPr>
          <w:p>
            <w:pPr>
              <w:jc w:val="right"/>
              <w:ind w:right="48"/>
              <w:spacing w:after="0" w:line="149" w:lineRule="exact"/>
              <w:rPr>
                <w:sz w:val="20"/>
                <w:szCs w:val="20"/>
                <w:color w:val="auto"/>
              </w:rPr>
            </w:pPr>
            <w:r>
              <w:rPr>
                <w:rFonts w:ascii="Arial" w:cs="Arial" w:eastAsia="Arial" w:hAnsi="Arial"/>
                <w:sz w:val="14"/>
                <w:szCs w:val="14"/>
                <w:b w:val="1"/>
                <w:bCs w:val="1"/>
                <w:color w:val="auto"/>
                <w:w w:val="76"/>
              </w:rPr>
              <w:t>$</w:t>
            </w:r>
          </w:p>
        </w:tc>
        <w:tc>
          <w:tcPr>
            <w:tcW w:w="86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18,948</w:t>
            </w:r>
          </w:p>
        </w:tc>
        <w:tc>
          <w:tcPr>
            <w:tcW w:w="140" w:type="dxa"/>
            <w:vAlign w:val="bottom"/>
          </w:tcPr>
          <w:p>
            <w:pPr>
              <w:spacing w:after="0"/>
              <w:rPr>
                <w:sz w:val="12"/>
                <w:szCs w:val="12"/>
                <w:color w:val="auto"/>
              </w:rPr>
            </w:pPr>
          </w:p>
        </w:tc>
        <w:tc>
          <w:tcPr>
            <w:tcW w:w="100" w:type="dxa"/>
            <w:vAlign w:val="bottom"/>
            <w:gridSpan w:val="2"/>
          </w:tcPr>
          <w:p>
            <w:pPr>
              <w:ind w:left="20"/>
              <w:spacing w:after="0" w:line="149" w:lineRule="exact"/>
              <w:rPr>
                <w:sz w:val="20"/>
                <w:szCs w:val="20"/>
                <w:color w:val="auto"/>
              </w:rPr>
            </w:pPr>
            <w:r>
              <w:rPr>
                <w:rFonts w:ascii="Arial" w:cs="Arial" w:eastAsia="Arial" w:hAnsi="Arial"/>
                <w:sz w:val="14"/>
                <w:szCs w:val="14"/>
                <w:b w:val="1"/>
                <w:bCs w:val="1"/>
                <w:color w:val="auto"/>
                <w:w w:val="76"/>
              </w:rPr>
              <w:t>$</w:t>
            </w:r>
          </w:p>
        </w:tc>
        <w:tc>
          <w:tcPr>
            <w:tcW w:w="9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4,818</w:t>
            </w:r>
          </w:p>
        </w:tc>
        <w:tc>
          <w:tcPr>
            <w:tcW w:w="120" w:type="dxa"/>
            <w:vAlign w:val="bottom"/>
          </w:tcPr>
          <w:p>
            <w:pPr>
              <w:spacing w:after="0"/>
              <w:rPr>
                <w:sz w:val="12"/>
                <w:szCs w:val="12"/>
                <w:color w:val="auto"/>
              </w:rPr>
            </w:pPr>
          </w:p>
        </w:tc>
        <w:tc>
          <w:tcPr>
            <w:tcW w:w="140" w:type="dxa"/>
            <w:vAlign w:val="bottom"/>
          </w:tcPr>
          <w:p>
            <w:pPr>
              <w:jc w:val="right"/>
              <w:ind w:right="29"/>
              <w:spacing w:after="0"/>
              <w:rPr>
                <w:sz w:val="20"/>
                <w:szCs w:val="20"/>
                <w:color w:val="auto"/>
              </w:rPr>
            </w:pPr>
            <w:r>
              <w:rPr>
                <w:rFonts w:ascii="Arial" w:cs="Arial" w:eastAsia="Arial" w:hAnsi="Arial"/>
                <w:sz w:val="10"/>
                <w:szCs w:val="10"/>
                <w:b w:val="1"/>
                <w:bCs w:val="1"/>
                <w:color w:val="auto"/>
                <w:w w:val="71"/>
              </w:rPr>
              <w:t>$</w:t>
            </w:r>
          </w:p>
        </w:tc>
        <w:tc>
          <w:tcPr>
            <w:tcW w:w="9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23,766</w:t>
            </w:r>
          </w:p>
        </w:tc>
        <w:tc>
          <w:tcPr>
            <w:tcW w:w="160" w:type="dxa"/>
            <w:vAlign w:val="bottom"/>
          </w:tcPr>
          <w:p>
            <w:pPr>
              <w:spacing w:after="0"/>
              <w:rPr>
                <w:sz w:val="12"/>
                <w:szCs w:val="12"/>
                <w:color w:val="auto"/>
              </w:rPr>
            </w:pPr>
          </w:p>
        </w:tc>
        <w:tc>
          <w:tcPr>
            <w:tcW w:w="260" w:type="dxa"/>
            <w:vAlign w:val="bottom"/>
          </w:tcPr>
          <w:p>
            <w:pPr>
              <w:jc w:val="right"/>
              <w:ind w:right="108"/>
              <w:spacing w:after="0" w:line="149" w:lineRule="exact"/>
              <w:rPr>
                <w:sz w:val="20"/>
                <w:szCs w:val="20"/>
                <w:color w:val="auto"/>
              </w:rPr>
            </w:pPr>
            <w:r>
              <w:rPr>
                <w:rFonts w:ascii="Arial" w:cs="Arial" w:eastAsia="Arial" w:hAnsi="Arial"/>
                <w:sz w:val="14"/>
                <w:szCs w:val="14"/>
                <w:b w:val="1"/>
                <w:bCs w:val="1"/>
                <w:color w:val="auto"/>
                <w:w w:val="76"/>
              </w:rPr>
              <w:t>$</w:t>
            </w:r>
          </w:p>
        </w:tc>
        <w:tc>
          <w:tcPr>
            <w:tcW w:w="8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6,900</w:t>
            </w:r>
          </w:p>
        </w:tc>
        <w:tc>
          <w:tcPr>
            <w:tcW w:w="160" w:type="dxa"/>
            <w:vAlign w:val="bottom"/>
          </w:tcPr>
          <w:p>
            <w:pPr>
              <w:spacing w:after="0"/>
              <w:rPr>
                <w:sz w:val="12"/>
                <w:szCs w:val="12"/>
                <w:color w:val="auto"/>
              </w:rPr>
            </w:pPr>
          </w:p>
        </w:tc>
        <w:tc>
          <w:tcPr>
            <w:tcW w:w="160" w:type="dxa"/>
            <w:vAlign w:val="bottom"/>
          </w:tcPr>
          <w:p>
            <w:pPr>
              <w:jc w:val="right"/>
              <w:ind w:right="8"/>
              <w:spacing w:after="0" w:line="149" w:lineRule="exact"/>
              <w:rPr>
                <w:sz w:val="20"/>
                <w:szCs w:val="20"/>
                <w:color w:val="auto"/>
              </w:rPr>
            </w:pPr>
            <w:r>
              <w:rPr>
                <w:rFonts w:ascii="Arial" w:cs="Arial" w:eastAsia="Arial" w:hAnsi="Arial"/>
                <w:sz w:val="14"/>
                <w:szCs w:val="14"/>
                <w:b w:val="1"/>
                <w:bCs w:val="1"/>
                <w:color w:val="auto"/>
                <w:w w:val="76"/>
              </w:rPr>
              <w:t>$</w:t>
            </w:r>
          </w:p>
        </w:tc>
        <w:tc>
          <w:tcPr>
            <w:tcW w:w="9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14,564</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52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EBITDA Margin</w:t>
            </w:r>
          </w:p>
        </w:tc>
        <w:tc>
          <w:tcPr>
            <w:tcW w:w="22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b w:val="1"/>
                <w:bCs w:val="1"/>
                <w:color w:val="auto"/>
              </w:rPr>
              <w:t>27%</w:t>
            </w:r>
          </w:p>
        </w:tc>
        <w:tc>
          <w:tcPr>
            <w:tcW w:w="80" w:type="dxa"/>
            <w:vAlign w:val="bottom"/>
            <w:shd w:val="clear" w:color="auto" w:fill="CCEEFF"/>
          </w:tcPr>
          <w:p>
            <w:pPr>
              <w:spacing w:after="0"/>
              <w:rPr>
                <w:sz w:val="12"/>
                <w:szCs w:val="12"/>
                <w:color w:val="auto"/>
              </w:rPr>
            </w:pPr>
          </w:p>
        </w:tc>
        <w:tc>
          <w:tcPr>
            <w:tcW w:w="9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b w:val="1"/>
                <w:bCs w:val="1"/>
                <w:color w:val="auto"/>
              </w:rPr>
              <w:t>26%</w:t>
            </w:r>
          </w:p>
        </w:tc>
        <w:tc>
          <w:tcPr>
            <w:tcW w:w="200" w:type="dxa"/>
            <w:vAlign w:val="bottom"/>
            <w:shd w:val="clear" w:color="auto" w:fill="CCEEFF"/>
          </w:tcPr>
          <w:p>
            <w:pPr>
              <w:spacing w:after="0"/>
              <w:rPr>
                <w:sz w:val="12"/>
                <w:szCs w:val="12"/>
                <w:color w:val="auto"/>
              </w:rPr>
            </w:pPr>
          </w:p>
        </w:tc>
        <w:tc>
          <w:tcPr>
            <w:tcW w:w="10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18%</w:t>
            </w: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21%</w:t>
            </w:r>
          </w:p>
        </w:tc>
        <w:tc>
          <w:tcPr>
            <w:tcW w:w="26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b w:val="1"/>
                <w:bCs w:val="1"/>
                <w:color w:val="auto"/>
              </w:rPr>
              <w:t>17%</w:t>
            </w:r>
          </w:p>
        </w:tc>
        <w:tc>
          <w:tcPr>
            <w:tcW w:w="160" w:type="dxa"/>
            <w:vAlign w:val="bottom"/>
            <w:shd w:val="clear" w:color="auto" w:fill="CCEEFF"/>
          </w:tcPr>
          <w:p>
            <w:pPr>
              <w:spacing w:after="0"/>
              <w:rPr>
                <w:sz w:val="12"/>
                <w:szCs w:val="12"/>
                <w:color w:val="auto"/>
              </w:rPr>
            </w:pPr>
          </w:p>
        </w:tc>
        <w:tc>
          <w:tcPr>
            <w:tcW w:w="106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b w:val="1"/>
                <w:bCs w:val="1"/>
                <w:color w:val="auto"/>
              </w:rPr>
              <w:t>16%</w:t>
            </w:r>
          </w:p>
        </w:tc>
        <w:tc>
          <w:tcPr>
            <w:tcW w:w="0" w:type="dxa"/>
            <w:vAlign w:val="bottom"/>
          </w:tcPr>
          <w:p>
            <w:pPr>
              <w:spacing w:after="0"/>
              <w:rPr>
                <w:sz w:val="1"/>
                <w:szCs w:val="1"/>
                <w:color w:val="auto"/>
              </w:rPr>
            </w:pPr>
          </w:p>
        </w:tc>
      </w:tr>
    </w:tbl>
    <w:p>
      <w:pPr>
        <w:sectPr>
          <w:pgSz w:w="11900" w:h="16838" w:orient="portrait"/>
          <w:cols w:equalWidth="0" w:num="1">
            <w:col w:w="11420"/>
          </w:cols>
          <w:pgMar w:left="240" w:top="125" w:right="239" w:bottom="0" w:gutter="0" w:footer="0" w:header="0"/>
        </w:sectPr>
      </w:pPr>
    </w:p>
    <w:bookmarkStart w:id="5" w:name="page6"/>
    <w:bookmarkEnd w:id="5"/>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620" w:type="dxa"/>
            <w:vAlign w:val="bottom"/>
            <w:shd w:val="clear" w:color="auto" w:fill="CCEEFF"/>
          </w:tcPr>
          <w:p>
            <w:pPr>
              <w:spacing w:after="0"/>
              <w:rPr>
                <w:sz w:val="20"/>
                <w:szCs w:val="20"/>
                <w:color w:val="auto"/>
              </w:rPr>
            </w:pPr>
            <w:r>
              <w:rPr>
                <w:rFonts w:ascii="Arial" w:cs="Arial" w:eastAsia="Arial" w:hAnsi="Arial"/>
                <w:sz w:val="14"/>
                <w:szCs w:val="14"/>
                <w:color w:val="auto"/>
              </w:rPr>
              <w:t>Depreciation &amp;</w:t>
            </w:r>
          </w:p>
        </w:tc>
        <w:tc>
          <w:tcPr>
            <w:tcW w:w="12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6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400" w:type="dxa"/>
            <w:vAlign w:val="bottom"/>
            <w:shd w:val="clear" w:color="auto" w:fill="CCEEFF"/>
          </w:tcPr>
          <w:p>
            <w:pPr>
              <w:spacing w:after="0"/>
              <w:rPr>
                <w:sz w:val="14"/>
                <w:szCs w:val="14"/>
                <w:color w:val="auto"/>
              </w:rPr>
            </w:pPr>
          </w:p>
        </w:tc>
        <w:tc>
          <w:tcPr>
            <w:tcW w:w="64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360" w:type="dxa"/>
            <w:vAlign w:val="bottom"/>
            <w:shd w:val="clear" w:color="auto" w:fill="CCEEFF"/>
          </w:tcPr>
          <w:p>
            <w:pPr>
              <w:spacing w:after="0"/>
              <w:rPr>
                <w:sz w:val="14"/>
                <w:szCs w:val="14"/>
                <w:color w:val="auto"/>
              </w:rPr>
            </w:pPr>
          </w:p>
        </w:tc>
        <w:tc>
          <w:tcPr>
            <w:tcW w:w="62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340" w:type="dxa"/>
            <w:vAlign w:val="bottom"/>
            <w:shd w:val="clear" w:color="auto" w:fill="CCEEFF"/>
          </w:tcPr>
          <w:p>
            <w:pPr>
              <w:spacing w:after="0"/>
              <w:rPr>
                <w:sz w:val="14"/>
                <w:szCs w:val="14"/>
                <w:color w:val="auto"/>
              </w:rPr>
            </w:pPr>
          </w:p>
        </w:tc>
        <w:tc>
          <w:tcPr>
            <w:tcW w:w="72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400" w:type="dxa"/>
            <w:vAlign w:val="bottom"/>
            <w:shd w:val="clear" w:color="auto" w:fill="CCEEFF"/>
          </w:tcPr>
          <w:p>
            <w:pPr>
              <w:spacing w:after="0"/>
              <w:rPr>
                <w:sz w:val="14"/>
                <w:szCs w:val="14"/>
                <w:color w:val="auto"/>
              </w:rPr>
            </w:pPr>
          </w:p>
        </w:tc>
        <w:tc>
          <w:tcPr>
            <w:tcW w:w="6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320" w:type="dxa"/>
            <w:vAlign w:val="bottom"/>
            <w:shd w:val="clear" w:color="auto" w:fill="CCEEFF"/>
          </w:tcPr>
          <w:p>
            <w:pPr>
              <w:spacing w:after="0"/>
              <w:rPr>
                <w:sz w:val="14"/>
                <w:szCs w:val="14"/>
                <w:color w:val="auto"/>
              </w:rPr>
            </w:pPr>
          </w:p>
        </w:tc>
        <w:tc>
          <w:tcPr>
            <w:tcW w:w="7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380" w:type="dxa"/>
            <w:vAlign w:val="bottom"/>
            <w:shd w:val="clear" w:color="auto" w:fill="CCEEFF"/>
          </w:tcPr>
          <w:p>
            <w:pPr>
              <w:spacing w:after="0"/>
              <w:rPr>
                <w:sz w:val="14"/>
                <w:szCs w:val="14"/>
                <w:color w:val="auto"/>
              </w:rPr>
            </w:pPr>
          </w:p>
        </w:tc>
        <w:tc>
          <w:tcPr>
            <w:tcW w:w="6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36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1620" w:type="dxa"/>
            <w:vAlign w:val="bottom"/>
            <w:shd w:val="clear" w:color="auto" w:fill="CCEEFF"/>
          </w:tcPr>
          <w:p>
            <w:pPr>
              <w:ind w:left="160"/>
              <w:spacing w:after="0"/>
              <w:rPr>
                <w:sz w:val="20"/>
                <w:szCs w:val="20"/>
                <w:color w:val="auto"/>
              </w:rPr>
            </w:pPr>
            <w:r>
              <w:rPr>
                <w:rFonts w:ascii="Arial" w:cs="Arial" w:eastAsia="Arial" w:hAnsi="Arial"/>
                <w:sz w:val="14"/>
                <w:szCs w:val="14"/>
                <w:color w:val="auto"/>
              </w:rPr>
              <w:t>Amortization</w:t>
            </w:r>
          </w:p>
        </w:tc>
        <w:tc>
          <w:tcPr>
            <w:tcW w:w="12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1,726</w:t>
            </w:r>
          </w:p>
        </w:tc>
        <w:tc>
          <w:tcPr>
            <w:tcW w:w="160" w:type="dxa"/>
            <w:vAlign w:val="bottom"/>
            <w:shd w:val="clear" w:color="auto" w:fill="CCEEFF"/>
          </w:tcPr>
          <w:p>
            <w:pPr>
              <w:spacing w:after="0"/>
              <w:rPr>
                <w:sz w:val="14"/>
                <w:szCs w:val="14"/>
                <w:color w:val="auto"/>
              </w:rPr>
            </w:pPr>
          </w:p>
        </w:tc>
        <w:tc>
          <w:tcPr>
            <w:tcW w:w="400" w:type="dxa"/>
            <w:vAlign w:val="bottom"/>
            <w:shd w:val="clear" w:color="auto" w:fill="CCEEFF"/>
          </w:tcPr>
          <w:p>
            <w:pPr>
              <w:spacing w:after="0"/>
              <w:rPr>
                <w:sz w:val="14"/>
                <w:szCs w:val="14"/>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4"/>
                <w:szCs w:val="14"/>
                <w:color w:val="auto"/>
              </w:rPr>
            </w:pPr>
          </w:p>
        </w:tc>
        <w:tc>
          <w:tcPr>
            <w:tcW w:w="360" w:type="dxa"/>
            <w:vAlign w:val="bottom"/>
            <w:shd w:val="clear" w:color="auto" w:fill="CCEEFF"/>
          </w:tcPr>
          <w:p>
            <w:pPr>
              <w:spacing w:after="0"/>
              <w:rPr>
                <w:sz w:val="14"/>
                <w:szCs w:val="14"/>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1,726</w:t>
            </w:r>
          </w:p>
        </w:tc>
        <w:tc>
          <w:tcPr>
            <w:tcW w:w="160" w:type="dxa"/>
            <w:vAlign w:val="bottom"/>
            <w:shd w:val="clear" w:color="auto" w:fill="CCEEFF"/>
          </w:tcPr>
          <w:p>
            <w:pPr>
              <w:spacing w:after="0"/>
              <w:rPr>
                <w:sz w:val="14"/>
                <w:szCs w:val="14"/>
                <w:color w:val="auto"/>
              </w:rPr>
            </w:pPr>
          </w:p>
        </w:tc>
        <w:tc>
          <w:tcPr>
            <w:tcW w:w="340" w:type="dxa"/>
            <w:vAlign w:val="bottom"/>
            <w:shd w:val="clear" w:color="auto" w:fill="CCEEFF"/>
          </w:tcPr>
          <w:p>
            <w:pPr>
              <w:spacing w:after="0"/>
              <w:rPr>
                <w:sz w:val="14"/>
                <w:szCs w:val="14"/>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4,424</w:t>
            </w:r>
          </w:p>
        </w:tc>
        <w:tc>
          <w:tcPr>
            <w:tcW w:w="160" w:type="dxa"/>
            <w:vAlign w:val="bottom"/>
            <w:shd w:val="clear" w:color="auto" w:fill="CCEEFF"/>
          </w:tcPr>
          <w:p>
            <w:pPr>
              <w:spacing w:after="0"/>
              <w:rPr>
                <w:sz w:val="14"/>
                <w:szCs w:val="14"/>
                <w:color w:val="auto"/>
              </w:rPr>
            </w:pPr>
          </w:p>
        </w:tc>
        <w:tc>
          <w:tcPr>
            <w:tcW w:w="400" w:type="dxa"/>
            <w:vAlign w:val="bottom"/>
            <w:shd w:val="clear" w:color="auto" w:fill="CCEEFF"/>
          </w:tcPr>
          <w:p>
            <w:pPr>
              <w:spacing w:after="0"/>
              <w:rPr>
                <w:sz w:val="14"/>
                <w:szCs w:val="14"/>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320" w:type="dxa"/>
            <w:vAlign w:val="bottom"/>
            <w:shd w:val="clear" w:color="auto" w:fill="CCEEFF"/>
          </w:tcPr>
          <w:p>
            <w:pPr>
              <w:spacing w:after="0"/>
              <w:rPr>
                <w:sz w:val="14"/>
                <w:szCs w:val="14"/>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4,424</w:t>
            </w:r>
          </w:p>
        </w:tc>
        <w:tc>
          <w:tcPr>
            <w:tcW w:w="12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380" w:type="dxa"/>
            <w:vAlign w:val="bottom"/>
            <w:shd w:val="clear" w:color="auto" w:fill="CCEEFF"/>
          </w:tcPr>
          <w:p>
            <w:pPr>
              <w:spacing w:after="0"/>
              <w:rPr>
                <w:sz w:val="14"/>
                <w:szCs w:val="1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786</w:t>
            </w:r>
          </w:p>
        </w:tc>
        <w:tc>
          <w:tcPr>
            <w:tcW w:w="10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360" w:type="dxa"/>
            <w:vAlign w:val="bottom"/>
            <w:shd w:val="clear" w:color="auto" w:fill="CCEEFF"/>
          </w:tcPr>
          <w:p>
            <w:pPr>
              <w:spacing w:after="0"/>
              <w:rPr>
                <w:sz w:val="14"/>
                <w:szCs w:val="1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2,026</w:t>
            </w:r>
          </w:p>
        </w:tc>
        <w:tc>
          <w:tcPr>
            <w:tcW w:w="16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vMerge w:val="restart"/>
          </w:tcPr>
          <w:p>
            <w:pPr>
              <w:spacing w:after="0"/>
              <w:rPr>
                <w:sz w:val="12"/>
                <w:szCs w:val="12"/>
                <w:color w:val="auto"/>
              </w:rPr>
            </w:pPr>
          </w:p>
        </w:tc>
        <w:tc>
          <w:tcPr>
            <w:tcW w:w="16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162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w w:val="96"/>
              </w:rPr>
              <w:t>Operating Income/(Loss)</w:t>
            </w:r>
          </w:p>
        </w:tc>
        <w:tc>
          <w:tcPr>
            <w:tcW w:w="560" w:type="dxa"/>
            <w:vAlign w:val="bottom"/>
            <w:gridSpan w:val="2"/>
            <w:shd w:val="clear" w:color="auto" w:fill="CCEEFF"/>
          </w:tcPr>
          <w:p>
            <w:pPr>
              <w:jc w:val="right"/>
              <w:ind w:right="329"/>
              <w:spacing w:after="0" w:line="149" w:lineRule="exact"/>
              <w:rPr>
                <w:sz w:val="20"/>
                <w:szCs w:val="20"/>
                <w:color w:val="auto"/>
              </w:rPr>
            </w:pPr>
            <w:r>
              <w:rPr>
                <w:rFonts w:ascii="Arial" w:cs="Arial" w:eastAsia="Arial" w:hAnsi="Arial"/>
                <w:sz w:val="14"/>
                <w:szCs w:val="14"/>
                <w:b w:val="1"/>
                <w:bCs w:val="1"/>
                <w:color w:val="auto"/>
              </w:rPr>
              <w:t>$</w:t>
            </w: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8,829</w:t>
            </w:r>
          </w:p>
        </w:tc>
        <w:tc>
          <w:tcPr>
            <w:tcW w:w="160" w:type="dxa"/>
            <w:vAlign w:val="bottom"/>
            <w:shd w:val="clear" w:color="auto" w:fill="CCEEFF"/>
          </w:tcPr>
          <w:p>
            <w:pPr>
              <w:spacing w:after="0"/>
              <w:rPr>
                <w:sz w:val="12"/>
                <w:szCs w:val="12"/>
                <w:color w:val="auto"/>
              </w:rPr>
            </w:pPr>
          </w:p>
        </w:tc>
        <w:tc>
          <w:tcPr>
            <w:tcW w:w="400" w:type="dxa"/>
            <w:vAlign w:val="bottom"/>
            <w:shd w:val="clear" w:color="auto" w:fill="CCEEFF"/>
          </w:tcPr>
          <w:p>
            <w:pPr>
              <w:jc w:val="right"/>
              <w:ind w:right="289"/>
              <w:spacing w:after="0"/>
              <w:rPr>
                <w:sz w:val="20"/>
                <w:szCs w:val="20"/>
                <w:color w:val="auto"/>
              </w:rPr>
            </w:pPr>
            <w:r>
              <w:rPr>
                <w:rFonts w:ascii="Arial" w:cs="Arial" w:eastAsia="Arial" w:hAnsi="Arial"/>
                <w:sz w:val="10"/>
                <w:szCs w:val="10"/>
                <w:b w:val="1"/>
                <w:bCs w:val="1"/>
                <w:color w:val="auto"/>
                <w:w w:val="71"/>
              </w:rPr>
              <w:t>$</w:t>
            </w:r>
          </w:p>
        </w:tc>
        <w:tc>
          <w:tcPr>
            <w:tcW w:w="8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(448)</w:t>
            </w:r>
          </w:p>
        </w:tc>
        <w:tc>
          <w:tcPr>
            <w:tcW w:w="440" w:type="dxa"/>
            <w:vAlign w:val="bottom"/>
            <w:gridSpan w:val="2"/>
            <w:shd w:val="clear" w:color="auto" w:fill="CCEEFF"/>
          </w:tcPr>
          <w:p>
            <w:pPr>
              <w:jc w:val="right"/>
              <w:ind w:right="208"/>
              <w:spacing w:after="0" w:line="149" w:lineRule="exact"/>
              <w:rPr>
                <w:sz w:val="20"/>
                <w:szCs w:val="20"/>
                <w:color w:val="auto"/>
              </w:rPr>
            </w:pPr>
            <w:r>
              <w:rPr>
                <w:rFonts w:ascii="Arial" w:cs="Arial" w:eastAsia="Arial" w:hAnsi="Arial"/>
                <w:sz w:val="14"/>
                <w:szCs w:val="14"/>
                <w:b w:val="1"/>
                <w:bCs w:val="1"/>
                <w:color w:val="auto"/>
              </w:rPr>
              <w:t>$</w:t>
            </w: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8,381</w:t>
            </w:r>
          </w:p>
        </w:tc>
        <w:tc>
          <w:tcPr>
            <w:tcW w:w="160" w:type="dxa"/>
            <w:vAlign w:val="bottom"/>
            <w:shd w:val="clear" w:color="auto" w:fill="CCEEFF"/>
          </w:tcPr>
          <w:p>
            <w:pPr>
              <w:spacing w:after="0"/>
              <w:rPr>
                <w:sz w:val="12"/>
                <w:szCs w:val="12"/>
                <w:color w:val="auto"/>
              </w:rPr>
            </w:pPr>
          </w:p>
        </w:tc>
        <w:tc>
          <w:tcPr>
            <w:tcW w:w="340" w:type="dxa"/>
            <w:vAlign w:val="bottom"/>
            <w:shd w:val="clear" w:color="auto" w:fill="CCEEFF"/>
          </w:tcPr>
          <w:p>
            <w:pPr>
              <w:jc w:val="right"/>
              <w:ind w:right="188"/>
              <w:spacing w:after="0" w:line="149" w:lineRule="exact"/>
              <w:rPr>
                <w:sz w:val="20"/>
                <w:szCs w:val="20"/>
                <w:color w:val="auto"/>
              </w:rPr>
            </w:pPr>
            <w:r>
              <w:rPr>
                <w:rFonts w:ascii="Arial" w:cs="Arial" w:eastAsia="Arial" w:hAnsi="Arial"/>
                <w:sz w:val="14"/>
                <w:szCs w:val="14"/>
                <w:b w:val="1"/>
                <w:bCs w:val="1"/>
                <w:color w:val="auto"/>
                <w:w w:val="76"/>
              </w:rPr>
              <w:t>$</w:t>
            </w:r>
          </w:p>
        </w:tc>
        <w:tc>
          <w:tcPr>
            <w:tcW w:w="7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14,524</w:t>
            </w:r>
          </w:p>
        </w:tc>
        <w:tc>
          <w:tcPr>
            <w:tcW w:w="160" w:type="dxa"/>
            <w:vAlign w:val="bottom"/>
            <w:shd w:val="clear" w:color="auto" w:fill="CCEEFF"/>
          </w:tcPr>
          <w:p>
            <w:pPr>
              <w:spacing w:after="0"/>
              <w:rPr>
                <w:sz w:val="12"/>
                <w:szCs w:val="12"/>
                <w:color w:val="auto"/>
              </w:rPr>
            </w:pPr>
          </w:p>
        </w:tc>
        <w:tc>
          <w:tcPr>
            <w:tcW w:w="400" w:type="dxa"/>
            <w:vAlign w:val="bottom"/>
            <w:shd w:val="clear" w:color="auto" w:fill="CCEEFF"/>
          </w:tcPr>
          <w:p>
            <w:pPr>
              <w:jc w:val="right"/>
              <w:ind w:right="248"/>
              <w:spacing w:after="0" w:line="149" w:lineRule="exact"/>
              <w:rPr>
                <w:sz w:val="20"/>
                <w:szCs w:val="20"/>
                <w:color w:val="auto"/>
              </w:rPr>
            </w:pPr>
            <w:r>
              <w:rPr>
                <w:rFonts w:ascii="Arial" w:cs="Arial" w:eastAsia="Arial" w:hAnsi="Arial"/>
                <w:sz w:val="14"/>
                <w:szCs w:val="14"/>
                <w:b w:val="1"/>
                <w:bCs w:val="1"/>
                <w:color w:val="auto"/>
                <w:w w:val="76"/>
              </w:rPr>
              <w:t>$</w:t>
            </w: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4,818</w:t>
            </w:r>
          </w:p>
        </w:tc>
        <w:tc>
          <w:tcPr>
            <w:tcW w:w="120" w:type="dxa"/>
            <w:vAlign w:val="bottom"/>
            <w:shd w:val="clear" w:color="auto" w:fill="CCEEFF"/>
          </w:tcPr>
          <w:p>
            <w:pPr>
              <w:spacing w:after="0"/>
              <w:rPr>
                <w:sz w:val="12"/>
                <w:szCs w:val="12"/>
                <w:color w:val="auto"/>
              </w:rPr>
            </w:pPr>
          </w:p>
        </w:tc>
        <w:tc>
          <w:tcPr>
            <w:tcW w:w="320" w:type="dxa"/>
            <w:vAlign w:val="bottom"/>
            <w:shd w:val="clear" w:color="auto" w:fill="CCEEFF"/>
          </w:tcPr>
          <w:p>
            <w:pPr>
              <w:jc w:val="right"/>
              <w:ind w:right="209"/>
              <w:spacing w:after="0"/>
              <w:rPr>
                <w:sz w:val="20"/>
                <w:szCs w:val="20"/>
                <w:color w:val="auto"/>
              </w:rPr>
            </w:pPr>
            <w:r>
              <w:rPr>
                <w:rFonts w:ascii="Arial" w:cs="Arial" w:eastAsia="Arial" w:hAnsi="Arial"/>
                <w:sz w:val="10"/>
                <w:szCs w:val="10"/>
                <w:b w:val="1"/>
                <w:bCs w:val="1"/>
                <w:color w:val="auto"/>
                <w:w w:val="71"/>
              </w:rPr>
              <w:t>$</w:t>
            </w:r>
          </w:p>
        </w:tc>
        <w:tc>
          <w:tcPr>
            <w:tcW w:w="7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19,342</w:t>
            </w:r>
          </w:p>
        </w:tc>
        <w:tc>
          <w:tcPr>
            <w:tcW w:w="120" w:type="dxa"/>
            <w:vAlign w:val="bottom"/>
            <w:shd w:val="clear" w:color="auto" w:fill="CCEEFF"/>
          </w:tcPr>
          <w:p>
            <w:pPr>
              <w:spacing w:after="0"/>
              <w:rPr>
                <w:sz w:val="12"/>
                <w:szCs w:val="12"/>
                <w:color w:val="auto"/>
              </w:rPr>
            </w:pPr>
          </w:p>
        </w:tc>
        <w:tc>
          <w:tcPr>
            <w:tcW w:w="420" w:type="dxa"/>
            <w:vAlign w:val="bottom"/>
            <w:gridSpan w:val="2"/>
            <w:shd w:val="clear" w:color="auto" w:fill="CCEEFF"/>
          </w:tcPr>
          <w:p>
            <w:pPr>
              <w:jc w:val="right"/>
              <w:ind w:right="228"/>
              <w:spacing w:after="0" w:line="149" w:lineRule="exact"/>
              <w:rPr>
                <w:sz w:val="20"/>
                <w:szCs w:val="20"/>
                <w:color w:val="auto"/>
              </w:rPr>
            </w:pPr>
            <w:r>
              <w:rPr>
                <w:rFonts w:ascii="Arial" w:cs="Arial" w:eastAsia="Arial" w:hAnsi="Arial"/>
                <w:sz w:val="14"/>
                <w:szCs w:val="14"/>
                <w:b w:val="1"/>
                <w:bCs w:val="1"/>
                <w:color w:val="auto"/>
              </w:rPr>
              <w:t>$</w:t>
            </w: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6,114</w:t>
            </w:r>
          </w:p>
        </w:tc>
        <w:tc>
          <w:tcPr>
            <w:tcW w:w="100" w:type="dxa"/>
            <w:vAlign w:val="bottom"/>
            <w:shd w:val="clear" w:color="auto" w:fill="CCEEFF"/>
          </w:tcPr>
          <w:p>
            <w:pPr>
              <w:spacing w:after="0"/>
              <w:rPr>
                <w:sz w:val="12"/>
                <w:szCs w:val="12"/>
                <w:color w:val="auto"/>
              </w:rPr>
            </w:pPr>
          </w:p>
        </w:tc>
        <w:tc>
          <w:tcPr>
            <w:tcW w:w="420" w:type="dxa"/>
            <w:vAlign w:val="bottom"/>
            <w:gridSpan w:val="2"/>
            <w:shd w:val="clear" w:color="auto" w:fill="CCEEFF"/>
          </w:tcPr>
          <w:p>
            <w:pPr>
              <w:jc w:val="right"/>
              <w:ind w:right="208"/>
              <w:spacing w:after="0" w:line="149" w:lineRule="exact"/>
              <w:rPr>
                <w:sz w:val="20"/>
                <w:szCs w:val="20"/>
                <w:color w:val="auto"/>
              </w:rPr>
            </w:pPr>
            <w:r>
              <w:rPr>
                <w:rFonts w:ascii="Arial" w:cs="Arial" w:eastAsia="Arial" w:hAnsi="Arial"/>
                <w:sz w:val="14"/>
                <w:szCs w:val="14"/>
                <w:b w:val="1"/>
                <w:bCs w:val="1"/>
                <w:color w:val="auto"/>
              </w:rPr>
              <w:t>$</w:t>
            </w: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12,538</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vMerge w:val="restart"/>
          </w:tcPr>
          <w:p>
            <w:pPr>
              <w:spacing w:after="0"/>
              <w:rPr>
                <w:sz w:val="12"/>
                <w:szCs w:val="12"/>
                <w:color w:val="auto"/>
              </w:rPr>
            </w:pPr>
          </w:p>
        </w:tc>
        <w:tc>
          <w:tcPr>
            <w:tcW w:w="16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16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w w:val="97"/>
              </w:rPr>
              <w:t>Interest Income/(Expense)</w:t>
            </w:r>
          </w:p>
        </w:tc>
        <w:tc>
          <w:tcPr>
            <w:tcW w:w="12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76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(68)</w:t>
            </w:r>
          </w:p>
        </w:tc>
        <w:tc>
          <w:tcPr>
            <w:tcW w:w="40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(68)</w:t>
            </w:r>
          </w:p>
        </w:tc>
        <w:tc>
          <w:tcPr>
            <w:tcW w:w="340" w:type="dxa"/>
            <w:vAlign w:val="bottom"/>
            <w:shd w:val="clear" w:color="auto" w:fill="CCEEFF"/>
          </w:tcPr>
          <w:p>
            <w:pPr>
              <w:spacing w:after="0"/>
              <w:rPr>
                <w:sz w:val="12"/>
                <w:szCs w:val="12"/>
                <w:color w:val="auto"/>
              </w:rPr>
            </w:pPr>
          </w:p>
        </w:tc>
        <w:tc>
          <w:tcPr>
            <w:tcW w:w="7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190</w:t>
            </w:r>
          </w:p>
        </w:tc>
        <w:tc>
          <w:tcPr>
            <w:tcW w:w="16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320" w:type="dxa"/>
            <w:vAlign w:val="bottom"/>
            <w:shd w:val="clear" w:color="auto" w:fill="CCEEFF"/>
          </w:tcPr>
          <w:p>
            <w:pPr>
              <w:spacing w:after="0"/>
              <w:rPr>
                <w:sz w:val="12"/>
                <w:szCs w:val="12"/>
                <w:color w:val="auto"/>
              </w:rPr>
            </w:pPr>
          </w:p>
        </w:tc>
        <w:tc>
          <w:tcPr>
            <w:tcW w:w="7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190</w:t>
            </w: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(126)</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20" w:type="dxa"/>
            <w:vAlign w:val="bottom"/>
          </w:tcPr>
          <w:p>
            <w:pPr>
              <w:spacing w:after="0" w:line="149" w:lineRule="exact"/>
              <w:rPr>
                <w:sz w:val="20"/>
                <w:szCs w:val="20"/>
                <w:color w:val="auto"/>
              </w:rPr>
            </w:pPr>
            <w:r>
              <w:rPr>
                <w:rFonts w:ascii="Arial" w:cs="Arial" w:eastAsia="Arial" w:hAnsi="Arial"/>
                <w:sz w:val="14"/>
                <w:szCs w:val="14"/>
                <w:color w:val="auto"/>
              </w:rPr>
              <w:t>Other Income/(Expense)</w:t>
            </w:r>
          </w:p>
        </w:tc>
        <w:tc>
          <w:tcPr>
            <w:tcW w:w="1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7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(84)</w:t>
            </w:r>
          </w:p>
        </w:tc>
        <w:tc>
          <w:tcPr>
            <w:tcW w:w="400" w:type="dxa"/>
            <w:vAlign w:val="bottom"/>
          </w:tcPr>
          <w:p>
            <w:pPr>
              <w:spacing w:after="0"/>
              <w:rPr>
                <w:sz w:val="12"/>
                <w:szCs w:val="12"/>
                <w:color w:val="auto"/>
              </w:rPr>
            </w:pPr>
          </w:p>
        </w:tc>
        <w:tc>
          <w:tcPr>
            <w:tcW w:w="80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7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(84)</w:t>
            </w:r>
          </w:p>
        </w:tc>
        <w:tc>
          <w:tcPr>
            <w:tcW w:w="340" w:type="dxa"/>
            <w:vAlign w:val="bottom"/>
          </w:tcPr>
          <w:p>
            <w:pPr>
              <w:spacing w:after="0"/>
              <w:rPr>
                <w:sz w:val="12"/>
                <w:szCs w:val="12"/>
                <w:color w:val="auto"/>
              </w:rPr>
            </w:pPr>
          </w:p>
        </w:tc>
        <w:tc>
          <w:tcPr>
            <w:tcW w:w="8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(1,844)</w:t>
            </w:r>
          </w:p>
        </w:tc>
        <w:tc>
          <w:tcPr>
            <w:tcW w:w="400" w:type="dxa"/>
            <w:vAlign w:val="bottom"/>
          </w:tcPr>
          <w:p>
            <w:pPr>
              <w:spacing w:after="0"/>
              <w:rPr>
                <w:sz w:val="12"/>
                <w:szCs w:val="12"/>
                <w:color w:val="auto"/>
              </w:rPr>
            </w:pPr>
          </w:p>
        </w:tc>
        <w:tc>
          <w:tcPr>
            <w:tcW w:w="78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320" w:type="dxa"/>
            <w:vAlign w:val="bottom"/>
          </w:tcPr>
          <w:p>
            <w:pPr>
              <w:spacing w:after="0"/>
              <w:rPr>
                <w:sz w:val="12"/>
                <w:szCs w:val="12"/>
                <w:color w:val="auto"/>
              </w:rPr>
            </w:pPr>
          </w:p>
        </w:tc>
        <w:tc>
          <w:tcPr>
            <w:tcW w:w="84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(1,844)</w:t>
            </w:r>
          </w:p>
        </w:tc>
        <w:tc>
          <w:tcPr>
            <w:tcW w:w="4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780" w:type="dxa"/>
            <w:vAlign w:val="bottom"/>
            <w:gridSpan w:val="2"/>
          </w:tcPr>
          <w:p>
            <w:pPr>
              <w:jc w:val="right"/>
              <w:ind w:right="40"/>
              <w:spacing w:after="0" w:line="149" w:lineRule="exact"/>
              <w:rPr>
                <w:sz w:val="20"/>
                <w:szCs w:val="20"/>
                <w:color w:val="auto"/>
              </w:rPr>
            </w:pPr>
            <w:r>
              <w:rPr>
                <w:rFonts w:ascii="Arial" w:cs="Arial" w:eastAsia="Arial" w:hAnsi="Arial"/>
                <w:sz w:val="14"/>
                <w:szCs w:val="14"/>
                <w:color w:val="auto"/>
              </w:rPr>
              <w:t>(119)</w:t>
            </w:r>
          </w:p>
        </w:tc>
        <w:tc>
          <w:tcPr>
            <w:tcW w:w="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8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(657)</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1620" w:type="dxa"/>
            <w:vAlign w:val="bottom"/>
            <w:shd w:val="clear" w:color="auto" w:fill="CCEEFF"/>
          </w:tcPr>
          <w:p>
            <w:pPr>
              <w:spacing w:after="0" w:line="130" w:lineRule="exact"/>
              <w:rPr>
                <w:sz w:val="20"/>
                <w:szCs w:val="20"/>
                <w:color w:val="auto"/>
              </w:rPr>
            </w:pPr>
            <w:r>
              <w:rPr>
                <w:rFonts w:ascii="Arial" w:cs="Arial" w:eastAsia="Arial" w:hAnsi="Arial"/>
                <w:sz w:val="14"/>
                <w:szCs w:val="14"/>
                <w:color w:val="auto"/>
              </w:rPr>
              <w:t>Income Tax Expense</w:t>
            </w:r>
          </w:p>
        </w:tc>
        <w:tc>
          <w:tcPr>
            <w:tcW w:w="12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340" w:type="dxa"/>
            <w:vAlign w:val="bottom"/>
            <w:shd w:val="clear" w:color="auto" w:fill="CCEEFF"/>
          </w:tcPr>
          <w:p>
            <w:pPr>
              <w:spacing w:after="0"/>
              <w:rPr>
                <w:sz w:val="11"/>
                <w:szCs w:val="11"/>
                <w:color w:val="auto"/>
              </w:rPr>
            </w:pPr>
          </w:p>
        </w:tc>
        <w:tc>
          <w:tcPr>
            <w:tcW w:w="7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7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38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1620" w:type="dxa"/>
            <w:vAlign w:val="bottom"/>
            <w:shd w:val="clear" w:color="auto" w:fill="CCEEFF"/>
          </w:tcPr>
          <w:p>
            <w:pPr>
              <w:ind w:left="160"/>
              <w:spacing w:after="0"/>
              <w:rPr>
                <w:sz w:val="20"/>
                <w:szCs w:val="20"/>
                <w:color w:val="auto"/>
              </w:rPr>
            </w:pPr>
            <w:r>
              <w:rPr>
                <w:rFonts w:ascii="Arial" w:cs="Arial" w:eastAsia="Arial" w:hAnsi="Arial"/>
                <w:sz w:val="14"/>
                <w:szCs w:val="14"/>
                <w:color w:val="auto"/>
              </w:rPr>
              <w:t>(Benefit)</w:t>
            </w:r>
          </w:p>
        </w:tc>
        <w:tc>
          <w:tcPr>
            <w:tcW w:w="12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4,253</w:t>
            </w:r>
          </w:p>
        </w:tc>
        <w:tc>
          <w:tcPr>
            <w:tcW w:w="160" w:type="dxa"/>
            <w:vAlign w:val="bottom"/>
            <w:shd w:val="clear" w:color="auto" w:fill="CCEEFF"/>
          </w:tcPr>
          <w:p>
            <w:pPr>
              <w:spacing w:after="0"/>
              <w:rPr>
                <w:sz w:val="14"/>
                <w:szCs w:val="14"/>
                <w:color w:val="auto"/>
              </w:rPr>
            </w:pPr>
          </w:p>
        </w:tc>
        <w:tc>
          <w:tcPr>
            <w:tcW w:w="400" w:type="dxa"/>
            <w:vAlign w:val="bottom"/>
            <w:shd w:val="clear" w:color="auto" w:fill="CCEEFF"/>
          </w:tcPr>
          <w:p>
            <w:pPr>
              <w:spacing w:after="0"/>
              <w:rPr>
                <w:sz w:val="14"/>
                <w:szCs w:val="14"/>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4"/>
                <w:szCs w:val="14"/>
                <w:color w:val="auto"/>
              </w:rPr>
            </w:pPr>
          </w:p>
        </w:tc>
        <w:tc>
          <w:tcPr>
            <w:tcW w:w="360" w:type="dxa"/>
            <w:vAlign w:val="bottom"/>
            <w:shd w:val="clear" w:color="auto" w:fill="CCEEFF"/>
          </w:tcPr>
          <w:p>
            <w:pPr>
              <w:spacing w:after="0"/>
              <w:rPr>
                <w:sz w:val="14"/>
                <w:szCs w:val="14"/>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4,253</w:t>
            </w:r>
          </w:p>
        </w:tc>
        <w:tc>
          <w:tcPr>
            <w:tcW w:w="160" w:type="dxa"/>
            <w:vAlign w:val="bottom"/>
            <w:shd w:val="clear" w:color="auto" w:fill="CCEEFF"/>
          </w:tcPr>
          <w:p>
            <w:pPr>
              <w:spacing w:after="0"/>
              <w:rPr>
                <w:sz w:val="14"/>
                <w:szCs w:val="14"/>
                <w:color w:val="auto"/>
              </w:rPr>
            </w:pPr>
          </w:p>
        </w:tc>
        <w:tc>
          <w:tcPr>
            <w:tcW w:w="340" w:type="dxa"/>
            <w:vAlign w:val="bottom"/>
            <w:shd w:val="clear" w:color="auto" w:fill="CCEEFF"/>
          </w:tcPr>
          <w:p>
            <w:pPr>
              <w:spacing w:after="0"/>
              <w:rPr>
                <w:sz w:val="14"/>
                <w:szCs w:val="14"/>
                <w:color w:val="auto"/>
              </w:rPr>
            </w:pPr>
          </w:p>
        </w:tc>
        <w:tc>
          <w:tcPr>
            <w:tcW w:w="88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(13,206)</w:t>
            </w:r>
          </w:p>
        </w:tc>
        <w:tc>
          <w:tcPr>
            <w:tcW w:w="400" w:type="dxa"/>
            <w:vAlign w:val="bottom"/>
            <w:shd w:val="clear" w:color="auto" w:fill="CCEEFF"/>
          </w:tcPr>
          <w:p>
            <w:pPr>
              <w:spacing w:after="0"/>
              <w:rPr>
                <w:sz w:val="14"/>
                <w:szCs w:val="14"/>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320" w:type="dxa"/>
            <w:vAlign w:val="bottom"/>
            <w:shd w:val="clear" w:color="auto" w:fill="CCEEFF"/>
          </w:tcPr>
          <w:p>
            <w:pPr>
              <w:spacing w:after="0"/>
              <w:rPr>
                <w:sz w:val="14"/>
                <w:szCs w:val="14"/>
                <w:color w:val="auto"/>
              </w:rPr>
            </w:pPr>
          </w:p>
        </w:tc>
        <w:tc>
          <w:tcPr>
            <w:tcW w:w="84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(13,206)</w:t>
            </w:r>
          </w:p>
        </w:tc>
        <w:tc>
          <w:tcPr>
            <w:tcW w:w="40" w:type="dxa"/>
            <w:vAlign w:val="bottom"/>
            <w:shd w:val="clear" w:color="auto" w:fill="CCEEFF"/>
          </w:tcPr>
          <w:p>
            <w:pPr>
              <w:spacing w:after="0"/>
              <w:rPr>
                <w:sz w:val="14"/>
                <w:szCs w:val="14"/>
                <w:color w:val="auto"/>
              </w:rPr>
            </w:pPr>
          </w:p>
        </w:tc>
        <w:tc>
          <w:tcPr>
            <w:tcW w:w="380" w:type="dxa"/>
            <w:vAlign w:val="bottom"/>
            <w:shd w:val="clear" w:color="auto" w:fill="CCEEFF"/>
          </w:tcPr>
          <w:p>
            <w:pPr>
              <w:spacing w:after="0"/>
              <w:rPr>
                <w:sz w:val="14"/>
                <w:szCs w:val="14"/>
                <w:color w:val="auto"/>
              </w:rPr>
            </w:pPr>
          </w:p>
        </w:tc>
        <w:tc>
          <w:tcPr>
            <w:tcW w:w="780" w:type="dxa"/>
            <w:vAlign w:val="bottom"/>
            <w:gridSpan w:val="2"/>
            <w:shd w:val="clear" w:color="auto" w:fill="CCEEFF"/>
          </w:tcPr>
          <w:p>
            <w:pPr>
              <w:jc w:val="right"/>
              <w:ind w:right="40"/>
              <w:spacing w:after="0"/>
              <w:rPr>
                <w:sz w:val="20"/>
                <w:szCs w:val="20"/>
                <w:color w:val="auto"/>
              </w:rPr>
            </w:pPr>
            <w:r>
              <w:rPr>
                <w:rFonts w:ascii="Arial" w:cs="Arial" w:eastAsia="Arial" w:hAnsi="Arial"/>
                <w:sz w:val="14"/>
                <w:szCs w:val="14"/>
                <w:color w:val="auto"/>
              </w:rPr>
              <w:t>(1,871)</w:t>
            </w:r>
          </w:p>
        </w:tc>
        <w:tc>
          <w:tcPr>
            <w:tcW w:w="60" w:type="dxa"/>
            <w:vAlign w:val="bottom"/>
            <w:shd w:val="clear" w:color="auto" w:fill="CCEEFF"/>
          </w:tcPr>
          <w:p>
            <w:pPr>
              <w:spacing w:after="0"/>
              <w:rPr>
                <w:sz w:val="14"/>
                <w:szCs w:val="14"/>
                <w:color w:val="auto"/>
              </w:rPr>
            </w:pPr>
          </w:p>
        </w:tc>
        <w:tc>
          <w:tcPr>
            <w:tcW w:w="360" w:type="dxa"/>
            <w:vAlign w:val="bottom"/>
            <w:shd w:val="clear" w:color="auto" w:fill="CCEEFF"/>
          </w:tcPr>
          <w:p>
            <w:pPr>
              <w:spacing w:after="0"/>
              <w:rPr>
                <w:sz w:val="14"/>
                <w:szCs w:val="1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1,027</w:t>
            </w:r>
          </w:p>
        </w:tc>
        <w:tc>
          <w:tcPr>
            <w:tcW w:w="16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20" w:type="dxa"/>
            <w:vAlign w:val="bottom"/>
            <w:tcBorders>
              <w:bottom w:val="single" w:sz="8" w:color="CCEEFF"/>
            </w:tcBorders>
          </w:tcPr>
          <w:p>
            <w:pPr>
              <w:spacing w:after="0"/>
              <w:rPr>
                <w:sz w:val="12"/>
                <w:szCs w:val="12"/>
                <w:color w:val="auto"/>
              </w:rPr>
            </w:pPr>
          </w:p>
        </w:tc>
        <w:tc>
          <w:tcPr>
            <w:tcW w:w="120" w:type="dxa"/>
            <w:vAlign w:val="bottom"/>
            <w:tcBorders>
              <w:bottom w:val="single" w:sz="8" w:color="CCEEFF"/>
            </w:tcBorders>
          </w:tcPr>
          <w:p>
            <w:pPr>
              <w:spacing w:after="0"/>
              <w:rPr>
                <w:sz w:val="12"/>
                <w:szCs w:val="12"/>
                <w:color w:val="auto"/>
              </w:rPr>
            </w:pPr>
          </w:p>
        </w:tc>
        <w:tc>
          <w:tcPr>
            <w:tcW w:w="44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tcPr>
          <w:p>
            <w:pPr>
              <w:spacing w:after="0"/>
              <w:rPr>
                <w:sz w:val="12"/>
                <w:szCs w:val="12"/>
                <w:color w:val="auto"/>
              </w:rPr>
            </w:pPr>
          </w:p>
        </w:tc>
        <w:tc>
          <w:tcPr>
            <w:tcW w:w="160" w:type="dxa"/>
            <w:vAlign w:val="bottom"/>
            <w:tcBorders>
              <w:bottom w:val="single" w:sz="8" w:color="CCEEFF"/>
            </w:tcBorders>
          </w:tcPr>
          <w:p>
            <w:pPr>
              <w:spacing w:after="0"/>
              <w:rPr>
                <w:sz w:val="12"/>
                <w:szCs w:val="12"/>
                <w:color w:val="auto"/>
              </w:rPr>
            </w:pPr>
          </w:p>
        </w:tc>
        <w:tc>
          <w:tcPr>
            <w:tcW w:w="40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spacing w:after="0"/>
              <w:rPr>
                <w:sz w:val="12"/>
                <w:szCs w:val="12"/>
                <w:color w:val="auto"/>
              </w:rPr>
            </w:pPr>
          </w:p>
        </w:tc>
        <w:tc>
          <w:tcPr>
            <w:tcW w:w="160" w:type="dxa"/>
            <w:vAlign w:val="bottom"/>
            <w:tcBorders>
              <w:bottom w:val="single" w:sz="8" w:color="CCEEFF"/>
            </w:tcBorders>
          </w:tcPr>
          <w:p>
            <w:pPr>
              <w:spacing w:after="0"/>
              <w:rPr>
                <w:sz w:val="12"/>
                <w:szCs w:val="12"/>
                <w:color w:val="auto"/>
              </w:rPr>
            </w:pPr>
          </w:p>
        </w:tc>
        <w:tc>
          <w:tcPr>
            <w:tcW w:w="80" w:type="dxa"/>
            <w:vAlign w:val="bottom"/>
            <w:tcBorders>
              <w:bottom w:val="single" w:sz="8" w:color="CCEEFF"/>
            </w:tcBorders>
          </w:tcPr>
          <w:p>
            <w:pPr>
              <w:spacing w:after="0"/>
              <w:rPr>
                <w:sz w:val="12"/>
                <w:szCs w:val="12"/>
                <w:color w:val="auto"/>
              </w:rPr>
            </w:pPr>
          </w:p>
        </w:tc>
        <w:tc>
          <w:tcPr>
            <w:tcW w:w="360" w:type="dxa"/>
            <w:vAlign w:val="bottom"/>
            <w:tcBorders>
              <w:bottom w:val="single" w:sz="8" w:color="auto"/>
            </w:tcBorders>
          </w:tcPr>
          <w:p>
            <w:pPr>
              <w:spacing w:after="0"/>
              <w:rPr>
                <w:sz w:val="12"/>
                <w:szCs w:val="12"/>
                <w:color w:val="auto"/>
              </w:rPr>
            </w:pPr>
          </w:p>
        </w:tc>
        <w:tc>
          <w:tcPr>
            <w:tcW w:w="620" w:type="dxa"/>
            <w:vAlign w:val="bottom"/>
            <w:tcBorders>
              <w:bottom w:val="single" w:sz="8" w:color="auto"/>
            </w:tcBorders>
          </w:tcPr>
          <w:p>
            <w:pPr>
              <w:spacing w:after="0"/>
              <w:rPr>
                <w:sz w:val="12"/>
                <w:szCs w:val="12"/>
                <w:color w:val="auto"/>
              </w:rPr>
            </w:pPr>
          </w:p>
        </w:tc>
        <w:tc>
          <w:tcPr>
            <w:tcW w:w="160" w:type="dxa"/>
            <w:vAlign w:val="bottom"/>
            <w:tcBorders>
              <w:bottom w:val="single" w:sz="8" w:color="CCEEFF"/>
            </w:tcBorders>
          </w:tcPr>
          <w:p>
            <w:pPr>
              <w:spacing w:after="0"/>
              <w:rPr>
                <w:sz w:val="12"/>
                <w:szCs w:val="12"/>
                <w:color w:val="auto"/>
              </w:rPr>
            </w:pPr>
          </w:p>
        </w:tc>
        <w:tc>
          <w:tcPr>
            <w:tcW w:w="340" w:type="dxa"/>
            <w:vAlign w:val="bottom"/>
            <w:tcBorders>
              <w:bottom w:val="single" w:sz="8" w:color="auto"/>
            </w:tcBorders>
          </w:tcPr>
          <w:p>
            <w:pPr>
              <w:spacing w:after="0"/>
              <w:rPr>
                <w:sz w:val="12"/>
                <w:szCs w:val="12"/>
                <w:color w:val="auto"/>
              </w:rPr>
            </w:pPr>
          </w:p>
        </w:tc>
        <w:tc>
          <w:tcPr>
            <w:tcW w:w="720" w:type="dxa"/>
            <w:vAlign w:val="bottom"/>
            <w:tcBorders>
              <w:bottom w:val="single" w:sz="8" w:color="auto"/>
            </w:tcBorders>
          </w:tcPr>
          <w:p>
            <w:pPr>
              <w:spacing w:after="0"/>
              <w:rPr>
                <w:sz w:val="12"/>
                <w:szCs w:val="12"/>
                <w:color w:val="auto"/>
              </w:rPr>
            </w:pPr>
          </w:p>
        </w:tc>
        <w:tc>
          <w:tcPr>
            <w:tcW w:w="160" w:type="dxa"/>
            <w:vAlign w:val="bottom"/>
            <w:tcBorders>
              <w:bottom w:val="single" w:sz="8" w:color="CCEEFF"/>
            </w:tcBorders>
          </w:tcPr>
          <w:p>
            <w:pPr>
              <w:spacing w:after="0"/>
              <w:rPr>
                <w:sz w:val="12"/>
                <w:szCs w:val="12"/>
                <w:color w:val="auto"/>
              </w:rPr>
            </w:pPr>
          </w:p>
        </w:tc>
        <w:tc>
          <w:tcPr>
            <w:tcW w:w="40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spacing w:after="0"/>
              <w:rPr>
                <w:sz w:val="12"/>
                <w:szCs w:val="12"/>
                <w:color w:val="auto"/>
              </w:rPr>
            </w:pPr>
          </w:p>
        </w:tc>
        <w:tc>
          <w:tcPr>
            <w:tcW w:w="120" w:type="dxa"/>
            <w:vAlign w:val="bottom"/>
            <w:tcBorders>
              <w:bottom w:val="single" w:sz="8" w:color="CCEEFF"/>
            </w:tcBorders>
          </w:tcPr>
          <w:p>
            <w:pPr>
              <w:spacing w:after="0"/>
              <w:rPr>
                <w:sz w:val="12"/>
                <w:szCs w:val="12"/>
                <w:color w:val="auto"/>
              </w:rPr>
            </w:pPr>
          </w:p>
        </w:tc>
        <w:tc>
          <w:tcPr>
            <w:tcW w:w="320" w:type="dxa"/>
            <w:vAlign w:val="bottom"/>
            <w:tcBorders>
              <w:bottom w:val="single" w:sz="8" w:color="auto"/>
            </w:tcBorders>
          </w:tcPr>
          <w:p>
            <w:pPr>
              <w:spacing w:after="0"/>
              <w:rPr>
                <w:sz w:val="12"/>
                <w:szCs w:val="12"/>
                <w:color w:val="auto"/>
              </w:rPr>
            </w:pPr>
          </w:p>
        </w:tc>
        <w:tc>
          <w:tcPr>
            <w:tcW w:w="720" w:type="dxa"/>
            <w:vAlign w:val="bottom"/>
            <w:tcBorders>
              <w:bottom w:val="single" w:sz="8" w:color="auto"/>
            </w:tcBorders>
          </w:tcPr>
          <w:p>
            <w:pPr>
              <w:spacing w:after="0"/>
              <w:rPr>
                <w:sz w:val="12"/>
                <w:szCs w:val="12"/>
                <w:color w:val="auto"/>
              </w:rPr>
            </w:pPr>
          </w:p>
        </w:tc>
        <w:tc>
          <w:tcPr>
            <w:tcW w:w="120" w:type="dxa"/>
            <w:vAlign w:val="bottom"/>
            <w:tcBorders>
              <w:bottom w:val="single" w:sz="8" w:color="CCEEFF"/>
            </w:tcBorders>
          </w:tcPr>
          <w:p>
            <w:pPr>
              <w:spacing w:after="0"/>
              <w:rPr>
                <w:sz w:val="12"/>
                <w:szCs w:val="12"/>
                <w:color w:val="auto"/>
              </w:rPr>
            </w:pPr>
          </w:p>
        </w:tc>
        <w:tc>
          <w:tcPr>
            <w:tcW w:w="40" w:type="dxa"/>
            <w:vAlign w:val="bottom"/>
            <w:tcBorders>
              <w:bottom w:val="single" w:sz="8" w:color="CCEEFF"/>
            </w:tcBorders>
          </w:tcPr>
          <w:p>
            <w:pPr>
              <w:spacing w:after="0"/>
              <w:rPr>
                <w:sz w:val="12"/>
                <w:szCs w:val="12"/>
                <w:color w:val="auto"/>
              </w:rPr>
            </w:pPr>
          </w:p>
        </w:tc>
        <w:tc>
          <w:tcPr>
            <w:tcW w:w="38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spacing w:after="0"/>
              <w:rPr>
                <w:sz w:val="12"/>
                <w:szCs w:val="12"/>
                <w:color w:val="auto"/>
              </w:rPr>
            </w:pPr>
          </w:p>
        </w:tc>
        <w:tc>
          <w:tcPr>
            <w:tcW w:w="100" w:type="dxa"/>
            <w:vAlign w:val="bottom"/>
            <w:tcBorders>
              <w:bottom w:val="single" w:sz="8" w:color="CCEEFF"/>
            </w:tcBorders>
          </w:tcPr>
          <w:p>
            <w:pPr>
              <w:spacing w:after="0"/>
              <w:rPr>
                <w:sz w:val="12"/>
                <w:szCs w:val="12"/>
                <w:color w:val="auto"/>
              </w:rPr>
            </w:pPr>
          </w:p>
        </w:tc>
        <w:tc>
          <w:tcPr>
            <w:tcW w:w="60" w:type="dxa"/>
            <w:vAlign w:val="bottom"/>
            <w:tcBorders>
              <w:bottom w:val="single" w:sz="8" w:color="CCEEFF"/>
            </w:tcBorders>
          </w:tcPr>
          <w:p>
            <w:pPr>
              <w:spacing w:after="0"/>
              <w:rPr>
                <w:sz w:val="12"/>
                <w:szCs w:val="12"/>
                <w:color w:val="auto"/>
              </w:rPr>
            </w:pPr>
          </w:p>
        </w:tc>
        <w:tc>
          <w:tcPr>
            <w:tcW w:w="36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spacing w:after="0"/>
              <w:rPr>
                <w:sz w:val="12"/>
                <w:szCs w:val="12"/>
                <w:color w:val="auto"/>
              </w:rPr>
            </w:pPr>
          </w:p>
        </w:tc>
        <w:tc>
          <w:tcPr>
            <w:tcW w:w="16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620" w:type="dxa"/>
            <w:vAlign w:val="bottom"/>
            <w:tcBorders>
              <w:bottom w:val="single" w:sz="8" w:color="CCEEFF"/>
            </w:tcBorders>
            <w:shd w:val="clear" w:color="auto" w:fill="CCEEFF"/>
          </w:tcPr>
          <w:p>
            <w:pPr>
              <w:spacing w:after="0" w:line="142" w:lineRule="exact"/>
              <w:rPr>
                <w:sz w:val="20"/>
                <w:szCs w:val="20"/>
                <w:color w:val="auto"/>
              </w:rPr>
            </w:pPr>
            <w:r>
              <w:rPr>
                <w:rFonts w:ascii="Arial" w:cs="Arial" w:eastAsia="Arial" w:hAnsi="Arial"/>
                <w:sz w:val="14"/>
                <w:szCs w:val="14"/>
                <w:b w:val="1"/>
                <w:bCs w:val="1"/>
                <w:color w:val="auto"/>
              </w:rPr>
              <w:t>Net Income/(Loss)</w:t>
            </w:r>
          </w:p>
        </w:tc>
        <w:tc>
          <w:tcPr>
            <w:tcW w:w="120" w:type="dxa"/>
            <w:vAlign w:val="bottom"/>
            <w:tcBorders>
              <w:bottom w:val="single" w:sz="8" w:color="CCEEFF"/>
            </w:tcBorders>
            <w:shd w:val="clear" w:color="auto" w:fill="CCEEFF"/>
          </w:tcPr>
          <w:p>
            <w:pPr>
              <w:spacing w:after="0"/>
              <w:rPr>
                <w:sz w:val="12"/>
                <w:szCs w:val="12"/>
                <w:color w:val="auto"/>
              </w:rPr>
            </w:pPr>
          </w:p>
        </w:tc>
        <w:tc>
          <w:tcPr>
            <w:tcW w:w="440" w:type="dxa"/>
            <w:vAlign w:val="bottom"/>
            <w:tcBorders>
              <w:bottom w:val="single" w:sz="8" w:color="auto"/>
            </w:tcBorders>
            <w:shd w:val="clear" w:color="auto" w:fill="CCEEFF"/>
          </w:tcPr>
          <w:p>
            <w:pPr>
              <w:jc w:val="right"/>
              <w:ind w:right="329"/>
              <w:spacing w:after="0"/>
              <w:rPr>
                <w:sz w:val="20"/>
                <w:szCs w:val="20"/>
                <w:color w:val="auto"/>
              </w:rPr>
            </w:pPr>
            <w:r>
              <w:rPr>
                <w:rFonts w:ascii="Arial" w:cs="Arial" w:eastAsia="Arial" w:hAnsi="Arial"/>
                <w:sz w:val="10"/>
                <w:szCs w:val="10"/>
                <w:b w:val="1"/>
                <w:bCs w:val="1"/>
                <w:color w:val="auto"/>
                <w:w w:val="71"/>
              </w:rPr>
              <w:t>$</w:t>
            </w:r>
          </w:p>
        </w:tc>
        <w:tc>
          <w:tcPr>
            <w:tcW w:w="60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4,424</w:t>
            </w:r>
          </w:p>
        </w:tc>
        <w:tc>
          <w:tcPr>
            <w:tcW w:w="160" w:type="dxa"/>
            <w:vAlign w:val="bottom"/>
            <w:tcBorders>
              <w:bottom w:val="single" w:sz="8" w:color="CCEEFF"/>
            </w:tcBorders>
            <w:shd w:val="clear" w:color="auto" w:fill="CCEEFF"/>
          </w:tcPr>
          <w:p>
            <w:pPr>
              <w:spacing w:after="0"/>
              <w:rPr>
                <w:sz w:val="12"/>
                <w:szCs w:val="12"/>
                <w:color w:val="auto"/>
              </w:rPr>
            </w:pPr>
          </w:p>
        </w:tc>
        <w:tc>
          <w:tcPr>
            <w:tcW w:w="400" w:type="dxa"/>
            <w:vAlign w:val="bottom"/>
            <w:tcBorders>
              <w:bottom w:val="single" w:sz="8" w:color="auto"/>
            </w:tcBorders>
            <w:shd w:val="clear" w:color="auto" w:fill="CCEEFF"/>
          </w:tcPr>
          <w:p>
            <w:pPr>
              <w:jc w:val="right"/>
              <w:ind w:right="289"/>
              <w:spacing w:after="0"/>
              <w:rPr>
                <w:sz w:val="20"/>
                <w:szCs w:val="20"/>
                <w:color w:val="auto"/>
              </w:rPr>
            </w:pPr>
            <w:r>
              <w:rPr>
                <w:rFonts w:ascii="Arial" w:cs="Arial" w:eastAsia="Arial" w:hAnsi="Arial"/>
                <w:sz w:val="10"/>
                <w:szCs w:val="10"/>
                <w:b w:val="1"/>
                <w:bCs w:val="1"/>
                <w:color w:val="auto"/>
                <w:w w:val="71"/>
              </w:rPr>
              <w:t>$</w:t>
            </w:r>
          </w:p>
        </w:tc>
        <w:tc>
          <w:tcPr>
            <w:tcW w:w="64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(448)</w:t>
            </w:r>
          </w:p>
        </w:tc>
        <w:tc>
          <w:tcPr>
            <w:tcW w:w="160" w:type="dxa"/>
            <w:vAlign w:val="bottom"/>
            <w:tcBorders>
              <w:bottom w:val="single" w:sz="8" w:color="CCEEFF"/>
            </w:tcBorders>
            <w:shd w:val="clear" w:color="auto" w:fill="CCEEFF"/>
          </w:tcPr>
          <w:p>
            <w:pPr>
              <w:spacing w:after="0"/>
              <w:rPr>
                <w:sz w:val="12"/>
                <w:szCs w:val="12"/>
                <w:color w:val="auto"/>
              </w:rPr>
            </w:pPr>
          </w:p>
        </w:tc>
        <w:tc>
          <w:tcPr>
            <w:tcW w:w="80" w:type="dxa"/>
            <w:vAlign w:val="bottom"/>
            <w:tcBorders>
              <w:bottom w:val="single" w:sz="8" w:color="CCEEFF"/>
            </w:tcBorders>
            <w:shd w:val="clear" w:color="auto" w:fill="CCEEFF"/>
          </w:tcPr>
          <w:p>
            <w:pPr>
              <w:spacing w:after="0"/>
              <w:rPr>
                <w:sz w:val="12"/>
                <w:szCs w:val="12"/>
                <w:color w:val="auto"/>
              </w:rPr>
            </w:pPr>
          </w:p>
        </w:tc>
        <w:tc>
          <w:tcPr>
            <w:tcW w:w="360" w:type="dxa"/>
            <w:vAlign w:val="bottom"/>
            <w:tcBorders>
              <w:bottom w:val="single" w:sz="8" w:color="auto"/>
            </w:tcBorders>
            <w:shd w:val="clear" w:color="auto" w:fill="CCEEFF"/>
          </w:tcPr>
          <w:p>
            <w:pPr>
              <w:jc w:val="right"/>
              <w:ind w:right="208"/>
              <w:spacing w:after="0" w:line="142" w:lineRule="exact"/>
              <w:rPr>
                <w:sz w:val="20"/>
                <w:szCs w:val="20"/>
                <w:color w:val="auto"/>
              </w:rPr>
            </w:pPr>
            <w:r>
              <w:rPr>
                <w:rFonts w:ascii="Arial" w:cs="Arial" w:eastAsia="Arial" w:hAnsi="Arial"/>
                <w:sz w:val="14"/>
                <w:szCs w:val="14"/>
                <w:b w:val="1"/>
                <w:bCs w:val="1"/>
                <w:color w:val="auto"/>
                <w:w w:val="76"/>
              </w:rPr>
              <w:t>$</w:t>
            </w:r>
          </w:p>
        </w:tc>
        <w:tc>
          <w:tcPr>
            <w:tcW w:w="62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3,976</w:t>
            </w:r>
          </w:p>
        </w:tc>
        <w:tc>
          <w:tcPr>
            <w:tcW w:w="160" w:type="dxa"/>
            <w:vAlign w:val="bottom"/>
            <w:tcBorders>
              <w:bottom w:val="single" w:sz="8" w:color="CCEEFF"/>
            </w:tcBorders>
            <w:shd w:val="clear" w:color="auto" w:fill="CCEEFF"/>
          </w:tcPr>
          <w:p>
            <w:pPr>
              <w:spacing w:after="0"/>
              <w:rPr>
                <w:sz w:val="12"/>
                <w:szCs w:val="12"/>
                <w:color w:val="auto"/>
              </w:rPr>
            </w:pPr>
          </w:p>
        </w:tc>
        <w:tc>
          <w:tcPr>
            <w:tcW w:w="340" w:type="dxa"/>
            <w:vAlign w:val="bottom"/>
            <w:tcBorders>
              <w:bottom w:val="single" w:sz="8" w:color="auto"/>
            </w:tcBorders>
            <w:shd w:val="clear" w:color="auto" w:fill="CCEEFF"/>
          </w:tcPr>
          <w:p>
            <w:pPr>
              <w:jc w:val="right"/>
              <w:ind w:right="188"/>
              <w:spacing w:after="0" w:line="142" w:lineRule="exact"/>
              <w:rPr>
                <w:sz w:val="20"/>
                <w:szCs w:val="20"/>
                <w:color w:val="auto"/>
              </w:rPr>
            </w:pPr>
            <w:r>
              <w:rPr>
                <w:rFonts w:ascii="Arial" w:cs="Arial" w:eastAsia="Arial" w:hAnsi="Arial"/>
                <w:sz w:val="14"/>
                <w:szCs w:val="14"/>
                <w:b w:val="1"/>
                <w:bCs w:val="1"/>
                <w:color w:val="auto"/>
                <w:w w:val="76"/>
              </w:rPr>
              <w:t>$</w:t>
            </w:r>
          </w:p>
        </w:tc>
        <w:tc>
          <w:tcPr>
            <w:tcW w:w="72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26,076</w:t>
            </w:r>
          </w:p>
        </w:tc>
        <w:tc>
          <w:tcPr>
            <w:tcW w:w="160" w:type="dxa"/>
            <w:vAlign w:val="bottom"/>
            <w:tcBorders>
              <w:bottom w:val="single" w:sz="8" w:color="CCEEFF"/>
            </w:tcBorders>
            <w:shd w:val="clear" w:color="auto" w:fill="CCEEFF"/>
          </w:tcPr>
          <w:p>
            <w:pPr>
              <w:spacing w:after="0"/>
              <w:rPr>
                <w:sz w:val="12"/>
                <w:szCs w:val="12"/>
                <w:color w:val="auto"/>
              </w:rPr>
            </w:pPr>
          </w:p>
        </w:tc>
        <w:tc>
          <w:tcPr>
            <w:tcW w:w="400" w:type="dxa"/>
            <w:vAlign w:val="bottom"/>
            <w:tcBorders>
              <w:bottom w:val="single" w:sz="8" w:color="auto"/>
            </w:tcBorders>
            <w:shd w:val="clear" w:color="auto" w:fill="CCEEFF"/>
          </w:tcPr>
          <w:p>
            <w:pPr>
              <w:jc w:val="right"/>
              <w:ind w:right="248"/>
              <w:spacing w:after="0" w:line="142" w:lineRule="exact"/>
              <w:rPr>
                <w:sz w:val="20"/>
                <w:szCs w:val="20"/>
                <w:color w:val="auto"/>
              </w:rPr>
            </w:pPr>
            <w:r>
              <w:rPr>
                <w:rFonts w:ascii="Arial" w:cs="Arial" w:eastAsia="Arial" w:hAnsi="Arial"/>
                <w:sz w:val="14"/>
                <w:szCs w:val="14"/>
                <w:b w:val="1"/>
                <w:bCs w:val="1"/>
                <w:color w:val="auto"/>
                <w:w w:val="76"/>
              </w:rPr>
              <w:t>$</w:t>
            </w:r>
          </w:p>
        </w:tc>
        <w:tc>
          <w:tcPr>
            <w:tcW w:w="66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4,818</w:t>
            </w:r>
          </w:p>
        </w:tc>
        <w:tc>
          <w:tcPr>
            <w:tcW w:w="120" w:type="dxa"/>
            <w:vAlign w:val="bottom"/>
            <w:tcBorders>
              <w:bottom w:val="single" w:sz="8" w:color="CCEEFF"/>
            </w:tcBorders>
            <w:shd w:val="clear" w:color="auto" w:fill="CCEEFF"/>
          </w:tcPr>
          <w:p>
            <w:pPr>
              <w:spacing w:after="0"/>
              <w:rPr>
                <w:sz w:val="12"/>
                <w:szCs w:val="12"/>
                <w:color w:val="auto"/>
              </w:rPr>
            </w:pPr>
          </w:p>
        </w:tc>
        <w:tc>
          <w:tcPr>
            <w:tcW w:w="320" w:type="dxa"/>
            <w:vAlign w:val="bottom"/>
            <w:tcBorders>
              <w:bottom w:val="single" w:sz="8" w:color="auto"/>
            </w:tcBorders>
            <w:shd w:val="clear" w:color="auto" w:fill="CCEEFF"/>
          </w:tcPr>
          <w:p>
            <w:pPr>
              <w:jc w:val="right"/>
              <w:ind w:right="209"/>
              <w:spacing w:after="0"/>
              <w:rPr>
                <w:sz w:val="20"/>
                <w:szCs w:val="20"/>
                <w:color w:val="auto"/>
              </w:rPr>
            </w:pPr>
            <w:r>
              <w:rPr>
                <w:rFonts w:ascii="Arial" w:cs="Arial" w:eastAsia="Arial" w:hAnsi="Arial"/>
                <w:sz w:val="10"/>
                <w:szCs w:val="10"/>
                <w:b w:val="1"/>
                <w:bCs w:val="1"/>
                <w:color w:val="auto"/>
                <w:w w:val="71"/>
              </w:rPr>
              <w:t>$</w:t>
            </w:r>
          </w:p>
        </w:tc>
        <w:tc>
          <w:tcPr>
            <w:tcW w:w="72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30,894</w:t>
            </w:r>
          </w:p>
        </w:tc>
        <w:tc>
          <w:tcPr>
            <w:tcW w:w="120" w:type="dxa"/>
            <w:vAlign w:val="bottom"/>
            <w:tcBorders>
              <w:bottom w:val="single" w:sz="8" w:color="CCEEFF"/>
            </w:tcBorders>
            <w:shd w:val="clear" w:color="auto" w:fill="CCEEFF"/>
          </w:tcPr>
          <w:p>
            <w:pPr>
              <w:spacing w:after="0"/>
              <w:rPr>
                <w:sz w:val="12"/>
                <w:szCs w:val="12"/>
                <w:color w:val="auto"/>
              </w:rPr>
            </w:pPr>
          </w:p>
        </w:tc>
        <w:tc>
          <w:tcPr>
            <w:tcW w:w="40" w:type="dxa"/>
            <w:vAlign w:val="bottom"/>
            <w:tcBorders>
              <w:bottom w:val="single" w:sz="8" w:color="CCEEFF"/>
            </w:tcBorders>
            <w:shd w:val="clear" w:color="auto" w:fill="CCEEFF"/>
          </w:tcPr>
          <w:p>
            <w:pPr>
              <w:spacing w:after="0"/>
              <w:rPr>
                <w:sz w:val="12"/>
                <w:szCs w:val="12"/>
                <w:color w:val="auto"/>
              </w:rPr>
            </w:pPr>
          </w:p>
        </w:tc>
        <w:tc>
          <w:tcPr>
            <w:tcW w:w="380" w:type="dxa"/>
            <w:vAlign w:val="bottom"/>
            <w:tcBorders>
              <w:bottom w:val="single" w:sz="8" w:color="auto"/>
            </w:tcBorders>
            <w:shd w:val="clear" w:color="auto" w:fill="CCEEFF"/>
          </w:tcPr>
          <w:p>
            <w:pPr>
              <w:jc w:val="right"/>
              <w:ind w:right="228"/>
              <w:spacing w:after="0" w:line="142" w:lineRule="exact"/>
              <w:rPr>
                <w:sz w:val="20"/>
                <w:szCs w:val="20"/>
                <w:color w:val="auto"/>
              </w:rPr>
            </w:pPr>
            <w:r>
              <w:rPr>
                <w:rFonts w:ascii="Arial" w:cs="Arial" w:eastAsia="Arial" w:hAnsi="Arial"/>
                <w:sz w:val="14"/>
                <w:szCs w:val="14"/>
                <w:b w:val="1"/>
                <w:bCs w:val="1"/>
                <w:color w:val="auto"/>
                <w:w w:val="76"/>
              </w:rPr>
              <w:t>$</w:t>
            </w:r>
          </w:p>
        </w:tc>
        <w:tc>
          <w:tcPr>
            <w:tcW w:w="68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7,872</w:t>
            </w:r>
          </w:p>
        </w:tc>
        <w:tc>
          <w:tcPr>
            <w:tcW w:w="100" w:type="dxa"/>
            <w:vAlign w:val="bottom"/>
            <w:tcBorders>
              <w:bottom w:val="single" w:sz="8" w:color="CCEEFF"/>
            </w:tcBorders>
            <w:shd w:val="clear" w:color="auto" w:fill="CCEEFF"/>
          </w:tcPr>
          <w:p>
            <w:pPr>
              <w:spacing w:after="0"/>
              <w:rPr>
                <w:sz w:val="12"/>
                <w:szCs w:val="12"/>
                <w:color w:val="auto"/>
              </w:rPr>
            </w:pPr>
          </w:p>
        </w:tc>
        <w:tc>
          <w:tcPr>
            <w:tcW w:w="60" w:type="dxa"/>
            <w:vAlign w:val="bottom"/>
            <w:tcBorders>
              <w:bottom w:val="single" w:sz="8" w:color="CCEEFF"/>
            </w:tcBorders>
            <w:shd w:val="clear" w:color="auto" w:fill="CCEEFF"/>
          </w:tcPr>
          <w:p>
            <w:pPr>
              <w:spacing w:after="0"/>
              <w:rPr>
                <w:sz w:val="12"/>
                <w:szCs w:val="12"/>
                <w:color w:val="auto"/>
              </w:rPr>
            </w:pPr>
          </w:p>
        </w:tc>
        <w:tc>
          <w:tcPr>
            <w:tcW w:w="360" w:type="dxa"/>
            <w:vAlign w:val="bottom"/>
            <w:tcBorders>
              <w:bottom w:val="single" w:sz="8" w:color="auto"/>
            </w:tcBorders>
            <w:shd w:val="clear" w:color="auto" w:fill="CCEEFF"/>
          </w:tcPr>
          <w:p>
            <w:pPr>
              <w:jc w:val="right"/>
              <w:ind w:right="208"/>
              <w:spacing w:after="0" w:line="142" w:lineRule="exact"/>
              <w:rPr>
                <w:sz w:val="20"/>
                <w:szCs w:val="20"/>
                <w:color w:val="auto"/>
              </w:rPr>
            </w:pPr>
            <w:r>
              <w:rPr>
                <w:rFonts w:ascii="Arial" w:cs="Arial" w:eastAsia="Arial" w:hAnsi="Arial"/>
                <w:sz w:val="14"/>
                <w:szCs w:val="14"/>
                <w:b w:val="1"/>
                <w:bCs w:val="1"/>
                <w:color w:val="auto"/>
                <w:w w:val="76"/>
              </w:rPr>
              <w:t>$</w:t>
            </w:r>
          </w:p>
        </w:tc>
        <w:tc>
          <w:tcPr>
            <w:tcW w:w="70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b w:val="1"/>
                <w:bCs w:val="1"/>
                <w:color w:val="auto"/>
              </w:rPr>
              <w:t>10,728</w:t>
            </w:r>
          </w:p>
        </w:tc>
        <w:tc>
          <w:tcPr>
            <w:tcW w:w="160" w:type="dxa"/>
            <w:vAlign w:val="bottom"/>
            <w:tcBorders>
              <w:bottom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vMerge w:val="restart"/>
          </w:tcPr>
          <w:p>
            <w:pPr>
              <w:spacing w:after="0"/>
              <w:rPr>
                <w:sz w:val="11"/>
                <w:szCs w:val="11"/>
                <w:color w:val="auto"/>
              </w:rPr>
            </w:pPr>
          </w:p>
        </w:tc>
        <w:tc>
          <w:tcPr>
            <w:tcW w:w="16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162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Retail ARPU</w:t>
            </w:r>
          </w:p>
        </w:tc>
        <w:tc>
          <w:tcPr>
            <w:tcW w:w="560" w:type="dxa"/>
            <w:vAlign w:val="bottom"/>
            <w:gridSpan w:val="2"/>
            <w:shd w:val="clear" w:color="auto" w:fill="CCEEFF"/>
          </w:tcPr>
          <w:p>
            <w:pPr>
              <w:jc w:val="right"/>
              <w:ind w:right="329"/>
              <w:spacing w:after="0" w:line="149" w:lineRule="exact"/>
              <w:rPr>
                <w:sz w:val="20"/>
                <w:szCs w:val="20"/>
                <w:color w:val="auto"/>
              </w:rPr>
            </w:pPr>
            <w:r>
              <w:rPr>
                <w:rFonts w:ascii="Arial" w:cs="Arial" w:eastAsia="Arial" w:hAnsi="Arial"/>
                <w:sz w:val="14"/>
                <w:szCs w:val="14"/>
                <w:b w:val="1"/>
                <w:bCs w:val="1"/>
                <w:color w:val="auto"/>
              </w:rPr>
              <w:t>$</w:t>
            </w: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69.40</w:t>
            </w:r>
          </w:p>
        </w:tc>
        <w:tc>
          <w:tcPr>
            <w:tcW w:w="160" w:type="dxa"/>
            <w:vAlign w:val="bottom"/>
            <w:shd w:val="clear" w:color="auto" w:fill="CCEEFF"/>
          </w:tcPr>
          <w:p>
            <w:pPr>
              <w:spacing w:after="0"/>
              <w:rPr>
                <w:sz w:val="12"/>
                <w:szCs w:val="12"/>
                <w:color w:val="auto"/>
              </w:rPr>
            </w:pPr>
          </w:p>
        </w:tc>
        <w:tc>
          <w:tcPr>
            <w:tcW w:w="400" w:type="dxa"/>
            <w:vAlign w:val="bottom"/>
            <w:shd w:val="clear" w:color="auto" w:fill="CCEEFF"/>
          </w:tcPr>
          <w:p>
            <w:pPr>
              <w:jc w:val="right"/>
              <w:ind w:right="289"/>
              <w:spacing w:after="0"/>
              <w:rPr>
                <w:sz w:val="20"/>
                <w:szCs w:val="20"/>
                <w:color w:val="auto"/>
              </w:rPr>
            </w:pPr>
            <w:r>
              <w:rPr>
                <w:rFonts w:ascii="Arial" w:cs="Arial" w:eastAsia="Arial" w:hAnsi="Arial"/>
                <w:sz w:val="10"/>
                <w:szCs w:val="10"/>
                <w:b w:val="1"/>
                <w:bCs w:val="1"/>
                <w:color w:val="auto"/>
                <w:w w:val="71"/>
              </w:rPr>
              <w:t>$</w:t>
            </w:r>
          </w:p>
        </w:tc>
        <w:tc>
          <w:tcPr>
            <w:tcW w:w="8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b w:val="1"/>
                <w:bCs w:val="1"/>
                <w:color w:val="auto"/>
              </w:rPr>
              <w:t>(1.10)</w:t>
            </w:r>
          </w:p>
        </w:tc>
        <w:tc>
          <w:tcPr>
            <w:tcW w:w="440" w:type="dxa"/>
            <w:vAlign w:val="bottom"/>
            <w:gridSpan w:val="2"/>
            <w:shd w:val="clear" w:color="auto" w:fill="CCEEFF"/>
          </w:tcPr>
          <w:p>
            <w:pPr>
              <w:jc w:val="right"/>
              <w:ind w:right="208"/>
              <w:spacing w:after="0" w:line="149" w:lineRule="exact"/>
              <w:rPr>
                <w:sz w:val="20"/>
                <w:szCs w:val="20"/>
                <w:color w:val="auto"/>
              </w:rPr>
            </w:pPr>
            <w:r>
              <w:rPr>
                <w:rFonts w:ascii="Arial" w:cs="Arial" w:eastAsia="Arial" w:hAnsi="Arial"/>
                <w:sz w:val="14"/>
                <w:szCs w:val="14"/>
                <w:b w:val="1"/>
                <w:bCs w:val="1"/>
                <w:color w:val="auto"/>
              </w:rPr>
              <w:t>$</w:t>
            </w: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68.30</w:t>
            </w:r>
          </w:p>
        </w:tc>
        <w:tc>
          <w:tcPr>
            <w:tcW w:w="160" w:type="dxa"/>
            <w:vAlign w:val="bottom"/>
            <w:shd w:val="clear" w:color="auto" w:fill="CCEEFF"/>
          </w:tcPr>
          <w:p>
            <w:pPr>
              <w:spacing w:after="0"/>
              <w:rPr>
                <w:sz w:val="12"/>
                <w:szCs w:val="12"/>
                <w:color w:val="auto"/>
              </w:rPr>
            </w:pPr>
          </w:p>
        </w:tc>
        <w:tc>
          <w:tcPr>
            <w:tcW w:w="340" w:type="dxa"/>
            <w:vAlign w:val="bottom"/>
            <w:shd w:val="clear" w:color="auto" w:fill="CCEEFF"/>
          </w:tcPr>
          <w:p>
            <w:pPr>
              <w:jc w:val="right"/>
              <w:ind w:right="188"/>
              <w:spacing w:after="0" w:line="149" w:lineRule="exact"/>
              <w:rPr>
                <w:sz w:val="20"/>
                <w:szCs w:val="20"/>
                <w:color w:val="auto"/>
              </w:rPr>
            </w:pPr>
            <w:r>
              <w:rPr>
                <w:rFonts w:ascii="Arial" w:cs="Arial" w:eastAsia="Arial" w:hAnsi="Arial"/>
                <w:sz w:val="14"/>
                <w:szCs w:val="14"/>
                <w:b w:val="1"/>
                <w:bCs w:val="1"/>
                <w:color w:val="auto"/>
                <w:w w:val="76"/>
              </w:rPr>
              <w:t>$</w:t>
            </w:r>
          </w:p>
        </w:tc>
        <w:tc>
          <w:tcPr>
            <w:tcW w:w="7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61.61</w:t>
            </w:r>
          </w:p>
        </w:tc>
        <w:tc>
          <w:tcPr>
            <w:tcW w:w="160" w:type="dxa"/>
            <w:vAlign w:val="bottom"/>
            <w:shd w:val="clear" w:color="auto" w:fill="CCEEFF"/>
          </w:tcPr>
          <w:p>
            <w:pPr>
              <w:spacing w:after="0"/>
              <w:rPr>
                <w:sz w:val="12"/>
                <w:szCs w:val="12"/>
                <w:color w:val="auto"/>
              </w:rPr>
            </w:pPr>
          </w:p>
        </w:tc>
        <w:tc>
          <w:tcPr>
            <w:tcW w:w="400" w:type="dxa"/>
            <w:vAlign w:val="bottom"/>
            <w:shd w:val="clear" w:color="auto" w:fill="CCEEFF"/>
          </w:tcPr>
          <w:p>
            <w:pPr>
              <w:jc w:val="right"/>
              <w:ind w:right="248"/>
              <w:spacing w:after="0" w:line="149" w:lineRule="exact"/>
              <w:rPr>
                <w:sz w:val="20"/>
                <w:szCs w:val="20"/>
                <w:color w:val="auto"/>
              </w:rPr>
            </w:pPr>
            <w:r>
              <w:rPr>
                <w:rFonts w:ascii="Arial" w:cs="Arial" w:eastAsia="Arial" w:hAnsi="Arial"/>
                <w:sz w:val="14"/>
                <w:szCs w:val="14"/>
                <w:b w:val="1"/>
                <w:bCs w:val="1"/>
                <w:color w:val="auto"/>
                <w:w w:val="76"/>
              </w:rPr>
              <w:t>$</w:t>
            </w: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5.24</w:t>
            </w:r>
          </w:p>
        </w:tc>
        <w:tc>
          <w:tcPr>
            <w:tcW w:w="120" w:type="dxa"/>
            <w:vAlign w:val="bottom"/>
            <w:shd w:val="clear" w:color="auto" w:fill="CCEEFF"/>
          </w:tcPr>
          <w:p>
            <w:pPr>
              <w:spacing w:after="0"/>
              <w:rPr>
                <w:sz w:val="12"/>
                <w:szCs w:val="12"/>
                <w:color w:val="auto"/>
              </w:rPr>
            </w:pPr>
          </w:p>
        </w:tc>
        <w:tc>
          <w:tcPr>
            <w:tcW w:w="320" w:type="dxa"/>
            <w:vAlign w:val="bottom"/>
            <w:shd w:val="clear" w:color="auto" w:fill="CCEEFF"/>
          </w:tcPr>
          <w:p>
            <w:pPr>
              <w:jc w:val="right"/>
              <w:ind w:right="209"/>
              <w:spacing w:after="0"/>
              <w:rPr>
                <w:sz w:val="20"/>
                <w:szCs w:val="20"/>
                <w:color w:val="auto"/>
              </w:rPr>
            </w:pPr>
            <w:r>
              <w:rPr>
                <w:rFonts w:ascii="Arial" w:cs="Arial" w:eastAsia="Arial" w:hAnsi="Arial"/>
                <w:sz w:val="10"/>
                <w:szCs w:val="10"/>
                <w:b w:val="1"/>
                <w:bCs w:val="1"/>
                <w:color w:val="auto"/>
                <w:w w:val="71"/>
              </w:rPr>
              <w:t>$</w:t>
            </w:r>
          </w:p>
        </w:tc>
        <w:tc>
          <w:tcPr>
            <w:tcW w:w="7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66.85</w:t>
            </w:r>
          </w:p>
        </w:tc>
        <w:tc>
          <w:tcPr>
            <w:tcW w:w="120" w:type="dxa"/>
            <w:vAlign w:val="bottom"/>
            <w:shd w:val="clear" w:color="auto" w:fill="CCEEFF"/>
          </w:tcPr>
          <w:p>
            <w:pPr>
              <w:spacing w:after="0"/>
              <w:rPr>
                <w:sz w:val="12"/>
                <w:szCs w:val="12"/>
                <w:color w:val="auto"/>
              </w:rPr>
            </w:pPr>
          </w:p>
        </w:tc>
        <w:tc>
          <w:tcPr>
            <w:tcW w:w="420" w:type="dxa"/>
            <w:vAlign w:val="bottom"/>
            <w:gridSpan w:val="2"/>
            <w:shd w:val="clear" w:color="auto" w:fill="CCEEFF"/>
          </w:tcPr>
          <w:p>
            <w:pPr>
              <w:jc w:val="right"/>
              <w:ind w:right="228"/>
              <w:spacing w:after="0" w:line="149" w:lineRule="exact"/>
              <w:rPr>
                <w:sz w:val="20"/>
                <w:szCs w:val="20"/>
                <w:color w:val="auto"/>
              </w:rPr>
            </w:pPr>
            <w:r>
              <w:rPr>
                <w:rFonts w:ascii="Arial" w:cs="Arial" w:eastAsia="Arial" w:hAnsi="Arial"/>
                <w:sz w:val="14"/>
                <w:szCs w:val="14"/>
                <w:b w:val="1"/>
                <w:bCs w:val="1"/>
                <w:color w:val="auto"/>
              </w:rPr>
              <w:t>$</w:t>
            </w: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74.88</w:t>
            </w:r>
          </w:p>
        </w:tc>
        <w:tc>
          <w:tcPr>
            <w:tcW w:w="100" w:type="dxa"/>
            <w:vAlign w:val="bottom"/>
            <w:shd w:val="clear" w:color="auto" w:fill="CCEEFF"/>
          </w:tcPr>
          <w:p>
            <w:pPr>
              <w:spacing w:after="0"/>
              <w:rPr>
                <w:sz w:val="12"/>
                <w:szCs w:val="12"/>
                <w:color w:val="auto"/>
              </w:rPr>
            </w:pPr>
          </w:p>
        </w:tc>
        <w:tc>
          <w:tcPr>
            <w:tcW w:w="420" w:type="dxa"/>
            <w:vAlign w:val="bottom"/>
            <w:gridSpan w:val="2"/>
            <w:shd w:val="clear" w:color="auto" w:fill="CCEEFF"/>
          </w:tcPr>
          <w:p>
            <w:pPr>
              <w:jc w:val="right"/>
              <w:ind w:right="208"/>
              <w:spacing w:after="0" w:line="149" w:lineRule="exact"/>
              <w:rPr>
                <w:sz w:val="20"/>
                <w:szCs w:val="20"/>
                <w:color w:val="auto"/>
              </w:rPr>
            </w:pPr>
            <w:r>
              <w:rPr>
                <w:rFonts w:ascii="Arial" w:cs="Arial" w:eastAsia="Arial" w:hAnsi="Arial"/>
                <w:sz w:val="14"/>
                <w:szCs w:val="14"/>
                <w:b w:val="1"/>
                <w:bCs w:val="1"/>
                <w:color w:val="auto"/>
              </w:rPr>
              <w:t>$</w:t>
            </w: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69.55</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62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440" w:type="dxa"/>
            <w:vAlign w:val="bottom"/>
            <w:tcBorders>
              <w:bottom w:val="single" w:sz="8" w:color="auto"/>
            </w:tcBorders>
          </w:tcPr>
          <w:p>
            <w:pPr>
              <w:spacing w:after="0"/>
              <w:rPr>
                <w:sz w:val="9"/>
                <w:szCs w:val="9"/>
                <w:color w:val="auto"/>
              </w:rPr>
            </w:pPr>
          </w:p>
        </w:tc>
        <w:tc>
          <w:tcPr>
            <w:tcW w:w="600" w:type="dxa"/>
            <w:vAlign w:val="bottom"/>
          </w:tcPr>
          <w:p>
            <w:pPr>
              <w:spacing w:after="0"/>
              <w:rPr>
                <w:sz w:val="9"/>
                <w:szCs w:val="9"/>
                <w:color w:val="auto"/>
              </w:rPr>
            </w:pPr>
          </w:p>
        </w:tc>
        <w:tc>
          <w:tcPr>
            <w:tcW w:w="160" w:type="dxa"/>
            <w:vAlign w:val="bottom"/>
          </w:tcPr>
          <w:p>
            <w:pPr>
              <w:spacing w:after="0"/>
              <w:rPr>
                <w:sz w:val="9"/>
                <w:szCs w:val="9"/>
                <w:color w:val="auto"/>
              </w:rPr>
            </w:pPr>
          </w:p>
        </w:tc>
        <w:tc>
          <w:tcPr>
            <w:tcW w:w="400" w:type="dxa"/>
            <w:vAlign w:val="bottom"/>
          </w:tcPr>
          <w:p>
            <w:pPr>
              <w:spacing w:after="0"/>
              <w:rPr>
                <w:sz w:val="9"/>
                <w:szCs w:val="9"/>
                <w:color w:val="auto"/>
              </w:rPr>
            </w:pPr>
          </w:p>
        </w:tc>
        <w:tc>
          <w:tcPr>
            <w:tcW w:w="64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360" w:type="dxa"/>
            <w:vAlign w:val="bottom"/>
          </w:tcPr>
          <w:p>
            <w:pPr>
              <w:spacing w:after="0"/>
              <w:rPr>
                <w:sz w:val="9"/>
                <w:szCs w:val="9"/>
                <w:color w:val="auto"/>
              </w:rPr>
            </w:pPr>
          </w:p>
        </w:tc>
        <w:tc>
          <w:tcPr>
            <w:tcW w:w="620" w:type="dxa"/>
            <w:vAlign w:val="bottom"/>
          </w:tcPr>
          <w:p>
            <w:pPr>
              <w:spacing w:after="0"/>
              <w:rPr>
                <w:sz w:val="9"/>
                <w:szCs w:val="9"/>
                <w:color w:val="auto"/>
              </w:rPr>
            </w:pPr>
          </w:p>
        </w:tc>
        <w:tc>
          <w:tcPr>
            <w:tcW w:w="160" w:type="dxa"/>
            <w:vAlign w:val="bottom"/>
          </w:tcPr>
          <w:p>
            <w:pPr>
              <w:spacing w:after="0"/>
              <w:rPr>
                <w:sz w:val="9"/>
                <w:szCs w:val="9"/>
                <w:color w:val="auto"/>
              </w:rPr>
            </w:pPr>
          </w:p>
        </w:tc>
        <w:tc>
          <w:tcPr>
            <w:tcW w:w="340" w:type="dxa"/>
            <w:vAlign w:val="bottom"/>
          </w:tcPr>
          <w:p>
            <w:pPr>
              <w:spacing w:after="0"/>
              <w:rPr>
                <w:sz w:val="9"/>
                <w:szCs w:val="9"/>
                <w:color w:val="auto"/>
              </w:rPr>
            </w:pPr>
          </w:p>
        </w:tc>
        <w:tc>
          <w:tcPr>
            <w:tcW w:w="720" w:type="dxa"/>
            <w:vAlign w:val="bottom"/>
          </w:tcPr>
          <w:p>
            <w:pPr>
              <w:spacing w:after="0"/>
              <w:rPr>
                <w:sz w:val="9"/>
                <w:szCs w:val="9"/>
                <w:color w:val="auto"/>
              </w:rPr>
            </w:pPr>
          </w:p>
        </w:tc>
        <w:tc>
          <w:tcPr>
            <w:tcW w:w="160" w:type="dxa"/>
            <w:vAlign w:val="bottom"/>
          </w:tcPr>
          <w:p>
            <w:pPr>
              <w:spacing w:after="0"/>
              <w:rPr>
                <w:sz w:val="9"/>
                <w:szCs w:val="9"/>
                <w:color w:val="auto"/>
              </w:rPr>
            </w:pPr>
          </w:p>
        </w:tc>
        <w:tc>
          <w:tcPr>
            <w:tcW w:w="400" w:type="dxa"/>
            <w:vAlign w:val="bottom"/>
          </w:tcPr>
          <w:p>
            <w:pPr>
              <w:spacing w:after="0"/>
              <w:rPr>
                <w:sz w:val="9"/>
                <w:szCs w:val="9"/>
                <w:color w:val="auto"/>
              </w:rPr>
            </w:pPr>
          </w:p>
        </w:tc>
        <w:tc>
          <w:tcPr>
            <w:tcW w:w="660" w:type="dxa"/>
            <w:vAlign w:val="bottom"/>
          </w:tcPr>
          <w:p>
            <w:pPr>
              <w:spacing w:after="0"/>
              <w:rPr>
                <w:sz w:val="9"/>
                <w:szCs w:val="9"/>
                <w:color w:val="auto"/>
              </w:rPr>
            </w:pPr>
          </w:p>
        </w:tc>
        <w:tc>
          <w:tcPr>
            <w:tcW w:w="120" w:type="dxa"/>
            <w:vAlign w:val="bottom"/>
          </w:tcPr>
          <w:p>
            <w:pPr>
              <w:spacing w:after="0"/>
              <w:rPr>
                <w:sz w:val="9"/>
                <w:szCs w:val="9"/>
                <w:color w:val="auto"/>
              </w:rPr>
            </w:pPr>
          </w:p>
        </w:tc>
        <w:tc>
          <w:tcPr>
            <w:tcW w:w="320" w:type="dxa"/>
            <w:vAlign w:val="bottom"/>
          </w:tcPr>
          <w:p>
            <w:pPr>
              <w:spacing w:after="0"/>
              <w:rPr>
                <w:sz w:val="9"/>
                <w:szCs w:val="9"/>
                <w:color w:val="auto"/>
              </w:rPr>
            </w:pPr>
          </w:p>
        </w:tc>
        <w:tc>
          <w:tcPr>
            <w:tcW w:w="720" w:type="dxa"/>
            <w:vAlign w:val="bottom"/>
          </w:tcPr>
          <w:p>
            <w:pPr>
              <w:spacing w:after="0"/>
              <w:rPr>
                <w:sz w:val="9"/>
                <w:szCs w:val="9"/>
                <w:color w:val="auto"/>
              </w:rPr>
            </w:pPr>
          </w:p>
        </w:tc>
        <w:tc>
          <w:tcPr>
            <w:tcW w:w="120" w:type="dxa"/>
            <w:vAlign w:val="bottom"/>
          </w:tcPr>
          <w:p>
            <w:pPr>
              <w:spacing w:after="0"/>
              <w:rPr>
                <w:sz w:val="9"/>
                <w:szCs w:val="9"/>
                <w:color w:val="auto"/>
              </w:rPr>
            </w:pPr>
          </w:p>
        </w:tc>
        <w:tc>
          <w:tcPr>
            <w:tcW w:w="40" w:type="dxa"/>
            <w:vAlign w:val="bottom"/>
          </w:tcPr>
          <w:p>
            <w:pPr>
              <w:spacing w:after="0"/>
              <w:rPr>
                <w:sz w:val="9"/>
                <w:szCs w:val="9"/>
                <w:color w:val="auto"/>
              </w:rPr>
            </w:pPr>
          </w:p>
        </w:tc>
        <w:tc>
          <w:tcPr>
            <w:tcW w:w="380" w:type="dxa"/>
            <w:vAlign w:val="bottom"/>
          </w:tcPr>
          <w:p>
            <w:pPr>
              <w:spacing w:after="0"/>
              <w:rPr>
                <w:sz w:val="9"/>
                <w:szCs w:val="9"/>
                <w:color w:val="auto"/>
              </w:rPr>
            </w:pPr>
          </w:p>
        </w:tc>
        <w:tc>
          <w:tcPr>
            <w:tcW w:w="680" w:type="dxa"/>
            <w:vAlign w:val="bottom"/>
          </w:tcPr>
          <w:p>
            <w:pPr>
              <w:spacing w:after="0"/>
              <w:rPr>
                <w:sz w:val="9"/>
                <w:szCs w:val="9"/>
                <w:color w:val="auto"/>
              </w:rPr>
            </w:pPr>
          </w:p>
        </w:tc>
        <w:tc>
          <w:tcPr>
            <w:tcW w:w="100" w:type="dxa"/>
            <w:vAlign w:val="bottom"/>
          </w:tcPr>
          <w:p>
            <w:pPr>
              <w:spacing w:after="0"/>
              <w:rPr>
                <w:sz w:val="9"/>
                <w:szCs w:val="9"/>
                <w:color w:val="auto"/>
              </w:rPr>
            </w:pPr>
          </w:p>
        </w:tc>
        <w:tc>
          <w:tcPr>
            <w:tcW w:w="60" w:type="dxa"/>
            <w:vAlign w:val="bottom"/>
          </w:tcPr>
          <w:p>
            <w:pPr>
              <w:spacing w:after="0"/>
              <w:rPr>
                <w:sz w:val="9"/>
                <w:szCs w:val="9"/>
                <w:color w:val="auto"/>
              </w:rPr>
            </w:pPr>
          </w:p>
        </w:tc>
        <w:tc>
          <w:tcPr>
            <w:tcW w:w="360" w:type="dxa"/>
            <w:vAlign w:val="bottom"/>
          </w:tcPr>
          <w:p>
            <w:pPr>
              <w:spacing w:after="0"/>
              <w:rPr>
                <w:sz w:val="9"/>
                <w:szCs w:val="9"/>
                <w:color w:val="auto"/>
              </w:rPr>
            </w:pPr>
          </w:p>
        </w:tc>
        <w:tc>
          <w:tcPr>
            <w:tcW w:w="700" w:type="dxa"/>
            <w:vAlign w:val="bottom"/>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9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w:t>
      </w:r>
    </w:p>
    <w:p>
      <w:pPr>
        <w:spacing w:after="0" w:line="27" w:lineRule="exact"/>
        <w:rPr>
          <w:sz w:val="20"/>
          <w:szCs w:val="20"/>
          <w:color w:val="auto"/>
        </w:rPr>
      </w:pPr>
    </w:p>
    <w:p>
      <w:pPr>
        <w:spacing w:after="0"/>
        <w:tabs>
          <w:tab w:leader="none" w:pos="360" w:val="left"/>
        </w:tabs>
        <w:rPr>
          <w:sz w:val="20"/>
          <w:szCs w:val="20"/>
          <w:color w:val="auto"/>
        </w:rPr>
      </w:pPr>
      <w:r>
        <w:rPr>
          <w:rFonts w:ascii="Arial" w:cs="Arial" w:eastAsia="Arial" w:hAnsi="Arial"/>
          <w:sz w:val="18"/>
          <w:szCs w:val="18"/>
          <w:color w:val="auto"/>
        </w:rPr>
        <w:t>/1</w:t>
        <w:tab/>
        <w:t>Liberty Plans are adjusted to reflect revenue as though they were monthly plans.</w:t>
      </w:r>
    </w:p>
    <w:p>
      <w:pPr>
        <w:spacing w:after="0" w:line="211" w:lineRule="exact"/>
        <w:rPr>
          <w:sz w:val="20"/>
          <w:szCs w:val="20"/>
          <w:color w:val="auto"/>
        </w:rPr>
      </w:pPr>
    </w:p>
    <w:p>
      <w:pPr>
        <w:spacing w:after="0"/>
        <w:tabs>
          <w:tab w:leader="none" w:pos="360" w:val="left"/>
        </w:tabs>
        <w:rPr>
          <w:sz w:val="20"/>
          <w:szCs w:val="20"/>
          <w:color w:val="auto"/>
        </w:rPr>
      </w:pPr>
      <w:r>
        <w:rPr>
          <w:rFonts w:ascii="Arial" w:cs="Arial" w:eastAsia="Arial" w:hAnsi="Arial"/>
          <w:sz w:val="18"/>
          <w:szCs w:val="18"/>
          <w:color w:val="auto"/>
        </w:rPr>
        <w:t>/2</w:t>
        <w:tab/>
        <w:t>Excludes Other Income/(Expense) which consists primarily of foreign exchange transaction gain/loss.</w:t>
      </w:r>
    </w:p>
    <w:p>
      <w:pPr>
        <w:spacing w:after="0" w:line="225" w:lineRule="exact"/>
        <w:rPr>
          <w:sz w:val="20"/>
          <w:szCs w:val="20"/>
          <w:color w:val="auto"/>
        </w:rPr>
      </w:pPr>
    </w:p>
    <w:p>
      <w:pPr>
        <w:spacing w:after="0"/>
        <w:tabs>
          <w:tab w:leader="none" w:pos="360" w:val="left"/>
        </w:tabs>
        <w:rPr>
          <w:sz w:val="20"/>
          <w:szCs w:val="20"/>
          <w:color w:val="auto"/>
        </w:rPr>
      </w:pPr>
      <w:r>
        <w:rPr>
          <w:rFonts w:ascii="Arial" w:cs="Arial" w:eastAsia="Arial" w:hAnsi="Arial"/>
          <w:sz w:val="16"/>
          <w:szCs w:val="16"/>
          <w:color w:val="auto"/>
        </w:rPr>
        <w:t>/3</w:t>
        <w:tab/>
        <w:t>It is not necessary to show Adjusted Revenue, Adjusted EBITDA and Adjusted ARPU due to immaterial nature of Liberty Plans adjustment in 2005.</w:t>
      </w: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ind w:left="660" w:right="140" w:hanging="652"/>
        <w:spacing w:after="0" w:line="312" w:lineRule="auto"/>
        <w:tabs>
          <w:tab w:leader="none" w:pos="681" w:val="left"/>
        </w:tabs>
        <w:numPr>
          <w:ilvl w:val="0"/>
          <w:numId w:val="5"/>
        </w:numPr>
        <w:rPr>
          <w:rFonts w:ascii="Arial" w:cs="Arial" w:eastAsia="Arial" w:hAnsi="Arial"/>
          <w:sz w:val="16"/>
          <w:szCs w:val="16"/>
          <w:color w:val="auto"/>
        </w:rPr>
      </w:pPr>
      <w:r>
        <w:rPr>
          <w:rFonts w:ascii="Arial" w:cs="Arial" w:eastAsia="Arial" w:hAnsi="Arial"/>
          <w:sz w:val="16"/>
          <w:szCs w:val="16"/>
          <w:color w:val="auto"/>
        </w:rPr>
        <w:t>Adjusted Service Revenue, Adjusted EBITDA and Adjusted APRU are adjustments made to reflect the Company’s annual service pricing plans called Liberty Plans that are adjusted and reported as though they were Globalstar monthly service plans. Management uses Adjusted figures for service revenue, EBITDA, and ARPU in order to manage the Company’s business and to compare its results more closely to the results of its peers.</w:t>
      </w:r>
    </w:p>
    <w:p>
      <w:pPr>
        <w:spacing w:after="0" w:line="146" w:lineRule="exact"/>
        <w:rPr>
          <w:rFonts w:ascii="Arial" w:cs="Arial" w:eastAsia="Arial" w:hAnsi="Arial"/>
          <w:sz w:val="16"/>
          <w:szCs w:val="16"/>
          <w:color w:val="auto"/>
        </w:rPr>
      </w:pPr>
    </w:p>
    <w:p>
      <w:pPr>
        <w:ind w:left="660" w:right="240" w:hanging="652"/>
        <w:spacing w:after="0" w:line="297" w:lineRule="auto"/>
        <w:tabs>
          <w:tab w:leader="none" w:pos="681" w:val="left"/>
        </w:tabs>
        <w:numPr>
          <w:ilvl w:val="0"/>
          <w:numId w:val="5"/>
        </w:numPr>
        <w:rPr>
          <w:rFonts w:ascii="Arial" w:cs="Arial" w:eastAsia="Arial" w:hAnsi="Arial"/>
          <w:sz w:val="16"/>
          <w:szCs w:val="16"/>
          <w:color w:val="auto"/>
        </w:rPr>
      </w:pPr>
      <w:r>
        <w:rPr>
          <w:rFonts w:ascii="Arial" w:cs="Arial" w:eastAsia="Arial" w:hAnsi="Arial"/>
          <w:sz w:val="16"/>
          <w:szCs w:val="16"/>
          <w:color w:val="auto"/>
        </w:rPr>
        <w:t>Average monthly revenue per user (ARPU) measures service revenues per month divided by the average number of retail subscribers during that month. Average monthly revenue per user as so defined may not be similar to average monthly revenue per user as defined by other companies in the Company’s industry, is not a measurement under GAAP and should be considered in addition to, but not as a substitute for, the information contained in the Company’s statement of operations. The Company believes that average monthly revenue per user provides useful information concerning the appeal of its rate plans and service offerings and its performance in attracting and retaining high value customers.</w:t>
      </w:r>
    </w:p>
    <w:p>
      <w:pPr>
        <w:spacing w:after="0" w:line="158" w:lineRule="exact"/>
        <w:rPr>
          <w:rFonts w:ascii="Arial" w:cs="Arial" w:eastAsia="Arial" w:hAnsi="Arial"/>
          <w:sz w:val="16"/>
          <w:szCs w:val="16"/>
          <w:color w:val="auto"/>
        </w:rPr>
      </w:pPr>
    </w:p>
    <w:p>
      <w:pPr>
        <w:ind w:left="660" w:right="200" w:hanging="652"/>
        <w:spacing w:after="0" w:line="277" w:lineRule="auto"/>
        <w:tabs>
          <w:tab w:leader="none" w:pos="681"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Company defines churn rate as the aggregate number of its retail subscribers (excluding Simplex customers and customers of the independent gateway operators) who cancel service during a month, divided by the average number of retail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338455</wp:posOffset>
            </wp:positionV>
            <wp:extent cx="7267575" cy="298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ind w:left="660" w:right="40"/>
        <w:spacing w:after="0" w:line="286" w:lineRule="auto"/>
        <w:rPr>
          <w:sz w:val="20"/>
          <w:szCs w:val="20"/>
          <w:color w:val="auto"/>
        </w:rPr>
      </w:pPr>
      <w:r>
        <w:rPr>
          <w:rFonts w:ascii="Arial" w:cs="Arial" w:eastAsia="Arial" w:hAnsi="Arial"/>
          <w:sz w:val="17"/>
          <w:szCs w:val="17"/>
          <w:color w:val="auto"/>
        </w:rPr>
        <w:t>subscribers during the month. Others in the Company’s industry may calculate churn rate differently. Churn rate is not a measurement under GAAP and should be considered in addition to, but not as a substitute for, the information contained in the Company’s statement of operations. The Company believes that churn rate provides useful information concerning customer satisfaction with its services and products.</w:t>
      </w:r>
    </w:p>
    <w:p>
      <w:pPr>
        <w:spacing w:after="0" w:line="166" w:lineRule="exact"/>
        <w:rPr>
          <w:sz w:val="20"/>
          <w:szCs w:val="20"/>
          <w:color w:val="auto"/>
        </w:rPr>
      </w:pPr>
    </w:p>
    <w:p>
      <w:pPr>
        <w:ind w:left="660" w:right="20" w:hanging="652"/>
        <w:spacing w:after="0" w:line="264" w:lineRule="auto"/>
        <w:tabs>
          <w:tab w:leader="none" w:pos="681" w:val="left"/>
        </w:tabs>
        <w:numPr>
          <w:ilvl w:val="0"/>
          <w:numId w:val="6"/>
        </w:numPr>
        <w:rPr>
          <w:rFonts w:ascii="Arial" w:cs="Arial" w:eastAsia="Arial" w:hAnsi="Arial"/>
          <w:sz w:val="18"/>
          <w:szCs w:val="18"/>
          <w:color w:val="auto"/>
        </w:rPr>
      </w:pPr>
      <w:r>
        <w:rPr>
          <w:rFonts w:ascii="Arial" w:cs="Arial" w:eastAsia="Arial" w:hAnsi="Arial"/>
          <w:sz w:val="18"/>
          <w:szCs w:val="18"/>
          <w:color w:val="auto"/>
        </w:rPr>
        <w:t>EBITDA represents earnings before interest, income taxes, depreciation and amortization. EBITDA does not represent and should not be considered as an alternative to GAAP measurements, such as net income, and the Company’s calculations thereof may not be comparable to similarly entitled measures reported by other companies.</w:t>
      </w:r>
    </w:p>
    <w:p>
      <w:pPr>
        <w:spacing w:after="0" w:line="181" w:lineRule="exact"/>
        <w:rPr>
          <w:sz w:val="20"/>
          <w:szCs w:val="20"/>
          <w:color w:val="auto"/>
        </w:rPr>
      </w:pPr>
    </w:p>
    <w:p>
      <w:pPr>
        <w:ind w:left="660" w:right="20"/>
        <w:spacing w:after="0" w:line="270" w:lineRule="auto"/>
        <w:rPr>
          <w:sz w:val="20"/>
          <w:szCs w:val="20"/>
          <w:color w:val="auto"/>
        </w:rPr>
      </w:pPr>
      <w:r>
        <w:rPr>
          <w:rFonts w:ascii="Arial" w:cs="Arial" w:eastAsia="Arial" w:hAnsi="Arial"/>
          <w:sz w:val="17"/>
          <w:szCs w:val="17"/>
          <w:color w:val="auto"/>
        </w:rPr>
        <w:t>The Company uses EBITDA as the primary measurement of its operating performance because, be eliminating interest, taxes and the non-cash items of depreciation and amortization, the Company believes it best reflects changes across time in the Company’s performance, including the effects of pricing, cost control and other operational decisions. The Company’s management uses EBITDA for planning purposes, including the preparation of our annual operating budget. The Company believes that EBITDA also is useful to investors because it is frequently used by securities analysts, investors and other interested parties in their evaluation of companies in similar industries. As indicated, EBITDA does not include interest expense on borrowed money or depreciation expense on our capital assets or the payment of taxes, which are necessary elements of the Company’s operations. Because EBITDA does not account for these expenses, its utility as a measure of the Company’s operating performance has material limitations. Because of these limitations, the Company’s management does not view EBITDA in isolation and also uses other measurements, such as net income, revenues and operating profit, to measure operating performance.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345440</wp:posOffset>
            </wp:positionV>
            <wp:extent cx="7267575" cy="298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SCHEDULE OF SELECTED OPERATING METRICS</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 in Thousands, except ARPU)</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9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040" w:type="dxa"/>
            <w:vAlign w:val="bottom"/>
            <w:gridSpan w:val="6"/>
          </w:tcPr>
          <w:p>
            <w:pPr>
              <w:jc w:val="right"/>
              <w:ind w:right="560"/>
              <w:spacing w:after="0"/>
              <w:rPr>
                <w:sz w:val="20"/>
                <w:szCs w:val="20"/>
                <w:color w:val="auto"/>
              </w:rPr>
            </w:pPr>
            <w:r>
              <w:rPr>
                <w:rFonts w:ascii="Arial" w:cs="Arial" w:eastAsia="Arial" w:hAnsi="Arial"/>
                <w:sz w:val="14"/>
                <w:szCs w:val="14"/>
                <w:b w:val="1"/>
                <w:bCs w:val="1"/>
                <w:color w:val="auto"/>
              </w:rPr>
              <w:t>Three Months Ended</w:t>
            </w:r>
          </w:p>
        </w:tc>
        <w:tc>
          <w:tcPr>
            <w:tcW w:w="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000" w:type="dxa"/>
            <w:vAlign w:val="bottom"/>
            <w:gridSpan w:val="5"/>
          </w:tcPr>
          <w:p>
            <w:pPr>
              <w:jc w:val="right"/>
              <w:ind w:right="580"/>
              <w:spacing w:after="0"/>
              <w:rPr>
                <w:sz w:val="20"/>
                <w:szCs w:val="20"/>
                <w:color w:val="auto"/>
              </w:rPr>
            </w:pPr>
            <w:r>
              <w:rPr>
                <w:rFonts w:ascii="Arial" w:cs="Arial" w:eastAsia="Arial" w:hAnsi="Arial"/>
                <w:sz w:val="14"/>
                <w:szCs w:val="14"/>
                <w:b w:val="1"/>
                <w:bCs w:val="1"/>
                <w:color w:val="auto"/>
              </w:rPr>
              <w:t>Nine Months Ended</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69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040" w:type="dxa"/>
            <w:vAlign w:val="bottom"/>
            <w:gridSpan w:val="6"/>
          </w:tcPr>
          <w:p>
            <w:pPr>
              <w:jc w:val="right"/>
              <w:ind w:right="780"/>
              <w:spacing w:after="0"/>
              <w:rPr>
                <w:sz w:val="20"/>
                <w:szCs w:val="20"/>
                <w:color w:val="auto"/>
              </w:rPr>
            </w:pPr>
            <w:r>
              <w:rPr>
                <w:rFonts w:ascii="Arial" w:cs="Arial" w:eastAsia="Arial" w:hAnsi="Arial"/>
                <w:sz w:val="14"/>
                <w:szCs w:val="14"/>
                <w:b w:val="1"/>
                <w:bCs w:val="1"/>
                <w:color w:val="auto"/>
              </w:rPr>
              <w:t>September 30,</w:t>
            </w:r>
          </w:p>
        </w:tc>
        <w:tc>
          <w:tcPr>
            <w:tcW w:w="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000" w:type="dxa"/>
            <w:vAlign w:val="bottom"/>
            <w:gridSpan w:val="5"/>
          </w:tcPr>
          <w:p>
            <w:pPr>
              <w:jc w:val="right"/>
              <w:ind w:right="760"/>
              <w:spacing w:after="0"/>
              <w:rPr>
                <w:sz w:val="20"/>
                <w:szCs w:val="20"/>
                <w:color w:val="auto"/>
              </w:rPr>
            </w:pPr>
            <w:r>
              <w:rPr>
                <w:rFonts w:ascii="Arial" w:cs="Arial" w:eastAsia="Arial" w:hAnsi="Arial"/>
                <w:sz w:val="14"/>
                <w:szCs w:val="14"/>
                <w:b w:val="1"/>
                <w:bCs w:val="1"/>
                <w:color w:val="auto"/>
              </w:rPr>
              <w:t>September 30,</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920" w:type="dxa"/>
            <w:vAlign w:val="bottom"/>
          </w:tcPr>
          <w:p>
            <w:pPr>
              <w:spacing w:after="0"/>
              <w:rPr>
                <w:sz w:val="11"/>
                <w:szCs w:val="11"/>
                <w:color w:val="auto"/>
              </w:rPr>
            </w:pPr>
          </w:p>
        </w:tc>
        <w:tc>
          <w:tcPr>
            <w:tcW w:w="200" w:type="dxa"/>
            <w:vAlign w:val="bottom"/>
            <w:tcBorders>
              <w:top w:val="single" w:sz="8" w:color="auto"/>
              <w:bottom w:val="single" w:sz="8" w:color="auto"/>
            </w:tcBorders>
          </w:tcPr>
          <w:p>
            <w:pPr>
              <w:spacing w:after="0"/>
              <w:rPr>
                <w:sz w:val="11"/>
                <w:szCs w:val="11"/>
                <w:color w:val="auto"/>
              </w:rPr>
            </w:pPr>
          </w:p>
        </w:tc>
        <w:tc>
          <w:tcPr>
            <w:tcW w:w="700" w:type="dxa"/>
            <w:vAlign w:val="bottom"/>
            <w:tcBorders>
              <w:top w:val="single" w:sz="8" w:color="auto"/>
              <w:bottom w:val="single" w:sz="8" w:color="auto"/>
            </w:tcBorders>
          </w:tcPr>
          <w:p>
            <w:pPr>
              <w:jc w:val="right"/>
              <w:ind w:right="217"/>
              <w:spacing w:after="0" w:line="129" w:lineRule="exact"/>
              <w:rPr>
                <w:sz w:val="20"/>
                <w:szCs w:val="20"/>
                <w:color w:val="auto"/>
              </w:rPr>
            </w:pPr>
            <w:r>
              <w:rPr>
                <w:rFonts w:ascii="Arial" w:cs="Arial" w:eastAsia="Arial" w:hAnsi="Arial"/>
                <w:sz w:val="14"/>
                <w:szCs w:val="14"/>
                <w:b w:val="1"/>
                <w:bCs w:val="1"/>
                <w:color w:val="auto"/>
              </w:rPr>
              <w:t>2006</w:t>
            </w:r>
          </w:p>
        </w:tc>
        <w:tc>
          <w:tcPr>
            <w:tcW w:w="220" w:type="dxa"/>
            <w:vAlign w:val="bottom"/>
            <w:tcBorders>
              <w:top w:val="single" w:sz="8" w:color="auto"/>
            </w:tcBorders>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80" w:type="dxa"/>
            <w:vAlign w:val="bottom"/>
            <w:tcBorders>
              <w:top w:val="single" w:sz="8" w:color="auto"/>
              <w:bottom w:val="single" w:sz="8" w:color="auto"/>
            </w:tcBorders>
          </w:tcPr>
          <w:p>
            <w:pPr>
              <w:spacing w:after="0"/>
              <w:rPr>
                <w:sz w:val="11"/>
                <w:szCs w:val="11"/>
                <w:color w:val="auto"/>
              </w:rPr>
            </w:pPr>
          </w:p>
        </w:tc>
        <w:tc>
          <w:tcPr>
            <w:tcW w:w="680" w:type="dxa"/>
            <w:vAlign w:val="bottom"/>
            <w:tcBorders>
              <w:top w:val="single" w:sz="8" w:color="auto"/>
              <w:bottom w:val="single" w:sz="8" w:color="auto"/>
            </w:tcBorders>
          </w:tcPr>
          <w:p>
            <w:pPr>
              <w:jc w:val="right"/>
              <w:ind w:right="214"/>
              <w:spacing w:after="0" w:line="129" w:lineRule="exact"/>
              <w:rPr>
                <w:sz w:val="20"/>
                <w:szCs w:val="20"/>
                <w:color w:val="auto"/>
              </w:rPr>
            </w:pPr>
            <w:r>
              <w:rPr>
                <w:rFonts w:ascii="Arial" w:cs="Arial" w:eastAsia="Arial" w:hAnsi="Arial"/>
                <w:sz w:val="14"/>
                <w:szCs w:val="14"/>
                <w:b w:val="1"/>
                <w:bCs w:val="1"/>
                <w:color w:val="auto"/>
              </w:rPr>
              <w:t>2005</w:t>
            </w:r>
          </w:p>
        </w:tc>
        <w:tc>
          <w:tcPr>
            <w:tcW w:w="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80" w:type="dxa"/>
            <w:vAlign w:val="bottom"/>
            <w:tcBorders>
              <w:top w:val="single" w:sz="8" w:color="auto"/>
              <w:bottom w:val="single" w:sz="8" w:color="auto"/>
            </w:tcBorders>
          </w:tcPr>
          <w:p>
            <w:pPr>
              <w:spacing w:after="0"/>
              <w:rPr>
                <w:sz w:val="11"/>
                <w:szCs w:val="11"/>
                <w:color w:val="auto"/>
              </w:rPr>
            </w:pPr>
          </w:p>
        </w:tc>
        <w:tc>
          <w:tcPr>
            <w:tcW w:w="680" w:type="dxa"/>
            <w:vAlign w:val="bottom"/>
            <w:tcBorders>
              <w:top w:val="single" w:sz="8" w:color="auto"/>
              <w:bottom w:val="single" w:sz="8" w:color="auto"/>
            </w:tcBorders>
          </w:tcPr>
          <w:p>
            <w:pPr>
              <w:jc w:val="right"/>
              <w:ind w:right="217"/>
              <w:spacing w:after="0" w:line="129" w:lineRule="exact"/>
              <w:rPr>
                <w:sz w:val="20"/>
                <w:szCs w:val="20"/>
                <w:color w:val="auto"/>
              </w:rPr>
            </w:pPr>
            <w:r>
              <w:rPr>
                <w:rFonts w:ascii="Arial" w:cs="Arial" w:eastAsia="Arial" w:hAnsi="Arial"/>
                <w:sz w:val="14"/>
                <w:szCs w:val="14"/>
                <w:b w:val="1"/>
                <w:bCs w:val="1"/>
                <w:color w:val="auto"/>
              </w:rPr>
              <w:t>2006</w:t>
            </w:r>
          </w:p>
        </w:tc>
        <w:tc>
          <w:tcPr>
            <w:tcW w:w="260" w:type="dxa"/>
            <w:vAlign w:val="bottom"/>
            <w:tcBorders>
              <w:top w:val="single" w:sz="8" w:color="auto"/>
            </w:tcBorders>
          </w:tcPr>
          <w:p>
            <w:pPr>
              <w:spacing w:after="0"/>
              <w:rPr>
                <w:sz w:val="11"/>
                <w:szCs w:val="11"/>
                <w:color w:val="auto"/>
              </w:rPr>
            </w:pPr>
          </w:p>
        </w:tc>
        <w:tc>
          <w:tcPr>
            <w:tcW w:w="180" w:type="dxa"/>
            <w:vAlign w:val="bottom"/>
            <w:tcBorders>
              <w:top w:val="single" w:sz="8" w:color="auto"/>
              <w:bottom w:val="single" w:sz="8" w:color="auto"/>
            </w:tcBorders>
          </w:tcPr>
          <w:p>
            <w:pPr>
              <w:spacing w:after="0"/>
              <w:rPr>
                <w:sz w:val="11"/>
                <w:szCs w:val="11"/>
                <w:color w:val="auto"/>
              </w:rPr>
            </w:pPr>
          </w:p>
        </w:tc>
        <w:tc>
          <w:tcPr>
            <w:tcW w:w="680" w:type="dxa"/>
            <w:vAlign w:val="bottom"/>
            <w:tcBorders>
              <w:top w:val="single" w:sz="8" w:color="auto"/>
              <w:bottom w:val="single" w:sz="8" w:color="auto"/>
            </w:tcBorders>
          </w:tcPr>
          <w:p>
            <w:pPr>
              <w:jc w:val="right"/>
              <w:ind w:right="214"/>
              <w:spacing w:after="0" w:line="129" w:lineRule="exact"/>
              <w:rPr>
                <w:sz w:val="20"/>
                <w:szCs w:val="20"/>
                <w:color w:val="auto"/>
              </w:rPr>
            </w:pPr>
            <w:r>
              <w:rPr>
                <w:rFonts w:ascii="Arial" w:cs="Arial" w:eastAsia="Arial" w:hAnsi="Arial"/>
                <w:sz w:val="14"/>
                <w:szCs w:val="14"/>
                <w:b w:val="1"/>
                <w:bCs w:val="1"/>
                <w:color w:val="auto"/>
              </w:rPr>
              <w:t>2005</w:t>
            </w:r>
          </w:p>
        </w:tc>
        <w:tc>
          <w:tcPr>
            <w:tcW w:w="2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69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920" w:type="dxa"/>
            <w:vAlign w:val="bottom"/>
            <w:shd w:val="clear" w:color="auto" w:fill="CCEEFF"/>
          </w:tcPr>
          <w:p>
            <w:pPr>
              <w:spacing w:after="0"/>
              <w:rPr>
                <w:sz w:val="20"/>
                <w:szCs w:val="20"/>
                <w:color w:val="auto"/>
              </w:rPr>
            </w:pPr>
            <w:r>
              <w:rPr>
                <w:rFonts w:ascii="Arial" w:cs="Arial" w:eastAsia="Arial" w:hAnsi="Arial"/>
                <w:sz w:val="18"/>
                <w:szCs w:val="18"/>
                <w:color w:val="auto"/>
              </w:rPr>
              <w:t>Subscribers (End of Period)</w:t>
            </w: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255,729</w:t>
            </w:r>
          </w:p>
        </w:tc>
        <w:tc>
          <w:tcPr>
            <w:tcW w:w="2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183,926</w:t>
            </w:r>
          </w:p>
        </w:tc>
        <w:tc>
          <w:tcPr>
            <w:tcW w:w="2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255,729</w:t>
            </w: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183,926</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69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920" w:type="dxa"/>
            <w:vAlign w:val="bottom"/>
            <w:shd w:val="clear" w:color="auto" w:fill="CCEEFF"/>
          </w:tcPr>
          <w:p>
            <w:pPr>
              <w:spacing w:after="0"/>
              <w:rPr>
                <w:sz w:val="20"/>
                <w:szCs w:val="20"/>
                <w:color w:val="auto"/>
              </w:rPr>
            </w:pPr>
            <w:r>
              <w:rPr>
                <w:rFonts w:ascii="Arial" w:cs="Arial" w:eastAsia="Arial" w:hAnsi="Arial"/>
                <w:sz w:val="18"/>
                <w:szCs w:val="18"/>
                <w:color w:val="auto"/>
              </w:rPr>
              <w:t>Additions</w:t>
            </w: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19,214</w:t>
            </w:r>
          </w:p>
        </w:tc>
        <w:tc>
          <w:tcPr>
            <w:tcW w:w="2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25,855</w:t>
            </w:r>
          </w:p>
        </w:tc>
        <w:tc>
          <w:tcPr>
            <w:tcW w:w="2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59,761</w:t>
            </w: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42,476</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69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920" w:type="dxa"/>
            <w:vAlign w:val="bottom"/>
            <w:shd w:val="clear" w:color="auto" w:fill="CCEEFF"/>
          </w:tcPr>
          <w:p>
            <w:pPr>
              <w:spacing w:after="0"/>
              <w:rPr>
                <w:sz w:val="20"/>
                <w:szCs w:val="20"/>
                <w:color w:val="auto"/>
              </w:rPr>
            </w:pPr>
            <w:r>
              <w:rPr>
                <w:rFonts w:ascii="Arial" w:cs="Arial" w:eastAsia="Arial" w:hAnsi="Arial"/>
                <w:sz w:val="18"/>
                <w:szCs w:val="18"/>
                <w:color w:val="auto"/>
              </w:rPr>
              <w:t>Retail Churn</w:t>
            </w:r>
          </w:p>
        </w:tc>
        <w:tc>
          <w:tcPr>
            <w:tcW w:w="2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0.9%</w:t>
            </w: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1.0%</w:t>
            </w: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1.0%</w:t>
            </w:r>
          </w:p>
        </w:tc>
        <w:tc>
          <w:tcPr>
            <w:tcW w:w="1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69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920" w:type="dxa"/>
            <w:vAlign w:val="bottom"/>
            <w:shd w:val="clear" w:color="auto" w:fill="CCEEFF"/>
          </w:tcPr>
          <w:p>
            <w:pPr>
              <w:spacing w:after="0"/>
              <w:rPr>
                <w:sz w:val="20"/>
                <w:szCs w:val="20"/>
                <w:color w:val="auto"/>
              </w:rPr>
            </w:pPr>
            <w:r>
              <w:rPr>
                <w:rFonts w:ascii="Arial" w:cs="Arial" w:eastAsia="Arial" w:hAnsi="Arial"/>
                <w:sz w:val="18"/>
                <w:szCs w:val="18"/>
                <w:color w:val="auto"/>
              </w:rPr>
              <w:t>ARPU</w:t>
            </w: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20" w:type="dxa"/>
            <w:vAlign w:val="bottom"/>
          </w:tcPr>
          <w:p>
            <w:pPr>
              <w:ind w:left="160"/>
              <w:spacing w:after="0"/>
              <w:rPr>
                <w:sz w:val="20"/>
                <w:szCs w:val="20"/>
                <w:color w:val="auto"/>
              </w:rPr>
            </w:pPr>
            <w:r>
              <w:rPr>
                <w:rFonts w:ascii="Arial" w:cs="Arial" w:eastAsia="Arial" w:hAnsi="Arial"/>
                <w:sz w:val="18"/>
                <w:szCs w:val="18"/>
                <w:color w:val="auto"/>
              </w:rPr>
              <w:t>Retail</w:t>
            </w: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20" w:type="dxa"/>
            <w:vAlign w:val="bottom"/>
            <w:shd w:val="clear" w:color="auto" w:fill="CCEEFF"/>
          </w:tcPr>
          <w:p>
            <w:pPr>
              <w:ind w:left="340"/>
              <w:spacing w:after="0"/>
              <w:rPr>
                <w:sz w:val="20"/>
                <w:szCs w:val="20"/>
                <w:color w:val="auto"/>
              </w:rPr>
            </w:pPr>
            <w:r>
              <w:rPr>
                <w:rFonts w:ascii="Arial" w:cs="Arial" w:eastAsia="Arial" w:hAnsi="Arial"/>
                <w:sz w:val="18"/>
                <w:szCs w:val="18"/>
                <w:color w:val="auto"/>
              </w:rPr>
              <w:t>GAAP</w:t>
            </w: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69.40</w:t>
            </w:r>
          </w:p>
        </w:tc>
        <w:tc>
          <w:tcPr>
            <w:tcW w:w="220" w:type="dxa"/>
            <w:vAlign w:val="bottom"/>
            <w:shd w:val="clear" w:color="auto" w:fill="CCEEFF"/>
          </w:tcPr>
          <w:p>
            <w:pPr>
              <w:spacing w:after="0"/>
              <w:rPr>
                <w:sz w:val="18"/>
                <w:szCs w:val="18"/>
                <w:color w:val="auto"/>
              </w:rPr>
            </w:pPr>
          </w:p>
        </w:tc>
        <w:tc>
          <w:tcPr>
            <w:tcW w:w="2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74.88</w:t>
            </w:r>
          </w:p>
        </w:tc>
        <w:tc>
          <w:tcPr>
            <w:tcW w:w="200" w:type="dxa"/>
            <w:vAlign w:val="bottom"/>
            <w:shd w:val="clear" w:color="auto" w:fill="CCEEFF"/>
          </w:tcPr>
          <w:p>
            <w:pPr>
              <w:spacing w:after="0"/>
              <w:rPr>
                <w:sz w:val="18"/>
                <w:szCs w:val="18"/>
                <w:color w:val="auto"/>
              </w:rPr>
            </w:pPr>
          </w:p>
        </w:tc>
        <w:tc>
          <w:tcPr>
            <w:tcW w:w="2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61.61</w:t>
            </w: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69.55</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6920" w:type="dxa"/>
            <w:vAlign w:val="bottom"/>
          </w:tcPr>
          <w:p>
            <w:pPr>
              <w:ind w:left="340"/>
              <w:spacing w:after="0"/>
              <w:rPr>
                <w:sz w:val="20"/>
                <w:szCs w:val="20"/>
                <w:color w:val="auto"/>
              </w:rPr>
            </w:pPr>
            <w:r>
              <w:rPr>
                <w:rFonts w:ascii="Arial" w:cs="Arial" w:eastAsia="Arial" w:hAnsi="Arial"/>
                <w:sz w:val="18"/>
                <w:szCs w:val="18"/>
                <w:color w:val="auto"/>
              </w:rPr>
              <w:t>Adjusted</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68.30</w:t>
            </w:r>
          </w:p>
        </w:tc>
        <w:tc>
          <w:tcPr>
            <w:tcW w:w="2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4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66.85</w:t>
            </w:r>
          </w:p>
        </w:tc>
        <w:tc>
          <w:tcPr>
            <w:tcW w:w="2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08" w:right="239" w:bottom="0" w:gutter="0" w:footer="0" w:header="0"/>
        </w:sectPr>
      </w:pPr>
    </w:p>
    <w:bookmarkStart w:id="6" w:name="page7"/>
    <w:bookmarkEnd w:id="6"/>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42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Wholesale</w:t>
            </w:r>
          </w:p>
        </w:tc>
        <w:tc>
          <w:tcPr>
            <w:tcW w:w="29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20" w:type="dxa"/>
            <w:vAlign w:val="bottom"/>
          </w:tcPr>
          <w:p>
            <w:pPr>
              <w:ind w:left="340"/>
              <w:spacing w:after="0"/>
              <w:rPr>
                <w:sz w:val="20"/>
                <w:szCs w:val="20"/>
                <w:color w:val="auto"/>
              </w:rPr>
            </w:pPr>
            <w:r>
              <w:rPr>
                <w:rFonts w:ascii="Arial" w:cs="Arial" w:eastAsia="Arial" w:hAnsi="Arial"/>
                <w:sz w:val="18"/>
                <w:szCs w:val="18"/>
                <w:color w:val="auto"/>
              </w:rPr>
              <w:t>GAAP</w:t>
            </w:r>
          </w:p>
        </w:tc>
        <w:tc>
          <w:tcPr>
            <w:tcW w:w="290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840" w:type="dxa"/>
            <w:vAlign w:val="bottom"/>
          </w:tcPr>
          <w:p>
            <w:pPr>
              <w:jc w:val="right"/>
              <w:ind w:right="70"/>
              <w:spacing w:after="0"/>
              <w:rPr>
                <w:sz w:val="20"/>
                <w:szCs w:val="20"/>
                <w:color w:val="auto"/>
              </w:rPr>
            </w:pPr>
            <w:r>
              <w:rPr>
                <w:rFonts w:ascii="Arial" w:cs="Arial" w:eastAsia="Arial" w:hAnsi="Arial"/>
                <w:sz w:val="18"/>
                <w:szCs w:val="18"/>
                <w:color w:val="auto"/>
              </w:rPr>
              <w:t>8.07</w:t>
            </w:r>
          </w:p>
        </w:tc>
        <w:tc>
          <w:tcPr>
            <w:tcW w:w="40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720" w:type="dxa"/>
            <w:vAlign w:val="bottom"/>
          </w:tcPr>
          <w:p>
            <w:pPr>
              <w:jc w:val="right"/>
              <w:ind w:right="50"/>
              <w:spacing w:after="0"/>
              <w:rPr>
                <w:sz w:val="20"/>
                <w:szCs w:val="20"/>
                <w:color w:val="auto"/>
              </w:rPr>
            </w:pPr>
            <w:r>
              <w:rPr>
                <w:rFonts w:ascii="Arial" w:cs="Arial" w:eastAsia="Arial" w:hAnsi="Arial"/>
                <w:sz w:val="18"/>
                <w:szCs w:val="18"/>
                <w:color w:val="auto"/>
              </w:rPr>
              <w:t>8.76</w:t>
            </w:r>
          </w:p>
        </w:tc>
        <w:tc>
          <w:tcPr>
            <w:tcW w:w="36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760" w:type="dxa"/>
            <w:vAlign w:val="bottom"/>
          </w:tcPr>
          <w:p>
            <w:pPr>
              <w:jc w:val="right"/>
              <w:ind w:right="50"/>
              <w:spacing w:after="0"/>
              <w:rPr>
                <w:sz w:val="20"/>
                <w:szCs w:val="20"/>
                <w:color w:val="auto"/>
              </w:rPr>
            </w:pPr>
            <w:r>
              <w:rPr>
                <w:rFonts w:ascii="Arial" w:cs="Arial" w:eastAsia="Arial" w:hAnsi="Arial"/>
                <w:sz w:val="18"/>
                <w:szCs w:val="18"/>
                <w:color w:val="auto"/>
              </w:rPr>
              <w:t>8.39</w:t>
            </w:r>
          </w:p>
        </w:tc>
        <w:tc>
          <w:tcPr>
            <w:tcW w:w="40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800" w:type="dxa"/>
            <w:vAlign w:val="bottom"/>
          </w:tcPr>
          <w:p>
            <w:pPr>
              <w:jc w:val="right"/>
              <w:ind w:right="130"/>
              <w:spacing w:after="0"/>
              <w:rPr>
                <w:sz w:val="20"/>
                <w:szCs w:val="20"/>
                <w:color w:val="auto"/>
              </w:rPr>
            </w:pPr>
            <w:r>
              <w:rPr>
                <w:rFonts w:ascii="Arial" w:cs="Arial" w:eastAsia="Arial" w:hAnsi="Arial"/>
                <w:sz w:val="18"/>
                <w:szCs w:val="18"/>
                <w:color w:val="auto"/>
              </w:rPr>
              <w:t>8.98</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220" w:type="dxa"/>
            <w:vAlign w:val="bottom"/>
            <w:shd w:val="clear" w:color="auto" w:fill="CCEEFF"/>
          </w:tcPr>
          <w:p>
            <w:pPr>
              <w:spacing w:after="0"/>
              <w:rPr>
                <w:sz w:val="18"/>
                <w:szCs w:val="18"/>
                <w:color w:val="auto"/>
              </w:rPr>
            </w:pPr>
          </w:p>
        </w:tc>
        <w:tc>
          <w:tcPr>
            <w:tcW w:w="29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220" w:type="dxa"/>
            <w:vAlign w:val="bottom"/>
          </w:tcPr>
          <w:p>
            <w:pPr>
              <w:spacing w:after="0"/>
              <w:rPr>
                <w:sz w:val="20"/>
                <w:szCs w:val="20"/>
                <w:color w:val="auto"/>
              </w:rPr>
            </w:pPr>
            <w:r>
              <w:rPr>
                <w:rFonts w:ascii="Arial" w:cs="Arial" w:eastAsia="Arial" w:hAnsi="Arial"/>
                <w:sz w:val="18"/>
                <w:szCs w:val="18"/>
                <w:color w:val="auto"/>
              </w:rPr>
              <w:t>Capital expenditures</w:t>
            </w:r>
          </w:p>
        </w:tc>
        <w:tc>
          <w:tcPr>
            <w:tcW w:w="290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840" w:type="dxa"/>
            <w:vAlign w:val="bottom"/>
          </w:tcPr>
          <w:p>
            <w:pPr>
              <w:jc w:val="right"/>
              <w:ind w:right="70"/>
              <w:spacing w:after="0"/>
              <w:rPr>
                <w:sz w:val="20"/>
                <w:szCs w:val="20"/>
                <w:color w:val="auto"/>
              </w:rPr>
            </w:pPr>
            <w:r>
              <w:rPr>
                <w:rFonts w:ascii="Arial" w:cs="Arial" w:eastAsia="Arial" w:hAnsi="Arial"/>
                <w:sz w:val="18"/>
                <w:szCs w:val="18"/>
                <w:color w:val="auto"/>
              </w:rPr>
              <w:t>12,697</w:t>
            </w:r>
          </w:p>
        </w:tc>
        <w:tc>
          <w:tcPr>
            <w:tcW w:w="40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720" w:type="dxa"/>
            <w:vAlign w:val="bottom"/>
          </w:tcPr>
          <w:p>
            <w:pPr>
              <w:jc w:val="right"/>
              <w:ind w:right="50"/>
              <w:spacing w:after="0"/>
              <w:rPr>
                <w:sz w:val="20"/>
                <w:szCs w:val="20"/>
                <w:color w:val="auto"/>
              </w:rPr>
            </w:pPr>
            <w:r>
              <w:rPr>
                <w:rFonts w:ascii="Arial" w:cs="Arial" w:eastAsia="Arial" w:hAnsi="Arial"/>
                <w:sz w:val="18"/>
                <w:szCs w:val="18"/>
                <w:color w:val="auto"/>
              </w:rPr>
              <w:t>3,548</w:t>
            </w:r>
          </w:p>
        </w:tc>
        <w:tc>
          <w:tcPr>
            <w:tcW w:w="36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760" w:type="dxa"/>
            <w:vAlign w:val="bottom"/>
          </w:tcPr>
          <w:p>
            <w:pPr>
              <w:jc w:val="right"/>
              <w:ind w:right="50"/>
              <w:spacing w:after="0"/>
              <w:rPr>
                <w:sz w:val="20"/>
                <w:szCs w:val="20"/>
                <w:color w:val="auto"/>
              </w:rPr>
            </w:pPr>
            <w:r>
              <w:rPr>
                <w:rFonts w:ascii="Arial" w:cs="Arial" w:eastAsia="Arial" w:hAnsi="Arial"/>
                <w:sz w:val="18"/>
                <w:szCs w:val="18"/>
                <w:color w:val="auto"/>
              </w:rPr>
              <w:t>67,122</w:t>
            </w:r>
          </w:p>
        </w:tc>
        <w:tc>
          <w:tcPr>
            <w:tcW w:w="40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800" w:type="dxa"/>
            <w:vAlign w:val="bottom"/>
          </w:tcPr>
          <w:p>
            <w:pPr>
              <w:jc w:val="right"/>
              <w:ind w:right="130"/>
              <w:spacing w:after="0"/>
              <w:rPr>
                <w:sz w:val="20"/>
                <w:szCs w:val="20"/>
                <w:color w:val="auto"/>
              </w:rPr>
            </w:pPr>
            <w:r>
              <w:rPr>
                <w:rFonts w:ascii="Arial" w:cs="Arial" w:eastAsia="Arial" w:hAnsi="Arial"/>
                <w:sz w:val="18"/>
                <w:szCs w:val="18"/>
                <w:color w:val="auto"/>
              </w:rPr>
              <w:t>6,642</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220" w:type="dxa"/>
            <w:vAlign w:val="bottom"/>
            <w:shd w:val="clear" w:color="auto" w:fill="CCEEFF"/>
          </w:tcPr>
          <w:p>
            <w:pPr>
              <w:spacing w:after="0"/>
              <w:rPr>
                <w:sz w:val="18"/>
                <w:szCs w:val="18"/>
                <w:color w:val="auto"/>
              </w:rPr>
            </w:pPr>
          </w:p>
        </w:tc>
        <w:tc>
          <w:tcPr>
            <w:tcW w:w="29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vMerge w:val="continue"/>
          </w:tcPr>
          <w:p>
            <w:pPr>
              <w:spacing w:after="0"/>
              <w:rPr>
                <w:sz w:val="20"/>
                <w:szCs w:val="20"/>
                <w:color w:val="auto"/>
              </w:rPr>
            </w:pPr>
          </w:p>
        </w:tc>
        <w:tc>
          <w:tcPr>
            <w:tcW w:w="4220" w:type="dxa"/>
            <w:vAlign w:val="bottom"/>
          </w:tcPr>
          <w:p>
            <w:pPr>
              <w:spacing w:after="0"/>
              <w:rPr>
                <w:sz w:val="20"/>
                <w:szCs w:val="20"/>
                <w:color w:val="auto"/>
              </w:rPr>
            </w:pPr>
            <w:r>
              <w:rPr>
                <w:rFonts w:ascii="Arial" w:cs="Arial" w:eastAsia="Arial" w:hAnsi="Arial"/>
                <w:sz w:val="18"/>
                <w:szCs w:val="18"/>
                <w:color w:val="auto"/>
              </w:rPr>
              <w:t>Available liquidity /1</w:t>
            </w:r>
          </w:p>
        </w:tc>
        <w:tc>
          <w:tcPr>
            <w:tcW w:w="290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840" w:type="dxa"/>
            <w:vAlign w:val="bottom"/>
          </w:tcPr>
          <w:p>
            <w:pPr>
              <w:jc w:val="right"/>
              <w:ind w:right="70"/>
              <w:spacing w:after="0"/>
              <w:rPr>
                <w:sz w:val="20"/>
                <w:szCs w:val="20"/>
                <w:color w:val="auto"/>
              </w:rPr>
            </w:pPr>
            <w:r>
              <w:rPr>
                <w:rFonts w:ascii="Arial" w:cs="Arial" w:eastAsia="Arial" w:hAnsi="Arial"/>
                <w:sz w:val="18"/>
                <w:szCs w:val="18"/>
                <w:color w:val="auto"/>
              </w:rPr>
              <w:t>447,983</w:t>
            </w:r>
          </w:p>
        </w:tc>
        <w:tc>
          <w:tcPr>
            <w:tcW w:w="4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59690</wp:posOffset>
            </wp:positionV>
            <wp:extent cx="1389380"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1389380" cy="8890"/>
                    </a:xfrm>
                    <a:prstGeom prst="rect">
                      <a:avLst/>
                    </a:prstGeom>
                    <a:noFill/>
                  </pic:spPr>
                </pic:pic>
              </a:graphicData>
            </a:graphic>
          </wp:anchor>
        </w:drawing>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w:t>
      </w:r>
    </w:p>
    <w:p>
      <w:pPr>
        <w:spacing w:after="0" w:line="27" w:lineRule="exact"/>
        <w:rPr>
          <w:sz w:val="20"/>
          <w:szCs w:val="20"/>
          <w:color w:val="auto"/>
        </w:rPr>
      </w:pPr>
    </w:p>
    <w:p>
      <w:pPr>
        <w:ind w:left="720" w:right="180" w:hanging="359"/>
        <w:spacing w:after="0" w:line="261" w:lineRule="auto"/>
        <w:tabs>
          <w:tab w:leader="none" w:pos="700" w:val="left"/>
        </w:tabs>
        <w:rPr>
          <w:sz w:val="20"/>
          <w:szCs w:val="20"/>
          <w:color w:val="auto"/>
        </w:rPr>
      </w:pPr>
      <w:r>
        <w:rPr>
          <w:rFonts w:ascii="Arial" w:cs="Arial" w:eastAsia="Arial" w:hAnsi="Arial"/>
          <w:sz w:val="18"/>
          <w:szCs w:val="18"/>
          <w:color w:val="auto"/>
        </w:rPr>
        <w:t>/1</w:t>
        <w:tab/>
        <w:t>Includes cash on hand ($17.7 million) as September 30, 2006, Proforma IPO proceeds ($118.6 million), available liquidity from our $150 million credit facility ($126.7 million) and Thermo standby commitment ($185.0 million).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346710</wp:posOffset>
            </wp:positionV>
            <wp:extent cx="7267575" cy="298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sectPr>
      <w:pgSz w:w="11900" w:h="16838" w:orient="portrait"/>
      <w:cols w:equalWidth="0" w:num="1">
        <w:col w:w="11420"/>
      </w:cols>
      <w:pgMar w:left="240" w:top="140"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AE8944A"/>
    <w:multiLevelType w:val="hybridMultilevel"/>
    <w:lvl w:ilvl="0">
      <w:lvlJc w:val="left"/>
      <w:lvlText w:val="o"/>
      <w:numFmt w:val="bullet"/>
      <w:start w:val="1"/>
    </w:lvl>
  </w:abstractNum>
  <w:abstractNum w:abstractNumId="1">
    <w:nsid w:val="625558EC"/>
    <w:multiLevelType w:val="hybridMultilevel"/>
    <w:lvl w:ilvl="0">
      <w:lvlJc w:val="left"/>
      <w:lvlText w:val="·"/>
      <w:numFmt w:val="bullet"/>
      <w:start w:val="1"/>
    </w:lvl>
  </w:abstractNum>
  <w:abstractNum w:abstractNumId="2">
    <w:nsid w:val="238E1F29"/>
    <w:multiLevelType w:val="hybridMultilevel"/>
    <w:lvl w:ilvl="0">
      <w:lvlJc w:val="left"/>
      <w:lvlText w:val="·"/>
      <w:numFmt w:val="bullet"/>
      <w:start w:val="1"/>
    </w:lvl>
  </w:abstractNum>
  <w:abstractNum w:abstractNumId="3">
    <w:nsid w:val="46E87CCD"/>
    <w:multiLevelType w:val="hybridMultilevel"/>
    <w:lvl w:ilvl="0">
      <w:lvlJc w:val="left"/>
      <w:lvlText w:val="(%1)"/>
      <w:numFmt w:val="decimal"/>
      <w:start w:val="408"/>
    </w:lvl>
  </w:abstractNum>
  <w:abstractNum w:abstractNumId="4">
    <w:nsid w:val="3D1B58BA"/>
    <w:multiLevelType w:val="hybridMultilevel"/>
    <w:lvl w:ilvl="0">
      <w:lvlJc w:val="left"/>
      <w:lvlText w:val="(%1)"/>
      <w:numFmt w:val="decimal"/>
      <w:start w:val="1"/>
    </w:lvl>
  </w:abstractNum>
  <w:abstractNum w:abstractNumId="5">
    <w:nsid w:val="507ED7AB"/>
    <w:multiLevelType w:val="hybridMultilevel"/>
    <w:lvl w:ilvl="0">
      <w:lvlJc w:val="left"/>
      <w:lvlText w:val="(%1)"/>
      <w:numFmt w:val="decimal"/>
      <w:start w:val="4"/>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jpe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2019-12-15T13:32:43Z</dcterms:created>
  <dcterms:modified xsi:type="dcterms:W3CDTF">2019-12-15T13:32:43Z</dcterms:modified>
</cp:coreProperties>
</file>