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3, 2007</w:t>
      </w:r>
    </w:p>
    <w:p>
      <w:pPr>
        <w:spacing w:after="0" w:line="31"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Registration No. 333-________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208915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GLOBALSTAR,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920" w:orient="portrait"/>
          <w:cols w:equalWidth="0" w:num="1">
            <w:col w:w="11420"/>
          </w:cols>
          <w:pgMar w:left="240" w:top="441" w:right="239" w:bottom="0" w:gutter="0" w:footer="0" w:header="0"/>
        </w:sectPr>
      </w:pPr>
    </w:p>
    <w:p>
      <w:pPr>
        <w:spacing w:after="0" w:line="20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41-2116508</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-1513205</wp:posOffset>
            </wp:positionH>
            <wp:positionV relativeFrom="paragraph">
              <wp:posOffset>356235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16" w:lineRule="exact"/>
        <w:rPr>
          <w:sz w:val="24"/>
          <w:szCs w:val="24"/>
          <w:color w:val="auto"/>
        </w:rPr>
      </w:pPr>
    </w:p>
    <w:p>
      <w:pPr>
        <w:sectPr>
          <w:pgSz w:w="11900" w:h="16920" w:orient="portrait"/>
          <w:cols w:equalWidth="0" w:num="2">
            <w:col w:w="5940" w:space="720"/>
            <w:col w:w="4760"/>
          </w:cols>
          <w:pgMar w:left="240" w:top="441" w:right="239" w:bottom="0" w:gutter="0" w:footer="0" w:header="0"/>
          <w:type w:val="continuous"/>
        </w:sect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461 South Milpitas Blvd.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Milpitas, California 95035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(408) 933-4000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Fuad Ahmad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Vice President and Chief Financial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461 South Milpitas Blvd.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Milpitas, California 95035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(408) 933-4000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(Name and address, including zip code, and telephone number,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Gerald S. Greenberg,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Taft Stettinius &amp; Hollister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425 Walnut Street,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Cincinnati, Ohio 45202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(513) 357-9670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following the effectiveness of this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15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only securities being registered on this Form are being offered pursuant to dividend or interest reinvestment plans, please check the following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box. o</w:t>
      </w:r>
    </w:p>
    <w:p>
      <w:pPr>
        <w:spacing w:after="0" w:line="207"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2" w:lineRule="exact"/>
        <w:rPr>
          <w:sz w:val="24"/>
          <w:szCs w:val="24"/>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o________.</w:t>
      </w:r>
    </w:p>
    <w:p>
      <w:pPr>
        <w:spacing w:after="0" w:line="162" w:lineRule="exact"/>
        <w:rPr>
          <w:sz w:val="24"/>
          <w:szCs w:val="24"/>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o________.</w:t>
      </w:r>
    </w:p>
    <w:p>
      <w:pPr>
        <w:spacing w:after="0" w:line="162"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62"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ectPr>
          <w:pgSz w:w="11900" w:h="16920" w:orient="portrait"/>
          <w:cols w:equalWidth="0" w:num="1">
            <w:col w:w="11420"/>
          </w:cols>
          <w:pgMar w:left="240" w:top="441" w:right="2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bl>
      <w:tblPr>
        <w:tblLayout w:type="fixed"/>
        <w:tblInd w:w="0" w:type="dxa"/>
        <w:tblCellMar>
          <w:top w:w="0" w:type="dxa"/>
          <w:left w:w="0" w:type="dxa"/>
          <w:bottom w:w="0" w:type="dxa"/>
          <w:right w:w="0" w:type="dxa"/>
        </w:tblCellMar>
      </w:tblPr>
      <w:tr>
        <w:trPr>
          <w:trHeight w:val="155"/>
        </w:trPr>
        <w:tc>
          <w:tcPr>
            <w:tcW w:w="474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6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100" w:type="dxa"/>
            <w:vAlign w:val="bottom"/>
          </w:tcPr>
          <w:p>
            <w:pPr>
              <w:spacing w:after="0"/>
              <w:rPr>
                <w:sz w:val="13"/>
                <w:szCs w:val="13"/>
                <w:color w:val="auto"/>
              </w:rPr>
            </w:pPr>
          </w:p>
        </w:tc>
        <w:tc>
          <w:tcPr>
            <w:tcW w:w="160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Proposed Maximum</w:t>
            </w:r>
          </w:p>
        </w:tc>
        <w:tc>
          <w:tcPr>
            <w:tcW w:w="166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Proposed Maximum</w:t>
            </w:r>
          </w:p>
        </w:tc>
        <w:tc>
          <w:tcPr>
            <w:tcW w:w="14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74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0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100" w:type="dxa"/>
            <w:vAlign w:val="bottom"/>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 Per Unit (2)</w:t>
            </w:r>
          </w:p>
        </w:tc>
        <w:tc>
          <w:tcPr>
            <w:tcW w:w="100" w:type="dxa"/>
            <w:vAlign w:val="bottom"/>
          </w:tcPr>
          <w:p>
            <w:pPr>
              <w:spacing w:after="0"/>
              <w:rPr>
                <w:sz w:val="15"/>
                <w:szCs w:val="15"/>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 (2)</w:t>
            </w:r>
          </w:p>
        </w:tc>
        <w:tc>
          <w:tcPr>
            <w:tcW w:w="1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340" w:right="300" w:hanging="332"/>
        <w:spacing w:after="0" w:line="250" w:lineRule="auto"/>
        <w:tabs>
          <w:tab w:leader="none" w:pos="3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this Registration Statement also covers such indeterminable number of additional shares of common stock as may become issuable as a result of any stock split, stock dividend or similar transactions.</w:t>
      </w:r>
    </w:p>
    <w:p>
      <w:pPr>
        <w:ind w:left="340" w:right="520" w:hanging="332"/>
        <w:spacing w:after="0" w:line="261" w:lineRule="auto"/>
        <w:tabs>
          <w:tab w:leader="none" w:pos="3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and based on the average of the high and low prices of the common stock as reported on The NASDAQ Stock Market on November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shall file a further amendment that specifically states that this Registration Statement shall thereafter become effective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8(a) of the Securities Act, or until the Registration Statement will become effective on such date as the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940435</wp:posOffset>
            </wp:positionV>
            <wp:extent cx="154368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6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153,916 Shares of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relates to sales of shares of our common stock by the selling stockholders identified under the caption “Selling Stockholders” on page 5. The shares were issued to the selling stockholders in connection with our acquisition of all of the issued and outstanding stock of Globalstar Americas Holding Limited, Globalstar Americas Telecommunications Limited, and Astral Technologies Investment Limited, collectively, the GA Companies.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or their pledgees, donees, transferees or other successors-in-interest, may offer the shares from time to time through public or private transactions at prevailing market prices, at prices related to prevailing market prices or at privately negotiated prices.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Stock Market under the symbol “GSAT.” On November 29, 2007, the closing sale price of the common stock on The NASDAQ Stock Market was $9.60 per share. You are urged to obtain current market quotations for the common stock.</w:t>
      </w:r>
    </w:p>
    <w:p>
      <w:pPr>
        <w:spacing w:after="0" w:line="158"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You should consider carefully the risks described in the “Risk Factors” section beginning on page 2 and under “Risk Factors” in Item 1A of our Annual Report on Form 10-K for the fiscal year ended December 31, 2006 and Item 1A of subsequently filed Quarterly Reports on Form 10-Q (which documents are incorporated by reference herein), as well as the other information contained or incorporated by reference in this prospectus before making a decision to invest in our common stock. See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196850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180975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December 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THE COMPANY</w:t>
        </w:r>
      </w:hyperlink>
    </w:p>
    <w:p>
      <w:pPr>
        <w:spacing w:after="0" w:line="27"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RISK FACTORS</w:t>
        </w:r>
      </w:hyperlink>
    </w:p>
    <w:p>
      <w:pPr>
        <w:spacing w:after="0" w:line="9"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FORWARD-LOOKING STATEMENTS</w:t>
        </w:r>
      </w:hyperlink>
    </w:p>
    <w:p>
      <w:pPr>
        <w:spacing w:after="0" w:line="9"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USE OF PROCEEDS</w:t>
        </w:r>
      </w:hyperlink>
    </w:p>
    <w:p>
      <w:pPr>
        <w:spacing w:after="0" w:line="9"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SELLING STOCKHOLDERS</w:t>
        </w:r>
      </w:hyperlink>
    </w:p>
    <w:p>
      <w:pPr>
        <w:spacing w:after="0" w:line="9"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PLAN OF DISTRIBUTION</w:t>
        </w:r>
      </w:hyperlink>
    </w:p>
    <w:p>
      <w:pPr>
        <w:spacing w:after="0" w:line="9"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LEGAL MATTERS</w:t>
        </w:r>
      </w:hyperlink>
    </w:p>
    <w:p>
      <w:pPr>
        <w:spacing w:after="0" w:line="9"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EXPERTS</w:t>
        </w:r>
      </w:hyperlink>
    </w:p>
    <w:p>
      <w:pPr>
        <w:spacing w:after="0" w:line="9"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WHERE YOU CAN FIND MORE INFORMATION</w:t>
        </w:r>
      </w:hyperlink>
    </w:p>
    <w:p>
      <w:pPr>
        <w:spacing w:after="0" w:line="9" w:lineRule="exact"/>
        <w:rPr>
          <w:sz w:val="20"/>
          <w:szCs w:val="20"/>
          <w:color w:val="auto"/>
        </w:rPr>
      </w:pPr>
    </w:p>
    <w:p>
      <w:pPr>
        <w:ind w:left="2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INCORPORATION OF CERTAIN DOCUMENTS BY REFERENCE</w:t>
        </w:r>
      </w:hyperlink>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ectPr>
          <w:pgSz w:w="11900" w:h="16838" w:orient="portrait"/>
          <w:cols w:equalWidth="0" w:num="1">
            <w:col w:w="11400"/>
          </w:cols>
          <w:pgMar w:left="240" w:top="117" w:right="259" w:bottom="0" w:gutter="0" w:footer="0" w:header="0"/>
        </w:sectPr>
      </w:pPr>
    </w:p>
    <w:bookmarkStart w:id="2" w:name="page3"/>
    <w:bookmarkEnd w:id="2"/>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prospectus supplement. We have not authorized anyone to provide you with different information. We are not making offers to sell or soliciting offers to buy the securities in any jurisdiction in which an offer or solicitation is not authorized or in which the person making that offer or solicitation is not qualified to do so or to anyone whom it is unlawful to make an offer or solicitation.</w:t>
      </w:r>
    </w:p>
    <w:p>
      <w:pPr>
        <w:spacing w:after="0" w:line="180" w:lineRule="exact"/>
        <w:rPr>
          <w:sz w:val="20"/>
          <w:szCs w:val="20"/>
          <w:color w:val="auto"/>
        </w:rPr>
      </w:pPr>
    </w:p>
    <w:p>
      <w:pPr>
        <w:ind w:right="320" w:firstLine="648"/>
        <w:spacing w:after="0" w:line="313" w:lineRule="auto"/>
        <w:rPr>
          <w:sz w:val="20"/>
          <w:szCs w:val="20"/>
          <w:color w:val="auto"/>
        </w:rPr>
      </w:pPr>
      <w:r>
        <w:rPr>
          <w:rFonts w:ascii="Times New Roman" w:cs="Times New Roman" w:eastAsia="Times New Roman" w:hAnsi="Times New Roman"/>
          <w:sz w:val="17"/>
          <w:szCs w:val="17"/>
          <w:color w:val="auto"/>
        </w:rPr>
        <w:t>You should not assume that the information contained in this prospectus or any prospectus supplement, as well as the information we previously filed with the Securities and Exchange Commission that is incorporated by reference herein, is accurate as of any date other than its respective date.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requires otherwise, references to “we,” “us,” “our,” “Globalstar” and the “company” refer to Globalstar,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right="20" w:firstLine="632"/>
        <w:spacing w:after="0" w:line="261" w:lineRule="auto"/>
        <w:rPr>
          <w:sz w:val="20"/>
          <w:szCs w:val="20"/>
          <w:color w:val="auto"/>
        </w:rPr>
      </w:pPr>
      <w:r>
        <w:rPr>
          <w:rFonts w:ascii="Times New Roman" w:cs="Times New Roman" w:eastAsia="Times New Roman" w:hAnsi="Times New Roman"/>
          <w:sz w:val="18"/>
          <w:szCs w:val="18"/>
          <w:color w:val="auto"/>
        </w:rPr>
        <w:t>We are a provider of mobile voice and data communication services via satellite. Our communications platform extends telecommunications beyond the boundaries of terrestrial wireline and wireless telecommunications networks to serve our customer’s desire for connectivity. Using in-orbit satellites and ground stations, which we call gateways, we offer voice and data communications services to government agencies, businesses and other customers in over 120 countries.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Our executive offices are located at 461 South Milpitas Boulevard, Milpitas, California 95035, and our telephone number is (408) 933-4000.</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 factors described below together with the other information contained or incorporated by reference in this prospectus before you decide to buy our common stock. Any of these risks could materially adversely affect our business, financial condition or results of operations or the value of your investment. Additional risks and uncertainties not currently known to us or that we currently deem to be immaterial may also materially adversely affect our business, financial condition or results of operations.</w:t>
      </w:r>
    </w:p>
    <w:p>
      <w:pPr>
        <w:spacing w:after="0" w:line="18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Risks related to our business can be found in Item 1A of our Annual Report on Form 10-K for the fiscal year ended December 31, 2006 and Item 1A of subsequently filed Quarterly Reports on Form 10-Q, which documents are incorporated by reference herein.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on our common stock in the foreseeable future.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expect to pay cash dividends on our common stock, including the common stock subject to this offering. Any future dividend payments are within the absolute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 Our credit agreement currently prohibits the payment of cash dividends.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volatile and there is a limited market for our shares.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trading price of our common stock is subject to wide fluctuations. Factors affecting the trading price of our common stock may include:</w:t>
      </w:r>
    </w:p>
    <w:p>
      <w:pPr>
        <w:spacing w:after="0" w:line="23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variations in our operating results;</w:t>
      </w:r>
    </w:p>
    <w:p>
      <w:pPr>
        <w:spacing w:after="0" w:line="224" w:lineRule="exact"/>
        <w:rPr>
          <w:rFonts w:ascii="Times New Roman" w:cs="Times New Roman" w:eastAsia="Times New Roman" w:hAnsi="Times New Roman"/>
          <w:sz w:val="22"/>
          <w:szCs w:val="22"/>
          <w:color w:val="auto"/>
        </w:rPr>
      </w:pPr>
    </w:p>
    <w:p>
      <w:pPr>
        <w:ind w:left="1300" w:right="900" w:hanging="644"/>
        <w:spacing w:after="0" w:line="235" w:lineRule="auto"/>
        <w:tabs>
          <w:tab w:leader="none" w:pos="12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financial estimates by research analysts, or any failure by us to meet or exceed any such estimates, or changes in the recommendations of any research analysts that elect to follow our common stock or the common stock of our competitors;</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changes in economic, political or market conditions, such as recessions or international currency fluctuations;</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changes in the regulatory environment affecting our industry;</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market valuations of our industry peers; and</w:t>
      </w:r>
    </w:p>
    <w:p>
      <w:pPr>
        <w:spacing w:after="0" w:line="224" w:lineRule="exact"/>
        <w:rPr>
          <w:rFonts w:ascii="Times New Roman" w:cs="Times New Roman" w:eastAsia="Times New Roman" w:hAnsi="Times New Roman"/>
          <w:sz w:val="22"/>
          <w:szCs w:val="22"/>
          <w:color w:val="auto"/>
        </w:rPr>
      </w:pPr>
    </w:p>
    <w:p>
      <w:pPr>
        <w:ind w:left="1300" w:right="340" w:hanging="644"/>
        <w:spacing w:after="0" w:line="235" w:lineRule="auto"/>
        <w:tabs>
          <w:tab w:leader="none" w:pos="12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by us or our competitors of significant acquisitions, strategic partnerships, divestitures, joint ventures or other strategic initiatives.</w:t>
      </w:r>
    </w:p>
    <w:p>
      <w:pPr>
        <w:spacing w:after="0" w:line="198"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might also decline in reaction to events that affect other companies in our industry even if these events do not directly affect us. You may be unable to resell your shares of our common stock at or above the initial purchase price. Additionally, because we are a controlled company there is a limited market for our common stock and we cannot assure you that a trading market will develop further or be maintained.</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common stock may experience significant dilution.</w:t>
      </w:r>
    </w:p>
    <w:p>
      <w:pPr>
        <w:sectPr>
          <w:pgSz w:w="11900" w:h="16838" w:orient="portrait"/>
          <w:cols w:equalWidth="0" w:num="1">
            <w:col w:w="11360"/>
          </w:cols>
          <w:pgMar w:left="240" w:top="337" w:right="299" w:bottom="135" w:gutter="0" w:footer="0" w:header="0"/>
        </w:sectPr>
      </w:pPr>
    </w:p>
    <w:bookmarkStart w:id="3" w:name="page4"/>
    <w:bookmarkEnd w:id="3"/>
    <w:p>
      <w:pPr>
        <w:ind w:firstLine="720"/>
        <w:spacing w:after="0" w:line="282" w:lineRule="auto"/>
        <w:rPr>
          <w:sz w:val="20"/>
          <w:szCs w:val="20"/>
          <w:color w:val="auto"/>
        </w:rPr>
      </w:pPr>
      <w:r>
        <w:rPr>
          <w:rFonts w:ascii="Times New Roman" w:cs="Times New Roman" w:eastAsia="Times New Roman" w:hAnsi="Times New Roman"/>
          <w:sz w:val="18"/>
          <w:szCs w:val="18"/>
          <w:color w:val="auto"/>
        </w:rPr>
        <w:t>We anticipate that we will need to raise additional capital to fund our business plan. This may include the issuance of a significant number of shares or the rights to acquire shares. In either event, current stockholders may experience significant dilution and our earnings per share may decrease.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If persons engage in short sales of our common stock, the price of our common stock may decline.</w:t>
      </w:r>
    </w:p>
    <w:p>
      <w:pPr>
        <w:spacing w:after="0" w:line="229"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18"/>
          <w:szCs w:val="18"/>
          <w:color w:val="auto"/>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Further sales of common stock could cause even greater declines in the price of our common stock due to the number of additional shares available in the market, which could encourage short sales that could further undermine the value of our common stock. Holders of our securities could, therefore, experience a decline in the value of their investment as a result of short sales of our common stock.</w:t>
      </w:r>
    </w:p>
    <w:p>
      <w:pPr>
        <w:spacing w:after="0" w:line="180"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credit agreement and provisions of Delaware law may discourage takeovers, which could affect the rights of holders of our common stock.</w:t>
      </w:r>
    </w:p>
    <w:p>
      <w:pPr>
        <w:spacing w:after="0" w:line="159" w:lineRule="exact"/>
        <w:rPr>
          <w:sz w:val="20"/>
          <w:szCs w:val="20"/>
          <w:color w:val="auto"/>
        </w:rPr>
      </w:pPr>
    </w:p>
    <w:p>
      <w:pPr>
        <w:ind w:right="40" w:firstLine="720"/>
        <w:spacing w:after="0" w:line="282" w:lineRule="auto"/>
        <w:rPr>
          <w:sz w:val="20"/>
          <w:szCs w:val="20"/>
          <w:color w:val="auto"/>
        </w:rPr>
      </w:pPr>
      <w:r>
        <w:rPr>
          <w:rFonts w:ascii="Times New Roman" w:cs="Times New Roman" w:eastAsia="Times New Roman" w:hAnsi="Times New Roman"/>
          <w:sz w:val="18"/>
          <w:szCs w:val="18"/>
          <w:color w:val="auto"/>
        </w:rPr>
        <w:t>Provisions of Delaware law and our amended and restated certificate of incorporation, amended and restated bylaws and our credit agreement could hamper a third party’s acquisition of us or discourage a third party from attempting to acquire control of us. These provisions include:</w:t>
      </w:r>
    </w:p>
    <w:p>
      <w:pPr>
        <w:spacing w:after="0" w:line="189" w:lineRule="exact"/>
        <w:rPr>
          <w:sz w:val="20"/>
          <w:szCs w:val="20"/>
          <w:color w:val="auto"/>
        </w:rPr>
      </w:pPr>
    </w:p>
    <w:p>
      <w:pPr>
        <w:ind w:left="1300" w:right="40" w:hanging="644"/>
        <w:spacing w:after="0" w:line="235" w:lineRule="auto"/>
        <w:tabs>
          <w:tab w:leader="none" w:pos="12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absence of cumulative voting in the election of our directors, which means that the holders of a majority of our common stock may elect all of the directors standing for election;</w:t>
      </w:r>
    </w:p>
    <w:p>
      <w:pPr>
        <w:spacing w:after="0" w:line="224" w:lineRule="exact"/>
        <w:rPr>
          <w:rFonts w:ascii="Times New Roman" w:cs="Times New Roman" w:eastAsia="Times New Roman" w:hAnsi="Times New Roman"/>
          <w:sz w:val="22"/>
          <w:szCs w:val="22"/>
          <w:color w:val="auto"/>
        </w:rPr>
      </w:pPr>
    </w:p>
    <w:p>
      <w:pPr>
        <w:ind w:left="1300" w:right="280" w:hanging="644"/>
        <w:spacing w:after="0" w:line="235" w:lineRule="auto"/>
        <w:tabs>
          <w:tab w:leader="none" w:pos="12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our board of directors to issue preferred stock with voting rights or with rights senior to those of the common stock without any further vote or action by the holders of our common stock;</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division of our board of directors into three separate classes serving staggered three-year terms;</w:t>
      </w:r>
    </w:p>
    <w:p>
      <w:pPr>
        <w:spacing w:after="0" w:line="224" w:lineRule="exact"/>
        <w:rPr>
          <w:rFonts w:ascii="Times New Roman" w:cs="Times New Roman" w:eastAsia="Times New Roman" w:hAnsi="Times New Roman"/>
          <w:sz w:val="22"/>
          <w:szCs w:val="22"/>
          <w:color w:val="auto"/>
        </w:rPr>
      </w:pPr>
    </w:p>
    <w:p>
      <w:pPr>
        <w:ind w:left="1300" w:right="80" w:hanging="644"/>
        <w:spacing w:after="0" w:line="239" w:lineRule="auto"/>
        <w:tabs>
          <w:tab w:leader="none" w:pos="12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our stockholders, at such time when Thermo Capital Partners, LLC or its affiliates (“Thermo”) does not own a majority of our outstanding capital stock entitled to vote in the election of directors, to remove our directors only for cause and only by the vote of at least 66 2 / 3 % of the outstanding shares of capital stock entitled to vote in the election of directors;</w:t>
      </w:r>
    </w:p>
    <w:p>
      <w:pPr>
        <w:spacing w:after="0" w:line="227" w:lineRule="exact"/>
        <w:rPr>
          <w:rFonts w:ascii="Times New Roman" w:cs="Times New Roman" w:eastAsia="Times New Roman" w:hAnsi="Times New Roman"/>
          <w:sz w:val="22"/>
          <w:szCs w:val="22"/>
          <w:color w:val="auto"/>
        </w:rPr>
      </w:pPr>
    </w:p>
    <w:p>
      <w:pPr>
        <w:ind w:left="1300" w:right="40" w:hanging="644"/>
        <w:spacing w:after="0" w:line="235" w:lineRule="auto"/>
        <w:tabs>
          <w:tab w:leader="none" w:pos="12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prohibitions, at such time when Thermo does not own a majority of our outstanding capital stock entitled to vote in the election of directors, on our stockholders acting by written consent;</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prohibitions on our stockholders calling special meetings of stockholders or filling vacancies on our board of directors;</w:t>
      </w:r>
    </w:p>
    <w:p>
      <w:pPr>
        <w:spacing w:after="0" w:line="224" w:lineRule="exact"/>
        <w:rPr>
          <w:rFonts w:ascii="Times New Roman" w:cs="Times New Roman" w:eastAsia="Times New Roman" w:hAnsi="Times New Roman"/>
          <w:sz w:val="22"/>
          <w:szCs w:val="22"/>
          <w:color w:val="auto"/>
        </w:rPr>
      </w:pPr>
    </w:p>
    <w:p>
      <w:pPr>
        <w:ind w:left="1300" w:right="160" w:hanging="644"/>
        <w:spacing w:after="0" w:line="239" w:lineRule="auto"/>
        <w:tabs>
          <w:tab w:leader="none" w:pos="12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227" w:lineRule="exact"/>
        <w:rPr>
          <w:rFonts w:ascii="Times New Roman" w:cs="Times New Roman" w:eastAsia="Times New Roman" w:hAnsi="Times New Roman"/>
          <w:sz w:val="22"/>
          <w:szCs w:val="22"/>
          <w:color w:val="auto"/>
        </w:rPr>
      </w:pPr>
    </w:p>
    <w:p>
      <w:pPr>
        <w:ind w:left="1300" w:right="180" w:hanging="644"/>
        <w:spacing w:after="0" w:line="235" w:lineRule="auto"/>
        <w:tabs>
          <w:tab w:leader="none" w:pos="12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 of control provisions in our credit agreement, which provide that a change of control will constitute an event of default and, unless waived by the lenders, will result in the acceleration of the maturity of all indebtedness under the credit agreement; and</w:t>
      </w:r>
    </w:p>
    <w:p>
      <w:pPr>
        <w:spacing w:after="0" w:line="224" w:lineRule="exact"/>
        <w:rPr>
          <w:rFonts w:ascii="Times New Roman" w:cs="Times New Roman" w:eastAsia="Times New Roman" w:hAnsi="Times New Roman"/>
          <w:sz w:val="22"/>
          <w:szCs w:val="22"/>
          <w:color w:val="auto"/>
        </w:rPr>
      </w:pPr>
    </w:p>
    <w:p>
      <w:pPr>
        <w:ind w:left="1300" w:right="340" w:hanging="644"/>
        <w:spacing w:after="0" w:line="235" w:lineRule="auto"/>
        <w:tabs>
          <w:tab w:leader="none" w:pos="12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 of control provisions in our 2006 Equity Incentive Plan, which provide that a change of control may accelerate the vesting of all outstanding stock options, stock appreciation rights and restricted stock.</w:t>
      </w:r>
    </w:p>
    <w:p>
      <w:pPr>
        <w:spacing w:after="0" w:line="198"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18"/>
          <w:szCs w:val="18"/>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w:t>
      </w:r>
    </w:p>
    <w:p>
      <w:pPr>
        <w:spacing w:after="0" w:line="176" w:lineRule="exact"/>
        <w:rPr>
          <w:sz w:val="20"/>
          <w:szCs w:val="20"/>
          <w:color w:val="auto"/>
        </w:rPr>
      </w:pPr>
    </w:p>
    <w:p>
      <w:pPr>
        <w:ind w:right="160" w:firstLine="720"/>
        <w:spacing w:after="0" w:line="282" w:lineRule="auto"/>
        <w:rPr>
          <w:sz w:val="20"/>
          <w:szCs w:val="20"/>
          <w:color w:val="auto"/>
        </w:rPr>
      </w:pPr>
      <w:r>
        <w:rPr>
          <w:rFonts w:ascii="Times New Roman" w:cs="Times New Roman" w:eastAsia="Times New Roman" w:hAnsi="Times New Roman"/>
          <w:sz w:val="18"/>
          <w:szCs w:val="18"/>
          <w:color w:val="auto"/>
        </w:rPr>
        <w:t>These provisions also could make it more difficult for you and our other stockholders to elect directors and take other corporate actions, and could limit the price that investors might be willing to pay in the future for shares of our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Thermo, whose interests may conflict with yours.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November 15, 2007, Thermo owns approximately 61.5% of our outstanding common stock. Thermo is able to control the election of all of the members of our board of directors and the vote on substantially all other matters, including significant corporate transactions such as the approval of a merger or other transaction involving our sale.</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Thermo is controlled by James Monroe III, our chairman and chief executive officer. Through Thermo, Mr. Monroe holds equity interests in, and serves as an executive officer or director of, a diverse group of privately-owned businesses not otherwise related to us. Although Mr. Monroe receives no compensation from us, he has advised us that he intends to devote whatever portion of his time is necessary to perform his duties as our chairman and chief executive officer. We do reimburse Thermo and Mr. Monroe for certain expenses they incur in connection with our business.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November 2007, Thermo Funding Company LLC agreed in principal to assume all of the obligations and be assigned all of the rights (other than indemnification rights) of the administrative agent and the lenders under our amended and restated credit agreement. Thermo Funding Company has agreed to complete this assignment and assumption by December 17, 2007.</w:t>
      </w:r>
    </w:p>
    <w:p>
      <w:pPr>
        <w:sectPr>
          <w:pgSz w:w="11900" w:h="16838" w:orient="portrait"/>
          <w:cols w:equalWidth="0" w:num="1">
            <w:col w:w="11420"/>
          </w:cols>
          <w:pgMar w:left="240" w:top="121" w:right="239" w:bottom="28" w:gutter="0" w:footer="0" w:header="0"/>
        </w:sectPr>
      </w:pPr>
    </w:p>
    <w:bookmarkStart w:id="4" w:name="page5"/>
    <w:bookmarkEnd w:id="4"/>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interests of Thermo may conflict with the interests of our other stockholders. Thermo may take actions it believes will benefit its equity investment in us or loans to us even though such actions might not be in your best interests as a holder of our common stock.</w:t>
      </w:r>
    </w:p>
    <w:p>
      <w:pPr>
        <w:spacing w:after="0" w:line="158"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“controlled company,” as defined in the NASDAQ Marketplace Rules, we qualify for, and rely on, exemptions from certain corporate governance requirements.</w:t>
      </w:r>
    </w:p>
    <w:p>
      <w:pPr>
        <w:spacing w:after="0" w:line="159"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18"/>
          <w:szCs w:val="18"/>
          <w:color w:val="auto"/>
        </w:rPr>
        <w:t>Thermo owns common stock representing more than a majority of the voting power in election of our directors. As a result, we are considered a “controlled company” within the meaning of the corporate governance standards in the NASDAQ Marketplace Rules. Under these rules, a “controlled company” may elect not to comply with certain corporate governance requirements, including (1) the requirement that a majority of its board of directors consist of independent directors, (2) the requirement that it have a nominating/corporate governance committee that is composed entirely of independent directors with a written charter addressing the committee’s purpose and responsibilities and (3) the requirement that it have a compensation committee that is composed entirely of independent directors with a written charter addressing the committee’s purpose and responsibilities. We have elected to be treated as a controlled company and thus utilize these exemptions. As a result, we do not have a majority of independent directors nor so we have compensation and nominating/corporate governance committees consisting entirely of independent directors. Accordingly, you do not have the same protection afforded to stockholders of companies that are subject to all of the NASDAQ Marketplace corporate governance requirements.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32"/>
        <w:spacing w:after="0" w:line="252" w:lineRule="auto"/>
        <w:rPr>
          <w:sz w:val="20"/>
          <w:szCs w:val="20"/>
          <w:color w:val="auto"/>
        </w:rPr>
      </w:pPr>
      <w:r>
        <w:rPr>
          <w:rFonts w:ascii="Times New Roman" w:cs="Times New Roman" w:eastAsia="Times New Roman" w:hAnsi="Times New Roman"/>
          <w:sz w:val="18"/>
          <w:szCs w:val="18"/>
          <w:color w:val="auto"/>
        </w:rPr>
        <w:t>In addition to current and historical information, this prospectus contains or incorporates by reference forward-looking statements within the meaning of the Private Securities Litigation Reform Act of 1995. These statements relate to our future operations, prospects, potential products, services, developments and business strategies. These statements can, in some cases, be identified by the use of terms such as “may,” “will,” “should,” “could,” “would,” “intend,” “expect,” “plan,” “anticipate,” “believe,” “estimate,” “predict,” “project,” “potential,” “continue,” the negative of such terms or other comparable terminology. Forward-looking statements, such as statements regarding our ability to develop and expand our business, our ability to manage costs, our ability to exploit and respond to technological innovation, the effects of laws and regulations (including tax laws and regulations) and legal and regulatory changes, the opportunities for strategic business combinations and the effects of consolidation in our industry on us and our competitors, our anticipated future revenues, our anticipated capital spending (including for future satellite procurements and launches), our anticipated financial resources, our expectations about the future operational performance of our satellites (including their projected operational lives), the expected strength of and growth prospects for our existing customers and the markets that we serve, and other statements contained or incorporated by reference in this prospectus regarding matters that are not historical facts, involve predictions. These and similar statements involve known and unknown risks, uncertainties and other factors that may cause our actual results, performance or achievements or industry results to be materially different from any future results, performance or achievements expressed or implied by the statements. Such risks and uncertainties include, among others, those listed in “Risk Factors” or incorporated by reference in this prospectus. We do not intend, and undertake no obligation, to update any of our forward-looking statements after the date of this prospectus to reflect actual results or future events or circumstances.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by the selling stockholders.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issued the shares of common stock covered by this prospectus in private placements to the selling stockholders in connection with our purchase of all of the issued and outstanding stock of the GA Companies. All of the shares are currently held by the selling stockholders listed below. The following table sets forth, to our knowledge, certain information about the selling stockholders as of November 27, 2007.</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shares. Unless otherwise indicated below, to our knowledge, all persons named in the table have sole voting and investment power with respect to their shares of common stock. The inclusion of any shares in this table does not constitute an admission of beneficial ownership for the person named below. As of November 27, 2007, there were 82,741,666 shares of our common stock outstanding.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80" w:type="dxa"/>
            <w:vAlign w:val="bottom"/>
            <w:gridSpan w:val="4"/>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of Common Stock to be</w:t>
            </w: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2880" w:type="dxa"/>
            <w:vAlign w:val="bottom"/>
            <w:gridSpan w:val="4"/>
          </w:tcPr>
          <w:p>
            <w:pPr>
              <w:jc w:val="center"/>
              <w:ind w:left="162"/>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Prior to</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33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0" w:type="dxa"/>
            <w:vAlign w:val="bottom"/>
          </w:tcPr>
          <w:p>
            <w:pPr>
              <w:spacing w:after="0"/>
              <w:rPr>
                <w:sz w:val="1"/>
                <w:szCs w:val="1"/>
                <w:color w:val="auto"/>
              </w:rPr>
            </w:pPr>
          </w:p>
        </w:tc>
      </w:tr>
      <w:tr>
        <w:trPr>
          <w:trHeight w:val="173"/>
        </w:trPr>
        <w:tc>
          <w:tcPr>
            <w:tcW w:w="3080" w:type="dxa"/>
            <w:vAlign w:val="bottom"/>
            <w:gridSpan w:val="2"/>
            <w:vMerge w:val="continue"/>
          </w:tcPr>
          <w:p>
            <w:pPr>
              <w:spacing w:after="0"/>
              <w:rPr>
                <w:sz w:val="15"/>
                <w:szCs w:val="15"/>
                <w:color w:val="auto"/>
              </w:rPr>
            </w:pPr>
          </w:p>
        </w:tc>
        <w:tc>
          <w:tcPr>
            <w:tcW w:w="1960" w:type="dxa"/>
            <w:vAlign w:val="bottom"/>
            <w:gridSpan w:val="3"/>
          </w:tcPr>
          <w:p>
            <w:pPr>
              <w:jc w:val="center"/>
              <w:ind w:left="1102"/>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Being Offered</w:t>
            </w:r>
          </w:p>
        </w:tc>
        <w:tc>
          <w:tcPr>
            <w:tcW w:w="1920" w:type="dxa"/>
            <w:vAlign w:val="bottom"/>
            <w:gridSpan w:val="3"/>
          </w:tcPr>
          <w:p>
            <w:pPr>
              <w:jc w:val="center"/>
              <w:ind w:left="1082"/>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Borders>
              <w:top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Borders>
              <w:top w:val="single" w:sz="8" w:color="auto"/>
            </w:tcBorders>
            <w:gridSpan w:val="3"/>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Vantage Americas, Inc.</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250,679 (1</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76,957</w:t>
            </w:r>
          </w:p>
        </w:tc>
        <w:tc>
          <w:tcPr>
            <w:tcW w:w="2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Vantage International Management</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206,882 (1 )</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76,959</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right="100" w:hanging="272"/>
        <w:spacing w:after="0" w:line="256"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61,559 shares for Vantage Americas, Inc. and 61,560 shares for Vantage International Management Company that are being held in escrow pending the calculation of the trailing five-day average trading price of our common stock on December 22, 2007. If the value of these shares and shares previously issued exceeds $3.7 million, the excess shares will be returned to the company at no consideration. If the value is less than $3.7 million, the selling stockholders will keep all of these shares , and we will pay the deficiency in cash. The majority shareholder and President of Vantage Americas, Inc. and Vantage International Management Company, Charles McFadden, has the voting and investment power over the shares being offered under this prospectus. As such, he may be deemed to beneficially own shares held by Vantage Americas, Inc. and Vantage International Management Company.</w:t>
      </w:r>
    </w:p>
    <w:p>
      <w:pPr>
        <w:sectPr>
          <w:pgSz w:w="11900" w:h="16838" w:orient="portrait"/>
          <w:cols w:equalWidth="0" w:num="1">
            <w:col w:w="11420"/>
          </w:cols>
          <w:pgMar w:left="240" w:top="121" w:right="239" w:bottom="53" w:gutter="0" w:footer="0" w:header="0"/>
        </w:sectPr>
      </w:pPr>
    </w:p>
    <w:bookmarkStart w:id="5" w:name="page6"/>
    <w:bookmarkEnd w:id="5"/>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Neither of the selling stockholders has held any position or office with, or has otherwise had a material relationship with, us or any of our predecessors or affiliates within the past three years other than as parties to agreements with us governing the operation of certain Globalstar gateways owned by the GA Companies prior to the acquisition.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shares covered by this prospectus may be offered and sold from time to time by the selling stockholders. The term “selling stockholders” includes donees, pledgees, transferees or other successors-in-interest selling shares received after the date of this prospectus from a selling stockholder as a gift, pledge, distribution or other non-sale related transfer. Each selling stockholder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A selling stockholders may sell their shares by one or more of, or a combination of, the following methods:</w:t>
      </w:r>
    </w:p>
    <w:p>
      <w:pPr>
        <w:spacing w:after="0" w:line="169" w:lineRule="exact"/>
        <w:rPr>
          <w:sz w:val="20"/>
          <w:szCs w:val="20"/>
          <w:color w:val="auto"/>
        </w:rPr>
      </w:pPr>
    </w:p>
    <w:p>
      <w:pPr>
        <w:ind w:left="1540" w:hanging="881"/>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this prospectus;</w:t>
      </w:r>
    </w:p>
    <w:p>
      <w:pPr>
        <w:spacing w:after="0" w:line="206" w:lineRule="exact"/>
        <w:rPr>
          <w:rFonts w:ascii="Times New Roman" w:cs="Times New Roman" w:eastAsia="Times New Roman" w:hAnsi="Times New Roman"/>
          <w:sz w:val="22"/>
          <w:szCs w:val="22"/>
          <w:color w:val="auto"/>
        </w:rPr>
      </w:pPr>
    </w:p>
    <w:p>
      <w:pPr>
        <w:ind w:left="1540" w:hanging="881"/>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4" w:lineRule="exact"/>
        <w:rPr>
          <w:rFonts w:ascii="Times New Roman" w:cs="Times New Roman" w:eastAsia="Times New Roman" w:hAnsi="Times New Roman"/>
          <w:sz w:val="22"/>
          <w:szCs w:val="22"/>
          <w:color w:val="auto"/>
        </w:rPr>
      </w:pPr>
    </w:p>
    <w:p>
      <w:pPr>
        <w:ind w:left="1540" w:right="480" w:hanging="881"/>
        <w:spacing w:after="0" w:line="235" w:lineRule="auto"/>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79" w:lineRule="exact"/>
        <w:rPr>
          <w:rFonts w:ascii="Times New Roman" w:cs="Times New Roman" w:eastAsia="Times New Roman" w:hAnsi="Times New Roman"/>
          <w:sz w:val="22"/>
          <w:szCs w:val="22"/>
          <w:color w:val="auto"/>
        </w:rPr>
      </w:pPr>
    </w:p>
    <w:p>
      <w:pPr>
        <w:ind w:left="1540" w:hanging="881"/>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over-the-counter distribution in accordance with the rules of The NASDAQ Stock Market;</w:t>
      </w:r>
    </w:p>
    <w:p>
      <w:pPr>
        <w:spacing w:after="0" w:line="206" w:lineRule="exact"/>
        <w:rPr>
          <w:rFonts w:ascii="Times New Roman" w:cs="Times New Roman" w:eastAsia="Times New Roman" w:hAnsi="Times New Roman"/>
          <w:sz w:val="22"/>
          <w:szCs w:val="22"/>
          <w:color w:val="auto"/>
        </w:rPr>
      </w:pPr>
    </w:p>
    <w:p>
      <w:pPr>
        <w:ind w:left="1540" w:hanging="881"/>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privately negotiated transactions;</w:t>
      </w:r>
    </w:p>
    <w:p>
      <w:pPr>
        <w:spacing w:after="0" w:line="206" w:lineRule="exact"/>
        <w:rPr>
          <w:rFonts w:ascii="Times New Roman" w:cs="Times New Roman" w:eastAsia="Times New Roman" w:hAnsi="Times New Roman"/>
          <w:sz w:val="22"/>
          <w:szCs w:val="22"/>
          <w:color w:val="auto"/>
        </w:rPr>
      </w:pPr>
    </w:p>
    <w:p>
      <w:pPr>
        <w:ind w:left="1540" w:hanging="881"/>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short sales; and</w:t>
      </w:r>
    </w:p>
    <w:p>
      <w:pPr>
        <w:spacing w:after="0" w:line="206" w:lineRule="exact"/>
        <w:rPr>
          <w:rFonts w:ascii="Times New Roman" w:cs="Times New Roman" w:eastAsia="Times New Roman" w:hAnsi="Times New Roman"/>
          <w:sz w:val="22"/>
          <w:szCs w:val="22"/>
          <w:color w:val="auto"/>
        </w:rPr>
      </w:pPr>
    </w:p>
    <w:p>
      <w:pPr>
        <w:ind w:left="1540" w:hanging="881"/>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options transactions.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any shares that qualify for sale pursuant to Rule 144 may be sold under Rule 144 rather than pursuant to this prospectus.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shares, a selling stockholder may enter into hedging transactions with broker-dealers or other financial institutions. In connection with such transactions, broker-dealers or other financial institutions may engage in short sales of the common stock in the course of hedging the positions they assume with a selling stockholder. A selling stockholder also may sell the common stock short and redeliver the shares to close out such short positions. A selling stockholder also may enter into option or other transactions with broker-dealers or other financial institutions that require the delivery to the broker-dealers or other financial institutions of shares offered by this prospectus, which shares the broker-dealers or other financial institutions may resell pursuant to this prospectus (as supplemented or amended to reflect such transaction). A selling stockholder may pledge shares to broker-dealers or other financial institutions, and, upon a default, a broker-dealer or other financial institution may effect sales of the pledged shares pursuant to this prospectus (as supplemented or amended to reflect such transaction).</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effecting sales, broker-dealers or agents engaged by a selling stockholder may arrange for other broker-dealers to participate. Broker-dealers or agents may receive commissions, discounts or concessions from a selling stockholder in amounts to be negotiated prior to the sale.</w:t>
      </w:r>
    </w:p>
    <w:p>
      <w:pPr>
        <w:spacing w:after="0" w:line="162"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In offering the shares covered by this prospectus, a selling stockholder and any broker-dealers who execute sales for a selling stockholder may be deemed to be “underwriters” within the meaning of the Securities Act in connection with such sales. Any profits realized by a selling stockholder and the compensation of any broker-dealer may be deemed to be underwriting discounts and commissions.</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Securities Exchange Act of 1934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ectPr>
          <w:pgSz w:w="11900" w:h="16838" w:orient="portrait"/>
          <w:cols w:equalWidth="0" w:num="1">
            <w:col w:w="11420"/>
          </w:cols>
          <w:pgMar w:left="240" w:top="121" w:right="239" w:bottom="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The validity of the shares offered by this prospectus has been passed upon for Globalstar by Taft Stettinius &amp; Hollister LLP, Cincinnati, Ohio.</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2006 and 2005 appearing in Globalstar’s Annual Report on Form 10-K for the year ended December 31, 2006 have been audited by Crowe Chizek and Company LLP, independent registered public accounting firm, as set forth in their report thereon, included therein and incorporated herein by reference. Such 2006 and 2005 consolidated financial statements are incorporated herein by reference in reliance upon such reports given upon their respective authority as experts in accounting and auditing.</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2004 appearing in Globalstar’s Annual Report on Form 10-K for the year ended December 31, 2006 have been audited by GHP Horwath, P.C., independent registered public accounting firm, as set forth in their report thereon, included therein and incorporated herein by reference. Such 2004 consolidated financial statements are incorporated herein by reference in reliance upon such report given upon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Globalstar files annual, quarterly and current reports, proxy statements and other information with the SEC under the Securities Exchange Act of 1934. You may read and copy the Registration Statement of which this prospectus is a part, including any exhibits filed with it, and all other reports or other information we may file with the SEC at the SEC’s Public Reference Room at 100 F Street, N.E., Room 1580, Washington, D.C. 20549. You may obtain copies of this information at prescribed rates by mail from the Public Reference Room of the SEC. You may call the SEC at 1-800-SEC-0330 for information on the operation of the Public Reference Room. In addition,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our reports, proxy and information statements and other information that we file with the SEC. These filings may also be found on the Investor Relations section of our website at </w:t>
      </w:r>
      <w:r>
        <w:rPr>
          <w:rFonts w:ascii="Times New Roman" w:cs="Times New Roman" w:eastAsia="Times New Roman" w:hAnsi="Times New Roman"/>
          <w:sz w:val="18"/>
          <w:szCs w:val="18"/>
          <w:i w:val="1"/>
          <w:iCs w:val="1"/>
          <w:color w:val="auto"/>
        </w:rPr>
        <w:t>http://www.globalstar.com</w:t>
      </w:r>
      <w:r>
        <w:rPr>
          <w:rFonts w:ascii="Times New Roman" w:cs="Times New Roman" w:eastAsia="Times New Roman" w:hAnsi="Times New Roman"/>
          <w:sz w:val="18"/>
          <w:szCs w:val="18"/>
          <w:color w:val="auto"/>
        </w:rPr>
        <w:t>. However, any information that is included on or linked to our website is not a part of or incorporated by reference into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w:t>
      </w:r>
    </w:p>
    <w:p>
      <w:pPr>
        <w:spacing w:after="0" w:line="18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The Registration Statement contains more information than this prospectus regarding us and our common stock, including certain exhibits. You may obtain a copy of the Registration Statement from the SEC address listed above or from the SEC’s website.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firstLine="632"/>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herein important business and financial information that Globalstar files with the SEC, which means that we can disclose important information to you by referring you to those documents. The information incorporated by reference or deemed incorporated by reference is an important part of this prospectus, and information that Globalstar files later with the SEC will be deemed to update automatically and supersede this incorporated information.</w:t>
      </w:r>
    </w:p>
    <w:p>
      <w:pPr>
        <w:spacing w:after="0" w:line="180" w:lineRule="exact"/>
        <w:rPr>
          <w:sz w:val="20"/>
          <w:szCs w:val="20"/>
          <w:color w:val="auto"/>
        </w:rPr>
      </w:pPr>
    </w:p>
    <w:p>
      <w:pPr>
        <w:ind w:firstLine="632"/>
        <w:spacing w:after="0" w:line="256" w:lineRule="auto"/>
        <w:rPr>
          <w:sz w:val="20"/>
          <w:szCs w:val="20"/>
          <w:color w:val="auto"/>
        </w:rPr>
      </w:pPr>
      <w:r>
        <w:rPr>
          <w:rFonts w:ascii="Times New Roman" w:cs="Times New Roman" w:eastAsia="Times New Roman" w:hAnsi="Times New Roman"/>
          <w:sz w:val="18"/>
          <w:szCs w:val="18"/>
          <w:color w:val="auto"/>
        </w:rPr>
        <w:t>We incorporate by reference the documents listed below of Globalstar (File No. 001-33117) and any future filings made by Globalstar with the SEC under Sections 13(a), 13(c), 14 or 15(d) of the Exchange Act subsequent to the date of this prospectus and prior to the sale of all the shares covered by his prospectus (excluding any information furnished to the SEC pursuant to Item 2.02 or Item 7.01 on any current report on Form 8-K and any related exhibits). Any statement contained in this prospectus or in a document incorporated or deemed to be incorporated by reference herein shall be deemed to be modified or superseded for purposes of this prospectus to the extent that a statement contained in this prospectus or in any other subsequently filed document which also is, or is deemed to be, incorporated by reference herein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modifies or supersedes such statement. Any such statement so modified or superseded shall not be deemed, except as so modified or superseded, to constitute a part of this prospectus.</w:t>
      </w:r>
    </w:p>
    <w:p>
      <w:pPr>
        <w:spacing w:after="0" w:line="359" w:lineRule="exact"/>
        <w:rPr>
          <w:sz w:val="20"/>
          <w:szCs w:val="20"/>
          <w:color w:val="auto"/>
        </w:rPr>
      </w:pPr>
    </w:p>
    <w:p>
      <w:pPr>
        <w:ind w:left="1080" w:hanging="242"/>
        <w:spacing w:after="0"/>
        <w:tabs>
          <w:tab w:leader="none" w:pos="10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Annual report on Form 10-K for the fiscal year ended December 31, 2006, as filed with the SEC on April 2, 2007;</w:t>
      </w:r>
    </w:p>
    <w:p>
      <w:pPr>
        <w:spacing w:after="0" w:line="224" w:lineRule="exact"/>
        <w:rPr>
          <w:rFonts w:ascii="Times New Roman" w:cs="Times New Roman" w:eastAsia="Times New Roman" w:hAnsi="Times New Roman"/>
          <w:sz w:val="22"/>
          <w:szCs w:val="22"/>
          <w:color w:val="auto"/>
        </w:rPr>
      </w:pPr>
    </w:p>
    <w:p>
      <w:pPr>
        <w:ind w:left="1080" w:right="20" w:hanging="242"/>
        <w:spacing w:after="0" w:line="235" w:lineRule="auto"/>
        <w:tabs>
          <w:tab w:leader="none" w:pos="10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Quarterly reports on Form 10-Q for the fiscal quarters ended March 31, 2007, June 30, 2007 and September 30, 2007, as filed with the SEC on May 15, 2007, August 14, 2007 and November 14, 2007, respectively;</w:t>
      </w:r>
    </w:p>
    <w:p>
      <w:pPr>
        <w:spacing w:after="0" w:line="197" w:lineRule="exact"/>
        <w:rPr>
          <w:rFonts w:ascii="Times New Roman" w:cs="Times New Roman" w:eastAsia="Times New Roman" w:hAnsi="Times New Roman"/>
          <w:sz w:val="22"/>
          <w:szCs w:val="22"/>
          <w:color w:val="auto"/>
        </w:rPr>
      </w:pPr>
    </w:p>
    <w:p>
      <w:pPr>
        <w:ind w:left="1080" w:right="100" w:hanging="242"/>
        <w:spacing w:after="0" w:line="235" w:lineRule="auto"/>
        <w:tabs>
          <w:tab w:leader="none" w:pos="10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Current reports on Form 8-K, as filed with the SEC on February 5, 2007, April 2, 2007, June 13, 2007, and September 10, 2007, respectively; and</w:t>
      </w:r>
    </w:p>
    <w:p>
      <w:pPr>
        <w:spacing w:after="0" w:line="179" w:lineRule="exact"/>
        <w:rPr>
          <w:rFonts w:ascii="Times New Roman" w:cs="Times New Roman" w:eastAsia="Times New Roman" w:hAnsi="Times New Roman"/>
          <w:sz w:val="22"/>
          <w:szCs w:val="22"/>
          <w:color w:val="auto"/>
        </w:rPr>
      </w:pPr>
    </w:p>
    <w:p>
      <w:pPr>
        <w:ind w:left="1080" w:hanging="242"/>
        <w:spacing w:after="0"/>
        <w:tabs>
          <w:tab w:leader="none" w:pos="10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description of our capital stock contained in our Registration Statement on Form 8-A, as filed with the SEC on October 30, 2006.</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by making an oral or written request directed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Globalstar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461 South Milpitas Blvd.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Milpitas, California 95035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(408) 933-4006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76" w:right="259" w:bottom="23" w:gutter="0" w:footer="0" w:header="0"/>
        </w:sectPr>
      </w:pPr>
    </w:p>
    <w:bookmarkStart w:id="7" w:name="page8"/>
    <w:bookmarkEnd w:id="7"/>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PART II</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i w:val="1"/>
          <w:i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various expenses to be incurred in connection with the sale and distribution of the securities being registered hereby, all of which will be borne by Globalstar (except any underwriting discounts and commissions and expenses incurred by the selling stockholders for brokerage, accounting, tax or legal services or any other expenses incurred by the selling stockholders in disposing of the shares). All amounts shown are estimates except the Securities and Exchange Commission registration fee.</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3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registrant’s certificate of incorporation provides that, to the fullest extent provided from time to time by Delaware law, the registrant (a) shall indemnify its directors and officers against judgments, fines, penalties, amounts paid in settlement and expenses incurred by them in connection with actions, suits, proceedings or claims arising out of their service to the registrant and, upon receipt of certain undertakings, shall advance expenses to them in connection with such matters and (b) may maintain insurance or make other financial arrangements on behalf of its directors and officers for any liability and expenses incurred by them, whether or not the registrant has authority to indemnify them against such liability and expenses. No arrangement made by the registrant may provide protection for a person judged liable for intentional misconduct, fraud or a knowing violation of law, unless advancement of expenses or indemnification is ordered by a court.</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maintains directors’ and officers’ liability insurance insuring its directors and executive officers against certain liabilities arising out of their service as such to the registrant.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following the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Item 512(a) of Regulation S-K. </w:t>
      </w:r>
      <w:r>
        <w:rPr>
          <w:rFonts w:ascii="Times New Roman" w:cs="Times New Roman" w:eastAsia="Times New Roman" w:hAnsi="Times New Roman"/>
          <w:sz w:val="18"/>
          <w:szCs w:val="18"/>
          <w:color w:val="auto"/>
        </w:rPr>
        <w:t>The undersigned Registrant hereby undertakes:</w:t>
      </w:r>
    </w:p>
    <w:p>
      <w:pPr>
        <w:spacing w:after="0" w:line="227" w:lineRule="exact"/>
        <w:rPr>
          <w:sz w:val="20"/>
          <w:szCs w:val="20"/>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880" w:hanging="575"/>
        <w:spacing w:after="0"/>
        <w:tabs>
          <w:tab w:leader="none" w:pos="1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225" w:lineRule="exact"/>
        <w:rPr>
          <w:rFonts w:ascii="Times New Roman" w:cs="Times New Roman" w:eastAsia="Times New Roman" w:hAnsi="Times New Roman"/>
          <w:sz w:val="18"/>
          <w:szCs w:val="18"/>
          <w:color w:val="auto"/>
        </w:rPr>
      </w:pPr>
    </w:p>
    <w:p>
      <w:pPr>
        <w:ind w:right="20" w:firstLine="1305"/>
        <w:spacing w:after="0" w:line="256" w:lineRule="auto"/>
        <w:tabs>
          <w:tab w:leader="none" w:pos="193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periodic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182" w:lineRule="exact"/>
        <w:rPr>
          <w:sz w:val="20"/>
          <w:szCs w:val="20"/>
          <w:color w:val="auto"/>
        </w:rPr>
      </w:pPr>
    </w:p>
    <w:p>
      <w:pPr>
        <w:ind w:right="320" w:firstLine="656"/>
        <w:spacing w:after="0" w:line="266" w:lineRule="auto"/>
        <w:tabs>
          <w:tab w:leader="none" w:pos="12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6" w:lineRule="exact"/>
        <w:rPr>
          <w:rFonts w:ascii="Times New Roman" w:cs="Times New Roman" w:eastAsia="Times New Roman" w:hAnsi="Times New Roman"/>
          <w:sz w:val="18"/>
          <w:szCs w:val="18"/>
          <w:color w:val="auto"/>
        </w:rPr>
      </w:pPr>
    </w:p>
    <w:p>
      <w:pPr>
        <w:ind w:right="420" w:firstLine="656"/>
        <w:spacing w:after="0" w:line="282" w:lineRule="auto"/>
        <w:tabs>
          <w:tab w:leader="none" w:pos="12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0"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Item 512(b) of Regulation S-K. </w:t>
      </w:r>
      <w:r>
        <w:rPr>
          <w:rFonts w:ascii="Times New Roman" w:cs="Times New Roman" w:eastAsia="Times New Roman" w:hAnsi="Times New Roman"/>
          <w:sz w:val="18"/>
          <w:szCs w:val="18"/>
          <w:color w:val="auto"/>
        </w:rPr>
        <w:t>The Registrant hereby undertakes that, for purposes of determining any liability under the Securities Act, each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Registrant’s annual report pursuant to Section 13(a) or 15(d) of the Exchange Act (and, where applicable, each filing of an employee benefit plan’s</w:t>
      </w:r>
    </w:p>
    <w:p>
      <w:pPr>
        <w:sectPr>
          <w:pgSz w:w="11900" w:h="16935" w:orient="portrait"/>
          <w:cols w:equalWidth="0" w:num="1">
            <w:col w:w="11380"/>
          </w:cols>
          <w:pgMar w:left="240" w:top="576" w:right="279" w:bottom="0" w:gutter="0" w:footer="0" w:header="0"/>
        </w:sectPr>
      </w:pPr>
    </w:p>
    <w:bookmarkStart w:id="8" w:name="page9"/>
    <w:bookmarkEnd w:id="8"/>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Item 512(h) of Regulation S-K. </w:t>
      </w:r>
      <w:r>
        <w:rPr>
          <w:rFonts w:ascii="Times New Roman" w:cs="Times New Roman" w:eastAsia="Times New Roman" w:hAnsi="Times New Roman"/>
          <w:sz w:val="18"/>
          <w:szCs w:val="18"/>
          <w:color w:val="auto"/>
        </w:rPr>
        <w:t>Insofar as indemnification for liabilities arising under the Securities Act may be permitted to directors,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Milpitas, California on November 30, 2007.</w:t>
      </w:r>
    </w:p>
    <w:p>
      <w:pPr>
        <w:spacing w:after="0" w:line="3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29" w:lineRule="exact"/>
        <w:rPr>
          <w:sz w:val="20"/>
          <w:szCs w:val="20"/>
          <w:color w:val="auto"/>
        </w:rPr>
      </w:pPr>
    </w:p>
    <w:p>
      <w:pPr>
        <w:ind w:left="5000"/>
        <w:spacing w:after="0"/>
        <w:tabs>
          <w:tab w:leader="none" w:pos="5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Monroe III</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James Monroe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-130810</wp:posOffset>
            </wp:positionV>
            <wp:extent cx="25641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officers and directors of the Registrant hereby constitutes and appoints James Monroe III and Fuad Ahmad his true and lawful attorney-in-fact and agent, with full power of substitution, for him and on his behalf and in his name, place and stead, in any and all capacities, to sign, execute and file this registration statement under the Securities Act of 1933, as amended, and any or all amendments (including, without limitation, post-effective amendments), with all exhibits and any and all documents required to be filed with respect thereto, with the Securities and Exchange Commission or any regulatory authority, granting unto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 attorney-in-fact and agent, or his substitute or substitutes, may lawfully do or cause to be done.</w:t>
      </w:r>
    </w:p>
    <w:p>
      <w:pPr>
        <w:spacing w:after="0" w:line="185" w:lineRule="exact"/>
        <w:rPr>
          <w:sz w:val="20"/>
          <w:szCs w:val="20"/>
          <w:color w:val="auto"/>
        </w:rPr>
      </w:pPr>
    </w:p>
    <w:p>
      <w:pPr>
        <w:ind w:right="50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as of November 30, 2007.</w:t>
      </w:r>
    </w:p>
    <w:p>
      <w:pPr>
        <w:spacing w:after="0" w:line="155" w:lineRule="exact"/>
        <w:rPr>
          <w:sz w:val="20"/>
          <w:szCs w:val="20"/>
          <w:color w:val="auto"/>
        </w:rPr>
      </w:pPr>
    </w:p>
    <w:p>
      <w:pPr>
        <w:ind w:left="20"/>
        <w:spacing w:after="0"/>
        <w:tabs>
          <w:tab w:leader="none" w:pos="74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569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ectPr>
          <w:pgSz w:w="11900" w:h="16838" w:orient="portrait"/>
          <w:cols w:equalWidth="0" w:num="1">
            <w:col w:w="11400"/>
          </w:cols>
          <w:pgMar w:left="240" w:top="121" w:right="259" w:bottom="493" w:gutter="0" w:footer="0" w:header="0"/>
        </w:sect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Monroe III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Monroe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951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Fuad Ahmad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951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J. Dalton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J. Dalton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951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E. Jones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951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F. Lynch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F.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951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 Patrick McIntyre, Jr.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Patrick McIntyre,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951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S. Roberts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S.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951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of the Board, Chief Executive Officer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18" w:lineRule="exact"/>
        <w:rPr>
          <w:sz w:val="20"/>
          <w:szCs w:val="20"/>
          <w:color w:val="auto"/>
        </w:rPr>
      </w:pPr>
    </w:p>
    <w:p>
      <w:pPr>
        <w:sectPr>
          <w:pgSz w:w="11900" w:h="16838" w:orient="portrait"/>
          <w:cols w:equalWidth="0" w:num="2">
            <w:col w:w="4100" w:space="720"/>
            <w:col w:w="6580"/>
          </w:cols>
          <w:pgMar w:left="240" w:top="121" w:right="259" w:bottom="493"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493"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24"/>
        </w:trPr>
        <w:tc>
          <w:tcPr>
            <w:tcW w:w="1220" w:type="dxa"/>
            <w:vAlign w:val="bottom"/>
            <w:gridSpan w:val="2"/>
            <w:vMerge w:val="continue"/>
          </w:tcPr>
          <w:p>
            <w:pPr>
              <w:spacing w:after="0"/>
              <w:rPr>
                <w:sz w:val="10"/>
                <w:szCs w:val="10"/>
                <w:color w:val="auto"/>
              </w:rPr>
            </w:pPr>
          </w:p>
        </w:tc>
        <w:tc>
          <w:tcPr>
            <w:tcW w:w="10200" w:type="dxa"/>
            <w:vAlign w:val="bottom"/>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6"/>
                <w:szCs w:val="16"/>
                <w:color w:val="auto"/>
              </w:rPr>
            </w:pPr>
          </w:p>
        </w:tc>
        <w:tc>
          <w:tcPr>
            <w:tcW w:w="102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Amended and Restated Certificate of Incorporation of Globalstar, Inc. (Exhibit 3.1 to Registration Statement on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S-1, Amendment No. 5 filed October 27, 2006)</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Globalstar, Inc. (Exhibit 3.2 to Quarterly Report on Form 10-Q filed December 18, 2006)</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 of Taft Stettinius &amp; Hollister LLP</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Crowe Chizek and Company LLP</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GHP Horwath, P.C.</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tcPr>
          <w:p>
            <w:pPr>
              <w:spacing w:after="0"/>
              <w:rPr>
                <w:sz w:val="18"/>
                <w:szCs w:val="18"/>
                <w:color w:val="auto"/>
              </w:rPr>
            </w:pPr>
          </w:p>
        </w:tc>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Taft Stettinius &amp; Hollister LLP (included in Exhibit 5.1)</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Attorney (included in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1" w:lineRule="exact"/>
        <w:rPr>
          <w:sz w:val="20"/>
          <w:szCs w:val="20"/>
          <w:color w:val="auto"/>
        </w:rPr>
      </w:pPr>
    </w:p>
    <w:p>
      <w:pPr>
        <w:ind w:left="60"/>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3, 2007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[Taft Stettinius &amp; Hollister LLP Letterhead]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18"/>
          <w:szCs w:val="18"/>
          <w:color w:val="auto"/>
        </w:rPr>
        <w:t>We have acted as counsel for Globalstar, Inc., a Delaware corporation (the “Company”), in connection with a Registration Statement on Form S-3 (the “Registration Statement”) filed by the Company with the Securities and Exchange Commission with respect to the sale of up to 153,916 shares of common stock, par value $0.00001 per share (the “Shares”), by the holders named under the caption “Selling Stockholders” in the Prospectus included in the Registration Statement.</w:t>
      </w:r>
    </w:p>
    <w:p>
      <w:pPr>
        <w:spacing w:after="0" w:line="180" w:lineRule="exact"/>
        <w:rPr>
          <w:sz w:val="20"/>
          <w:szCs w:val="20"/>
          <w:color w:val="auto"/>
        </w:rPr>
      </w:pPr>
    </w:p>
    <w:p>
      <w:pPr>
        <w:ind w:right="180" w:firstLine="720"/>
        <w:spacing w:after="0" w:line="282" w:lineRule="auto"/>
        <w:rPr>
          <w:sz w:val="20"/>
          <w:szCs w:val="20"/>
          <w:color w:val="auto"/>
        </w:rPr>
      </w:pPr>
      <w:r>
        <w:rPr>
          <w:rFonts w:ascii="Times New Roman" w:cs="Times New Roman" w:eastAsia="Times New Roman" w:hAnsi="Times New Roman"/>
          <w:sz w:val="18"/>
          <w:szCs w:val="18"/>
          <w:color w:val="auto"/>
        </w:rPr>
        <w:t>It is our opinion that the registration of the Shares has been duly authorized by the Company and the Shares have been legally issued and are fully paid and non-assessable.</w:t>
      </w:r>
    </w:p>
    <w:p>
      <w:pPr>
        <w:spacing w:after="0" w:line="162" w:lineRule="exact"/>
        <w:rPr>
          <w:sz w:val="20"/>
          <w:szCs w:val="20"/>
          <w:color w:val="auto"/>
        </w:rPr>
      </w:pPr>
    </w:p>
    <w:p>
      <w:pPr>
        <w:ind w:right="160" w:firstLine="72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reference to our firm under the caption “Legal Matters” in the Prospectus contained therein.</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TAFT STETTINIUS &amp; HOLLISTER LLP</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TAFT STETTINIUS &amp; HOLLISTER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March 29, 2007 on the consolidated financial statements of Globalstar, Inc., as of and for the years ended December 31, 2006 and 2005, which report is included in Form 10-K for Globalstar, Inc. for the year ended December 31, 2006, and to the reference to our Firm under the caption “Experts” in the prospectus.</w:t>
      </w:r>
    </w:p>
    <w:p>
      <w:pPr>
        <w:spacing w:after="0" w:line="39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Crowe Chizek and Company LLP</w:t>
      </w:r>
    </w:p>
    <w:p>
      <w:pPr>
        <w:spacing w:after="0" w:line="22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Crowe Chizek and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April 13, 2005 (except for Note 11 as to which the date is May 12, 2006 and the first paragraph of Note 16 as to which the date is October 25, 2006), relating to the consolidated statements of operation, comprehensive income (loss), ownership equity (deficit) and cash flows of Globalstar, Inc. and subsidiaries for the year then ended December 31, 2004, which appears on page 73 of the Company’s annual report on Form 10-K for the year ended December 31, 2006, and to the reference to our Firm under the caption “Experts” in the prospectus.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GHP HORWATH,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Roman"/>
      <w:start w:val="1"/>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2019-12-15T11:59:15Z</dcterms:created>
  <dcterms:modified xsi:type="dcterms:W3CDTF">2019-12-15T11:59:15Z</dcterms:modified>
</cp:coreProperties>
</file>