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r>
        <w:rPr>
          <w:rFonts w:ascii="Arial" w:cs="Arial" w:eastAsia="Arial" w:hAnsi="Arial"/>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Globalstar,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Voting 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378973408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both"/>
        <w:ind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378973408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Mudrick Distressed Opportunity Specialty Fund,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jc w:val="right"/>
              <w:ind w:right="515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jc w:val="right"/>
              <w:ind w:right="515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jc w:val="right"/>
              <w:ind w:right="515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jc w:val="right"/>
              <w:ind w:right="515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- 0 -</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378973408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144145</wp:posOffset>
            </wp:positionV>
            <wp:extent cx="351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Mudrick Distressed Opportunity Drawdown Fund, L.P.</w:t>
            </w: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678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5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276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15,333,950</w:t>
            </w:r>
          </w:p>
        </w:tc>
        <w:tc>
          <w:tcPr>
            <w:tcW w:w="276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50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5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15,333,950</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1840" w:hanging="1026"/>
        <w:spacing w:after="0"/>
        <w:tabs>
          <w:tab w:leader="none" w:pos="1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430"/>
              <w:spacing w:after="0"/>
              <w:rPr>
                <w:sz w:val="20"/>
                <w:szCs w:val="20"/>
                <w:color w:val="auto"/>
              </w:rPr>
            </w:pPr>
            <w:r>
              <w:rPr>
                <w:rFonts w:ascii="Arial" w:cs="Arial" w:eastAsia="Arial" w:hAnsi="Arial"/>
                <w:sz w:val="18"/>
                <w:szCs w:val="18"/>
                <w:color w:val="auto"/>
              </w:rPr>
              <w:t>15,333,950</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8200" w:type="dxa"/>
            <w:vAlign w:val="bottom"/>
          </w:tcPr>
          <w:p>
            <w:pPr>
              <w:ind w:left="4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200" w:type="dxa"/>
            <w:vAlign w:val="bottom"/>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378973408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Mudrick Distressed Opportunity Drawdown Fund II,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15,460,995</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15,460,995</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15,460,995</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378973408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Mudrick Distressed Opportunity Fund Global, L.P.</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38,761,924</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38,761,924</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38,761,924</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-4620260</wp:posOffset>
            </wp:positionV>
            <wp:extent cx="351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2280" w:right="6900" w:hanging="1512"/>
        <w:spacing w:after="0" w:line="527" w:lineRule="auto"/>
        <w:tabs>
          <w:tab w:leader="none" w:pos="18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378973408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Mudrick GP, LLC</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38,761,924</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38,761,924</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38,761,924</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378973408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Mudrick Distressed Opportunity Drawdown Fund GP, LLC</w:t>
            </w: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678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5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276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15,333,950</w:t>
            </w:r>
          </w:p>
        </w:tc>
        <w:tc>
          <w:tcPr>
            <w:tcW w:w="276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50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5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15,333,950</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1840" w:hanging="1026"/>
        <w:spacing w:after="0"/>
        <w:tabs>
          <w:tab w:leader="none" w:pos="1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430"/>
              <w:spacing w:after="0"/>
              <w:rPr>
                <w:sz w:val="20"/>
                <w:szCs w:val="20"/>
                <w:color w:val="auto"/>
              </w:rPr>
            </w:pPr>
            <w:r>
              <w:rPr>
                <w:rFonts w:ascii="Arial" w:cs="Arial" w:eastAsia="Arial" w:hAnsi="Arial"/>
                <w:sz w:val="18"/>
                <w:szCs w:val="18"/>
                <w:color w:val="auto"/>
              </w:rPr>
              <w:t>15,333,950</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8200" w:type="dxa"/>
            <w:vAlign w:val="bottom"/>
          </w:tcPr>
          <w:p>
            <w:pPr>
              <w:ind w:left="4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200" w:type="dxa"/>
            <w:vAlign w:val="bottom"/>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378973408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Mudrick Distressed Opportunity Drawdown Fund II GP, LLC</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15,460,995</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15,460,995</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15,460,995</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Less than 1%</w:t>
            </w:r>
          </w:p>
        </w:tc>
        <w:tc>
          <w:tcPr>
            <w:tcW w:w="6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-4619625</wp:posOffset>
            </wp:positionV>
            <wp:extent cx="3511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2280" w:right="6900" w:hanging="1512"/>
        <w:spacing w:after="0" w:line="527" w:lineRule="auto"/>
        <w:tabs>
          <w:tab w:leader="none" w:pos="18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378973408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Mudrick Capital Management,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99,909,298</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99,909,298</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99,909,298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6.0%</w:t>
            </w:r>
          </w:p>
        </w:tc>
        <w:tc>
          <w:tcPr>
            <w:tcW w:w="6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-4620260</wp:posOffset>
            </wp:positionV>
            <wp:extent cx="351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2280" w:right="6900" w:hanging="1512"/>
        <w:spacing w:after="0" w:line="527" w:lineRule="auto"/>
        <w:tabs>
          <w:tab w:leader="none" w:pos="18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-576580</wp:posOffset>
            </wp:positionV>
            <wp:extent cx="3511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378973408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Mudrick Capital Management, LLC</w:t>
            </w: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678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5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276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99,909,298</w:t>
            </w:r>
          </w:p>
        </w:tc>
        <w:tc>
          <w:tcPr>
            <w:tcW w:w="276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50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5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99,909,298</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1840" w:hanging="1026"/>
        <w:spacing w:after="0"/>
        <w:tabs>
          <w:tab w:leader="none" w:pos="1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430"/>
              <w:spacing w:after="0"/>
              <w:rPr>
                <w:sz w:val="20"/>
                <w:szCs w:val="20"/>
                <w:color w:val="auto"/>
              </w:rPr>
            </w:pPr>
            <w:r>
              <w:rPr>
                <w:rFonts w:ascii="Arial" w:cs="Arial" w:eastAsia="Arial" w:hAnsi="Arial"/>
                <w:sz w:val="18"/>
                <w:szCs w:val="18"/>
                <w:color w:val="auto"/>
              </w:rPr>
              <w:t>99,909,298</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8200" w:type="dxa"/>
            <w:vAlign w:val="bottom"/>
          </w:tcPr>
          <w:p>
            <w:pPr>
              <w:ind w:left="4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200" w:type="dxa"/>
            <w:vAlign w:val="bottom"/>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6.0%</w:t>
      </w:r>
    </w:p>
    <w:p>
      <w:pPr>
        <w:spacing w:after="0" w:line="23" w:lineRule="exact"/>
        <w:rPr>
          <w:sz w:val="20"/>
          <w:szCs w:val="20"/>
          <w:color w:val="auto"/>
        </w:rPr>
      </w:pPr>
    </w:p>
    <w:p>
      <w:pPr>
        <w:ind w:left="2280" w:right="6900" w:hanging="1512"/>
        <w:spacing w:after="0" w:line="527" w:lineRule="auto"/>
        <w:tabs>
          <w:tab w:leader="none" w:pos="18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-576580</wp:posOffset>
            </wp:positionV>
            <wp:extent cx="3511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378973408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Jason Mudrick</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840" w:hanging="1026"/>
        <w:spacing w:after="0"/>
        <w:tabs>
          <w:tab w:leader="none" w:pos="1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790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United States of America</w:t>
            </w: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99,909,298</w:t>
            </w:r>
          </w:p>
        </w:tc>
        <w:tc>
          <w:tcPr>
            <w:tcW w:w="164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1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1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99,909,298</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99,909,298</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378973408</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Issuer: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Globalstar, Inc., a Delaware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1351 Holiday Square Blvd.</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Covington, LA 70433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8"/>
              </w:rPr>
              <w:t>This statement is filed by Mudrick Distressed Opportunity Specialty Fund, L.P. (“Specialty LP”), Mudrick Distressed Opportunity</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9"/>
              </w:rPr>
              <w:t>Drawdown Fund, L.P. (“Drawdown LP”), Mudrick Distressed Opportunity Drawdown Fund II, L.P. (“Drawdown II LP”), Mudrick</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Distressed Opportunity Fund Global, L.P. (“Global LP”), Mudrick GP, LLC (“Mudrick GP”), Mudrick Distressed Opportunity</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9"/>
              </w:rPr>
              <w:t>Drawdown Fund GP, LLC (“Drawdown GP”), Mudrick Distressed Opportunity Drawdown Fund II GP, LLC (“Drawdown II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9"/>
              </w:rPr>
              <w:t>Mudrick Capital Management, L.P. (“MCM”), Mudrick Capital Management, LLC (“MCM GP”), and Jason Mudrick. Each of the</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foregoing is referred to as a “Reporting Person” and collectively as the “Reporting Persons.”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1"/>
              </w:rPr>
              <w:t>Mudrick GP is the general partner of Specialty LP and Global LP and may be deemed to beneficially own the Shares (as defined below)</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1"/>
              </w:rPr>
              <w:t>owned directly by Specialty LP and Global LP. Drawdown GP is the general partner of Drawdown LP and may be deemed to beneficially</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own the Shares owned directly by Drawdown LP. Drawdown II GP is the general partner of Drawdown II LP and may be deemed to</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7"/>
              </w:rPr>
              <w:t>beneficially own the Shares owned directly by Drawdown II LP. MCM is the investment manager to Specialty LP, Drawdown LP,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Drawdown II LP, Global LP and certain managed accounts. MCM GP is the general partner of MCM. Mr. Mudrick is the sole member of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3"/>
              </w:rPr>
              <w:t>Mudrick GP, Drawdown GP, Drawdown II GP and MCM GP. By virtue of these relationships, each of MCM, MCM GP and Mr. Mudrick</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3"/>
              </w:rPr>
              <w:t>may be deemed to beneficially own the Shares owned directly by Specialty LP, Drawdown LP, Drawdown II LP, Global LP and certain</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managed accounts.</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595"/>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9"/>
              </w:rPr>
              <w:t>The address of the principal office of each of the Reporting Persons is 527 Madison Avenue, 6</w:t>
            </w:r>
            <w:r>
              <w:rPr>
                <w:rFonts w:ascii="Arial" w:cs="Arial" w:eastAsia="Arial" w:hAnsi="Arial"/>
                <w:sz w:val="29"/>
                <w:szCs w:val="29"/>
                <w:color w:val="auto"/>
                <w:w w:val="99"/>
                <w:vertAlign w:val="superscript"/>
              </w:rPr>
              <w:t>th</w:t>
            </w:r>
            <w:r>
              <w:rPr>
                <w:rFonts w:ascii="Arial" w:cs="Arial" w:eastAsia="Arial" w:hAnsi="Arial"/>
                <w:sz w:val="18"/>
                <w:szCs w:val="18"/>
                <w:color w:val="auto"/>
                <w:w w:val="99"/>
              </w:rPr>
              <w:t xml:space="preserve"> Floor, New York, NY 10022.</w:t>
            </w:r>
          </w:p>
        </w:tc>
      </w:tr>
      <w:tr>
        <w:trPr>
          <w:trHeight w:val="309"/>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3"/>
              </w:rPr>
              <w:t>Each of Specialty LP, Drawdown LP, Drawdown II LP, Mudrick GP, Drawdown GP, Drawdown II GP, MCM and MCM GP is organized</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3"/>
              </w:rPr>
              <w:t>under the laws of the State of Delaware. Global LP is organized under the laws of the Cayman Islands. Mr. Mudrick is a citizen of the</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United States of America.</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Voting Common Stock, par value $0.0001 (the “Shares”)</w:t>
            </w:r>
          </w:p>
        </w:tc>
      </w:tr>
      <w:tr>
        <w:trPr>
          <w:trHeight w:val="324"/>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378973408</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CUSIP Number:</w:t>
            </w:r>
          </w:p>
        </w:tc>
        <w:tc>
          <w:tcPr>
            <w:tcW w:w="838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w w:val="90"/>
              </w:rPr>
              <w:t>378973408</w:t>
            </w:r>
          </w:p>
        </w:tc>
        <w:tc>
          <w:tcPr>
            <w:tcW w:w="620" w:type="dxa"/>
            <w:vAlign w:val="bottom"/>
          </w:tcPr>
          <w:p>
            <w:pPr>
              <w:spacing w:after="0"/>
              <w:rPr>
                <w:sz w:val="24"/>
                <w:szCs w:val="24"/>
                <w:color w:val="auto"/>
              </w:rPr>
            </w:pPr>
          </w:p>
        </w:tc>
        <w:tc>
          <w:tcPr>
            <w:tcW w:w="838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3"/>
          </w:tcPr>
          <w:p>
            <w:pPr>
              <w:ind w:left="28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r>
      <w:tr>
        <w:trPr>
          <w:trHeight w:val="432"/>
        </w:trPr>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/x/</w:t>
            </w:r>
          </w:p>
        </w:tc>
        <w:tc>
          <w:tcPr>
            <w:tcW w:w="838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(a)</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(b)</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(c)</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(d)</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(e)</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(f)</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(g)</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(h)</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(i)</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w w:val="96"/>
              </w:rPr>
              <w:t>A church plan that is excluded from the definition of an investment company under Section 3(c)(14) of the</w:t>
            </w:r>
          </w:p>
        </w:tc>
      </w:tr>
      <w:tr>
        <w:trPr>
          <w:trHeight w:val="230"/>
        </w:trPr>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Investment Company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(j)</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 non-U.S. institution, in accordance with Rule 13d-1(b)(1)(ii)(J).</w:t>
            </w:r>
          </w:p>
        </w:tc>
      </w:tr>
      <w:tr>
        <w:trPr>
          <w:trHeight w:val="418"/>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(k)</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w w:val="96"/>
              </w:rPr>
              <w:t>Group, in accordance with Rule 240.13d-1(b)(1)(ii)(K). If filing as a non-U.S. institution in accordance with</w:t>
            </w:r>
          </w:p>
        </w:tc>
      </w:tr>
      <w:tr>
        <w:trPr>
          <w:trHeight w:val="230"/>
        </w:trPr>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Rule 240.13d-1(b)(1)(ii)(J), please specify the type of institution: ____</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120" w:type="dxa"/>
            <w:vAlign w:val="bottom"/>
          </w:tcPr>
          <w:p>
            <w:pPr>
              <w:ind w:left="280"/>
              <w:spacing w:after="0"/>
              <w:rPr>
                <w:sz w:val="20"/>
                <w:szCs w:val="20"/>
                <w:color w:val="auto"/>
              </w:rPr>
            </w:pPr>
            <w:r>
              <w:rPr>
                <w:rFonts w:ascii="Arial" w:cs="Arial" w:eastAsia="Arial" w:hAnsi="Arial"/>
                <w:sz w:val="18"/>
                <w:szCs w:val="18"/>
                <w:color w:val="auto"/>
                <w:w w:val="95"/>
              </w:rPr>
              <w:t>Ownership</w:t>
            </w:r>
          </w:p>
        </w:tc>
        <w:tc>
          <w:tcPr>
            <w:tcW w:w="620" w:type="dxa"/>
            <w:vAlign w:val="bottom"/>
          </w:tcPr>
          <w:p>
            <w:pPr>
              <w:spacing w:after="0"/>
              <w:rPr>
                <w:sz w:val="24"/>
                <w:szCs w:val="24"/>
                <w:color w:val="auto"/>
              </w:rPr>
            </w:pPr>
          </w:p>
        </w:tc>
        <w:tc>
          <w:tcPr>
            <w:tcW w:w="8380" w:type="dxa"/>
            <w:vAlign w:val="bottom"/>
          </w:tcPr>
          <w:p>
            <w:pPr>
              <w:spacing w:after="0"/>
              <w:rPr>
                <w:sz w:val="24"/>
                <w:szCs w:val="24"/>
                <w:color w:val="auto"/>
              </w:rPr>
            </w:pPr>
          </w:p>
        </w:tc>
      </w:tr>
    </w:tbl>
    <w:p>
      <w:pPr>
        <w:spacing w:after="0" w:line="202"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jc w:val="both"/>
        <w:ind w:left="1300"/>
        <w:spacing w:after="0" w:line="279" w:lineRule="auto"/>
        <w:rPr>
          <w:rFonts w:ascii="Arial" w:cs="Arial" w:eastAsia="Arial" w:hAnsi="Arial"/>
          <w:sz w:val="18"/>
          <w:szCs w:val="18"/>
          <w:color w:val="auto"/>
        </w:rPr>
      </w:pPr>
      <w:r>
        <w:rPr>
          <w:rFonts w:ascii="Arial" w:cs="Arial" w:eastAsia="Arial" w:hAnsi="Arial"/>
          <w:sz w:val="17"/>
          <w:szCs w:val="17"/>
          <w:color w:val="auto"/>
        </w:rPr>
        <w:t>See Cover Page Item 9 for each Reporting Person. The filing of this Schedule 13G shall not be construed as an admission that the Reporting Persons are, for purposes of Section 13(d) of the Securities Exchange Act of 1934, as amended, the beneficial owners of any of the Shares reported herein. Each of the Reporting Persons specifically disclaims beneficial ownership of the Shares reported herein that are not directly owned by such Reporting Person except to the extent of his or its pecuniary interest therein.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378973408</w:t>
      </w:r>
    </w:p>
    <w:p>
      <w:pPr>
        <w:spacing w:after="0" w:line="321"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jc w:val="both"/>
        <w:ind w:left="1300"/>
        <w:spacing w:after="0" w:line="286" w:lineRule="auto"/>
        <w:rPr>
          <w:rFonts w:ascii="Arial" w:cs="Arial" w:eastAsia="Arial" w:hAnsi="Arial"/>
          <w:sz w:val="18"/>
          <w:szCs w:val="18"/>
          <w:color w:val="auto"/>
        </w:rPr>
      </w:pPr>
      <w:r>
        <w:rPr>
          <w:rFonts w:ascii="Arial" w:cs="Arial" w:eastAsia="Arial" w:hAnsi="Arial"/>
          <w:sz w:val="17"/>
          <w:szCs w:val="17"/>
          <w:color w:val="auto"/>
        </w:rPr>
        <w:t>See Cover Page Item 11 for each Reporting Person. The percentages of Shares reported owned by each person named herein is based upon 1,670,405,275 Shares outstanding, as of October 30, 2020, which is the total number of Shares outstanding as reported in the Issuer’s Quarterly Report on Form 10-Q filed with the Securities and Exchange Commission on November 6, 2020.</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right="6480" w:hanging="656"/>
        <w:spacing w:after="0" w:line="500"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960" w:right="6300" w:hanging="656"/>
        <w:spacing w:after="0" w:line="500"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960" w:right="5580" w:hanging="656"/>
        <w:spacing w:after="0" w:line="500"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 w:lineRule="exact"/>
        <w:rPr>
          <w:rFonts w:ascii="Arial" w:cs="Arial" w:eastAsia="Arial" w:hAnsi="Arial"/>
          <w:sz w:val="18"/>
          <w:szCs w:val="18"/>
          <w:color w:val="auto"/>
        </w:rPr>
      </w:pPr>
    </w:p>
    <w:p>
      <w:pPr>
        <w:ind w:left="1960" w:hanging="656"/>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Cover Pages Items 5-9.</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both"/>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 to the Schedule 13G filed with the Securities and Exchange Commission on September 6, 2019.</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378973408</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MUDRICK DISTRESSED OPPORTUNITY SPECIALTY FUND, L.P.</w:t>
      </w:r>
    </w:p>
    <w:p>
      <w:pPr>
        <w:spacing w:after="0" w:line="237"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Mudrick GP, LLC, 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Jason Mudrick</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ind w:left="260"/>
              <w:spacing w:after="0" w:line="195" w:lineRule="exact"/>
              <w:rPr>
                <w:sz w:val="20"/>
                <w:szCs w:val="20"/>
                <w:color w:val="auto"/>
              </w:rPr>
            </w:pPr>
            <w:r>
              <w:rPr>
                <w:rFonts w:ascii="Arial" w:cs="Arial" w:eastAsia="Arial" w:hAnsi="Arial"/>
                <w:sz w:val="18"/>
                <w:szCs w:val="18"/>
                <w:color w:val="auto"/>
              </w:rPr>
              <w:t>Jason Mudrick</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260"/>
              <w:spacing w:after="0"/>
              <w:rPr>
                <w:sz w:val="20"/>
                <w:szCs w:val="20"/>
                <w:color w:val="auto"/>
              </w:rPr>
            </w:pPr>
            <w:r>
              <w:rPr>
                <w:rFonts w:ascii="Arial" w:cs="Arial" w:eastAsia="Arial" w:hAnsi="Arial"/>
                <w:sz w:val="18"/>
                <w:szCs w:val="18"/>
                <w:color w:val="auto"/>
              </w:rPr>
              <w:t>Sole Member</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MUDRICK DISTRESSED OPPORTUNITY DRAWDOWN FUND,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w w:val="94"/>
              </w:rPr>
              <w:t>Mudrick Distressed Opportunity Drawdown Fund GP, LLC, its</w:t>
            </w:r>
          </w:p>
        </w:tc>
      </w:tr>
      <w:tr>
        <w:trPr>
          <w:trHeight w:val="230"/>
        </w:trPr>
        <w:tc>
          <w:tcPr>
            <w:tcW w:w="6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Jason Mudrick</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ind w:left="260"/>
              <w:spacing w:after="0" w:line="195" w:lineRule="exact"/>
              <w:rPr>
                <w:sz w:val="20"/>
                <w:szCs w:val="20"/>
                <w:color w:val="auto"/>
              </w:rPr>
            </w:pPr>
            <w:r>
              <w:rPr>
                <w:rFonts w:ascii="Arial" w:cs="Arial" w:eastAsia="Arial" w:hAnsi="Arial"/>
                <w:sz w:val="18"/>
                <w:szCs w:val="18"/>
                <w:color w:val="auto"/>
              </w:rPr>
              <w:t>Jason Mudrick</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260"/>
              <w:spacing w:after="0"/>
              <w:rPr>
                <w:sz w:val="20"/>
                <w:szCs w:val="20"/>
                <w:color w:val="auto"/>
              </w:rPr>
            </w:pPr>
            <w:r>
              <w:rPr>
                <w:rFonts w:ascii="Arial" w:cs="Arial" w:eastAsia="Arial" w:hAnsi="Arial"/>
                <w:sz w:val="18"/>
                <w:szCs w:val="18"/>
                <w:color w:val="auto"/>
              </w:rPr>
              <w:t>Sole Member</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MUDRICK DISTRESSED OPPORTUNITY DRAWDOWN FUND II,</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w w:val="95"/>
              </w:rPr>
              <w:t>Mudrick Distressed Opportunity Drawdown Fund II GP, LLC,</w:t>
            </w:r>
          </w:p>
        </w:tc>
      </w:tr>
      <w:tr>
        <w:trPr>
          <w:trHeight w:val="230"/>
        </w:trPr>
        <w:tc>
          <w:tcPr>
            <w:tcW w:w="6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Jason Mudrick</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ind w:left="260"/>
              <w:spacing w:after="0" w:line="195" w:lineRule="exact"/>
              <w:rPr>
                <w:sz w:val="20"/>
                <w:szCs w:val="20"/>
                <w:color w:val="auto"/>
              </w:rPr>
            </w:pPr>
            <w:r>
              <w:rPr>
                <w:rFonts w:ascii="Arial" w:cs="Arial" w:eastAsia="Arial" w:hAnsi="Arial"/>
                <w:sz w:val="18"/>
                <w:szCs w:val="18"/>
                <w:color w:val="auto"/>
              </w:rPr>
              <w:t>Jason Mudrick</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260"/>
              <w:spacing w:after="0"/>
              <w:rPr>
                <w:sz w:val="20"/>
                <w:szCs w:val="20"/>
                <w:color w:val="auto"/>
              </w:rPr>
            </w:pPr>
            <w:r>
              <w:rPr>
                <w:rFonts w:ascii="Arial" w:cs="Arial" w:eastAsia="Arial" w:hAnsi="Arial"/>
                <w:sz w:val="18"/>
                <w:szCs w:val="18"/>
                <w:color w:val="auto"/>
              </w:rPr>
              <w:t>Sole Member</w:t>
            </w:r>
          </w:p>
        </w:tc>
      </w:tr>
      <w:tr>
        <w:trPr>
          <w:trHeight w:val="648"/>
        </w:trPr>
        <w:tc>
          <w:tcPr>
            <w:tcW w:w="5300" w:type="dxa"/>
            <w:vAlign w:val="bottom"/>
            <w:gridSpan w:val="3"/>
          </w:tcPr>
          <w:p>
            <w:pPr>
              <w:spacing w:after="0"/>
              <w:rPr>
                <w:sz w:val="20"/>
                <w:szCs w:val="20"/>
                <w:color w:val="auto"/>
              </w:rPr>
            </w:pPr>
            <w:r>
              <w:rPr>
                <w:rFonts w:ascii="Arial" w:cs="Arial" w:eastAsia="Arial" w:hAnsi="Arial"/>
                <w:sz w:val="18"/>
                <w:szCs w:val="18"/>
                <w:color w:val="auto"/>
              </w:rPr>
              <w:t>MUDRICK DISTRESSED OPPORTUNITY FUND GLOBAL, 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Mudrick GP, LLC, 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Jason Mudrick</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ind w:left="260"/>
              <w:spacing w:after="0" w:line="195" w:lineRule="exact"/>
              <w:rPr>
                <w:sz w:val="20"/>
                <w:szCs w:val="20"/>
                <w:color w:val="auto"/>
              </w:rPr>
            </w:pPr>
            <w:r>
              <w:rPr>
                <w:rFonts w:ascii="Arial" w:cs="Arial" w:eastAsia="Arial" w:hAnsi="Arial"/>
                <w:sz w:val="18"/>
                <w:szCs w:val="18"/>
                <w:color w:val="auto"/>
              </w:rPr>
              <w:t>Jason Mudrick</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260"/>
              <w:spacing w:after="0"/>
              <w:rPr>
                <w:sz w:val="20"/>
                <w:szCs w:val="20"/>
                <w:color w:val="auto"/>
              </w:rPr>
            </w:pPr>
            <w:r>
              <w:rPr>
                <w:rFonts w:ascii="Arial" w:cs="Arial" w:eastAsia="Arial" w:hAnsi="Arial"/>
                <w:sz w:val="18"/>
                <w:szCs w:val="18"/>
                <w:color w:val="auto"/>
              </w:rPr>
              <w:t>Sole Member</w:t>
            </w: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378973408</w:t>
      </w:r>
    </w:p>
    <w:p>
      <w:pPr>
        <w:spacing w:after="0" w:line="321"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MUDRICK GP, LLC</w:t>
            </w:r>
          </w:p>
        </w:tc>
        <w:tc>
          <w:tcPr>
            <w:tcW w:w="368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Jason Mudrick</w:t>
            </w:r>
          </w:p>
        </w:tc>
      </w:tr>
      <w:tr>
        <w:trPr>
          <w:trHeight w:val="195"/>
        </w:trPr>
        <w:tc>
          <w:tcPr>
            <w:tcW w:w="680" w:type="dxa"/>
            <w:vAlign w:val="bottom"/>
          </w:tcPr>
          <w:p>
            <w:pPr>
              <w:spacing w:after="0"/>
              <w:rPr>
                <w:sz w:val="16"/>
                <w:szCs w:val="16"/>
                <w:color w:val="auto"/>
              </w:rPr>
            </w:pPr>
          </w:p>
        </w:tc>
        <w:tc>
          <w:tcPr>
            <w:tcW w:w="9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80" w:type="dxa"/>
            <w:vAlign w:val="bottom"/>
          </w:tcPr>
          <w:p>
            <w:pPr>
              <w:ind w:left="80"/>
              <w:spacing w:after="0" w:line="195" w:lineRule="exact"/>
              <w:rPr>
                <w:sz w:val="20"/>
                <w:szCs w:val="20"/>
                <w:color w:val="auto"/>
              </w:rPr>
            </w:pPr>
            <w:r>
              <w:rPr>
                <w:rFonts w:ascii="Arial" w:cs="Arial" w:eastAsia="Arial" w:hAnsi="Arial"/>
                <w:sz w:val="18"/>
                <w:szCs w:val="18"/>
                <w:color w:val="auto"/>
              </w:rPr>
              <w:t>Jason Mudrick</w:t>
            </w:r>
          </w:p>
        </w:tc>
      </w:tr>
      <w:tr>
        <w:trPr>
          <w:trHeight w:val="230"/>
        </w:trPr>
        <w:tc>
          <w:tcPr>
            <w:tcW w:w="68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ind w:left="80"/>
              <w:spacing w:after="0"/>
              <w:rPr>
                <w:sz w:val="20"/>
                <w:szCs w:val="20"/>
                <w:color w:val="auto"/>
              </w:rPr>
            </w:pPr>
            <w:r>
              <w:rPr>
                <w:rFonts w:ascii="Arial" w:cs="Arial" w:eastAsia="Arial" w:hAnsi="Arial"/>
                <w:sz w:val="18"/>
                <w:szCs w:val="18"/>
                <w:color w:val="auto"/>
              </w:rPr>
              <w:t>Sole Member</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MUDRICK DISTRESSED OPPORTUNITY DRAWDOWN FUND GP,</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Jason Mudrick</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ind w:left="260"/>
              <w:spacing w:after="0" w:line="195" w:lineRule="exact"/>
              <w:rPr>
                <w:sz w:val="20"/>
                <w:szCs w:val="20"/>
                <w:color w:val="auto"/>
              </w:rPr>
            </w:pPr>
            <w:r>
              <w:rPr>
                <w:rFonts w:ascii="Arial" w:cs="Arial" w:eastAsia="Arial" w:hAnsi="Arial"/>
                <w:sz w:val="18"/>
                <w:szCs w:val="18"/>
                <w:color w:val="auto"/>
              </w:rPr>
              <w:t>Jason Mudrick</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260"/>
              <w:spacing w:after="0"/>
              <w:rPr>
                <w:sz w:val="20"/>
                <w:szCs w:val="20"/>
                <w:color w:val="auto"/>
              </w:rPr>
            </w:pPr>
            <w:r>
              <w:rPr>
                <w:rFonts w:ascii="Arial" w:cs="Arial" w:eastAsia="Arial" w:hAnsi="Arial"/>
                <w:sz w:val="18"/>
                <w:szCs w:val="18"/>
                <w:color w:val="auto"/>
              </w:rPr>
              <w:t>Sole Member</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MUDRICK DISTRESSED OPPORTUNITY DRAWDOWN FUND II</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GP, LLC</w:t>
      </w:r>
    </w:p>
    <w:p>
      <w:pPr>
        <w:spacing w:after="0" w:line="211"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Jason Mudrick</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ind w:left="260"/>
              <w:spacing w:after="0" w:line="195" w:lineRule="exact"/>
              <w:rPr>
                <w:sz w:val="20"/>
                <w:szCs w:val="20"/>
                <w:color w:val="auto"/>
              </w:rPr>
            </w:pPr>
            <w:r>
              <w:rPr>
                <w:rFonts w:ascii="Arial" w:cs="Arial" w:eastAsia="Arial" w:hAnsi="Arial"/>
                <w:sz w:val="18"/>
                <w:szCs w:val="18"/>
                <w:color w:val="auto"/>
              </w:rPr>
              <w:t>Jason Mudrick</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260"/>
              <w:spacing w:after="0"/>
              <w:rPr>
                <w:sz w:val="20"/>
                <w:szCs w:val="20"/>
                <w:color w:val="auto"/>
              </w:rPr>
            </w:pPr>
            <w:r>
              <w:rPr>
                <w:rFonts w:ascii="Arial" w:cs="Arial" w:eastAsia="Arial" w:hAnsi="Arial"/>
                <w:sz w:val="18"/>
                <w:szCs w:val="18"/>
                <w:color w:val="auto"/>
              </w:rPr>
              <w:t>Sole Member</w:t>
            </w:r>
          </w:p>
        </w:tc>
      </w:tr>
      <w:tr>
        <w:trPr>
          <w:trHeight w:val="648"/>
        </w:trPr>
        <w:tc>
          <w:tcPr>
            <w:tcW w:w="5300" w:type="dxa"/>
            <w:vAlign w:val="bottom"/>
            <w:gridSpan w:val="3"/>
          </w:tcPr>
          <w:p>
            <w:pPr>
              <w:spacing w:after="0"/>
              <w:rPr>
                <w:sz w:val="20"/>
                <w:szCs w:val="20"/>
                <w:color w:val="auto"/>
              </w:rPr>
            </w:pPr>
            <w:r>
              <w:rPr>
                <w:rFonts w:ascii="Arial" w:cs="Arial" w:eastAsia="Arial" w:hAnsi="Arial"/>
                <w:sz w:val="18"/>
                <w:szCs w:val="18"/>
                <w:color w:val="auto"/>
              </w:rPr>
              <w:t>MUDRICK CAPITAL MANAGEMENT, 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Mudrick Capital Management, LLC, 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Jason Mudrick</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ind w:left="260"/>
              <w:spacing w:after="0" w:line="195" w:lineRule="exact"/>
              <w:rPr>
                <w:sz w:val="20"/>
                <w:szCs w:val="20"/>
                <w:color w:val="auto"/>
              </w:rPr>
            </w:pPr>
            <w:r>
              <w:rPr>
                <w:rFonts w:ascii="Arial" w:cs="Arial" w:eastAsia="Arial" w:hAnsi="Arial"/>
                <w:sz w:val="18"/>
                <w:szCs w:val="18"/>
                <w:color w:val="auto"/>
              </w:rPr>
              <w:t>Jason Mudrick</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260"/>
              <w:spacing w:after="0"/>
              <w:rPr>
                <w:sz w:val="20"/>
                <w:szCs w:val="20"/>
                <w:color w:val="auto"/>
              </w:rPr>
            </w:pPr>
            <w:r>
              <w:rPr>
                <w:rFonts w:ascii="Arial" w:cs="Arial" w:eastAsia="Arial" w:hAnsi="Arial"/>
                <w:sz w:val="18"/>
                <w:szCs w:val="18"/>
                <w:color w:val="auto"/>
              </w:rPr>
              <w:t>Sole Member</w:t>
            </w:r>
          </w:p>
        </w:tc>
      </w:tr>
      <w:tr>
        <w:trPr>
          <w:trHeight w:val="648"/>
        </w:trPr>
        <w:tc>
          <w:tcPr>
            <w:tcW w:w="5300" w:type="dxa"/>
            <w:vAlign w:val="bottom"/>
            <w:gridSpan w:val="3"/>
          </w:tcPr>
          <w:p>
            <w:pPr>
              <w:spacing w:after="0"/>
              <w:rPr>
                <w:sz w:val="20"/>
                <w:szCs w:val="20"/>
                <w:color w:val="auto"/>
              </w:rPr>
            </w:pPr>
            <w:r>
              <w:rPr>
                <w:rFonts w:ascii="Arial" w:cs="Arial" w:eastAsia="Arial" w:hAnsi="Arial"/>
                <w:sz w:val="18"/>
                <w:szCs w:val="18"/>
                <w:color w:val="auto"/>
              </w:rPr>
              <w:t>MUDRICK CAPITAL MANAGEMENT, LLC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Jason Mudrick</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ind w:left="260"/>
              <w:spacing w:after="0" w:line="195" w:lineRule="exact"/>
              <w:rPr>
                <w:sz w:val="20"/>
                <w:szCs w:val="20"/>
                <w:color w:val="auto"/>
              </w:rPr>
            </w:pPr>
            <w:r>
              <w:rPr>
                <w:rFonts w:ascii="Arial" w:cs="Arial" w:eastAsia="Arial" w:hAnsi="Arial"/>
                <w:sz w:val="18"/>
                <w:szCs w:val="18"/>
                <w:color w:val="auto"/>
              </w:rPr>
              <w:t>Jason Mudrick</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260"/>
              <w:spacing w:after="0"/>
              <w:rPr>
                <w:sz w:val="20"/>
                <w:szCs w:val="20"/>
                <w:color w:val="auto"/>
              </w:rPr>
            </w:pPr>
            <w:r>
              <w:rPr>
                <w:rFonts w:ascii="Arial" w:cs="Arial" w:eastAsia="Arial" w:hAnsi="Arial"/>
                <w:sz w:val="18"/>
                <w:szCs w:val="18"/>
                <w:color w:val="auto"/>
              </w:rPr>
              <w:t>Sole Member</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Jason Mudrick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JASON MUDRICK</w:t>
      </w: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2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bullet"/>
      <w:start w:val="1"/>
    </w:lvl>
  </w:abstractNum>
  <w:abstractNum w:abstractNumId="4">
    <w:nsid w:val="109CF92E"/>
    <w:multiLevelType w:val="hybridMultilevel"/>
    <w:lvl w:ilvl="0">
      <w:lvlJc w:val="left"/>
      <w:lvlText w:val="%1"/>
      <w:numFmt w:val="decimal"/>
      <w:start w:val="12"/>
    </w:lvl>
  </w:abstractNum>
  <w:abstractNum w:abstractNumId="5">
    <w:nsid w:val="DED7263"/>
    <w:multiLevelType w:val="hybridMultilevel"/>
    <w:lvl w:ilvl="0">
      <w:lvlJc w:val="left"/>
      <w:lvlText w:val="9"/>
      <w:numFmt w:val="bullet"/>
      <w:start w:val="1"/>
    </w:lvl>
  </w:abstractNum>
  <w:abstractNum w:abstractNumId="6">
    <w:nsid w:val="7FDCC233"/>
    <w:multiLevelType w:val="hybridMultilevel"/>
    <w:lvl w:ilvl="0">
      <w:lvlJc w:val="left"/>
      <w:lvlText w:val="%1"/>
      <w:numFmt w:val="decimal"/>
      <w:start w:val="12"/>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2"/>
    </w:lvl>
  </w:abstractNum>
  <w:abstractNum w:abstractNumId="9">
    <w:nsid w:val="6B68079A"/>
    <w:multiLevelType w:val="hybridMultilevel"/>
    <w:lvl w:ilvl="0">
      <w:lvlJc w:val="left"/>
      <w:lvlText w:val="%1"/>
      <w:numFmt w:val="decimal"/>
      <w:start w:val="12"/>
    </w:lvl>
  </w:abstractNum>
  <w:abstractNum w:abstractNumId="10">
    <w:nsid w:val="4E6AFB66"/>
    <w:multiLevelType w:val="hybridMultilevel"/>
    <w:lvl w:ilvl="0">
      <w:lvlJc w:val="left"/>
      <w:lvlText w:val="9"/>
      <w:numFmt w:val="bullet"/>
      <w:start w:val="1"/>
    </w:lvl>
  </w:abstractNum>
  <w:abstractNum w:abstractNumId="11">
    <w:nsid w:val="25E45D32"/>
    <w:multiLevelType w:val="hybridMultilevel"/>
    <w:lvl w:ilvl="0">
      <w:lvlJc w:val="left"/>
      <w:lvlText w:val="%1"/>
      <w:numFmt w:val="decimal"/>
      <w:start w:val="12"/>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9"/>
      <w:numFmt w:val="bullet"/>
      <w:start w:val="1"/>
    </w:lvl>
  </w:abstractNum>
  <w:abstractNum w:abstractNumId="15">
    <w:nsid w:val="7C83E458"/>
    <w:multiLevelType w:val="hybridMultilevel"/>
    <w:lvl w:ilvl="0">
      <w:lvlJc w:val="left"/>
      <w:lvlText w:val="%1"/>
      <w:numFmt w:val="decimal"/>
      <w:start w:val="12"/>
    </w:lvl>
  </w:abstractNum>
  <w:abstractNum w:abstractNumId="16">
    <w:nsid w:val="257130A3"/>
    <w:multiLevelType w:val="hybridMultilevel"/>
    <w:lvl w:ilvl="0">
      <w:lvlJc w:val="left"/>
      <w:lvlText w:val="1"/>
      <w:numFmt w:val="bullet"/>
      <w:start w:val="1"/>
    </w:lvl>
  </w:abstractNum>
  <w:abstractNum w:abstractNumId="17">
    <w:nsid w:val="62BBD95A"/>
    <w:multiLevelType w:val="hybridMultilevel"/>
    <w:lvl w:ilvl="0">
      <w:lvlJc w:val="left"/>
      <w:lvlText w:val="3"/>
      <w:numFmt w:val="bullet"/>
      <w:start w:val="1"/>
    </w:lvl>
  </w:abstractNum>
  <w:abstractNum w:abstractNumId="18">
    <w:nsid w:val="436C6125"/>
    <w:multiLevelType w:val="hybridMultilevel"/>
    <w:lvl w:ilvl="0">
      <w:lvlJc w:val="left"/>
      <w:lvlText w:val="4"/>
      <w:numFmt w:val="bullet"/>
      <w:start w:val="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2021-02-12T15:46:02Z</dcterms:created>
  <dcterms:modified xsi:type="dcterms:W3CDTF">2021-02-12T15:46:02Z</dcterms:modified>
</cp:coreProperties>
</file>