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8300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830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300"/>
          </w:cols>
          <w:pgMar w:left="460" w:top="226" w:right="459" w:bottom="97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Monroe James III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1735 NINETEENTH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DENVER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Globalstar,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GSAT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2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40"/>
          </w:cols>
          <w:pgMar w:left="460" w:top="226" w:right="459" w:bottom="979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3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75,175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5,439,038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Properties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145,360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5,584,398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Properties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875,540,711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Funding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640,750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200,200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618,558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Globalstar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Satellite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626,930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197,139,972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29,334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Monroe III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Monroe Irr.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3,000,000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Educational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26" w:right="459" w:bottom="979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284480</wp:posOffset>
            </wp:positionH>
            <wp:positionV relativeFrom="page">
              <wp:posOffset>88900</wp:posOffset>
            </wp:positionV>
            <wp:extent cx="7043420" cy="191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0" w:firstLine="9"/>
        <w:spacing w:after="0" w:line="305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purchased in multiple transactions at prices ranging from $0.99 to $1.00 per share. The price reported reflects the volume weighted average purchase price for the transactions. The reporting person undertakes to provide upon request by the SEC staff, the issuer or a security holder of the issuer, full information regarding the number of shares purchased at each separate price.</w:t>
      </w:r>
    </w:p>
    <w:p>
      <w:pPr>
        <w:ind w:right="140" w:firstLine="9"/>
        <w:spacing w:after="0" w:line="298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purchased in multiple transactions at prices ranging from $1.055 to $1.06 per share. The price reported reflects the volume weighted average purchase price for the transactions. The reporting person undertakes to provide upon request by the SEC staff, the issuer or a security holder of the issuer, full information regarding the number of shares purchased at each separate price.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Arthur McMahon, III,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-13970</wp:posOffset>
            </wp:positionV>
            <wp:extent cx="11125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Monroe III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-17780</wp:posOffset>
            </wp:positionV>
            <wp:extent cx="49276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14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202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9664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2023-05-17T20:55:50Z</dcterms:created>
  <dcterms:modified xsi:type="dcterms:W3CDTF">2023-05-17T20:55:50Z</dcterms:modified>
</cp:coreProperties>
</file>