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73"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___________</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7, 2024</w:t>
      </w:r>
    </w:p>
    <w:p>
      <w:pPr>
        <w:spacing w:after="0" w:line="22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6"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384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rPr>
              <w:t>Delaware</w:t>
            </w:r>
          </w:p>
        </w:tc>
        <w:tc>
          <w:tcPr>
            <w:tcW w:w="4120" w:type="dxa"/>
            <w:vAlign w:val="bottom"/>
          </w:tcPr>
          <w:p>
            <w:pPr>
              <w:jc w:val="center"/>
              <w:ind w:right="611"/>
              <w:spacing w:after="0"/>
              <w:rPr>
                <w:sz w:val="20"/>
                <w:szCs w:val="20"/>
                <w:color w:val="auto"/>
              </w:rPr>
            </w:pPr>
            <w:r>
              <w:rPr>
                <w:rFonts w:ascii="Times New Roman" w:cs="Times New Roman" w:eastAsia="Times New Roman" w:hAnsi="Times New Roman"/>
                <w:sz w:val="18"/>
                <w:szCs w:val="18"/>
                <w:color w:val="auto"/>
                <w:w w:val="99"/>
              </w:rPr>
              <w:t>001-33117</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41-2116508</w:t>
            </w:r>
          </w:p>
        </w:tc>
      </w:tr>
      <w:tr>
        <w:trPr>
          <w:trHeight w:val="225"/>
        </w:trPr>
        <w:tc>
          <w:tcPr>
            <w:tcW w:w="38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120" w:type="dxa"/>
            <w:vAlign w:val="bottom"/>
          </w:tcPr>
          <w:p>
            <w:pPr>
              <w:jc w:val="center"/>
              <w:ind w:right="571"/>
              <w:spacing w:after="0"/>
              <w:rPr>
                <w:sz w:val="20"/>
                <w:szCs w:val="20"/>
                <w:color w:val="auto"/>
              </w:rPr>
            </w:pPr>
            <w:r>
              <w:rPr>
                <w:rFonts w:ascii="Times New Roman" w:cs="Times New Roman" w:eastAsia="Times New Roman" w:hAnsi="Times New Roman"/>
                <w:sz w:val="18"/>
                <w:szCs w:val="18"/>
                <w:color w:val="auto"/>
              </w:rPr>
              <w:t>(Commission</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40" w:type="dxa"/>
            <w:vAlign w:val="bottom"/>
          </w:tcPr>
          <w:p>
            <w:pPr>
              <w:spacing w:after="0"/>
              <w:rPr>
                <w:sz w:val="20"/>
                <w:szCs w:val="20"/>
                <w:color w:val="auto"/>
              </w:rPr>
            </w:pPr>
          </w:p>
        </w:tc>
        <w:tc>
          <w:tcPr>
            <w:tcW w:w="4120" w:type="dxa"/>
            <w:vAlign w:val="bottom"/>
          </w:tcPr>
          <w:p>
            <w:pPr>
              <w:jc w:val="center"/>
              <w:ind w:right="571"/>
              <w:spacing w:after="0"/>
              <w:rPr>
                <w:sz w:val="20"/>
                <w:szCs w:val="20"/>
                <w:color w:val="auto"/>
              </w:rPr>
            </w:pPr>
            <w:r>
              <w:rPr>
                <w:rFonts w:ascii="Times New Roman" w:cs="Times New Roman" w:eastAsia="Times New Roman" w:hAnsi="Times New Roman"/>
                <w:sz w:val="18"/>
                <w:szCs w:val="18"/>
                <w:color w:val="auto"/>
              </w:rPr>
              <w:t>File Number)</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45"/>
        </w:trPr>
        <w:tc>
          <w:tcPr>
            <w:tcW w:w="3840" w:type="dxa"/>
            <w:vAlign w:val="bottom"/>
          </w:tcPr>
          <w:p>
            <w:pPr>
              <w:spacing w:after="0"/>
              <w:rPr>
                <w:sz w:val="24"/>
                <w:szCs w:val="24"/>
                <w:color w:val="auto"/>
              </w:rPr>
            </w:pPr>
          </w:p>
        </w:tc>
        <w:tc>
          <w:tcPr>
            <w:tcW w:w="4120" w:type="dxa"/>
            <w:vAlign w:val="bottom"/>
          </w:tcPr>
          <w:p>
            <w:pPr>
              <w:jc w:val="center"/>
              <w:ind w:right="571"/>
              <w:spacing w:after="0"/>
              <w:rPr>
                <w:sz w:val="20"/>
                <w:szCs w:val="20"/>
                <w:color w:val="auto"/>
              </w:rPr>
            </w:pPr>
            <w:r>
              <w:rPr>
                <w:rFonts w:ascii="Times New Roman" w:cs="Times New Roman" w:eastAsia="Times New Roman" w:hAnsi="Times New Roman"/>
                <w:sz w:val="18"/>
                <w:szCs w:val="18"/>
                <w:b w:val="1"/>
                <w:bCs w:val="1"/>
                <w:color w:val="auto"/>
                <w:w w:val="99"/>
              </w:rPr>
              <w:t>1351 Holiday Square Blvd.</w:t>
            </w:r>
          </w:p>
        </w:tc>
        <w:tc>
          <w:tcPr>
            <w:tcW w:w="2700" w:type="dxa"/>
            <w:vAlign w:val="bottom"/>
          </w:tcPr>
          <w:p>
            <w:pPr>
              <w:spacing w:after="0"/>
              <w:rPr>
                <w:sz w:val="24"/>
                <w:szCs w:val="24"/>
                <w:color w:val="auto"/>
              </w:rPr>
            </w:pPr>
          </w:p>
        </w:tc>
      </w:tr>
      <w:tr>
        <w:trPr>
          <w:trHeight w:val="220"/>
        </w:trPr>
        <w:tc>
          <w:tcPr>
            <w:tcW w:w="3840" w:type="dxa"/>
            <w:vAlign w:val="bottom"/>
          </w:tcPr>
          <w:p>
            <w:pPr>
              <w:spacing w:after="0"/>
              <w:rPr>
                <w:sz w:val="19"/>
                <w:szCs w:val="19"/>
                <w:color w:val="auto"/>
              </w:rPr>
            </w:pPr>
          </w:p>
        </w:tc>
        <w:tc>
          <w:tcPr>
            <w:tcW w:w="4120" w:type="dxa"/>
            <w:vAlign w:val="bottom"/>
          </w:tcPr>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Covington, LA 70433</w:t>
            </w:r>
          </w:p>
        </w:tc>
        <w:tc>
          <w:tcPr>
            <w:tcW w:w="2700" w:type="dxa"/>
            <w:vAlign w:val="bottom"/>
          </w:tcPr>
          <w:p>
            <w:pPr>
              <w:spacing w:after="0"/>
              <w:rPr>
                <w:sz w:val="19"/>
                <w:szCs w:val="19"/>
                <w:color w:val="auto"/>
              </w:rPr>
            </w:pPr>
          </w:p>
        </w:tc>
      </w:tr>
      <w:tr>
        <w:trPr>
          <w:trHeight w:val="216"/>
        </w:trPr>
        <w:tc>
          <w:tcPr>
            <w:tcW w:w="3840" w:type="dxa"/>
            <w:vAlign w:val="bottom"/>
          </w:tcPr>
          <w:p>
            <w:pPr>
              <w:spacing w:after="0"/>
              <w:rPr>
                <w:sz w:val="18"/>
                <w:szCs w:val="18"/>
                <w:color w:val="auto"/>
              </w:rPr>
            </w:pPr>
          </w:p>
        </w:tc>
        <w:tc>
          <w:tcPr>
            <w:tcW w:w="4120" w:type="dxa"/>
            <w:vAlign w:val="bottom"/>
          </w:tcPr>
          <w:p>
            <w:pPr>
              <w:jc w:val="center"/>
              <w:ind w:right="571"/>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700" w:type="dxa"/>
            <w:vAlign w:val="bottom"/>
          </w:tcPr>
          <w:p>
            <w:pPr>
              <w:spacing w:after="0"/>
              <w:rPr>
                <w:sz w:val="18"/>
                <w:szCs w:val="18"/>
                <w:color w:val="auto"/>
              </w:rPr>
            </w:pPr>
          </w:p>
        </w:tc>
      </w:tr>
      <w:tr>
        <w:trPr>
          <w:trHeight w:val="234"/>
        </w:trPr>
        <w:tc>
          <w:tcPr>
            <w:tcW w:w="1066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(985) 335-1500</w:t>
            </w:r>
          </w:p>
        </w:tc>
      </w:tr>
      <w:tr>
        <w:trPr>
          <w:trHeight w:val="414"/>
        </w:trPr>
        <w:tc>
          <w:tcPr>
            <w:tcW w:w="3840" w:type="dxa"/>
            <w:vAlign w:val="bottom"/>
          </w:tcPr>
          <w:p>
            <w:pPr>
              <w:spacing w:after="0"/>
              <w:rPr>
                <w:sz w:val="24"/>
                <w:szCs w:val="24"/>
                <w:color w:val="auto"/>
              </w:rPr>
            </w:pPr>
          </w:p>
        </w:tc>
        <w:tc>
          <w:tcPr>
            <w:tcW w:w="4120" w:type="dxa"/>
            <w:vAlign w:val="bottom"/>
          </w:tcPr>
          <w:p>
            <w:pPr>
              <w:jc w:val="center"/>
              <w:ind w:right="591"/>
              <w:spacing w:after="0"/>
              <w:rPr>
                <w:sz w:val="20"/>
                <w:szCs w:val="20"/>
                <w:color w:val="auto"/>
              </w:rPr>
            </w:pPr>
            <w:r>
              <w:rPr>
                <w:rFonts w:ascii="Times New Roman" w:cs="Times New Roman" w:eastAsia="Times New Roman" w:hAnsi="Times New Roman"/>
                <w:sz w:val="18"/>
                <w:szCs w:val="18"/>
                <w:color w:val="auto"/>
              </w:rPr>
              <w:t>N/A</w:t>
            </w:r>
          </w:p>
        </w:tc>
        <w:tc>
          <w:tcPr>
            <w:tcW w:w="2700" w:type="dxa"/>
            <w:vAlign w:val="bottom"/>
          </w:tcPr>
          <w:p>
            <w:pPr>
              <w:spacing w:after="0"/>
              <w:rPr>
                <w:sz w:val="24"/>
                <w:szCs w:val="24"/>
                <w:color w:val="auto"/>
              </w:rPr>
            </w:pPr>
          </w:p>
        </w:tc>
      </w:tr>
      <w:tr>
        <w:trPr>
          <w:trHeight w:val="234"/>
        </w:trPr>
        <w:tc>
          <w:tcPr>
            <w:tcW w:w="7960" w:type="dxa"/>
            <w:vAlign w:val="bottom"/>
            <w:gridSpan w:val="2"/>
          </w:tcPr>
          <w:p>
            <w:pPr>
              <w:jc w:val="center"/>
              <w:ind w:left="3092"/>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700" w:type="dxa"/>
            <w:vAlign w:val="bottom"/>
          </w:tcPr>
          <w:p>
            <w:pPr>
              <w:spacing w:after="0"/>
              <w:rPr>
                <w:sz w:val="20"/>
                <w:szCs w:val="20"/>
                <w:color w:val="auto"/>
              </w:rPr>
            </w:pPr>
          </w:p>
        </w:tc>
      </w:tr>
      <w:tr>
        <w:trPr>
          <w:trHeight w:val="289"/>
        </w:trPr>
        <w:tc>
          <w:tcPr>
            <w:tcW w:w="3840" w:type="dxa"/>
            <w:vAlign w:val="bottom"/>
          </w:tcPr>
          <w:p>
            <w:pPr>
              <w:jc w:val="center"/>
              <w:ind w:right="172"/>
              <w:spacing w:after="0"/>
              <w:rPr>
                <w:sz w:val="20"/>
                <w:szCs w:val="20"/>
                <w:color w:val="auto"/>
              </w:rPr>
            </w:pPr>
            <w:r>
              <w:rPr>
                <w:rFonts w:ascii="Times New Roman" w:cs="Times New Roman" w:eastAsia="Times New Roman" w:hAnsi="Times New Roman"/>
                <w:sz w:val="17"/>
                <w:szCs w:val="17"/>
                <w:color w:val="auto"/>
              </w:rPr>
              <w:t>Securities registered pursuant to section 12(b) of the</w:t>
            </w:r>
          </w:p>
        </w:tc>
        <w:tc>
          <w:tcPr>
            <w:tcW w:w="412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6"/>
        </w:trPr>
        <w:tc>
          <w:tcPr>
            <w:tcW w:w="3840" w:type="dxa"/>
            <w:vAlign w:val="bottom"/>
          </w:tcPr>
          <w:p>
            <w:pPr>
              <w:jc w:val="center"/>
              <w:ind w:right="172"/>
              <w:spacing w:after="0"/>
              <w:rPr>
                <w:sz w:val="20"/>
                <w:szCs w:val="20"/>
                <w:color w:val="auto"/>
              </w:rPr>
            </w:pPr>
            <w:r>
              <w:rPr>
                <w:rFonts w:ascii="Times New Roman" w:cs="Times New Roman" w:eastAsia="Times New Roman" w:hAnsi="Times New Roman"/>
                <w:sz w:val="17"/>
                <w:szCs w:val="17"/>
                <w:color w:val="auto"/>
              </w:rPr>
              <w:t>Act:</w:t>
            </w:r>
          </w:p>
        </w:tc>
        <w:tc>
          <w:tcPr>
            <w:tcW w:w="412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22"/>
        </w:trPr>
        <w:tc>
          <w:tcPr>
            <w:tcW w:w="3840" w:type="dxa"/>
            <w:vAlign w:val="bottom"/>
          </w:tcPr>
          <w:p>
            <w:pPr>
              <w:jc w:val="center"/>
              <w:ind w:right="172"/>
              <w:spacing w:after="0"/>
              <w:rPr>
                <w:sz w:val="20"/>
                <w:szCs w:val="20"/>
                <w:color w:val="auto"/>
              </w:rPr>
            </w:pPr>
            <w:r>
              <w:rPr>
                <w:rFonts w:ascii="Times New Roman" w:cs="Times New Roman" w:eastAsia="Times New Roman" w:hAnsi="Times New Roman"/>
                <w:sz w:val="17"/>
                <w:szCs w:val="17"/>
                <w:color w:val="auto"/>
                <w:w w:val="98"/>
              </w:rPr>
              <w:t>Title of each class</w:t>
            </w:r>
          </w:p>
        </w:tc>
        <w:tc>
          <w:tcPr>
            <w:tcW w:w="4120" w:type="dxa"/>
            <w:vAlign w:val="bottom"/>
          </w:tcPr>
          <w:p>
            <w:pPr>
              <w:jc w:val="center"/>
              <w:ind w:right="611"/>
              <w:spacing w:after="0"/>
              <w:rPr>
                <w:sz w:val="20"/>
                <w:szCs w:val="20"/>
                <w:color w:val="auto"/>
              </w:rPr>
            </w:pPr>
            <w:r>
              <w:rPr>
                <w:rFonts w:ascii="Times New Roman" w:cs="Times New Roman" w:eastAsia="Times New Roman" w:hAnsi="Times New Roman"/>
                <w:sz w:val="17"/>
                <w:szCs w:val="17"/>
                <w:color w:val="auto"/>
                <w:w w:val="99"/>
              </w:rPr>
              <w:t>Trading Symbol</w:t>
            </w: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Name of exchange on which registered</w:t>
            </w:r>
          </w:p>
        </w:tc>
      </w:tr>
      <w:tr>
        <w:trPr>
          <w:trHeight w:val="230"/>
        </w:trPr>
        <w:tc>
          <w:tcPr>
            <w:tcW w:w="3840" w:type="dxa"/>
            <w:vAlign w:val="bottom"/>
          </w:tcPr>
          <w:p>
            <w:pPr>
              <w:jc w:val="center"/>
              <w:ind w:right="172"/>
              <w:spacing w:after="0"/>
              <w:rPr>
                <w:sz w:val="20"/>
                <w:szCs w:val="20"/>
                <w:color w:val="auto"/>
              </w:rPr>
            </w:pPr>
            <w:r>
              <w:rPr>
                <w:rFonts w:ascii="Times New Roman" w:cs="Times New Roman" w:eastAsia="Times New Roman" w:hAnsi="Times New Roman"/>
                <w:sz w:val="17"/>
                <w:szCs w:val="17"/>
                <w:b w:val="1"/>
                <w:bCs w:val="1"/>
                <w:color w:val="auto"/>
              </w:rPr>
              <w:t>Common Stock, par value $0.0001 per share</w:t>
            </w:r>
          </w:p>
        </w:tc>
        <w:tc>
          <w:tcPr>
            <w:tcW w:w="4120" w:type="dxa"/>
            <w:vAlign w:val="bottom"/>
          </w:tcPr>
          <w:p>
            <w:pPr>
              <w:jc w:val="center"/>
              <w:ind w:right="611"/>
              <w:spacing w:after="0"/>
              <w:rPr>
                <w:sz w:val="20"/>
                <w:szCs w:val="20"/>
                <w:color w:val="auto"/>
              </w:rPr>
            </w:pPr>
            <w:r>
              <w:rPr>
                <w:rFonts w:ascii="Times New Roman" w:cs="Times New Roman" w:eastAsia="Times New Roman" w:hAnsi="Times New Roman"/>
                <w:sz w:val="17"/>
                <w:szCs w:val="17"/>
                <w:b w:val="1"/>
                <w:bCs w:val="1"/>
                <w:color w:val="auto"/>
                <w:w w:val="99"/>
              </w:rPr>
              <w:t>GSAT</w:t>
            </w: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NYSE American</w:t>
            </w:r>
          </w:p>
        </w:tc>
      </w:tr>
    </w:tbl>
    <w:p>
      <w:pPr>
        <w:spacing w:after="0" w:line="308"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80" w:hanging="360"/>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480" w:hanging="360"/>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80" w:hanging="360"/>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80" w:hanging="360"/>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2"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ind w:left="69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835660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38" w:right="4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7, 2024, Globalstar, Inc. (the "Company") issued a press release announcing the Company's financial and operating results for the three and nine months ended September 30, 2024. A copy of the press release is furnished as Exhibit 99.1 to this Current Report on Form 8-K and incorporated herein by reference.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is furnished pursuant to the rules and regulations of the Securities and Exchange Commission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99.1</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November 7, 2024</w:t>
            </w:r>
          </w:p>
        </w:tc>
      </w:tr>
      <w:tr>
        <w:trPr>
          <w:trHeight w:val="20"/>
        </w:trPr>
        <w:tc>
          <w:tcPr>
            <w:tcW w:w="1240" w:type="dxa"/>
            <w:vAlign w:val="bottom"/>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304"/>
        </w:trPr>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104</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82"/>
        </w:trPr>
        <w:tc>
          <w:tcPr>
            <w:tcW w:w="124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7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 w:name="page3"/>
    <w:bookmarkEnd w:id="2"/>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ind w:firstLine="486"/>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GLOBALSTAR, INC.</w:t>
      </w: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Rebecca S. Clary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17145</wp:posOffset>
            </wp:positionV>
            <wp:extent cx="21431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Rebecca S. Clary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2024</w:t>
      </w:r>
    </w:p>
    <w:p>
      <w:pPr>
        <w:sectPr>
          <w:pgSz w:w="11900" w:h="16838" w:orient="portrait"/>
          <w:cols w:equalWidth="0" w:num="1">
            <w:col w:w="10820"/>
          </w:cols>
          <w:pgMar w:left="320" w:top="1346" w:right="7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171450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714500" cy="29146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GLOBALSTAR ANNOUNCES THIRD QUARTER 2024</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RESULTS</w:t>
      </w:r>
    </w:p>
    <w:p>
      <w:pPr>
        <w:spacing w:after="0" w:line="22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Covington, LA, November 7, 2024 </w:t>
      </w:r>
      <w:r>
        <w:rPr>
          <w:rFonts w:ascii="Times New Roman" w:cs="Times New Roman" w:eastAsia="Times New Roman" w:hAnsi="Times New Roman"/>
          <w:sz w:val="18"/>
          <w:szCs w:val="18"/>
          <w:color w:val="auto"/>
        </w:rPr>
        <w:t>-- Globalstar, Inc. (NYSE American: GSAT) (“Globalstar” or the “Company”) today announced its financial results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third quarter ended September 30, 2024.</w:t>
      </w:r>
    </w:p>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"Globalstar reported strong third quarter results highlighted by a 25% increase in total revenue. Net income and Adjusted EBITDA both benefited significantly from the increase in high-margin revenue with a favorable fluctuation in net income of $16 million and an increase in Adjusted EBITDA of 34%, reaching a record high during the quarter. Growth in wholesale capacity revenue continues to be the primary driver of our improved financial results with other recent business initiatives also contributing overall. As a result, we are increasing the low end of our revenue guidance to $245 million from $235 million and Adjusted EBITDA margin to 54% from 53%,” commented Rebecca Clary, Chief Financial Officer.</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Dr. Paul E. Jacobs, Chief Executive Officer, said, “I am pleased with our third quarter results and progress on our long-term growth strategy. I am also extremely proud of the Globalstar team's efforts in response to the tragic events of Hurricanes Helene and Milton, during which we maintained excellent service quality throughout the impacted regions. Globalstar's system was commercially available and able to serve a dramatic increase in usage as numerous users affected by such events were able to access our satellites to request emergency assistance as well as communicate with friends and family."</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Dr. Jacobs added, "In support of our mission to provide mainstream satellite connectivity, during the third quarter, the FCC approved our application to extend the term of our senior HIBLEO-4 constellation by an additional 15 years and operate up to 26 replacement satellites. This modification will enable us to continue to provide a variety of essential communications services to our customers.”</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Dr. Jacobs concluded, “Building on the foundation of successful execution in our wholesale consumer segment, we recently announced a significant extension of the services agreements with our largest customer. The updated services agreements enable further growth of our mobile satellite services, and include a new satellite constellation, expanded ground infrastructure and increased global mobile satellite services licensing. We are pleased to enter this next phase of growth, and look forward to providing updates on a wide range of activities and initiatives at our upcoming investor day on December 12.”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FINANCIAL REVIEW</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revenue for the third quarter of 2024 was $72.3 million, which was comprised of $68.9 million of service revenue and $3.4 million of revenue generated from subscriber equipment sales. Total revenue increased 25% from the prior year's third quarter due to an increase in service revenue.</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Higher service revenue of $15.3 million, or 28%, was due predominantly to revenue generated from wholesale capacity services. Wholesale capacity revenue increased during the third quarter of 2024 due, in part, to the Company's achievement of performance-based bonuses under the services agreements, including an out-of-period amount of $7.5 million associated with 2023 and first half 2024 performance and first half 2024 performance.</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continue to make progress on other strategic initiatives, including XCOM RAN equipment shipments, recognition of fees associated with a proof of concept with a government services company and other engineering contract work.</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our subscriber driven service revenue, Commercial IoT service revenue increased 5% from the prior year's third quarter due primarily to a 7% increase in average number of subscribers. Service revenue associated with legacy Duplex and SPOT services was lower due to fewer subscribers.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Income from operations was $9.4 million during the third quarter of 2024, compared to $2.0 million during the prior year's quarter. This variance was due primarily to higher revenue (as discussed above) partially offset by higher operating expenses.</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Higher cost of services resulted from network operating costs, primarily personnel costs and maintenance. These costs are necessary to support our new and upgraded global ground infrastructure. A significant portion of these costs are reimbursed to us, and this consideration is recognized as revenue when earned in the subsequent year. We currently do not expect the operating costs that support existing Phase 1 services to increase meaningfully beyond current levels. Cost of services also increased due to product development efforts as well as non-cash costs associated with the Support Services Agreement (the “SSA”) we entered into in August 2023 in connection with the XCOM License Agreement.</w:t>
      </w:r>
    </w:p>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Stock-based compensation increased from the prior year's third quarter due primarily to restricted stock units ("RSUs") granted in connection with the XCOM License Agreement in September 2023. The total fair value of the RSUs was $39.5 million and is being recognized over the derived service period of 2.6 years. We expect that nearly 60% of the compensation cost for these RSUs will be recognized during 2024.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w:t>
      </w:r>
    </w:p>
    <w:p>
      <w:pPr>
        <w:spacing w:after="0" w:line="2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income was $9.9 million for the third quarter of 2024, compared to net loss of $6.2 million for the prior year's quarter. This variance was due primarily to higher operating income, lower interest expense and a favorable fluctuation in foreign currency gains and losses due to the remeasurement of intercompany balances.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Adjusted EBITDA increased 34% to $42.8 million during the third quarter of 2024 compared to $32.0 million during the prior year's third quarter, due primarily to an increase in high-margin service revenue. Adjusted EBITDA is a non-GAAP financial measure. For more information on its usage and presentation, as well as a reconciliation to GAAP net income (loss), refer to “Reconciliation of GAAP Net Income (Loss) to Non-GAAP Adjusted EBITDA”.</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TO DATE FINANCIAL REVIEW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Total revenue was $189.2 million during the nine months ended September 30, 2024, which was comprised of $180.0 million of service revenue and $9.2 million of revenue generated from subscriber equipment sales. Total revenue increased 10% from the same period in 2023 due to an increase in service revenue, offset partially by a decrease in revenue generated from subscriber equipment sales.</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Service revenue increased $24.8 million, or 16%, for the nine months ended September 30, 2024 compared to the same period in 2023. Consistent with the quarterly results discussed above, higher wholesale capacity revenue was the primary driver of the increase. Higher Commercial IoT subscribers and average revenue per user ("ARPU") also positively impacted this variance, offset partially by fewer Duplex and SPOT subscribers. ARPU is a non-GAAP financial measure. For more information, refer to “Schedule of Selected Operating Measures”.</w:t>
      </w:r>
    </w:p>
    <w:p>
      <w:pPr>
        <w:spacing w:after="0" w:line="2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Revenue generated from subscriber equipment sales decreased $7.0 million due primarily to the timing of Commercial IoT sales. Our pipeline for Commercial IoT opportunities remains strong, evidenced by a 14% increase in equipment sales volume on a consecutive quarter basis.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operations</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Income from operations was $3.3 million for the nine months ended September 30, 2024 compared to $11.8 million during the same period in 2023. This variance was primarily due to increases in revenue being offset by higher operating expenses. Higher stock-based compensation and cost of services were the primary expense increases during the first nine months of 2024, offset partially by lower cost of subscriber equipment.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61" w:right="339" w:bottom="1440" w:gutter="0" w:footer="0" w:header="0"/>
        </w:sectPr>
      </w:pPr>
    </w:p>
    <w:bookmarkStart w:id="5" w:name="page6"/>
    <w:bookmarkEnd w:id="5"/>
    <w:p>
      <w:pPr>
        <w:jc w:val="both"/>
        <w:spacing w:after="0" w:line="250" w:lineRule="auto"/>
        <w:rPr>
          <w:sz w:val="20"/>
          <w:szCs w:val="20"/>
          <w:color w:val="auto"/>
        </w:rPr>
      </w:pPr>
      <w:r>
        <w:rPr>
          <w:rFonts w:ascii="Times New Roman" w:cs="Times New Roman" w:eastAsia="Times New Roman" w:hAnsi="Times New Roman"/>
          <w:sz w:val="18"/>
          <w:szCs w:val="18"/>
          <w:color w:val="auto"/>
        </w:rPr>
        <w:t>Net loss was $12.9 million for the nine months ended September 30, 2024 compared to $9.6 million during the same period in 2023. This variance was due primarily to lower operating income and unfavorable fluctuations in foreign currency gains and losses due to the remeasurement of intercompany balances. These items were offset partially by a non-recurring, non-cash loss on extinguishment of debt incurred in 2023.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Adjusted EBITDA increased 15% to $105.0 million for the nine months ended September 30, 2024 compared to $91.6 million during the same period in 2023. Generally consistent with the quarterly variance discussed above, an increase in high-margin service revenue was partially offset by higher operating expenses (both excluding adjustments for non-cash or non-recurring items).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September 30, 2024, we held cash and cash equivalents of $51.9 million, compared to $56.7 million as of December 31, 2023. During the first nine months of 2024, net cash flows generated from operations of $98.5 million and net cash flows from financing activities of $4.9 million were used to fund capital expenditures of $107.7 million (excluding the effect of exchange rate changes on cash).</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Operating cash flows include cash receipts from our customers, primarily from the performance of wholesale capacity services, as well as from subscribers for the purchase of equipment and satellite voice and data services. We use cash in operating activities primarily for network costs, personnel costs, inventory purchases and other general corporate expenditures. Investing outflows largely relate to network upgrades for certain vendors, including milestone work under the satellite procurement agreement and the launch services agreement. Financing activities relate primarily to the 2021 and 2023 funding agreements with our largest customer.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OUTLOOK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updating our previously issued financial outlook for full year 2024 with anticipated results below.</w:t>
      </w:r>
    </w:p>
    <w:p>
      <w:pPr>
        <w:spacing w:after="0" w:line="252"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between $245 million and $250 million (prior anticipated range was $235 million to $250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margin of approximately 54% (prior anticipated margin was 53%)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previously announced, the Company will host a conference call to discuss its results at 5:00 p.m. Eastern Time (ET) on Thursday, November 7, 2024.</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40575" cy="2048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0575" cy="2048510"/>
                    </a:xfrm>
                    <a:prstGeom prst="rect">
                      <a:avLst/>
                    </a:prstGeom>
                    <a:noFill/>
                  </pic:spPr>
                </pic:pic>
              </a:graphicData>
            </a:graphic>
          </wp:anchor>
        </w:drawing>
      </w:r>
    </w:p>
    <w:p>
      <w:pPr>
        <w:spacing w:after="0" w:line="264" w:lineRule="exact"/>
        <w:rPr>
          <w:sz w:val="20"/>
          <w:szCs w:val="20"/>
          <w:color w:val="auto"/>
        </w:rPr>
      </w:pPr>
    </w:p>
    <w:p>
      <w:pPr>
        <w:ind w:left="40"/>
        <w:spacing w:after="0"/>
        <w:tabs>
          <w:tab w:leader="none" w:pos="1320" w:val="left"/>
        </w:tabs>
        <w:rPr>
          <w:sz w:val="20"/>
          <w:szCs w:val="20"/>
          <w:color w:val="auto"/>
        </w:rPr>
      </w:pPr>
      <w:r>
        <w:rPr>
          <w:rFonts w:ascii="Times New Roman" w:cs="Times New Roman" w:eastAsia="Times New Roman" w:hAnsi="Times New Roman"/>
          <w:sz w:val="18"/>
          <w:szCs w:val="18"/>
          <w:i w:val="1"/>
          <w:iCs w:val="1"/>
          <w:color w:val="auto"/>
        </w:rPr>
        <w:t>Earnings Call:</w:t>
      </w:r>
      <w:r>
        <w:rPr>
          <w:sz w:val="20"/>
          <w:szCs w:val="20"/>
          <w:color w:val="auto"/>
        </w:rPr>
        <w:tab/>
      </w:r>
      <w:r>
        <w:rPr>
          <w:rFonts w:ascii="Times New Roman" w:cs="Times New Roman" w:eastAsia="Times New Roman" w:hAnsi="Times New Roman"/>
          <w:sz w:val="18"/>
          <w:szCs w:val="18"/>
          <w:color w:val="auto"/>
        </w:rPr>
        <w:t>The earnings call will be available via webcast from the following link.</w:t>
      </w:r>
    </w:p>
    <w:p>
      <w:pPr>
        <w:spacing w:after="0" w:line="2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Webcast Link: https://edge.media-server.com/mmc/p/ssnimn99</w:t>
      </w:r>
    </w:p>
    <w:p>
      <w:pPr>
        <w:spacing w:after="0" w:line="239" w:lineRule="exact"/>
        <w:rPr>
          <w:sz w:val="20"/>
          <w:szCs w:val="20"/>
          <w:color w:val="auto"/>
        </w:rPr>
      </w:pPr>
    </w:p>
    <w:p>
      <w:pPr>
        <w:ind w:left="1340" w:right="700"/>
        <w:spacing w:after="0" w:line="266" w:lineRule="auto"/>
        <w:rPr>
          <w:sz w:val="20"/>
          <w:szCs w:val="20"/>
          <w:color w:val="auto"/>
        </w:rPr>
      </w:pPr>
      <w:r>
        <w:rPr>
          <w:rFonts w:ascii="Times New Roman" w:cs="Times New Roman" w:eastAsia="Times New Roman" w:hAnsi="Times New Roman"/>
          <w:sz w:val="18"/>
          <w:szCs w:val="18"/>
          <w:color w:val="auto"/>
        </w:rPr>
        <w:t>To participate in the earnings call via teleconference or to participate in the live Q&amp;A session, participants should register at the following link to receive an email containing the dial-in number and unique passcode.</w:t>
      </w:r>
    </w:p>
    <w:p>
      <w:pPr>
        <w:spacing w:after="0" w:line="18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Participant Teleconference Registration Link:</w:t>
      </w:r>
    </w:p>
    <w:p>
      <w:pPr>
        <w:spacing w:after="0" w:line="1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https://register.vevent.com/register/BIfbf09ce58a9544b79a79cf28dde1ae2a</w:t>
      </w:r>
    </w:p>
    <w:p>
      <w:pPr>
        <w:spacing w:after="0" w:line="200" w:lineRule="exact"/>
        <w:rPr>
          <w:sz w:val="20"/>
          <w:szCs w:val="20"/>
          <w:color w:val="auto"/>
        </w:rPr>
      </w:pPr>
    </w:p>
    <w:p>
      <w:pPr>
        <w:spacing w:after="0" w:line="341" w:lineRule="exact"/>
        <w:rPr>
          <w:sz w:val="20"/>
          <w:szCs w:val="20"/>
          <w:color w:val="auto"/>
        </w:rPr>
      </w:pPr>
    </w:p>
    <w:p>
      <w:pPr>
        <w:ind w:left="1340" w:right="820" w:hanging="1309"/>
        <w:spacing w:after="0" w:line="250" w:lineRule="auto"/>
        <w:tabs>
          <w:tab w:leader="none" w:pos="1320" w:val="left"/>
        </w:tabs>
        <w:rPr>
          <w:sz w:val="20"/>
          <w:szCs w:val="20"/>
          <w:color w:val="auto"/>
        </w:rPr>
      </w:pPr>
      <w:r>
        <w:rPr>
          <w:rFonts w:ascii="Times New Roman" w:cs="Times New Roman" w:eastAsia="Times New Roman" w:hAnsi="Times New Roman"/>
          <w:sz w:val="18"/>
          <w:szCs w:val="18"/>
          <w:i w:val="1"/>
          <w:iCs w:val="1"/>
          <w:color w:val="auto"/>
        </w:rPr>
        <w:t>Audio Replay:</w:t>
      </w:r>
      <w:r>
        <w:rPr>
          <w:sz w:val="20"/>
          <w:szCs w:val="20"/>
          <w:color w:val="auto"/>
        </w:rPr>
        <w:tab/>
      </w:r>
      <w:r>
        <w:rPr>
          <w:rFonts w:ascii="Times New Roman" w:cs="Times New Roman" w:eastAsia="Times New Roman" w:hAnsi="Times New Roman"/>
          <w:sz w:val="18"/>
          <w:szCs w:val="18"/>
          <w:color w:val="auto"/>
        </w:rPr>
        <w:t>For those unable to participate in the live call, a replay of the webcast will be available in the Investor Relations section of the Company's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6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Globalstar, Inc.</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Globalstar empowers its customers to connect, transmit, and communicate in smarter ways – easily, quickly, securely, and affordably – offering reliable satellite and terrestrial connectivity services as an international telecom infrastructure provider. The Company’s low Earth orbit ("LEO") satellite constellation ensures secure data transmission for connecting and protecting assets, transmitting critical operational data, and saving lives for consumers, businesses, and government agencies across the globe. Globalstar’s terrestrial spectrum, Band 53, and its 5G variant, n53, offer carriers, cable companies, and system integrators a versatile, fully licensed channel for private networks with a growing ecosystem to improve customer wireless connectivity, while Globalstar’s XCOM Radio Access Network ("RAN") product offers significant capacity gains in dense wireless deployments. In addition to SPOT GPS messengers, Globalstar offers next-generation internet of things ("IoT") hardware and software products for efficiently tracking and monitoring assets, processing smart data at the edge, and managing analytics with cloud-based telematics solutions to drive safety, productivity, and profitability.</w:t>
      </w:r>
    </w:p>
    <w:p>
      <w:pPr>
        <w:spacing w:after="0" w:line="2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Note that all SPOT products described in this press release are the products of SPOT LLC, which is not affiliated in any manner with Spot Image of Toulouse, France or Spot Image Corporation of Chantilly, Virginia.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www.globalstar.com.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investorrelations@globalstar.com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 Harbor Language for Globalstar Releases</w:t>
      </w:r>
    </w:p>
    <w:p>
      <w:pPr>
        <w:spacing w:after="0" w:line="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Certain statements contained in this press release other than purely historical information, including, but not limited to, expectations regarding future revenue, financial performance, financial condition, liquidity, projections, estimates and guidance, statements relating to our business plans, objectives and expected operating results, our anticipated financial resources, our ability to integrate the licensed technology into our current line of business, our expectations with respect to the pursuit of terrestrial spectrum authorities globally, the success of current and potential future applications for our terrestrial spectrum, our ability to meet our obligations and attain the attempted benefits under the updated services agreements, and the assumptions upon which those statements are based, are “forward-looking statements” within the meaning of the Private Securities Litigation Reform Act of 1995. These forward-looking statements generally are identified by the words “believe,” “project,” “expect,” “anticipate,” “estimate,” “intend,” “strategy,” “plan,” “may,” “could,” “should,” “will,” “would,” “will be,” “will continue,” “will likely result,” and similar expressions, although not all forward-looking statements contain these identifying words. These forward-looking statements are based on current expectations and assumptions that are subject to risks and uncertainties which may cause actual results to differ materially from the forward-looking statements. Risks and uncertainties that could cause or contribute to such differences include, without limitation, those described under Item 1A. Risk Factors of the Company’s Annual Report on Form 10-K for the fiscal year ended December 31, 2023 and in the Company’s other filings with the SEC. The Company undertakes no obligation to update any of the forward-looking statements after the date of this press release to reflect actual results, future events or circumstances or changes in our assumptions, business plans or other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70" w:right="3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6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(Unaudited)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8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9"/>
                <w:szCs w:val="19"/>
                <w:color w:val="auto"/>
              </w:rPr>
            </w:pPr>
          </w:p>
        </w:tc>
        <w:tc>
          <w:tcPr>
            <w:tcW w:w="284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5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6"/>
        </w:trPr>
        <w:tc>
          <w:tcPr>
            <w:tcW w:w="45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 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68,908</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53,643</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180,008</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155,245</w:t>
            </w:r>
          </w:p>
        </w:tc>
        <w:tc>
          <w:tcPr>
            <w:tcW w:w="0" w:type="dxa"/>
            <w:vAlign w:val="bottom"/>
          </w:tcPr>
          <w:p>
            <w:pPr>
              <w:spacing w:after="0"/>
              <w:rPr>
                <w:sz w:val="1"/>
                <w:szCs w:val="1"/>
                <w:color w:val="auto"/>
              </w:rPr>
            </w:pPr>
          </w:p>
        </w:tc>
      </w:tr>
      <w:tr>
        <w:trPr>
          <w:trHeight w:val="229"/>
        </w:trPr>
        <w:tc>
          <w:tcPr>
            <w:tcW w:w="4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Subscriber equipment sales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9,164</w:t>
            </w: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16,154</w:t>
            </w: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72,307</w:t>
            </w:r>
          </w:p>
        </w:tc>
        <w:tc>
          <w:tcPr>
            <w:tcW w:w="1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57,683</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189,172</w:t>
            </w:r>
          </w:p>
        </w:tc>
        <w:tc>
          <w:tcPr>
            <w:tcW w:w="1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171,399</w:t>
            </w:r>
          </w:p>
        </w:tc>
        <w:tc>
          <w:tcPr>
            <w:tcW w:w="0" w:type="dxa"/>
            <w:vAlign w:val="bottom"/>
          </w:tcPr>
          <w:p>
            <w:pPr>
              <w:spacing w:after="0"/>
              <w:rPr>
                <w:sz w:val="1"/>
                <w:szCs w:val="1"/>
                <w:color w:val="auto"/>
              </w:rPr>
            </w:pPr>
          </w:p>
        </w:tc>
      </w:tr>
      <w:tr>
        <w:trPr>
          <w:trHeight w:val="21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560" w:type="dxa"/>
            <w:vAlign w:val="bottom"/>
            <w:shd w:val="clear" w:color="auto" w:fill="CCEEFF"/>
          </w:tcPr>
          <w:p>
            <w:pPr>
              <w:ind w:left="220"/>
              <w:spacing w:after="0" w:line="180" w:lineRule="exact"/>
              <w:rPr>
                <w:sz w:val="20"/>
                <w:szCs w:val="20"/>
                <w:color w:val="auto"/>
              </w:rPr>
            </w:pPr>
            <w:r>
              <w:rPr>
                <w:rFonts w:ascii="Times New Roman" w:cs="Times New Roman" w:eastAsia="Times New Roman" w:hAnsi="Times New Roman"/>
                <w:sz w:val="18"/>
                <w:szCs w:val="18"/>
                <w:color w:val="auto"/>
              </w:rPr>
              <w:t>Cost of services (exclusive of depreciation, amortization,</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8"/>
                <w:szCs w:val="18"/>
                <w:color w:val="auto"/>
              </w:rPr>
              <w:t>19,185</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8"/>
                <w:szCs w:val="18"/>
                <w:color w:val="auto"/>
              </w:rPr>
              <w:t>13,872</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8"/>
                <w:szCs w:val="18"/>
                <w:color w:val="auto"/>
              </w:rPr>
              <w:t>54,058</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8"/>
                <w:szCs w:val="18"/>
                <w:color w:val="auto"/>
              </w:rPr>
              <w:t>37,938</w:t>
            </w:r>
          </w:p>
        </w:tc>
        <w:tc>
          <w:tcPr>
            <w:tcW w:w="0" w:type="dxa"/>
            <w:vAlign w:val="bottom"/>
          </w:tcPr>
          <w:p>
            <w:pPr>
              <w:spacing w:after="0"/>
              <w:rPr>
                <w:sz w:val="1"/>
                <w:szCs w:val="1"/>
                <w:color w:val="auto"/>
              </w:rPr>
            </w:pPr>
          </w:p>
        </w:tc>
      </w:tr>
      <w:tr>
        <w:trPr>
          <w:trHeight w:val="243"/>
        </w:trPr>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accretion shown separately below)</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subscriber equipment sales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6,739</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13,429</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Marketing, general and administrative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10,439</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31,438</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31,843</w:t>
            </w:r>
          </w:p>
        </w:tc>
        <w:tc>
          <w:tcPr>
            <w:tcW w:w="0" w:type="dxa"/>
            <w:vAlign w:val="bottom"/>
          </w:tcPr>
          <w:p>
            <w:pPr>
              <w:spacing w:after="0"/>
              <w:rPr>
                <w:sz w:val="1"/>
                <w:szCs w:val="1"/>
                <w:color w:val="auto"/>
              </w:rPr>
            </w:pPr>
          </w:p>
        </w:tc>
      </w:tr>
      <w:tr>
        <w:trPr>
          <w:trHeight w:val="230"/>
        </w:trPr>
        <w:tc>
          <w:tcPr>
            <w:tcW w:w="4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8,254</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26,645</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10,638</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Reduction in the value of long-lived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4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22,249</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21,865</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66,456</w:t>
            </w: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65,688</w:t>
            </w: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62,873</w:t>
            </w:r>
          </w:p>
        </w:tc>
        <w:tc>
          <w:tcPr>
            <w:tcW w:w="1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55,666</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185,872</w:t>
            </w:r>
          </w:p>
        </w:tc>
        <w:tc>
          <w:tcPr>
            <w:tcW w:w="1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159,571</w:t>
            </w:r>
          </w:p>
        </w:tc>
        <w:tc>
          <w:tcPr>
            <w:tcW w:w="0" w:type="dxa"/>
            <w:vAlign w:val="bottom"/>
          </w:tcPr>
          <w:p>
            <w:pPr>
              <w:spacing w:after="0"/>
              <w:rPr>
                <w:sz w:val="1"/>
                <w:szCs w:val="1"/>
                <w:color w:val="auto"/>
              </w:rPr>
            </w:pPr>
          </w:p>
        </w:tc>
      </w:tr>
      <w:tr>
        <w:trPr>
          <w:trHeight w:val="223"/>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9,434</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11,828</w:t>
            </w: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(10,403)</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 and expense, net of amounts capitalized</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(10,301)</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(11,047)</w:t>
            </w:r>
          </w:p>
        </w:tc>
        <w:tc>
          <w:tcPr>
            <w:tcW w:w="0" w:type="dxa"/>
            <w:vAlign w:val="bottom"/>
          </w:tcPr>
          <w:p>
            <w:pPr>
              <w:spacing w:after="0"/>
              <w:rPr>
                <w:sz w:val="1"/>
                <w:szCs w:val="1"/>
                <w:color w:val="auto"/>
              </w:rPr>
            </w:pPr>
          </w:p>
        </w:tc>
      </w:tr>
      <w:tr>
        <w:trPr>
          <w:trHeight w:val="229"/>
        </w:trPr>
        <w:tc>
          <w:tcPr>
            <w:tcW w:w="4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gain (loss)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23"/>
        </w:trPr>
        <w:tc>
          <w:tcPr>
            <w:tcW w:w="45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(8,071)</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(14,323)</w:t>
            </w: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(21,283)</w:t>
            </w: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11,666</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(11,023)</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(9,455)</w:t>
            </w:r>
          </w:p>
        </w:tc>
        <w:tc>
          <w:tcPr>
            <w:tcW w:w="0" w:type="dxa"/>
            <w:vAlign w:val="bottom"/>
          </w:tcPr>
          <w:p>
            <w:pPr>
              <w:spacing w:after="0"/>
              <w:rPr>
                <w:sz w:val="1"/>
                <w:szCs w:val="1"/>
                <w:color w:val="auto"/>
              </w:rPr>
            </w:pPr>
          </w:p>
        </w:tc>
      </w:tr>
      <w:tr>
        <w:trPr>
          <w:trHeight w:val="229"/>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48"/>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9,934</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(6,169)</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(12,945)</w:t>
            </w:r>
          </w:p>
        </w:tc>
        <w:tc>
          <w:tcPr>
            <w:tcW w:w="1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(9,640)</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7,261</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(20,906)</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(17,572)</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0"/>
        </w:trPr>
        <w:tc>
          <w:tcPr>
            <w:tcW w:w="4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1,892,253</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1,836,251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1,886,377</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1,820,582</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1,910,061</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1,836,251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1,886,377</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1,820,582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60"/>
          </w:cols>
          <w:pgMar w:left="420" w:top="1224" w:right="4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par value and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180" w:type="dxa"/>
            <w:vAlign w:val="bottom"/>
          </w:tcPr>
          <w:p>
            <w:pPr>
              <w:spacing w:after="0"/>
              <w:rPr>
                <w:sz w:val="20"/>
                <w:szCs w:val="20"/>
                <w:color w:val="auto"/>
              </w:rPr>
            </w:pPr>
          </w:p>
        </w:tc>
        <w:tc>
          <w:tcPr>
            <w:tcW w:w="172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08"/>
        </w:trPr>
        <w:tc>
          <w:tcPr>
            <w:tcW w:w="7360" w:type="dxa"/>
            <w:vAlign w:val="bottom"/>
          </w:tcPr>
          <w:p>
            <w:pPr>
              <w:ind w:left="336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r>
      <w:tr>
        <w:trPr>
          <w:trHeight w:val="237"/>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226"/>
        </w:trPr>
        <w:tc>
          <w:tcPr>
            <w:tcW w:w="7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51,916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56,744</w:t>
            </w:r>
          </w:p>
        </w:tc>
      </w:tr>
      <w:tr>
        <w:trPr>
          <w:trHeight w:val="233"/>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Accounts receivable, net of allowance for credit losses of $1,446 and $2,312, respectively</w:t>
            </w:r>
          </w:p>
        </w:tc>
        <w:tc>
          <w:tcPr>
            <w:tcW w:w="16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43,021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48,743</w:t>
            </w:r>
          </w:p>
        </w:tc>
      </w:tr>
      <w:tr>
        <w:trPr>
          <w:trHeight w:val="226"/>
        </w:trPr>
        <w:tc>
          <w:tcPr>
            <w:tcW w:w="7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Inventory</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14,582</w:t>
            </w:r>
          </w:p>
        </w:tc>
      </w:tr>
      <w:tr>
        <w:trPr>
          <w:trHeight w:val="233"/>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6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20,638</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22,584</w:t>
            </w:r>
          </w:p>
        </w:tc>
      </w:tr>
      <w:tr>
        <w:trPr>
          <w:trHeight w:val="219"/>
        </w:trPr>
        <w:tc>
          <w:tcPr>
            <w:tcW w:w="73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7"/>
                <w:szCs w:val="17"/>
                <w:color w:val="auto"/>
              </w:rPr>
              <w:t>Total current assets</w:t>
            </w: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127,452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142,653</w:t>
            </w:r>
          </w:p>
        </w:tc>
      </w:tr>
      <w:tr>
        <w:trPr>
          <w:trHeight w:val="227"/>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617,064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624,002</w:t>
            </w:r>
          </w:p>
        </w:tc>
      </w:tr>
      <w:tr>
        <w:trPr>
          <w:trHeight w:val="226"/>
        </w:trPr>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right of use assets, net</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34,164</w:t>
            </w:r>
          </w:p>
        </w:tc>
      </w:tr>
      <w:tr>
        <w:trPr>
          <w:trHeight w:val="23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and other assets, net of accumulated amortization of $14,742 and $12,385, respectively</w:t>
            </w:r>
          </w:p>
        </w:tc>
        <w:tc>
          <w:tcPr>
            <w:tcW w:w="16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138,681</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123,490</w:t>
            </w:r>
          </w:p>
        </w:tc>
      </w:tr>
      <w:tr>
        <w:trPr>
          <w:trHeight w:val="219"/>
        </w:trPr>
        <w:tc>
          <w:tcPr>
            <w:tcW w:w="736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917,561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924,309</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07"/>
        </w:trPr>
        <w:tc>
          <w:tcPr>
            <w:tcW w:w="7360" w:type="dxa"/>
            <w:vAlign w:val="bottom"/>
            <w:tcBorders>
              <w:bottom w:val="single" w:sz="8" w:color="CCEEFF"/>
            </w:tcBorders>
            <w:shd w:val="clear" w:color="auto" w:fill="CCEEFF"/>
          </w:tcPr>
          <w:p>
            <w:pPr>
              <w:ind w:left="18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r>
      <w:tr>
        <w:trPr>
          <w:trHeight w:val="226"/>
        </w:trPr>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3"/>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34,600</w:t>
            </w:r>
          </w:p>
        </w:tc>
      </w:tr>
      <w:tr>
        <w:trPr>
          <w:trHeight w:val="226"/>
        </w:trPr>
        <w:tc>
          <w:tcPr>
            <w:tcW w:w="7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28,985</w:t>
            </w:r>
          </w:p>
        </w:tc>
      </w:tr>
      <w:tr>
        <w:trPr>
          <w:trHeight w:val="233"/>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satellite construction costs</w:t>
            </w:r>
          </w:p>
        </w:tc>
        <w:tc>
          <w:tcPr>
            <w:tcW w:w="16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58,187</w:t>
            </w:r>
          </w:p>
        </w:tc>
      </w:tr>
      <w:tr>
        <w:trPr>
          <w:trHeight w:val="226"/>
        </w:trPr>
        <w:tc>
          <w:tcPr>
            <w:tcW w:w="7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Payables to affiliates</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w:t>
            </w:r>
          </w:p>
        </w:tc>
      </w:tr>
      <w:tr>
        <w:trPr>
          <w:trHeight w:val="233"/>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revenue, net</w:t>
            </w:r>
          </w:p>
        </w:tc>
        <w:tc>
          <w:tcPr>
            <w:tcW w:w="16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46,548</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53,677</w:t>
            </w:r>
          </w:p>
        </w:tc>
      </w:tr>
      <w:tr>
        <w:trPr>
          <w:trHeight w:val="219"/>
        </w:trPr>
        <w:tc>
          <w:tcPr>
            <w:tcW w:w="73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116,854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175,908</w:t>
            </w:r>
          </w:p>
        </w:tc>
      </w:tr>
      <w:tr>
        <w:trPr>
          <w:trHeight w:val="227"/>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359,759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325,700</w:t>
            </w:r>
          </w:p>
        </w:tc>
      </w:tr>
      <w:tr>
        <w:trPr>
          <w:trHeight w:val="226"/>
        </w:trPr>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29,244</w:t>
            </w:r>
          </w:p>
        </w:tc>
      </w:tr>
      <w:tr>
        <w:trPr>
          <w:trHeight w:val="23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6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18,301</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14,478</w:t>
            </w:r>
          </w:p>
        </w:tc>
      </w:tr>
      <w:tr>
        <w:trPr>
          <w:trHeight w:val="262"/>
        </w:trPr>
        <w:tc>
          <w:tcPr>
            <w:tcW w:w="73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7"/>
                <w:szCs w:val="17"/>
                <w:color w:val="auto"/>
              </w:rPr>
              <w:t>Total non-current liabilities</w:t>
            </w:r>
          </w:p>
        </w:tc>
        <w:tc>
          <w:tcPr>
            <w:tcW w:w="1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406,614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369,422</w:t>
            </w:r>
          </w:p>
        </w:tc>
      </w:tr>
      <w:tr>
        <w:trPr>
          <w:trHeight w:val="226"/>
        </w:trPr>
        <w:tc>
          <w:tcPr>
            <w:tcW w:w="73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160" w:type="dxa"/>
            <w:vAlign w:val="bottom"/>
            <w:tcBorders>
              <w:top w:val="single" w:sz="8" w:color="CCEEFF"/>
            </w:tcBorders>
          </w:tcPr>
          <w:p>
            <w:pPr>
              <w:spacing w:after="0"/>
              <w:rPr>
                <w:sz w:val="19"/>
                <w:szCs w:val="19"/>
                <w:color w:val="auto"/>
              </w:rPr>
            </w:pPr>
          </w:p>
        </w:tc>
        <w:tc>
          <w:tcPr>
            <w:tcW w:w="17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720" w:type="dxa"/>
            <w:vAlign w:val="bottom"/>
            <w:tcBorders>
              <w:top w:val="single" w:sz="8" w:color="CCEEFF"/>
            </w:tcBorders>
          </w:tcPr>
          <w:p>
            <w:pPr>
              <w:spacing w:after="0"/>
              <w:rPr>
                <w:sz w:val="19"/>
                <w:szCs w:val="19"/>
                <w:color w:val="auto"/>
              </w:rPr>
            </w:pPr>
          </w:p>
        </w:tc>
      </w:tr>
      <w:tr>
        <w:trPr>
          <w:trHeight w:val="171"/>
        </w:trPr>
        <w:tc>
          <w:tcPr>
            <w:tcW w:w="7360" w:type="dxa"/>
            <w:vAlign w:val="bottom"/>
            <w:shd w:val="clear" w:color="auto" w:fill="CCEEFF"/>
          </w:tcPr>
          <w:p>
            <w:pPr>
              <w:ind w:left="220"/>
              <w:spacing w:after="0" w:line="171" w:lineRule="exact"/>
              <w:rPr>
                <w:sz w:val="20"/>
                <w:szCs w:val="20"/>
                <w:color w:val="auto"/>
              </w:rPr>
            </w:pPr>
            <w:r>
              <w:rPr>
                <w:rFonts w:ascii="Times New Roman" w:cs="Times New Roman" w:eastAsia="Times New Roman" w:hAnsi="Times New Roman"/>
                <w:sz w:val="17"/>
                <w:szCs w:val="17"/>
                <w:color w:val="auto"/>
              </w:rPr>
              <w:t>Series A Preferred Convertible Stock of $0.0001 par value; 300,000 shares authorized and 149,425</w:t>
            </w:r>
          </w:p>
        </w:tc>
        <w:tc>
          <w:tcPr>
            <w:tcW w:w="16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jc w:val="right"/>
              <w:ind w:right="160"/>
              <w:spacing w:after="0" w:line="171"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7"/>
                <w:szCs w:val="17"/>
                <w:color w:val="auto"/>
              </w:rPr>
              <w:t>—</w:t>
            </w:r>
          </w:p>
        </w:tc>
      </w:tr>
      <w:tr>
        <w:trPr>
          <w:trHeight w:val="224"/>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issued and outstanding at September 30, 2024 and December 31, 2023, respectively</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167"/>
        </w:trPr>
        <w:tc>
          <w:tcPr>
            <w:tcW w:w="7360" w:type="dxa"/>
            <w:vAlign w:val="bottom"/>
          </w:tcPr>
          <w:p>
            <w:pPr>
              <w:ind w:left="240"/>
              <w:spacing w:after="0" w:line="167" w:lineRule="exact"/>
              <w:rPr>
                <w:sz w:val="20"/>
                <w:szCs w:val="20"/>
                <w:color w:val="auto"/>
              </w:rPr>
            </w:pPr>
            <w:r>
              <w:rPr>
                <w:rFonts w:ascii="Times New Roman" w:cs="Times New Roman" w:eastAsia="Times New Roman" w:hAnsi="Times New Roman"/>
                <w:sz w:val="17"/>
                <w:szCs w:val="17"/>
                <w:color w:val="auto"/>
              </w:rPr>
              <w:t>Voting Common Stock of $0.0001 par value; 2,150,000,000 shares authorized; 1,892,348,276 and</w:t>
            </w:r>
          </w:p>
        </w:tc>
        <w:tc>
          <w:tcPr>
            <w:tcW w:w="160" w:type="dxa"/>
            <w:vAlign w:val="bottom"/>
          </w:tcPr>
          <w:p>
            <w:pPr>
              <w:spacing w:after="0"/>
              <w:rPr>
                <w:sz w:val="14"/>
                <w:szCs w:val="14"/>
                <w:color w:val="auto"/>
              </w:rPr>
            </w:pPr>
          </w:p>
        </w:tc>
        <w:tc>
          <w:tcPr>
            <w:tcW w:w="172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189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188</w:t>
            </w:r>
          </w:p>
        </w:tc>
      </w:tr>
      <w:tr>
        <w:trPr>
          <w:trHeight w:val="170"/>
        </w:trPr>
        <w:tc>
          <w:tcPr>
            <w:tcW w:w="7360" w:type="dxa"/>
            <w:vAlign w:val="bottom"/>
          </w:tcPr>
          <w:p>
            <w:pPr>
              <w:ind w:left="240"/>
              <w:spacing w:after="0" w:line="171" w:lineRule="exact"/>
              <w:rPr>
                <w:sz w:val="20"/>
                <w:szCs w:val="20"/>
                <w:color w:val="auto"/>
              </w:rPr>
            </w:pPr>
            <w:r>
              <w:rPr>
                <w:rFonts w:ascii="Times New Roman" w:cs="Times New Roman" w:eastAsia="Times New Roman" w:hAnsi="Times New Roman"/>
                <w:sz w:val="17"/>
                <w:szCs w:val="17"/>
                <w:color w:val="auto"/>
              </w:rPr>
              <w:t>1,881,194,682 shares issued and outstanding at September 30, 2024 and December 31, 2023,</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226"/>
        </w:trPr>
        <w:tc>
          <w:tcPr>
            <w:tcW w:w="73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respectively</w:t>
            </w: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3"/>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6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2,466,279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2,438,703</w:t>
            </w:r>
          </w:p>
        </w:tc>
      </w:tr>
      <w:tr>
        <w:trPr>
          <w:trHeight w:val="226"/>
        </w:trPr>
        <w:tc>
          <w:tcPr>
            <w:tcW w:w="7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5,070</w:t>
            </w:r>
          </w:p>
        </w:tc>
      </w:tr>
      <w:tr>
        <w:trPr>
          <w:trHeight w:val="233"/>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Retained deficit</w:t>
            </w:r>
          </w:p>
        </w:tc>
        <w:tc>
          <w:tcPr>
            <w:tcW w:w="16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(2,077,927)</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(2,064,982)</w:t>
            </w:r>
          </w:p>
        </w:tc>
      </w:tr>
      <w:tr>
        <w:trPr>
          <w:trHeight w:val="219"/>
        </w:trPr>
        <w:tc>
          <w:tcPr>
            <w:tcW w:w="73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394,093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378,979</w:t>
            </w:r>
          </w:p>
        </w:tc>
      </w:tr>
      <w:tr>
        <w:trPr>
          <w:trHeight w:val="248"/>
        </w:trPr>
        <w:tc>
          <w:tcPr>
            <w:tcW w:w="7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917,561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924,309</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17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NET INCOME (LOSS) TO NON-GAAP ADJUSTED EBITDA</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0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9"/>
                <w:szCs w:val="19"/>
                <w:color w:val="auto"/>
              </w:rPr>
            </w:pPr>
          </w:p>
        </w:tc>
        <w:tc>
          <w:tcPr>
            <w:tcW w:w="258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r>
      <w:tr>
        <w:trPr>
          <w:trHeight w:val="223"/>
        </w:trPr>
        <w:tc>
          <w:tcPr>
            <w:tcW w:w="5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9,934</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(12,945)</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(9,640)</w:t>
            </w:r>
          </w:p>
        </w:tc>
      </w:tr>
      <w:tr>
        <w:trPr>
          <w:trHeight w:val="270"/>
        </w:trPr>
        <w:tc>
          <w:tcPr>
            <w:tcW w:w="51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29"/>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 and expense, net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11,047</w:t>
            </w:r>
          </w:p>
        </w:tc>
      </w:tr>
      <w:tr>
        <w:trPr>
          <w:trHeight w:val="230"/>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 (gain) loss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29"/>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30"/>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22,249</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66,456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65,688</w:t>
            </w:r>
          </w:p>
        </w:tc>
      </w:tr>
      <w:tr>
        <w:trPr>
          <w:trHeight w:val="223"/>
        </w:trPr>
        <w:tc>
          <w:tcPr>
            <w:tcW w:w="51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66,583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67,037</w:t>
            </w:r>
          </w:p>
        </w:tc>
      </w:tr>
      <w:tr>
        <w:trPr>
          <w:trHeight w:val="270"/>
        </w:trPr>
        <w:tc>
          <w:tcPr>
            <w:tcW w:w="51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29"/>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compensation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10,638</w:t>
            </w:r>
          </w:p>
        </w:tc>
      </w:tr>
      <w:tr>
        <w:trPr>
          <w:trHeight w:val="230"/>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 (gain) loss and other</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29"/>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Reduction in value of inventory and long-lived assets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176"/>
        </w:trPr>
        <w:tc>
          <w:tcPr>
            <w:tcW w:w="516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Non-cash expenses and transaction costs associated with the</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516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18"/>
                <w:szCs w:val="18"/>
                <w:color w:val="auto"/>
              </w:rPr>
              <w:t xml:space="preserve">License Agreement </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w:t>
            </w:r>
          </w:p>
        </w:tc>
      </w:tr>
      <w:tr>
        <w:trPr>
          <w:trHeight w:val="230"/>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costs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10,403</w:t>
            </w:r>
          </w:p>
        </w:tc>
      </w:tr>
      <w:tr>
        <w:trPr>
          <w:trHeight w:val="223"/>
        </w:trPr>
        <w:tc>
          <w:tcPr>
            <w:tcW w:w="51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(1)</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42,805</w:t>
            </w: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91,622</w:t>
            </w:r>
          </w:p>
        </w:tc>
      </w:tr>
      <w:tr>
        <w:trPr>
          <w:trHeight w:val="21"/>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51" w:lineRule="exact"/>
        <w:rPr>
          <w:sz w:val="20"/>
          <w:szCs w:val="20"/>
          <w:color w:val="auto"/>
        </w:rPr>
      </w:pPr>
    </w:p>
    <w:p>
      <w:pPr>
        <w:jc w:val="both"/>
        <w:ind w:left="380" w:hanging="374"/>
        <w:spacing w:after="0" w:line="223" w:lineRule="auto"/>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EBITDA represents earnings before interest, income taxes, depreciation, amortization, accretion and derivative (gains)/losses. Adjusted EBITDA excludes non-cash compensation expense, reduction in the value of assets, foreign exchange (gains)/losses, and certain other non-cash or non-recurring charges as applicable. Management uses Adjusted EBITDA to manage the Company's business and to compare its results more closely to the results of its peers. EBITDA and Adjusted EBITDA do not represent and should not be considered as alternatives to GAAP measurements, such as net income/(loss). These terms, as defined by us, may not be comparable to similarly titled measures used by other companies.</w:t>
      </w:r>
    </w:p>
    <w:p>
      <w:pPr>
        <w:spacing w:after="0" w:line="198" w:lineRule="exact"/>
        <w:rPr>
          <w:rFonts w:ascii="Times New Roman" w:cs="Times New Roman" w:eastAsia="Times New Roman" w:hAnsi="Times New Roman"/>
          <w:sz w:val="16"/>
          <w:szCs w:val="16"/>
          <w:color w:val="auto"/>
        </w:rPr>
      </w:pPr>
    </w:p>
    <w:p>
      <w:pPr>
        <w:jc w:val="both"/>
        <w:ind w:left="380"/>
        <w:spacing w:after="0" w:line="21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uses Adjusted EBITDA as a supplemental measurement of its operating performance. The Company believes it best reflects changes across time in the Company's performance, including the effects of pricing, cost control and other operational decisions. The Company's management uses Adjusted EBITDA for planning purposes, including the preparation of its annual operating budget. The Company believes that Adjusted EBITDA also is useful to investors because it is frequently used by securities analysts, investors and other interested parties in their evaluation of companies in similar industries. As indicated, Adjusted EBITDA does not include interest expense on borrowed money or depreciation expense on our capital assets or the payment of income taxes, which are necessary elements of the Company's operations. Because Adjusted EBITDA does not account for these expenses, its utility as a measure of the Company's operating performance has material limitations. Because of these limitations, the Company's management does not view Adjusted EBITDA in isolation and also uses other measurements, such as revenues and operating profit, to measure operating performance.</w:t>
      </w:r>
    </w:p>
    <w:p>
      <w:pPr>
        <w:spacing w:after="0" w:line="249" w:lineRule="exact"/>
        <w:rPr>
          <w:rFonts w:ascii="Times New Roman" w:cs="Times New Roman" w:eastAsia="Times New Roman" w:hAnsi="Times New Roman"/>
          <w:sz w:val="16"/>
          <w:szCs w:val="16"/>
          <w:color w:val="auto"/>
        </w:rPr>
      </w:pPr>
    </w:p>
    <w:p>
      <w:pPr>
        <w:jc w:val="both"/>
        <w:ind w:left="380" w:hanging="374"/>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License Agreement with XCOM, the Company entered into a Support Services Agreement (the “SSA”) with XCOM. Fees payable by Globalstar pursuant to the SSA were or may be paid in shares of its common stock. Costs also include the initial nonrecurring costs associated with the transaction as well as non-cash intangible asset technology amortization associated with the initial purchase of certain intangible assets made in the form of Globalstar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60"/>
          </w:cols>
          <w:pgMar w:left="360" w:top="1319" w:right="37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SELECTED OPERATING METRICS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subscriber and ARPU data)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80" w:type="dxa"/>
            <w:vAlign w:val="bottom"/>
            <w:gridSpan w:val="5"/>
          </w:tcPr>
          <w:p>
            <w:pPr>
              <w:ind w:left="10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0"/>
                <w:szCs w:val="20"/>
                <w:color w:val="auto"/>
              </w:rPr>
            </w:pPr>
          </w:p>
        </w:tc>
        <w:tc>
          <w:tcPr>
            <w:tcW w:w="3880" w:type="dxa"/>
            <w:vAlign w:val="bottom"/>
            <w:gridSpan w:val="4"/>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3"/>
        </w:trPr>
        <w:tc>
          <w:tcPr>
            <w:tcW w:w="30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 2023</w:t>
            </w:r>
          </w:p>
        </w:tc>
      </w:tr>
      <w:tr>
        <w:trPr>
          <w:trHeight w:val="209"/>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16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r>
      <w:tr>
        <w:trPr>
          <w:trHeight w:val="230"/>
        </w:trPr>
        <w:tc>
          <w:tcPr>
            <w:tcW w:w="3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Subscriber services</w:t>
            </w: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9"/>
        </w:trPr>
        <w:tc>
          <w:tcPr>
            <w:tcW w:w="3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Duplex</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20,088</w:t>
            </w:r>
          </w:p>
        </w:tc>
      </w:tr>
      <w:tr>
        <w:trPr>
          <w:trHeight w:val="230"/>
        </w:trPr>
        <w:tc>
          <w:tcPr>
            <w:tcW w:w="3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SPOT</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33,703</w:t>
            </w:r>
          </w:p>
        </w:tc>
      </w:tr>
      <w:tr>
        <w:trPr>
          <w:trHeight w:val="229"/>
        </w:trPr>
        <w:tc>
          <w:tcPr>
            <w:tcW w:w="3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Commercial IoT</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16,881</w:t>
            </w:r>
          </w:p>
        </w:tc>
      </w:tr>
      <w:tr>
        <w:trPr>
          <w:trHeight w:val="229"/>
        </w:trPr>
        <w:tc>
          <w:tcPr>
            <w:tcW w:w="3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Wholesale capacity services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83,406</w:t>
            </w:r>
          </w:p>
        </w:tc>
      </w:tr>
      <w:tr>
        <w:trPr>
          <w:trHeight w:val="230"/>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Government and other services</w:t>
            </w:r>
          </w:p>
        </w:tc>
        <w:tc>
          <w:tcPr>
            <w:tcW w:w="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r>
      <w:tr>
        <w:trPr>
          <w:trHeight w:val="223"/>
        </w:trPr>
        <w:tc>
          <w:tcPr>
            <w:tcW w:w="3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service revenue</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155,245</w:t>
            </w:r>
          </w:p>
        </w:tc>
      </w:tr>
      <w:tr>
        <w:trPr>
          <w:trHeight w:val="108"/>
        </w:trPr>
        <w:tc>
          <w:tcPr>
            <w:tcW w:w="30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800" w:type="dxa"/>
            <w:vAlign w:val="bottom"/>
            <w:shd w:val="clear" w:color="auto" w:fill="CCEEFF"/>
          </w:tcPr>
          <w:p>
            <w:pPr>
              <w:spacing w:after="0"/>
              <w:rPr>
                <w:sz w:val="9"/>
                <w:szCs w:val="9"/>
                <w:color w:val="auto"/>
              </w:rPr>
            </w:pPr>
          </w:p>
        </w:tc>
      </w:tr>
      <w:tr>
        <w:trPr>
          <w:trHeight w:val="229"/>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Subscriber equipment sales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16,154</w:t>
            </w:r>
          </w:p>
        </w:tc>
      </w:tr>
      <w:tr>
        <w:trPr>
          <w:trHeight w:val="108"/>
        </w:trPr>
        <w:tc>
          <w:tcPr>
            <w:tcW w:w="3040" w:type="dxa"/>
            <w:vAlign w:val="bottom"/>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1800" w:type="dxa"/>
            <w:vAlign w:val="bottom"/>
            <w:tcBorders>
              <w:bottom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180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180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1800" w:type="dxa"/>
            <w:vAlign w:val="bottom"/>
            <w:tcBorders>
              <w:bottom w:val="single" w:sz="8" w:color="auto"/>
            </w:tcBorders>
            <w:shd w:val="clear" w:color="auto" w:fill="CCEEFF"/>
          </w:tcPr>
          <w:p>
            <w:pPr>
              <w:spacing w:after="0"/>
              <w:rPr>
                <w:sz w:val="9"/>
                <w:szCs w:val="9"/>
                <w:color w:val="auto"/>
              </w:rPr>
            </w:pPr>
          </w:p>
        </w:tc>
      </w:tr>
      <w:tr>
        <w:trPr>
          <w:trHeight w:val="223"/>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72,307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57,683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189,172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171,399</w:t>
            </w:r>
          </w:p>
        </w:tc>
      </w:tr>
      <w:tr>
        <w:trPr>
          <w:trHeight w:val="21"/>
        </w:trPr>
        <w:tc>
          <w:tcPr>
            <w:tcW w:w="3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20" w:type="dxa"/>
            <w:vAlign w:val="bottom"/>
            <w:gridSpan w:val="5"/>
          </w:tcPr>
          <w:p>
            <w:pPr>
              <w:ind w:left="9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20"/>
                <w:szCs w:val="20"/>
                <w:color w:val="auto"/>
              </w:rPr>
            </w:pPr>
          </w:p>
        </w:tc>
        <w:tc>
          <w:tcPr>
            <w:tcW w:w="3840" w:type="dxa"/>
            <w:vAlign w:val="bottom"/>
            <w:gridSpan w:val="4"/>
          </w:tcPr>
          <w:p>
            <w:pPr>
              <w:jc w:val="right"/>
              <w:ind w:right="117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08"/>
        </w:trPr>
        <w:tc>
          <w:tcPr>
            <w:tcW w:w="30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September 30, 2023</w:t>
            </w:r>
          </w:p>
        </w:tc>
      </w:tr>
      <w:tr>
        <w:trPr>
          <w:trHeight w:val="211"/>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subscribers</w:t>
            </w:r>
          </w:p>
        </w:tc>
        <w:tc>
          <w:tcPr>
            <w:tcW w:w="22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230"/>
        </w:trPr>
        <w:tc>
          <w:tcPr>
            <w:tcW w:w="3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Duplex</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35,143</w:t>
            </w:r>
          </w:p>
        </w:tc>
      </w:tr>
      <w:tr>
        <w:trPr>
          <w:trHeight w:val="230"/>
        </w:trPr>
        <w:tc>
          <w:tcPr>
            <w:tcW w:w="3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SPOT</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262,818</w:t>
            </w:r>
          </w:p>
        </w:tc>
      </w:tr>
      <w:tr>
        <w:trPr>
          <w:trHeight w:val="229"/>
        </w:trPr>
        <w:tc>
          <w:tcPr>
            <w:tcW w:w="3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IoT</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512,260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472,812</w:t>
            </w:r>
          </w:p>
        </w:tc>
      </w:tr>
      <w:tr>
        <w:trPr>
          <w:trHeight w:val="230"/>
        </w:trPr>
        <w:tc>
          <w:tcPr>
            <w:tcW w:w="3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23"/>
        </w:trPr>
        <w:tc>
          <w:tcPr>
            <w:tcW w:w="3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781,215</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769,706</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780,446</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771,164</w:t>
            </w: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37"/>
        </w:trPr>
        <w:tc>
          <w:tcPr>
            <w:tcW w:w="3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230"/>
        </w:trPr>
        <w:tc>
          <w:tcPr>
            <w:tcW w:w="30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ARPU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3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Duplex</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63.51</w:t>
            </w:r>
          </w:p>
        </w:tc>
      </w:tr>
      <w:tr>
        <w:trPr>
          <w:trHeight w:val="229"/>
        </w:trPr>
        <w:tc>
          <w:tcPr>
            <w:tcW w:w="3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SPOT</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r>
      <w:tr>
        <w:trPr>
          <w:trHeight w:val="230"/>
        </w:trPr>
        <w:tc>
          <w:tcPr>
            <w:tcW w:w="3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IoT</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r>
    </w:tbl>
    <w:p>
      <w:pPr>
        <w:spacing w:after="0" w:line="200" w:lineRule="exact"/>
        <w:rPr>
          <w:sz w:val="20"/>
          <w:szCs w:val="20"/>
          <w:color w:val="auto"/>
        </w:rPr>
      </w:pPr>
    </w:p>
    <w:p>
      <w:pPr>
        <w:spacing w:after="0" w:line="210" w:lineRule="exact"/>
        <w:rPr>
          <w:sz w:val="20"/>
          <w:szCs w:val="20"/>
          <w:color w:val="auto"/>
        </w:rPr>
      </w:pPr>
    </w:p>
    <w:p>
      <w:pPr>
        <w:ind w:left="500" w:hanging="492"/>
        <w:spacing w:after="0" w:line="223" w:lineRule="auto"/>
        <w:tabs>
          <w:tab w:leader="none" w:pos="39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Average monthly revenue per user ("ARPU") measures service revenues per month divided by the average number of subscribers during that month. Average monthly revenue per user as so defined may not be similar to average monthly revenue per unit as defined by other companies in the Company's industry, is not a measurement under GAAP and should be considered in addition to, but not as a substitute for, the information contained in the Company's statement of operations. The Company believes that average monthly revenue per user provides useful information concerning the appeal of its rate plans and service offerings and its performance in attracting and retaining high value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sectPr>
      <w:pgSz w:w="11900" w:h="16838" w:orient="portrait"/>
      <w:cols w:equalWidth="0" w:num="1">
        <w:col w:w="11240"/>
      </w:cols>
      <w:pgMar w:left="320" w:top="11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2024-11-07T15:45:20Z</dcterms:created>
  <dcterms:modified xsi:type="dcterms:W3CDTF">2024-11-07T15:45:20Z</dcterms:modified>
</cp:coreProperties>
</file>