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9, 2021 (June 4,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4040" w:type="dxa"/>
            <w:vAlign w:val="bottom"/>
          </w:tcPr>
          <w:p>
            <w:pPr>
              <w:jc w:val="center"/>
              <w:ind w:right="730"/>
              <w:spacing w:after="0"/>
              <w:rPr>
                <w:sz w:val="20"/>
                <w:szCs w:val="20"/>
                <w:color w:val="auto"/>
              </w:rPr>
            </w:pPr>
            <w:r>
              <w:rPr>
                <w:rFonts w:ascii="Arial" w:cs="Arial" w:eastAsia="Arial" w:hAnsi="Arial"/>
                <w:sz w:val="18"/>
                <w:szCs w:val="18"/>
                <w:color w:val="auto"/>
                <w:w w:val="92"/>
              </w:rPr>
              <w:t>Delaware</w:t>
            </w:r>
          </w:p>
        </w:tc>
        <w:tc>
          <w:tcPr>
            <w:tcW w:w="3100" w:type="dxa"/>
            <w:vAlign w:val="bottom"/>
          </w:tcPr>
          <w:p>
            <w:pPr>
              <w:jc w:val="center"/>
              <w:ind w:right="390"/>
              <w:spacing w:after="0"/>
              <w:rPr>
                <w:sz w:val="20"/>
                <w:szCs w:val="20"/>
                <w:color w:val="auto"/>
              </w:rPr>
            </w:pPr>
            <w:r>
              <w:rPr>
                <w:rFonts w:ascii="Arial" w:cs="Arial" w:eastAsia="Arial" w:hAnsi="Arial"/>
                <w:sz w:val="18"/>
                <w:szCs w:val="18"/>
                <w:color w:val="auto"/>
                <w:w w:val="90"/>
              </w:rPr>
              <w:t>001-33117</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89"/>
              </w:rPr>
              <w:t>41-2116508</w:t>
            </w:r>
          </w:p>
        </w:tc>
      </w:tr>
      <w:tr>
        <w:trPr>
          <w:trHeight w:val="176"/>
        </w:trPr>
        <w:tc>
          <w:tcPr>
            <w:tcW w:w="4040" w:type="dxa"/>
            <w:vAlign w:val="bottom"/>
          </w:tcPr>
          <w:p>
            <w:pPr>
              <w:jc w:val="center"/>
              <w:ind w:right="730"/>
              <w:spacing w:after="0" w:line="176" w:lineRule="exact"/>
              <w:rPr>
                <w:sz w:val="20"/>
                <w:szCs w:val="20"/>
                <w:color w:val="auto"/>
              </w:rPr>
            </w:pPr>
            <w:r>
              <w:rPr>
                <w:rFonts w:ascii="Arial" w:cs="Arial" w:eastAsia="Arial" w:hAnsi="Arial"/>
                <w:sz w:val="18"/>
                <w:szCs w:val="18"/>
                <w:color w:val="auto"/>
                <w:w w:val="91"/>
              </w:rPr>
              <w:t>(State or Other Jurisdiction of Incorporation)</w:t>
            </w:r>
          </w:p>
        </w:tc>
        <w:tc>
          <w:tcPr>
            <w:tcW w:w="3100" w:type="dxa"/>
            <w:vAlign w:val="bottom"/>
          </w:tcPr>
          <w:p>
            <w:pPr>
              <w:jc w:val="center"/>
              <w:ind w:right="390"/>
              <w:spacing w:after="0" w:line="176"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2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00" w:type="dxa"/>
            <w:vAlign w:val="bottom"/>
          </w:tcPr>
          <w:p>
            <w:pPr>
              <w:jc w:val="center"/>
              <w:ind w:right="39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1351 Holiday Square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Covington, LA 70433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(985) 335-1500</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6" w:lineRule="exact"/>
        <w:rPr>
          <w:sz w:val="24"/>
          <w:szCs w:val="24"/>
          <w:color w:val="auto"/>
        </w:rPr>
      </w:pPr>
    </w:p>
    <w:p>
      <w:pPr>
        <w:jc w:val="center"/>
        <w:ind w:right="7540"/>
        <w:spacing w:after="0"/>
        <w:rPr>
          <w:sz w:val="20"/>
          <w:szCs w:val="20"/>
          <w:color w:val="auto"/>
        </w:rPr>
      </w:pPr>
      <w:r>
        <w:rPr>
          <w:rFonts w:ascii="Arial" w:cs="Arial" w:eastAsia="Arial" w:hAnsi="Arial"/>
          <w:sz w:val="16"/>
          <w:szCs w:val="16"/>
          <w:color w:val="auto"/>
        </w:rPr>
        <w:t>Securities registered pursuant to section 12(b) of</w:t>
      </w:r>
    </w:p>
    <w:p>
      <w:pPr>
        <w:spacing w:after="0" w:line="8" w:lineRule="exact"/>
        <w:rPr>
          <w:sz w:val="24"/>
          <w:szCs w:val="24"/>
          <w:color w:val="auto"/>
        </w:rPr>
      </w:pPr>
    </w:p>
    <w:p>
      <w:pPr>
        <w:jc w:val="center"/>
        <w:ind w:right="7540"/>
        <w:spacing w:after="0"/>
        <w:rPr>
          <w:sz w:val="20"/>
          <w:szCs w:val="20"/>
          <w:color w:val="auto"/>
        </w:rPr>
      </w:pPr>
      <w:r>
        <w:rPr>
          <w:rFonts w:ascii="Arial" w:cs="Arial" w:eastAsia="Arial" w:hAnsi="Arial"/>
          <w:sz w:val="18"/>
          <w:szCs w:val="18"/>
          <w:color w:val="auto"/>
        </w:rPr>
        <w:t>the Act:</w:t>
      </w:r>
    </w:p>
    <w:p>
      <w:pPr>
        <w:sectPr>
          <w:pgSz w:w="11900" w:h="16838" w:orient="portrait"/>
          <w:cols w:equalWidth="0" w:num="1">
            <w:col w:w="11240"/>
          </w:cols>
          <w:pgMar w:left="320" w:top="999" w:right="339" w:bottom="1440" w:gutter="0" w:footer="0" w:header="0"/>
        </w:sectPr>
      </w:pPr>
    </w:p>
    <w:p>
      <w:pPr>
        <w:spacing w:after="0" w:line="7"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GSAT</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Arial" w:cs="Arial" w:eastAsia="Arial" w:hAnsi="Arial"/>
          <w:sz w:val="16"/>
          <w:szCs w:val="16"/>
          <w:color w:val="auto"/>
        </w:rPr>
        <w:t>Name of exchange on which registered</w:t>
      </w:r>
    </w:p>
    <w:p>
      <w:pPr>
        <w:spacing w:after="0" w:line="46"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4300" w:space="720"/>
            <w:col w:w="2240" w:space="720"/>
            <w:col w:w="3260"/>
          </w:cols>
          <w:pgMar w:left="320" w:top="999" w:right="339" w:bottom="1440" w:gutter="0" w:footer="0" w:header="0"/>
          <w:type w:val="continuous"/>
        </w:sectPr>
      </w:pPr>
    </w:p>
    <w:p>
      <w:pPr>
        <w:spacing w:after="0" w:line="1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13e-4(c) under the Exchange Act (17 CFR 240.13e-4(c))</w:t>
      </w:r>
    </w:p>
    <w:p>
      <w:pPr>
        <w:spacing w:after="0" w:line="330"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8"/>
          <w:szCs w:val="18"/>
          <w:color w:val="auto"/>
        </w:rPr>
        <w:t>On June 4, 2021, Globalstar, Inc. (“Globalstar” or the “Company”) received an advance payment of $37.5 million from a customer pursuant to an agreement related to the Terms Agreement described in its Annual Report on Form 10-K for the year ended December 31, 2020. The advance payment is expected to be repaid from services provided by the Company under the Terms Agreement. Any portion of the advance payment not repaid in services will be repaid in cash over time. Globalstar will use the proceeds from the advance payment to repay a portion of the amount outstanding under its first lien credit facility. Subject to certain conditions, the customer may make additional advances to the Company in the future on the same terms. The advance payment agreement also includes customary covenants, conditions and remedies, and, under certain circumstances, the Company's obligations under it may be secured by liens on certain of its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 David B. Kagan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David B. Kagan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sectPr>
      <w:pgSz w:w="11900" w:h="16838" w:orient="portrait"/>
      <w:cols w:equalWidth="0" w:num="1">
        <w:col w:w="10340"/>
      </w:cols>
      <w:pgMar w:left="320" w:top="89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2021-06-09T07:22:25Z</dcterms:created>
  <dcterms:modified xsi:type="dcterms:W3CDTF">2021-06-09T07:22:25Z</dcterms:modified>
</cp:coreProperties>
</file>