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SD</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Globalstar,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60"/>
          </w:cols>
          <w:pgMar w:left="240" w:top="1192" w:right="29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900"/>
        <w:spacing w:after="0"/>
        <w:rPr>
          <w:sz w:val="20"/>
          <w:szCs w:val="20"/>
          <w:color w:val="auto"/>
        </w:rPr>
      </w:pPr>
      <w:r>
        <w:rPr>
          <w:rFonts w:ascii="Arial" w:cs="Arial" w:eastAsia="Arial" w:hAnsi="Arial"/>
          <w:sz w:val="15"/>
          <w:szCs w:val="15"/>
          <w:b w:val="1"/>
          <w:bCs w:val="1"/>
          <w:color w:val="auto"/>
        </w:rPr>
        <w:t>001-33117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41-2116508</w:t>
      </w:r>
    </w:p>
    <w:p>
      <w:pPr>
        <w:spacing w:after="0" w:line="82" w:lineRule="exact"/>
        <w:rPr>
          <w:sz w:val="24"/>
          <w:szCs w:val="24"/>
          <w:color w:val="auto"/>
        </w:rPr>
      </w:pPr>
    </w:p>
    <w:p>
      <w:pPr>
        <w:sectPr>
          <w:pgSz w:w="11900" w:h="16838" w:orient="portrait"/>
          <w:cols w:equalWidth="0" w:num="3">
            <w:col w:w="4720" w:space="720"/>
            <w:col w:w="2660" w:space="720"/>
            <w:col w:w="2540"/>
          </w:cols>
          <w:pgMar w:left="240" w:top="1192" w:right="299" w:bottom="1440" w:gutter="0" w:footer="0" w:header="0"/>
          <w:type w:val="continuous"/>
        </w:sectPr>
      </w:pPr>
    </w:p>
    <w:p>
      <w:pPr>
        <w:jc w:val="center"/>
        <w:ind w:right="14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5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80" w:space="720"/>
            <w:col w:w="2580" w:space="720"/>
            <w:col w:w="2660"/>
          </w:cols>
          <w:pgMar w:left="240" w:top="1192" w:right="299" w:bottom="1440" w:gutter="0" w:footer="0" w:header="0"/>
          <w:type w:val="continuous"/>
        </w:sectPr>
      </w:pPr>
    </w:p>
    <w:p>
      <w:pPr>
        <w:spacing w:after="0" w:line="195"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300 Holiday Square Blvd.</w:t>
      </w:r>
    </w:p>
    <w:p>
      <w:pPr>
        <w:sectPr>
          <w:pgSz w:w="11900" w:h="16838" w:orient="portrait"/>
          <w:cols w:equalWidth="0" w:num="1">
            <w:col w:w="11360"/>
          </w:cols>
          <w:pgMar w:left="240" w:top="1192" w:right="299" w:bottom="1440" w:gutter="0" w:footer="0" w:header="0"/>
          <w:type w:val="continuous"/>
        </w:sectPr>
      </w:pPr>
    </w:p>
    <w:p>
      <w:pPr>
        <w:spacing w:after="0" w:line="86"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Covington, LA</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70433</w:t>
      </w:r>
    </w:p>
    <w:p>
      <w:pPr>
        <w:spacing w:after="0" w:line="149" w:lineRule="exact"/>
        <w:rPr>
          <w:sz w:val="24"/>
          <w:szCs w:val="24"/>
          <w:color w:val="auto"/>
        </w:rPr>
      </w:pPr>
    </w:p>
    <w:p>
      <w:pPr>
        <w:sectPr>
          <w:pgSz w:w="11900" w:h="16838" w:orient="portrait"/>
          <w:cols w:equalWidth="0" w:num="2">
            <w:col w:w="7420" w:space="720"/>
            <w:col w:w="3220"/>
          </w:cols>
          <w:pgMar w:left="240" w:top="1192" w:right="299" w:bottom="1440" w:gutter="0" w:footer="0" w:header="0"/>
          <w:type w:val="continuous"/>
        </w:sectPr>
      </w:pPr>
    </w:p>
    <w:p>
      <w:pPr>
        <w:ind w:left="19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320" w:space="720"/>
            <w:col w:w="3320"/>
          </w:cols>
          <w:pgMar w:left="240" w:top="1192" w:right="299" w:bottom="1440" w:gutter="0" w:footer="0" w:header="0"/>
          <w:type w:val="continuous"/>
        </w:sectPr>
      </w:pP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Rebecca S. Clary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Vice President and Chief Financial Officer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(985) 335-1500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94" w:lineRule="exact"/>
        <w:rPr>
          <w:sz w:val="24"/>
          <w:szCs w:val="24"/>
          <w:color w:val="auto"/>
        </w:rPr>
      </w:pPr>
    </w:p>
    <w:p>
      <w:pPr>
        <w:ind w:left="940"/>
        <w:spacing w:after="0"/>
        <w:rPr>
          <w:sz w:val="20"/>
          <w:szCs w:val="20"/>
          <w:color w:val="auto"/>
        </w:rPr>
      </w:pPr>
      <w:r>
        <w:rPr>
          <w:rFonts w:ascii="Arial" w:cs="Arial" w:eastAsia="Arial" w:hAnsi="Arial"/>
          <w:sz w:val="17"/>
          <w:szCs w:val="17"/>
          <w:color w:val="auto"/>
        </w:rPr>
        <w:t>Rule 13p-1 under the Securities and Exchange Act (17 CFR 240.13p-1) for the reporting period from January 1, 2017 to December 31,</w:t>
      </w:r>
    </w:p>
    <w:p>
      <w:pPr>
        <w:spacing w:after="0" w:line="35"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2017.</w:t>
      </w:r>
    </w:p>
    <w:p>
      <w:pPr>
        <w:sectPr>
          <w:pgSz w:w="11900" w:h="16838" w:orient="portrait"/>
          <w:cols w:equalWidth="0" w:num="1">
            <w:col w:w="11360"/>
          </w:cols>
          <w:pgMar w:left="240" w:top="1192"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Globalstar, Inc. (the “Company”) is filing this Form SD pursuant to Rule 13p-1 under the Securities Exchange Act of 1934 for the reporting period January 1, 2017 through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25" w:lineRule="exact"/>
        <w:rPr>
          <w:sz w:val="20"/>
          <w:szCs w:val="20"/>
          <w:color w:val="auto"/>
        </w:rPr>
      </w:pPr>
    </w:p>
    <w:p>
      <w:pPr>
        <w:ind w:right="1460"/>
        <w:spacing w:after="0" w:line="277" w:lineRule="auto"/>
        <w:rPr>
          <w:sz w:val="20"/>
          <w:szCs w:val="20"/>
          <w:color w:val="auto"/>
        </w:rPr>
      </w:pPr>
      <w:r>
        <w:rPr>
          <w:rFonts w:ascii="Arial" w:cs="Arial" w:eastAsia="Arial" w:hAnsi="Arial"/>
          <w:sz w:val="18"/>
          <w:szCs w:val="18"/>
          <w:color w:val="auto"/>
        </w:rPr>
        <w:t xml:space="preserve">A copy of the Company’s Conflict Minerals Report is attached hereto as Exhibit 1.01 and is publicly available at the Company’s website, </w:t>
      </w:r>
      <w:r>
        <w:rPr>
          <w:rFonts w:ascii="Arial" w:cs="Arial" w:eastAsia="Arial" w:hAnsi="Arial"/>
          <w:sz w:val="18"/>
          <w:szCs w:val="18"/>
          <w:u w:val="single" w:color="auto"/>
          <w:color w:val="0000FF"/>
        </w:rPr>
        <w:t>www.globalstar.com</w:t>
      </w:r>
      <w:r>
        <w:rPr>
          <w:rFonts w:ascii="Arial" w:cs="Arial" w:eastAsia="Arial" w:hAnsi="Arial"/>
          <w:sz w:val="18"/>
          <w:szCs w:val="18"/>
          <w:color w:val="000000"/>
        </w:rPr>
        <w:t>, by clicking “Investors” and “SEC Filings.”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this report is the Company’s Conflict Minerals Report as required by Items 1.01 and 1.02 of this Form SD.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w:t>
      </w:r>
    </w:p>
    <w:p>
      <w:pPr>
        <w:ind w:left="40"/>
        <w:spacing w:after="0" w:line="232" w:lineRule="auto"/>
        <w:tabs>
          <w:tab w:leader="none" w:pos="1180" w:val="left"/>
        </w:tabs>
        <w:rPr>
          <w:sz w:val="20"/>
          <w:szCs w:val="20"/>
          <w:color w:val="auto"/>
        </w:rPr>
      </w:pPr>
      <w:r>
        <w:rPr>
          <w:rFonts w:ascii="Arial" w:cs="Arial" w:eastAsia="Arial" w:hAnsi="Arial"/>
          <w:sz w:val="36"/>
          <w:szCs w:val="36"/>
          <w:color w:val="auto"/>
          <w:vertAlign w:val="superscript"/>
        </w:rPr>
        <w:t>Number</w:t>
      </w:r>
      <w:r>
        <w:rPr>
          <w:sz w:val="20"/>
          <w:szCs w:val="20"/>
          <w:color w:val="auto"/>
        </w:rPr>
        <w:tab/>
      </w:r>
      <w:r>
        <w:rPr>
          <w:rFonts w:ascii="Arial" w:cs="Arial" w:eastAsia="Arial" w:hAnsi="Arial"/>
          <w:sz w:val="18"/>
          <w:szCs w:val="18"/>
          <w:color w:val="auto"/>
        </w:rPr>
        <w:t>Description</w:t>
      </w:r>
    </w:p>
    <w:p>
      <w:pPr>
        <w:spacing w:after="0" w:line="284"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Globalstar, Inc. Conflict Minerals Report for the period January 1, 2017 through December 31, 2017</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GLOBALSTAR, INC.</w:t>
      </w:r>
    </w:p>
    <w:p>
      <w:pPr>
        <w:sectPr>
          <w:pgSz w:w="11900" w:h="16838" w:orient="portrait"/>
          <w:cols w:equalWidth="0" w:num="1">
            <w:col w:w="11360"/>
          </w:cols>
          <w:pgMar w:left="240" w:top="796" w:right="2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April 19,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Rebecca S. Clary</w:t>
      </w:r>
    </w:p>
    <w:p>
      <w:pPr>
        <w:spacing w:after="0" w:line="86" w:lineRule="exact"/>
        <w:rPr>
          <w:sz w:val="20"/>
          <w:szCs w:val="20"/>
          <w:color w:val="auto"/>
        </w:rPr>
      </w:pPr>
    </w:p>
    <w:p>
      <w:pPr>
        <w:sectPr>
          <w:pgSz w:w="11900" w:h="16838" w:orient="portrait"/>
          <w:cols w:equalWidth="0" w:num="3">
            <w:col w:w="4020" w:space="720"/>
            <w:col w:w="300" w:space="720"/>
            <w:col w:w="5600"/>
          </w:cols>
          <w:pgMar w:left="240" w:top="796" w:right="299" w:bottom="1440" w:gutter="0" w:footer="0" w:header="0"/>
          <w:type w:val="continuous"/>
        </w:sectPr>
      </w:pPr>
    </w:p>
    <w:p>
      <w:pPr>
        <w:ind w:left="47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Rebecca S. Clary</w:t>
      </w:r>
    </w:p>
    <w:p>
      <w:pPr>
        <w:spacing w:after="0" w:line="97" w:lineRule="exact"/>
        <w:rPr>
          <w:sz w:val="20"/>
          <w:szCs w:val="20"/>
          <w:color w:val="auto"/>
        </w:rPr>
      </w:pPr>
    </w:p>
    <w:p>
      <w:pPr>
        <w:sectPr>
          <w:pgSz w:w="11900" w:h="16838" w:orient="portrait"/>
          <w:cols w:equalWidth="0" w:num="2">
            <w:col w:w="5220" w:space="540"/>
            <w:col w:w="5600"/>
          </w:cols>
          <w:pgMar w:left="240" w:top="796" w:right="299" w:bottom="1440" w:gutter="0" w:footer="0" w:header="0"/>
          <w:type w:val="continuous"/>
        </w:sectPr>
      </w:pPr>
    </w:p>
    <w:p>
      <w:pPr>
        <w:ind w:left="4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Vice President and Chief Financial Officer</w:t>
      </w:r>
    </w:p>
    <w:p>
      <w:pPr>
        <w:sectPr>
          <w:pgSz w:w="11900" w:h="16838" w:orient="portrait"/>
          <w:cols w:equalWidth="0" w:num="2">
            <w:col w:w="5140" w:space="620"/>
            <w:col w:w="5600"/>
          </w:cols>
          <w:pgMar w:left="240" w:top="796" w:right="299" w:bottom="1440" w:gutter="0" w:footer="0" w:header="0"/>
          <w:type w:val="continuous"/>
        </w:sectPr>
      </w:pPr>
    </w:p>
    <w:bookmarkStart w:id="2" w:name="page3"/>
    <w:bookmarkEnd w:id="2"/>
    <w:p>
      <w:pPr>
        <w:ind w:left="1048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Globalstar, Inc. in Accordance with Rule 13p-1 under the Securities Exchange Act of 1934</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Conflict Minerals Report (the “Report”) of Globalstar, Inc. (the “Company”) has been prepared pursuant to Rule 13p-1 and Form SD (the “Rule”) promulgated under the Securities Exchange Act of 1934 for the reporting period January 1, 2017 to December 31, 2017 (the “Reporting Period”). For the purposes of this Report, “Conflict Minerals” are defined as cassiterite, columbite-tantalite (coltan), gold, wolframite, and their derivatives which are limited to tin, tantalum, and tungsten. The “Covered Countries” for the purposes of the Rule and this Report are the Democratic Republic of the Congo (the “DRC”), the Republic of the Congo, the Central African Republic, South Sudan, Uganda, Rwanda, Burundi, Tanzania, Zambia and Angola. As described in this Report, the Company contracts to manufacture products for which Conflict Minerals are necessary to their functionality. These products are collectively referred to in this Report as the “Covered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Company’s Products Covered by this Report</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a provider of global voice and data communications services via satellite. The Company provides communications services available only with equipment designed to work on the Company’s network, including mobile and fixed voice and data communication equipment, data modems and asset tracking devices. The Company does not manufacture these products itself, but instead contracts to manufacture these products and, in some cases, purchases its products directly from suppliers. This Report relates to Covered Products for which manufacture for sale was completed during the Reporting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Conflict-Free Minerals Policy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conflict-free minerals policy communicates the expectation that our direct suppliers obtain materials from environmentally and socially responsible sources, including conflict-free sources within the Covered Countries (available at </w:t>
      </w:r>
      <w:r>
        <w:rPr>
          <w:rFonts w:ascii="Arial" w:cs="Arial" w:eastAsia="Arial" w:hAnsi="Arial"/>
          <w:sz w:val="18"/>
          <w:szCs w:val="18"/>
          <w:u w:val="single" w:color="auto"/>
          <w:color w:val="0000FF"/>
        </w:rPr>
        <w:t>www.globalstar.com/support/minerals-policy</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Country of Origin Inquiry</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the Rule, the Company conducted a reasonable country-of-origin inquiry (“RCOI”) process to determine whether any of the Conflict Minerals originated in the Covered Countries. The RCOI consisted principally of identifying “in scope” suppliers to ensure traceability throughout our supply chain to establish the origin of Conflict Minerals. In conducting the RCOI, the Company used various measures, including requesting a supplier’s sourcing policy with respect to Conflict Minerals and completion of the Responsible Minerals Initiative ("RMI"), formerly the Conflict-Free Sourcing Initiative, Conflict Minerals Reporting Template ("CMRT"), to verify that Conflict Minerals are not mined in areas not considered to be “Conflict-free.” The Company requested this information from 100% of its direct suppliers. Among the purposes of this request for information from suppliers was to identify, if possible, the supply chain, including smelters and refiners that contribute refined Conflict Minerals to the Company’s products, and to obtain information from those identified suppliers regarding whether any of the components they provided originated from Covered Countries.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Due Diligence Process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due diligence process was designed to conform with the internationally recognized framework set out in the Organization for Economic Co-operation and Development ("OECD") Due Diligence Guidance for Responsible Supply Chains of Minerals from Conflict-Affected and High-Risk Areas ("OECD Framework").</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Consistent with the OECD Framework, the Company’s due diligence measures performed with respect to Covered Products manufactured during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 included the following: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Establish Strong Company Management Systems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taken the following steps to establish management systems in line with Step 1 of the OECD Framework:</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75" w:right="239" w:bottom="1440" w:gutter="0" w:footer="0" w:header="0"/>
        </w:sectPr>
      </w:pPr>
    </w:p>
    <w:bookmarkStart w:id="3" w:name="page4"/>
    <w:bookmarkEnd w:id="3"/>
    <w:p>
      <w:pPr>
        <w:ind w:left="660" w:right="2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a Conflict Minerals policy for which the Company’s support of eliminating the use of Conflict Minerals sourced in areas not designated as conflict-free is formally stated and communicated to its suppliers and the public.</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maintains a conflict minerals working group with representation from our accounting, quality control and supply chain departments. This group guides the Company’s due diligence efforts through the use of tools created by the Electronic Industry Citizenship Coalition ("EICC") and the Global e-Sustainability Initiative's ("GeSI") RMI, including the CMRT, a supply chain survey designed to identify the smelters and refiners that process the necessary Conflict Minerals in the Company's products.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Identify and Assess Risks in the Supply Chain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taken the following measures to identify and assess conflict mineral risk in its supply chain:</w:t>
      </w:r>
    </w:p>
    <w:p>
      <w:pPr>
        <w:spacing w:after="0" w:line="90"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assessed its products and suppliers in order to identify suppliers that provide products to the Company that may contain conflict minerals.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conducting its due diligence, the Company compiled information primarily using a third party database with Conflict Minerals compliance documentation for several thousand manufacturers. The Company aggregated documentation for all 79 of its suppliers, including responses in the form of a CMRT or sourcing policies with respect to Conflict Minerals. Based on this information, the Company was able to identify smelters and refiners that might be in the Company’s supply chain, and to determine whether these smelters and refiners had received a “conflict-free” designation by the RMI, which is an initiative of the EICC and GeSI.</w:t>
      </w:r>
    </w:p>
    <w:p>
      <w:pPr>
        <w:spacing w:after="0" w:line="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determined that all 79 suppliers were subject to the Conflict Minerals regulation. The Company analyzed responses from these suppliers, with results set forth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Design and Implement Strategy to Respond to Identified Risks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taken the following measures to design and implement a strategy to respond to identified risks as part of the Company’s due diligence process:</w:t>
      </w:r>
    </w:p>
    <w:p>
      <w:pPr>
        <w:spacing w:after="0" w:line="35"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designed a risk management plan, which includes due diligence reviews of suppliers that may be sourcing Conflict Minerals from Covered Countries.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monitors and tracks suppliers identified as not meeting the requirements set forth in the Company's Conflict Minerals sourcing policy to determine their progress in meeting those requirements.</w:t>
      </w: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it is determined that a supplier does use minerals from smelters or refiners that have not received a “conflict-free” designation by the RMI, specific supplier corrective actions will be taken and will vary depending on factors, such as supplier size, risk level and supplier capabilities. These actions may include looking for alternative suppliers or materials.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Carry Out Independent Third-Party Audit of Supply Chain</w:t>
      </w:r>
    </w:p>
    <w:p>
      <w:pPr>
        <w:spacing w:after="0" w:line="171" w:lineRule="exact"/>
        <w:rPr>
          <w:sz w:val="20"/>
          <w:szCs w:val="20"/>
          <w:color w:val="auto"/>
        </w:rPr>
      </w:pPr>
    </w:p>
    <w:p>
      <w:pPr>
        <w:jc w:val="both"/>
        <w:ind w:left="340" w:firstLine="648"/>
        <w:spacing w:after="0" w:line="264" w:lineRule="auto"/>
        <w:rPr>
          <w:sz w:val="20"/>
          <w:szCs w:val="20"/>
          <w:color w:val="auto"/>
        </w:rPr>
      </w:pPr>
      <w:r>
        <w:rPr>
          <w:rFonts w:ascii="Arial" w:cs="Arial" w:eastAsia="Arial" w:hAnsi="Arial"/>
          <w:sz w:val="18"/>
          <w:szCs w:val="18"/>
          <w:color w:val="auto"/>
        </w:rPr>
        <w:t>The Company does not have any direct relationships with smelters or refiners that process Conflict Minerals and it does not perform or direct audits of these entities within its supply chain. The Company’s due diligence efforts instead rely on cross-industry initiatives, such as the RMI, to conduct audits of smelters’ and refiners’ due diligence practices.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Annually on Supply Chain Due Diligence</w:t>
      </w:r>
    </w:p>
    <w:p>
      <w:pPr>
        <w:spacing w:after="0" w:line="90"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color w:val="auto"/>
        </w:rPr>
        <w:t xml:space="preserve">The Company files a Form SD and Conflict Minerals Report with the SEC on an annual basis. In accordance with the Rule and the OECD Framework, this report is publicly available on the investor relations page of the Company's website at </w:t>
      </w:r>
      <w:r>
        <w:rPr>
          <w:rFonts w:ascii="Arial" w:cs="Arial" w:eastAsia="Arial" w:hAnsi="Arial"/>
          <w:sz w:val="18"/>
          <w:szCs w:val="18"/>
          <w:u w:val="single" w:color="auto"/>
          <w:color w:val="0000FF"/>
        </w:rPr>
        <w:t>www.globalstar.com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w:t>
      </w:r>
    </w:p>
    <w:p>
      <w:pPr>
        <w:spacing w:after="0" w:line="9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Results of the Company’s Due Diligence</w:t>
      </w:r>
    </w:p>
    <w:p>
      <w:pPr>
        <w:spacing w:after="0" w:line="94"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The Company’s supply chain with respect to the Covered Products is complex, and the Company, as a purchaser of components is many steps removed from the extraction and transport of the Conflict Minerals. As a result, tracing these minerals to their sources is a challenge that requires the Company to enlist its suppliers in its efforts to achieve supply chain transparency, including its effort to obtain information regarding the origin of the Conflict Minerals. The information provided by suppliers may be inaccurate or incomplete or subject to other irregularities. In addition, because of the Company’s relative location within the supply chain in relation to the actual extraction and transport of Conflict Minerals, its ability to verify the accuracy of information reported by its suppliers is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98" w:right="239" w:bottom="1440" w:gutter="0" w:footer="0" w:header="0"/>
        </w:sectPr>
      </w:pPr>
    </w:p>
    <w:bookmarkStart w:id="4" w:name="page5"/>
    <w:bookmarkEnd w:id="4"/>
    <w:p>
      <w:pPr>
        <w:jc w:val="both"/>
        <w:ind w:left="340"/>
        <w:spacing w:after="0" w:line="277" w:lineRule="auto"/>
        <w:rPr>
          <w:sz w:val="20"/>
          <w:szCs w:val="20"/>
          <w:color w:val="auto"/>
        </w:rPr>
      </w:pPr>
      <w:r>
        <w:rPr>
          <w:rFonts w:ascii="Arial" w:cs="Arial" w:eastAsia="Arial" w:hAnsi="Arial"/>
          <w:sz w:val="18"/>
          <w:szCs w:val="18"/>
          <w:color w:val="auto"/>
        </w:rPr>
        <w:t>limited. Accordingly, the Company can provide only reasonable, not absolute, assurance regarding the source and chain of custody of the Conflict Minerals in the Covered Products.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Through its due diligence procedures, the Company identified 79 in-scope suppliers, all of which had a CMRT or Conflict Minerals policy in place.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Supplier information was reviewed to categorize all suppliers as set forth in the table below.</w:t>
      </w:r>
    </w:p>
    <w:p>
      <w:pPr>
        <w:spacing w:after="0" w:line="300"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1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6"/>
              </w:rPr>
              <w:t>Due Diligence Process Results</w:t>
            </w:r>
          </w:p>
        </w:tc>
        <w:tc>
          <w:tcPr>
            <w:tcW w:w="2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89"/>
        </w:trPr>
        <w:tc>
          <w:tcPr>
            <w:tcW w:w="7240" w:type="dxa"/>
            <w:vAlign w:val="bottom"/>
            <w:gridSpan w:val="4"/>
          </w:tcPr>
          <w:p>
            <w:pPr>
              <w:spacing w:after="0"/>
              <w:rPr>
                <w:sz w:val="20"/>
                <w:szCs w:val="20"/>
                <w:color w:val="auto"/>
              </w:rPr>
            </w:pPr>
            <w:r>
              <w:rPr>
                <w:rFonts w:ascii="Arial" w:cs="Arial" w:eastAsia="Arial" w:hAnsi="Arial"/>
                <w:sz w:val="17"/>
                <w:szCs w:val="17"/>
                <w:color w:val="auto"/>
              </w:rPr>
              <w:t>Total number of suppliers in scope of Conflict Minerals requirements</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79</w:t>
            </w:r>
          </w:p>
        </w:tc>
      </w:tr>
      <w:tr>
        <w:trPr>
          <w:trHeight w:val="257"/>
        </w:trPr>
        <w:tc>
          <w:tcPr>
            <w:tcW w:w="7240" w:type="dxa"/>
            <w:vAlign w:val="bottom"/>
            <w:gridSpan w:val="4"/>
          </w:tcPr>
          <w:p>
            <w:pPr>
              <w:spacing w:after="0"/>
              <w:rPr>
                <w:sz w:val="20"/>
                <w:szCs w:val="20"/>
                <w:color w:val="auto"/>
              </w:rPr>
            </w:pPr>
            <w:r>
              <w:rPr>
                <w:rFonts w:ascii="Arial" w:cs="Arial" w:eastAsia="Arial" w:hAnsi="Arial"/>
                <w:sz w:val="17"/>
                <w:szCs w:val="17"/>
                <w:color w:val="auto"/>
              </w:rPr>
              <w:t>Total number of suppliers with a CMRT or Conflict Minerals policy</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79</w:t>
            </w:r>
          </w:p>
        </w:tc>
      </w:tr>
      <w:tr>
        <w:trPr>
          <w:trHeight w:val="270"/>
        </w:trPr>
        <w:tc>
          <w:tcPr>
            <w:tcW w:w="7240" w:type="dxa"/>
            <w:vAlign w:val="bottom"/>
            <w:gridSpan w:val="4"/>
          </w:tcPr>
          <w:p>
            <w:pPr>
              <w:spacing w:after="0"/>
              <w:rPr>
                <w:sz w:val="20"/>
                <w:szCs w:val="20"/>
                <w:color w:val="auto"/>
              </w:rPr>
            </w:pPr>
            <w:r>
              <w:rPr>
                <w:rFonts w:ascii="Arial" w:cs="Arial" w:eastAsia="Arial" w:hAnsi="Arial"/>
                <w:sz w:val="17"/>
                <w:szCs w:val="17"/>
                <w:color w:val="auto"/>
              </w:rPr>
              <w:t>Coverage</w:t>
            </w:r>
          </w:p>
        </w:tc>
        <w:tc>
          <w:tcPr>
            <w:tcW w:w="84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450"/>
        </w:trPr>
        <w:tc>
          <w:tcPr>
            <w:tcW w:w="1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7"/>
              </w:rPr>
              <w:t>Supplier Responses:</w:t>
            </w:r>
          </w:p>
        </w:tc>
        <w:tc>
          <w:tcPr>
            <w:tcW w:w="584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r>
      <w:tr>
        <w:trPr>
          <w:trHeight w:val="273"/>
        </w:trPr>
        <w:tc>
          <w:tcPr>
            <w:tcW w:w="7240" w:type="dxa"/>
            <w:vAlign w:val="bottom"/>
            <w:gridSpan w:val="4"/>
          </w:tcPr>
          <w:p>
            <w:pPr>
              <w:spacing w:after="0"/>
              <w:rPr>
                <w:sz w:val="20"/>
                <w:szCs w:val="20"/>
                <w:color w:val="auto"/>
              </w:rPr>
            </w:pPr>
            <w:r>
              <w:rPr>
                <w:rFonts w:ascii="Arial" w:cs="Arial" w:eastAsia="Arial" w:hAnsi="Arial"/>
                <w:sz w:val="17"/>
                <w:szCs w:val="17"/>
                <w:color w:val="auto"/>
              </w:rPr>
              <w:t>Conflict Minerals do not originate from the Covered Countries</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67</w:t>
            </w:r>
          </w:p>
        </w:tc>
      </w:tr>
      <w:tr>
        <w:trPr>
          <w:trHeight w:val="257"/>
        </w:trPr>
        <w:tc>
          <w:tcPr>
            <w:tcW w:w="7240" w:type="dxa"/>
            <w:vAlign w:val="bottom"/>
            <w:gridSpan w:val="4"/>
          </w:tcPr>
          <w:p>
            <w:pPr>
              <w:spacing w:after="0"/>
              <w:rPr>
                <w:sz w:val="20"/>
                <w:szCs w:val="20"/>
                <w:color w:val="auto"/>
              </w:rPr>
            </w:pPr>
            <w:r>
              <w:rPr>
                <w:rFonts w:ascii="Arial" w:cs="Arial" w:eastAsia="Arial" w:hAnsi="Arial"/>
                <w:sz w:val="17"/>
                <w:szCs w:val="17"/>
                <w:color w:val="auto"/>
                <w:w w:val="94"/>
              </w:rPr>
              <w:t>Conflict Minerals originate from the Covered Countries using certified conflict-free smelters or refiners</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1</w:t>
            </w:r>
          </w:p>
        </w:tc>
      </w:tr>
      <w:tr>
        <w:trPr>
          <w:trHeight w:val="257"/>
        </w:trPr>
        <w:tc>
          <w:tcPr>
            <w:tcW w:w="7240" w:type="dxa"/>
            <w:vAlign w:val="bottom"/>
            <w:gridSpan w:val="4"/>
          </w:tcPr>
          <w:p>
            <w:pPr>
              <w:spacing w:after="0"/>
              <w:rPr>
                <w:sz w:val="20"/>
                <w:szCs w:val="20"/>
                <w:color w:val="auto"/>
              </w:rPr>
            </w:pPr>
            <w:r>
              <w:rPr>
                <w:rFonts w:ascii="Arial" w:cs="Arial" w:eastAsia="Arial" w:hAnsi="Arial"/>
                <w:sz w:val="17"/>
                <w:szCs w:val="17"/>
                <w:color w:val="auto"/>
              </w:rPr>
              <w:t>Conflict Minerals originate from the Covered Countries using non-certified smelters or refiners</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257"/>
        </w:trPr>
        <w:tc>
          <w:tcPr>
            <w:tcW w:w="7240" w:type="dxa"/>
            <w:vAlign w:val="bottom"/>
            <w:gridSpan w:val="4"/>
          </w:tcPr>
          <w:p>
            <w:pPr>
              <w:spacing w:after="0"/>
              <w:rPr>
                <w:sz w:val="20"/>
                <w:szCs w:val="20"/>
                <w:color w:val="auto"/>
              </w:rPr>
            </w:pPr>
            <w:r>
              <w:rPr>
                <w:rFonts w:ascii="Arial" w:cs="Arial" w:eastAsia="Arial" w:hAnsi="Arial"/>
                <w:sz w:val="17"/>
                <w:szCs w:val="17"/>
                <w:color w:val="auto"/>
              </w:rPr>
              <w:t>Conflict Minerals source is unknown</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11</w:t>
            </w:r>
          </w:p>
        </w:tc>
      </w:tr>
      <w:tr>
        <w:trPr>
          <w:trHeight w:val="257"/>
        </w:trPr>
        <w:tc>
          <w:tcPr>
            <w:tcW w:w="7240" w:type="dxa"/>
            <w:vAlign w:val="bottom"/>
            <w:gridSpan w:val="4"/>
          </w:tcPr>
          <w:p>
            <w:pPr>
              <w:spacing w:after="0"/>
              <w:rPr>
                <w:sz w:val="20"/>
                <w:szCs w:val="20"/>
                <w:color w:val="auto"/>
              </w:rPr>
            </w:pPr>
            <w:r>
              <w:rPr>
                <w:rFonts w:ascii="Arial" w:cs="Arial" w:eastAsia="Arial" w:hAnsi="Arial"/>
                <w:sz w:val="17"/>
                <w:szCs w:val="17"/>
                <w:color w:val="auto"/>
              </w:rPr>
              <w:t>Conflict Minerals are not used in the products supplied</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31"/>
        </w:trPr>
        <w:tc>
          <w:tcPr>
            <w:tcW w:w="1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9"/>
        </w:trPr>
        <w:tc>
          <w:tcPr>
            <w:tcW w:w="7240" w:type="dxa"/>
            <w:vAlign w:val="bottom"/>
            <w:gridSpan w:val="4"/>
          </w:tcPr>
          <w:p>
            <w:pPr>
              <w:spacing w:after="0"/>
              <w:rPr>
                <w:sz w:val="20"/>
                <w:szCs w:val="20"/>
                <w:color w:val="auto"/>
              </w:rPr>
            </w:pPr>
            <w:r>
              <w:rPr>
                <w:rFonts w:ascii="Arial" w:cs="Arial" w:eastAsia="Arial" w:hAnsi="Arial"/>
                <w:sz w:val="17"/>
                <w:szCs w:val="17"/>
                <w:color w:val="auto"/>
              </w:rPr>
              <w:t>Total Supplier Responses</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79</w:t>
            </w:r>
          </w:p>
        </w:tc>
      </w:tr>
    </w:tbl>
    <w:p>
      <w:pPr>
        <w:spacing w:after="0" w:line="17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Identified Countries of Origin. </w:t>
      </w:r>
      <w:r>
        <w:rPr>
          <w:rFonts w:ascii="Arial" w:cs="Arial" w:eastAsia="Arial" w:hAnsi="Arial"/>
          <w:sz w:val="18"/>
          <w:szCs w:val="18"/>
          <w:color w:val="auto"/>
        </w:rPr>
        <w:t>Based on the information provided by suppliers pursuant to the due diligence process, the Company does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information with respect to the Covered Products to reliably determine the countries of origin of all of the Conflict Minerals in the Covered Products. However, based on the information that has been obtained from suppliers that provided component-level information, the Company has reasonably determined that the countries of origin include the countries listed in Annex 1.</w:t>
      </w:r>
    </w:p>
    <w:p>
      <w:pPr>
        <w:spacing w:after="0" w:line="18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Continuous improvement efforts to mitigate risk</w:t>
      </w:r>
    </w:p>
    <w:p>
      <w:pPr>
        <w:spacing w:after="0" w:line="94"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During 2018, the Company intends to continue to enhance its due diligence procedures to further mitigate the risk that Conflict Minerals used in the Company’s products may finance or benefit armed groups in the Covered Countries. These procedures include the following:</w:t>
      </w:r>
    </w:p>
    <w:p>
      <w:pPr>
        <w:spacing w:after="0" w:line="35" w:lineRule="exact"/>
        <w:rPr>
          <w:rFonts w:ascii="Arial" w:cs="Arial" w:eastAsia="Arial" w:hAnsi="Arial"/>
          <w:sz w:val="18"/>
          <w:szCs w:val="18"/>
          <w:color w:val="auto"/>
        </w:rPr>
      </w:pPr>
    </w:p>
    <w:p>
      <w:pPr>
        <w:ind w:left="660" w:right="20" w:hanging="328"/>
        <w:spacing w:after="0" w:line="258"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Engaging with direct suppliers with the aim of continuously improving the completeness and quality of information provided, including continuing to request all in-scope suppliers to complete the information included in the CMRT to the extent that they have not already;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Working with direct suppliers that source from unknown countries to encourage them to use CMRTs with their suppliers;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Communicating a policy whereby suppliers that do not improve their responses in a timely fashion will be evaluated for potential removal from the Company’s supply chain;</w:t>
      </w:r>
    </w:p>
    <w:p>
      <w:pPr>
        <w:ind w:left="66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Establishing a formal, uniform quality management system with a defined set of policies and procedures aimed to meet regulatory and industry standards;</w:t>
      </w:r>
    </w:p>
    <w:p>
      <w:pPr>
        <w:ind w:left="66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Analyzing the applicability of the Rule to any new suppliers joining the Company’s supply chain, and including them in due diligence and reporting in accordance with the timeline set out by the Rule; and</w:t>
      </w:r>
    </w:p>
    <w:p>
      <w:pPr>
        <w:ind w:left="660" w:hanging="328"/>
        <w:spacing w:after="0" w:line="261"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Continuing to emphasize the importance of verifying the source of smelted and/or refined Conflict Minerals supplied to the Company in an effort to eliminate the use of those not designated as “conflict-free” by the RMI.</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7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contained in or incorporated by reference into this Report may be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Risks and uncertainties that could cause or contribute to such differences include, without limitation, those described in our Annual Report on Form 10-K for the fiscal year ended December 31, 2017. We undertake no obligation to update publicly or revise any forward-looking statements. You should not rely upon forward-looking statements as predictions of future events or performance. The documents available on, and the contents of, our website are not incorporated by reference into this Report.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4"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ANNEX 1</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ANDORRA</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AUSTRALIA</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AUSTRIA</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BELGIUM</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BOLIVIA</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BRAZIL</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CANADA</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CHILE</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CHINA</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CZECH REPUBLIC</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ESTONIA</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FRANCE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GERMANY</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INDIA</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INDONESIA</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ITALY</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JAPAN</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KAZAKHSTAN</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KOREA, REPUBLIC OF</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KYRGYZSTAN</w:t>
      </w:r>
    </w:p>
    <w:p>
      <w:pPr>
        <w:spacing w:after="0" w:line="6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LITHUANIA</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MACEDONIA</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MALAYSIA</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MEXICO</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NETHERLANDS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NEW ZEALAND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NORWAY</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PERU</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PHILIPPINES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POLAND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RUSSIAN FEDERATION</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SAUDI ARABIA</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SINGAPORE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SOUTH AFRICA</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SPAIN</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SUDAN</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SWEDEN</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TAIWAN</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THAILAND</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TURKEY</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UNITED ARAB EMIRATES</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UNITED STATES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UZBEKISTAN</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VIETNAM</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ZAMBIA</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ZIMBABWE</w:t>
      </w:r>
    </w:p>
    <w:p>
      <w:pPr>
        <w:sectPr>
          <w:pgSz w:w="11900" w:h="16838" w:orient="portrait"/>
          <w:cols w:equalWidth="0" w:num="1">
            <w:col w:w="9019"/>
          </w:cols>
          <w:pgMar w:left="1440" w:top="594"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sectPr>
      <w:pgSz w:w="11900" w:h="16838" w:orient="portrait"/>
      <w:cols w:equalWidth="0" w:num="1">
        <w:col w:w="9019"/>
      </w:cols>
      <w:pgMar w:left="1440" w:top="59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2019-12-07T04:52:00Z</dcterms:created>
  <dcterms:modified xsi:type="dcterms:W3CDTF">2019-12-07T04:52:00Z</dcterms:modified>
</cp:coreProperties>
</file>