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52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5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Clary Rebecca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COVINGTON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70433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14,167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0.67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355,531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1.97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12/13/2016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12/13/2023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05/01/2014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10/03/2021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0.61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03/15/2012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11/08/2021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1.66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10/12/2014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10/12/2020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2.58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12/12/2024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3.99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08/27/2017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08/27/2024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withheld, based on the fair market value of the Common Stock on May 16, 2018 to pay required withholding taxes upon the vesting of 33,333 shares pursuant to a Restricted Stock Award granted under the Company's Equity Incentive Plan. The full award was previously reported.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Bridget C. Hoffman,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1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Rebecca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1391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2019-12-07T04:44:09Z</dcterms:created>
  <dcterms:modified xsi:type="dcterms:W3CDTF">2019-12-07T04:44:09Z</dcterms:modified>
</cp:coreProperties>
</file>