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-235585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-614680</wp:posOffset>
            </wp:positionV>
            <wp:extent cx="57785" cy="628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20955</wp:posOffset>
            </wp:positionV>
            <wp:extent cx="6996430" cy="5727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572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5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JACOBS PAUL E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3"/>
        </w:trPr>
        <w:tc>
          <w:tcPr>
            <w:tcW w:w="2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1351 HOLIDAY SQUARE BLVD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1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5"/>
        </w:trPr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COVINGTON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70433</w:t>
            </w:r>
          </w:p>
        </w:tc>
      </w:tr>
      <w:tr>
        <w:trPr>
          <w:trHeight w:val="458"/>
        </w:trPr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Globalstar,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GSAT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7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20" w:right="42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26,738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1.87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26,738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Voting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Labs,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Voting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16,745,989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8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-1819275</wp:posOffset>
            </wp:positionV>
            <wp:extent cx="28575" cy="1824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2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under the Issuer's Equity Incentive Plan. The awarded shares vest on January 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under the Issuer's Equity Incentive Plan. The awarded options vest and become exercisable as to one third on each of January 2, 2025, 2026, and 2027.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Paul E. Jacobs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01/04/2024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1310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2024-01-04T15:31:22Z</dcterms:created>
  <dcterms:modified xsi:type="dcterms:W3CDTF">2024-01-04T15:31:22Z</dcterms:modified>
</cp:coreProperties>
</file>