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09" w:lineRule="exact"/>
        <w:rPr>
          <w:sz w:val="24"/>
          <w:szCs w:val="24"/>
          <w:color w:val="auto"/>
        </w:rPr>
      </w:pPr>
    </w:p>
    <w:p>
      <w:pPr>
        <w:ind w:left="1260" w:hanging="1166"/>
        <w:spacing w:after="0"/>
        <w:tabs>
          <w:tab w:leader="none" w:pos="12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2025</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or</w:t>
      </w:r>
    </w:p>
    <w:p>
      <w:pPr>
        <w:spacing w:after="0" w:line="109" w:lineRule="exact"/>
        <w:rPr>
          <w:sz w:val="24"/>
          <w:szCs w:val="24"/>
          <w:color w:val="auto"/>
        </w:rPr>
      </w:pPr>
    </w:p>
    <w:p>
      <w:pPr>
        <w:ind w:left="1260" w:hanging="1166"/>
        <w:spacing w:after="0"/>
        <w:tabs>
          <w:tab w:leader="none" w:pos="12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920"/>
        <w:spacing w:after="0"/>
        <w:tabs>
          <w:tab w:leader="none" w:pos="6520" w:val="left"/>
        </w:tabs>
        <w:rPr>
          <w:sz w:val="20"/>
          <w:szCs w:val="20"/>
          <w:color w:val="auto"/>
        </w:rPr>
      </w:pPr>
      <w:r>
        <w:rPr>
          <w:rFonts w:ascii="Times New Roman" w:cs="Times New Roman" w:eastAsia="Times New Roman" w:hAnsi="Times New Roman"/>
          <w:sz w:val="17"/>
          <w:szCs w:val="17"/>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Commission file number 001-33117</w:t>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963" w:right="339" w:bottom="1440" w:gutter="0" w:footer="0" w:header="0"/>
        </w:sectPr>
      </w:pPr>
    </w:p>
    <w:p>
      <w:pPr>
        <w:spacing w:after="0" w:line="10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41-2116508</w:t>
      </w:r>
    </w:p>
    <w:p>
      <w:pPr>
        <w:spacing w:after="0" w:line="42" w:lineRule="exact"/>
        <w:rPr>
          <w:sz w:val="24"/>
          <w:szCs w:val="24"/>
          <w:color w:val="auto"/>
        </w:rPr>
      </w:pPr>
    </w:p>
    <w:p>
      <w:pPr>
        <w:sectPr>
          <w:pgSz w:w="11900" w:h="16838" w:orient="portrait"/>
          <w:cols w:equalWidth="0" w:num="2">
            <w:col w:w="7380" w:space="720"/>
            <w:col w:w="3140"/>
          </w:cols>
          <w:pgMar w:left="320" w:top="963" w:right="3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22" w:lineRule="exact"/>
        <w:rPr>
          <w:sz w:val="24"/>
          <w:szCs w:val="24"/>
          <w:color w:val="auto"/>
        </w:rPr>
      </w:pPr>
    </w:p>
    <w:p>
      <w:pPr>
        <w:sectPr>
          <w:pgSz w:w="11900" w:h="16838" w:orient="portrait"/>
          <w:cols w:equalWidth="0" w:num="2">
            <w:col w:w="6580" w:space="720"/>
            <w:col w:w="3940"/>
          </w:cols>
          <w:pgMar w:left="320" w:top="963" w:right="339" w:bottom="1440" w:gutter="0" w:footer="0" w:header="0"/>
          <w:type w:val="continuous"/>
        </w:sectPr>
      </w:pP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1351 Holiday Square Blvd.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Covington, Louisiana 70433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(985) 335-1500</w:t>
      </w:r>
    </w:p>
    <w:p>
      <w:pPr>
        <w:spacing w:after="0" w:line="125" w:lineRule="exact"/>
        <w:rPr>
          <w:sz w:val="24"/>
          <w:szCs w:val="24"/>
          <w:color w:val="auto"/>
        </w:rPr>
      </w:pPr>
    </w:p>
    <w:p>
      <w:pPr>
        <w:jc w:val="center"/>
        <w:ind w:right="7540"/>
        <w:spacing w:after="0"/>
        <w:rPr>
          <w:sz w:val="20"/>
          <w:szCs w:val="20"/>
          <w:color w:val="auto"/>
        </w:rPr>
      </w:pPr>
      <w:r>
        <w:rPr>
          <w:rFonts w:ascii="Times New Roman" w:cs="Times New Roman" w:eastAsia="Times New Roman" w:hAnsi="Times New Roman"/>
          <w:sz w:val="16"/>
          <w:szCs w:val="16"/>
          <w:color w:val="auto"/>
        </w:rPr>
        <w:t>Securities registered pursuant to section 12(b) of the</w:t>
      </w:r>
    </w:p>
    <w:p>
      <w:pPr>
        <w:spacing w:after="0" w:line="4" w:lineRule="exact"/>
        <w:rPr>
          <w:sz w:val="24"/>
          <w:szCs w:val="24"/>
          <w:color w:val="auto"/>
        </w:rPr>
      </w:pPr>
    </w:p>
    <w:p>
      <w:pPr>
        <w:jc w:val="center"/>
        <w:ind w:right="7540"/>
        <w:spacing w:after="0"/>
        <w:rPr>
          <w:sz w:val="20"/>
          <w:szCs w:val="20"/>
          <w:color w:val="auto"/>
        </w:rPr>
      </w:pPr>
      <w:r>
        <w:rPr>
          <w:rFonts w:ascii="Times New Roman" w:cs="Times New Roman" w:eastAsia="Times New Roman" w:hAnsi="Times New Roman"/>
          <w:sz w:val="17"/>
          <w:szCs w:val="17"/>
          <w:color w:val="auto"/>
        </w:rPr>
        <w:t>Act:</w:t>
      </w:r>
    </w:p>
    <w:p>
      <w:pPr>
        <w:sectPr>
          <w:pgSz w:w="11900" w:h="16838" w:orient="portrait"/>
          <w:cols w:equalWidth="0" w:num="1">
            <w:col w:w="11240"/>
          </w:cols>
          <w:pgMar w:left="320" w:top="963" w:right="339" w:bottom="1440" w:gutter="0" w:footer="0" w:header="0"/>
          <w:type w:val="continuous"/>
        </w:sectPr>
      </w:pPr>
    </w:p>
    <w:p>
      <w:pPr>
        <w:spacing w:after="0" w:line="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16"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6"/>
          <w:szCs w:val="16"/>
          <w:color w:val="auto"/>
        </w:rPr>
        <w:t>Trading Symbol</w:t>
      </w:r>
    </w:p>
    <w:p>
      <w:pPr>
        <w:spacing w:after="0" w:line="28"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GSAT</w:t>
      </w:r>
    </w:p>
    <w:p>
      <w:pPr>
        <w:spacing w:after="0" w:line="20" w:lineRule="exact"/>
        <w:rPr>
          <w:sz w:val="24"/>
          <w:szCs w:val="24"/>
          <w:color w:val="auto"/>
        </w:rPr>
      </w:pPr>
      <w:r>
        <w:rPr>
          <w:sz w:val="24"/>
          <w:szCs w:val="24"/>
          <w:color w:val="auto"/>
        </w:rPr>
        <w:br w:type="column"/>
      </w:r>
    </w:p>
    <w:p>
      <w:pPr>
        <w:jc w:val="center"/>
        <w:ind w:right="560"/>
        <w:spacing w:after="0"/>
        <w:rPr>
          <w:sz w:val="20"/>
          <w:szCs w:val="20"/>
          <w:color w:val="auto"/>
        </w:rPr>
      </w:pPr>
      <w:r>
        <w:rPr>
          <w:rFonts w:ascii="Times New Roman" w:cs="Times New Roman" w:eastAsia="Times New Roman" w:hAnsi="Times New Roman"/>
          <w:sz w:val="16"/>
          <w:szCs w:val="16"/>
          <w:color w:val="auto"/>
        </w:rPr>
        <w:t>Name of exchange on which registered</w:t>
      </w:r>
    </w:p>
    <w:p>
      <w:pPr>
        <w:spacing w:after="0" w:line="2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109" w:lineRule="exact"/>
        <w:rPr>
          <w:sz w:val="24"/>
          <w:szCs w:val="24"/>
          <w:color w:val="auto"/>
        </w:rPr>
      </w:pPr>
    </w:p>
    <w:p>
      <w:pPr>
        <w:sectPr>
          <w:pgSz w:w="11900" w:h="16838" w:orient="portrait"/>
          <w:cols w:equalWidth="0" w:num="3">
            <w:col w:w="4360" w:space="720"/>
            <w:col w:w="2300" w:space="720"/>
            <w:col w:w="3140"/>
          </w:cols>
          <w:pgMar w:left="320" w:top="963" w:right="339" w:bottom="1440" w:gutter="0" w:footer="0" w:header="0"/>
          <w:type w:val="continuous"/>
        </w:sectPr>
      </w:pPr>
    </w:p>
    <w:p>
      <w:pPr>
        <w:jc w:val="both"/>
        <w:ind w:firstLine="235"/>
        <w:spacing w:after="0" w:line="21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4" w:lineRule="exact"/>
        <w:rPr>
          <w:sz w:val="24"/>
          <w:szCs w:val="24"/>
          <w:color w:val="auto"/>
        </w:rPr>
      </w:pPr>
    </w:p>
    <w:p>
      <w:pPr>
        <w:jc w:val="both"/>
        <w:ind w:firstLine="235"/>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22"/>
        </w:trPr>
        <w:tc>
          <w:tcPr>
            <w:tcW w:w="3480" w:type="dxa"/>
            <w:vAlign w:val="bottom"/>
          </w:tcPr>
          <w:p>
            <w:pPr>
              <w:jc w:val="center"/>
              <w:ind w:right="317"/>
              <w:spacing w:after="0"/>
              <w:rPr>
                <w:sz w:val="20"/>
                <w:szCs w:val="20"/>
                <w:color w:val="auto"/>
              </w:rPr>
            </w:pPr>
            <w:r>
              <w:rPr>
                <w:rFonts w:ascii="Times New Roman" w:cs="Times New Roman" w:eastAsia="Times New Roman" w:hAnsi="Times New Roman"/>
                <w:sz w:val="17"/>
                <w:szCs w:val="17"/>
                <w:color w:val="auto"/>
                <w:w w:val="96"/>
              </w:rPr>
              <w:t>Large accelerated filer</w:t>
            </w:r>
          </w:p>
        </w:tc>
        <w:tc>
          <w:tcPr>
            <w:tcW w:w="18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8"/>
              </w:rPr>
              <w:t>Accelerated filer</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2"/>
        </w:trPr>
        <w:tc>
          <w:tcPr>
            <w:tcW w:w="3480" w:type="dxa"/>
            <w:vAlign w:val="bottom"/>
          </w:tcPr>
          <w:p>
            <w:pPr>
              <w:jc w:val="center"/>
              <w:ind w:right="317"/>
              <w:spacing w:after="0"/>
              <w:rPr>
                <w:sz w:val="20"/>
                <w:szCs w:val="20"/>
                <w:color w:val="auto"/>
              </w:rPr>
            </w:pPr>
            <w:r>
              <w:rPr>
                <w:rFonts w:ascii="Times New Roman" w:cs="Times New Roman" w:eastAsia="Times New Roman" w:hAnsi="Times New Roman"/>
                <w:sz w:val="17"/>
                <w:szCs w:val="17"/>
                <w:color w:val="auto"/>
                <w:w w:val="97"/>
              </w:rPr>
              <w:t>Non-accelerated filer</w:t>
            </w:r>
          </w:p>
        </w:tc>
        <w:tc>
          <w:tcPr>
            <w:tcW w:w="18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6"/>
              </w:rPr>
              <w:t>Smaller reporting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0"/>
        </w:trPr>
        <w:tc>
          <w:tcPr>
            <w:tcW w:w="3480" w:type="dxa"/>
            <w:vAlign w:val="bottom"/>
          </w:tcPr>
          <w:p>
            <w:pPr>
              <w:jc w:val="center"/>
              <w:ind w:right="317"/>
              <w:spacing w:after="0"/>
              <w:rPr>
                <w:sz w:val="20"/>
                <w:szCs w:val="20"/>
                <w:color w:val="auto"/>
              </w:rPr>
            </w:pPr>
            <w:r>
              <w:rPr>
                <w:rFonts w:ascii="Times New Roman" w:cs="Times New Roman" w:eastAsia="Times New Roman" w:hAnsi="Times New Roman"/>
                <w:sz w:val="17"/>
                <w:szCs w:val="17"/>
                <w:color w:val="auto"/>
                <w:w w:val="97"/>
              </w:rPr>
              <w:t>(Do not check if a smaller reporting company)</w:t>
            </w:r>
          </w:p>
        </w:tc>
        <w:tc>
          <w:tcPr>
            <w:tcW w:w="1800" w:type="dxa"/>
            <w:vAlign w:val="bottom"/>
          </w:tcPr>
          <w:p>
            <w:pPr>
              <w:spacing w:after="0"/>
              <w:rPr>
                <w:sz w:val="24"/>
                <w:szCs w:val="24"/>
                <w:color w:val="auto"/>
              </w:rPr>
            </w:pPr>
          </w:p>
        </w:tc>
        <w:tc>
          <w:tcPr>
            <w:tcW w:w="35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6"/>
              </w:rPr>
              <w:t>Emerging growth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9" w:lineRule="exact"/>
        <w:rPr>
          <w:sz w:val="24"/>
          <w:szCs w:val="24"/>
          <w:color w:val="auto"/>
        </w:rPr>
      </w:pPr>
    </w:p>
    <w:p>
      <w:pPr>
        <w:ind w:firstLine="525"/>
        <w:spacing w:after="0" w:line="21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3" w:lineRule="exact"/>
        <w:rPr>
          <w:sz w:val="24"/>
          <w:szCs w:val="24"/>
          <w:color w:val="auto"/>
        </w:rPr>
      </w:pPr>
    </w:p>
    <w:p>
      <w:pPr>
        <w:ind w:left="24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4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August 1, 2025, 126,672,742 shares of common stock were outstanding and 149,425 shares of preferred stock were outstanding.</w:t>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900" w:type="dxa"/>
            <w:vAlign w:val="bottom"/>
          </w:tcPr>
          <w:p>
            <w:pPr>
              <w:spacing w:after="0"/>
              <w:rPr>
                <w:sz w:val="19"/>
                <w:szCs w:val="19"/>
                <w:color w:val="auto"/>
              </w:rPr>
            </w:pPr>
          </w:p>
        </w:tc>
        <w:tc>
          <w:tcPr>
            <w:tcW w:w="9040" w:type="dxa"/>
            <w:vAlign w:val="bottom"/>
          </w:tcPr>
          <w:p>
            <w:pPr>
              <w:jc w:val="center"/>
              <w:ind w:left="573"/>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900" w:type="dxa"/>
            <w:vAlign w:val="bottom"/>
          </w:tcPr>
          <w:p>
            <w:pPr>
              <w:spacing w:after="0"/>
              <w:rPr>
                <w:sz w:val="24"/>
                <w:szCs w:val="24"/>
                <w:color w:val="auto"/>
              </w:rPr>
            </w:pPr>
          </w:p>
        </w:tc>
        <w:tc>
          <w:tcPr>
            <w:tcW w:w="9040" w:type="dxa"/>
            <w:vAlign w:val="bottom"/>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GLOBALSTAR,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040" w:type="dxa"/>
            <w:vAlign w:val="bottom"/>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9"/>
        </w:trPr>
        <w:tc>
          <w:tcPr>
            <w:tcW w:w="900" w:type="dxa"/>
            <w:vAlign w:val="bottom"/>
          </w:tcPr>
          <w:p>
            <w:pPr>
              <w:spacing w:after="0"/>
              <w:rPr>
                <w:sz w:val="24"/>
                <w:szCs w:val="24"/>
                <w:color w:val="auto"/>
              </w:rPr>
            </w:pPr>
          </w:p>
        </w:tc>
        <w:tc>
          <w:tcPr>
            <w:tcW w:w="9040" w:type="dxa"/>
            <w:vAlign w:val="bottom"/>
            <w:vMerge w:val="restart"/>
          </w:tcPr>
          <w:p>
            <w:pPr>
              <w:ind w:left="256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904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Cautionary Statement About Forward-Looking Statements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Financial Statements.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Controls and Procedures.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9040" w:type="dxa"/>
            <w:vAlign w:val="bottom"/>
          </w:tcPr>
          <w:p>
            <w:pPr>
              <w:ind w:left="2700"/>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Legal Proceedings.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Risk Factors.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Defaults Upon Senior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Mine Safety Disclosures.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Exhibits.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9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CAUTIONARY STATEMENT ABOUT FORWARD-LOOKING STATEMENTS</w:t>
      </w:r>
    </w:p>
    <w:p>
      <w:pPr>
        <w:spacing w:after="0" w:line="238" w:lineRule="exact"/>
        <w:rPr>
          <w:sz w:val="20"/>
          <w:szCs w:val="20"/>
          <w:color w:val="auto"/>
        </w:rPr>
      </w:pPr>
    </w:p>
    <w:p>
      <w:pPr>
        <w:jc w:val="both"/>
        <w:ind w:firstLine="314"/>
        <w:spacing w:after="0" w:line="242" w:lineRule="auto"/>
        <w:rPr>
          <w:sz w:val="20"/>
          <w:szCs w:val="20"/>
          <w:color w:val="auto"/>
        </w:rPr>
      </w:pPr>
      <w:r>
        <w:rPr>
          <w:rFonts w:ascii="Times New Roman" w:cs="Times New Roman" w:eastAsia="Times New Roman" w:hAnsi="Times New Roman"/>
          <w:sz w:val="17"/>
          <w:szCs w:val="17"/>
          <w:color w:val="auto"/>
        </w:rPr>
        <w:t>Certain statements contained in or incorporated by reference into this Quarterly Report on Form 10-Q (this "Report"), other than purely historical information, including, but not limited to, estimates, projections, statements relating to our business plans, objectives and expected operating results, our anticipated financial resources, our expectations about the future operational performance of our satellites (including their projected operational lives) and the completion and launch of new satellites, our expectations regarding the outcomes of regulatory and licensing proceedings, the expected growth prospects of our existing customers and the markets that we serve, and the assumptions upon which those statements are based, are forward-looking statements within the meaning of the Private Securities Litigation Reform Act of 1995. These forward-looking statements generally are identified by the words "believe," "might," "could,"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We caution readers that forward-looking statements are not guarantees of future performance and actual results may differ materially from those anticipated, expected, projected or assumed in the forward-looking statements.</w:t>
      </w:r>
    </w:p>
    <w:p>
      <w:pPr>
        <w:spacing w:after="0" w:line="210" w:lineRule="exact"/>
        <w:rPr>
          <w:sz w:val="20"/>
          <w:szCs w:val="20"/>
          <w:color w:val="auto"/>
        </w:rPr>
      </w:pPr>
    </w:p>
    <w:p>
      <w:pPr>
        <w:jc w:val="both"/>
        <w:ind w:firstLine="314"/>
        <w:spacing w:after="0" w:line="241" w:lineRule="auto"/>
        <w:rPr>
          <w:sz w:val="20"/>
          <w:szCs w:val="20"/>
          <w:color w:val="auto"/>
        </w:rPr>
      </w:pPr>
      <w:r>
        <w:rPr>
          <w:rFonts w:ascii="Times New Roman" w:cs="Times New Roman" w:eastAsia="Times New Roman" w:hAnsi="Times New Roman"/>
          <w:sz w:val="17"/>
          <w:szCs w:val="17"/>
          <w:color w:val="auto"/>
        </w:rPr>
        <w:t>Important factors that may cause our actual results to differ materially from those anticipated in forward-looking statements, include, but are not limited to, our ability to meet our obligations and attain anticipated benefits under the Updated Services Agreements (as defined herein), the operational performance and orbital lives of our satellites, including damage to, failure of, or disruptions or other problems at our satellites or associated ground facilities, change in our operating plans or corporate strategies, commercial acceptance of and demand for our products and services, our ability to adequately anticipate our satellite capacity needs and maintain sufficient satellite capacity to meet current and increased demand (including delay of the completion or launch of new satellites), our ability to exploit and respond to technological innovation, including integrating licensed technology into our products and services and developing, acquiring, maintaining and protecting information and intellectual property rights, our ability to effectively compete in the markets in which we operate, geopolitical and economic conditions and risks associated with doing business on a global basis, including in developing markets, the availability of equipment, component parts and other materials used in our business operations, the reliance on key suppliers, our ability to raise capital on reasonable terms, our ability to manage costs, our ability to develop and expand our business (including our ability to maintain, expand and monetize our spectrum rights), our compliance with and interpretation of a diverse and fluid array of complex laws and regulations (including tax laws and regulations), including those related to the use of our spectrum, our ability to comply with the restrictive covenants of our financing arrangements and limitations on our ability to incur additional indebtedness, any cyber-related attacks and other security breaches, our ability to obtain and maintain adequate insurance coverages, volatility of spectrum values, changes in tax rates and the results of tax examinations, litigation or investigations, regulatory restrictions, liabilities or penalties, reduction of spectrum authority, additional spectrum sharing agreements, or revocation, modification or non-renewal of necessary licenses, the opportunities for strategic business transactions and the effects of consolidation in our industry on us and our competitors, the effects of our reverse stock split and Nasdaq listing, business interruptions due to natural disasters, unexpected events or public health crises and other factors described in more detail in Item 1A. Risk Factors in our Annual Report on Form 10-K for the fiscal year ended December 31, 2024, as filed with the Securities and Exchange Commission (the "SEC") on February 28, 2025 (the "2024 Annual Report"). Further, new risk factors emerge from time to time, and it is not possible for us to predict all risk factors, nor can we accurately assess the ultimate impact of all factors on our business or the extent to which any factor, or combination of factors, may cause actual results to differ materially from those contained in any forward-looking statements. We undertake no obligation to update any of our forward-looking statements after the date of this Report to reflect actual results, future events or circumstances or changes in our assumptions, business plans or other changes.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8"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19"/>
                <w:szCs w:val="19"/>
                <w:color w:val="auto"/>
              </w:rPr>
            </w:pPr>
          </w:p>
        </w:tc>
        <w:tc>
          <w:tcPr>
            <w:tcW w:w="2320" w:type="dxa"/>
            <w:vAlign w:val="bottom"/>
            <w:gridSpan w:val="4"/>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157"/>
        </w:trPr>
        <w:tc>
          <w:tcPr>
            <w:tcW w:w="5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17"/>
              <w:spacing w:after="0" w:line="158" w:lineRule="exact"/>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37"/>
              <w:spacing w:after="0" w:line="158" w:lineRule="exact"/>
              <w:rPr>
                <w:sz w:val="20"/>
                <w:szCs w:val="20"/>
                <w:color w:val="auto"/>
              </w:rPr>
            </w:pPr>
            <w:r>
              <w:rPr>
                <w:rFonts w:ascii="Times New Roman" w:cs="Times New Roman" w:eastAsia="Times New Roman" w:hAnsi="Times New Roman"/>
                <w:sz w:val="17"/>
                <w:szCs w:val="17"/>
                <w:b w:val="1"/>
                <w:bCs w:val="1"/>
                <w:color w:val="auto"/>
              </w:rPr>
              <w:t>June 30,</w:t>
            </w:r>
          </w:p>
        </w:tc>
        <w:tc>
          <w:tcPr>
            <w:tcW w:w="0" w:type="dxa"/>
            <w:vAlign w:val="bottom"/>
          </w:tcPr>
          <w:p>
            <w:pPr>
              <w:spacing w:after="0"/>
              <w:rPr>
                <w:sz w:val="1"/>
                <w:szCs w:val="1"/>
                <w:color w:val="auto"/>
              </w:rPr>
            </w:pPr>
          </w:p>
        </w:tc>
      </w:tr>
      <w:tr>
        <w:trPr>
          <w:trHeight w:val="219"/>
        </w:trPr>
        <w:tc>
          <w:tcPr>
            <w:tcW w:w="5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 revenue</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111,100</w:t>
            </w:r>
          </w:p>
        </w:tc>
        <w:tc>
          <w:tcPr>
            <w:tcW w:w="0" w:type="dxa"/>
            <w:vAlign w:val="bottom"/>
          </w:tcPr>
          <w:p>
            <w:pPr>
              <w:spacing w:after="0"/>
              <w:rPr>
                <w:sz w:val="1"/>
                <w:szCs w:val="1"/>
                <w:color w:val="auto"/>
              </w:rPr>
            </w:pPr>
          </w:p>
        </w:tc>
      </w:tr>
      <w:tr>
        <w:trPr>
          <w:trHeight w:val="219"/>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Subscriber equipment sales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5,765</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67,148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116,865</w:t>
            </w:r>
          </w:p>
        </w:tc>
        <w:tc>
          <w:tcPr>
            <w:tcW w:w="0" w:type="dxa"/>
            <w:vAlign w:val="bottom"/>
          </w:tcPr>
          <w:p>
            <w:pPr>
              <w:spacing w:after="0"/>
              <w:rPr>
                <w:sz w:val="1"/>
                <w:szCs w:val="1"/>
                <w:color w:val="auto"/>
              </w:rPr>
            </w:pPr>
          </w:p>
        </w:tc>
      </w:tr>
      <w:tr>
        <w:trPr>
          <w:trHeight w:val="208"/>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4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7"/>
                <w:szCs w:val="17"/>
                <w:color w:val="auto"/>
                <w:w w:val="97"/>
              </w:rPr>
              <w:t>Cost of services (exclusive of depreciation, amortization, and accretion shown</w:t>
            </w: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34,873</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separately below)</w:t>
            </w:r>
          </w:p>
        </w:tc>
        <w:tc>
          <w:tcPr>
            <w:tcW w:w="2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subscriber equipment sales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4,224</w:t>
            </w:r>
          </w:p>
        </w:tc>
        <w:tc>
          <w:tcPr>
            <w:tcW w:w="0" w:type="dxa"/>
            <w:vAlign w:val="bottom"/>
          </w:tcPr>
          <w:p>
            <w:pPr>
              <w:spacing w:after="0"/>
              <w:rPr>
                <w:sz w:val="1"/>
                <w:szCs w:val="1"/>
                <w:color w:val="auto"/>
              </w:rPr>
            </w:pPr>
          </w:p>
        </w:tc>
      </w:tr>
      <w:tr>
        <w:trPr>
          <w:trHeight w:val="22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Marketing, general and administrative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20,999</w:t>
            </w:r>
          </w:p>
        </w:tc>
        <w:tc>
          <w:tcPr>
            <w:tcW w:w="0" w:type="dxa"/>
            <w:vAlign w:val="bottom"/>
          </w:tcPr>
          <w:p>
            <w:pPr>
              <w:spacing w:after="0"/>
              <w:rPr>
                <w:sz w:val="1"/>
                <w:szCs w:val="1"/>
                <w:color w:val="auto"/>
              </w:rPr>
            </w:pP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18,391</w:t>
            </w:r>
          </w:p>
        </w:tc>
        <w:tc>
          <w:tcPr>
            <w:tcW w:w="0" w:type="dxa"/>
            <w:vAlign w:val="bottom"/>
          </w:tcPr>
          <w:p>
            <w:pPr>
              <w:spacing w:after="0"/>
              <w:rPr>
                <w:sz w:val="1"/>
                <w:szCs w:val="1"/>
                <w:color w:val="auto"/>
              </w:rPr>
            </w:pPr>
          </w:p>
        </w:tc>
      </w:tr>
      <w:tr>
        <w:trPr>
          <w:trHeight w:val="22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Reduction in the value and disposal of long-lived assets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0" w:type="dxa"/>
            <w:vAlign w:val="bottom"/>
          </w:tcPr>
          <w:p>
            <w:pPr>
              <w:spacing w:after="0"/>
              <w:rPr>
                <w:sz w:val="1"/>
                <w:szCs w:val="1"/>
                <w:color w:val="auto"/>
              </w:rPr>
            </w:pPr>
          </w:p>
        </w:tc>
      </w:tr>
      <w:tr>
        <w:trPr>
          <w:trHeight w:val="219"/>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23,010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44,207</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122,999</w:t>
            </w:r>
          </w:p>
        </w:tc>
        <w:tc>
          <w:tcPr>
            <w:tcW w:w="0" w:type="dxa"/>
            <w:vAlign w:val="bottom"/>
          </w:tcPr>
          <w:p>
            <w:pPr>
              <w:spacing w:after="0"/>
              <w:rPr>
                <w:sz w:val="1"/>
                <w:szCs w:val="1"/>
                <w:color w:val="auto"/>
              </w:rPr>
            </w:pPr>
          </w:p>
        </w:tc>
      </w:tr>
      <w:tr>
        <w:trPr>
          <w:trHeight w:val="212"/>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(6,134)</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 and expense, net of amounts capitalized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(7,429)</w:t>
            </w:r>
          </w:p>
        </w:tc>
        <w:tc>
          <w:tcPr>
            <w:tcW w:w="0" w:type="dxa"/>
            <w:vAlign w:val="bottom"/>
          </w:tcPr>
          <w:p>
            <w:pPr>
              <w:spacing w:after="0"/>
              <w:rPr>
                <w:sz w:val="1"/>
                <w:szCs w:val="1"/>
                <w:color w:val="auto"/>
              </w:rPr>
            </w:pPr>
          </w:p>
        </w:tc>
      </w:tr>
      <w:tr>
        <w:trPr>
          <w:trHeight w:val="22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gain (loss)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(8,335)</w:t>
            </w:r>
          </w:p>
        </w:tc>
        <w:tc>
          <w:tcPr>
            <w:tcW w:w="0" w:type="dxa"/>
            <w:vAlign w:val="bottom"/>
          </w:tcPr>
          <w:p>
            <w:pPr>
              <w:spacing w:after="0"/>
              <w:rPr>
                <w:sz w:val="1"/>
                <w:szCs w:val="1"/>
                <w:color w:val="auto"/>
              </w:rPr>
            </w:pPr>
          </w:p>
        </w:tc>
      </w:tr>
      <w:tr>
        <w:trPr>
          <w:trHeight w:val="219"/>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Derivative and 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income (expense)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(16,555)</w:t>
            </w:r>
          </w:p>
        </w:tc>
        <w:tc>
          <w:tcPr>
            <w:tcW w:w="0" w:type="dxa"/>
            <w:vAlign w:val="bottom"/>
          </w:tcPr>
          <w:p>
            <w:pPr>
              <w:spacing w:after="0"/>
              <w:rPr>
                <w:sz w:val="1"/>
                <w:szCs w:val="1"/>
                <w:color w:val="auto"/>
              </w:rPr>
            </w:pPr>
          </w:p>
        </w:tc>
      </w:tr>
      <w:tr>
        <w:trPr>
          <w:trHeight w:val="21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(22,689)</w:t>
            </w:r>
          </w:p>
        </w:tc>
        <w:tc>
          <w:tcPr>
            <w:tcW w:w="0" w:type="dxa"/>
            <w:vAlign w:val="bottom"/>
          </w:tcPr>
          <w:p>
            <w:pPr>
              <w:spacing w:after="0"/>
              <w:rPr>
                <w:sz w:val="1"/>
                <w:szCs w:val="1"/>
                <w:color w:val="auto"/>
              </w:rPr>
            </w:pPr>
          </w:p>
        </w:tc>
      </w:tr>
      <w:tr>
        <w:trPr>
          <w:trHeight w:val="22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19,208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(22,879)</w:t>
            </w:r>
          </w:p>
        </w:tc>
        <w:tc>
          <w:tcPr>
            <w:tcW w:w="0" w:type="dxa"/>
            <w:vAlign w:val="bottom"/>
          </w:tcPr>
          <w:p>
            <w:pPr>
              <w:spacing w:after="0"/>
              <w:rPr>
                <w:sz w:val="1"/>
                <w:szCs w:val="1"/>
                <w:color w:val="auto"/>
              </w:rPr>
            </w:pPr>
          </w:p>
        </w:tc>
      </w:tr>
      <w:tr>
        <w:trPr>
          <w:trHeight w:val="38"/>
        </w:trPr>
        <w:tc>
          <w:tcPr>
            <w:tcW w:w="54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4,257</w:t>
            </w: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(18,622)</w:t>
            </w:r>
          </w:p>
        </w:tc>
        <w:tc>
          <w:tcPr>
            <w:tcW w:w="0" w:type="dxa"/>
            <w:vAlign w:val="bottom"/>
          </w:tcPr>
          <w:p>
            <w:pPr>
              <w:spacing w:after="0"/>
              <w:rPr>
                <w:sz w:val="1"/>
                <w:szCs w:val="1"/>
                <w:color w:val="auto"/>
              </w:rPr>
            </w:pPr>
          </w:p>
        </w:tc>
      </w:tr>
      <w:tr>
        <w:trPr>
          <w:trHeight w:val="38"/>
        </w:trPr>
        <w:tc>
          <w:tcPr>
            <w:tcW w:w="54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common shareholders (Note 11)</w:t>
            </w:r>
          </w:p>
        </w:tc>
        <w:tc>
          <w:tcPr>
            <w:tcW w:w="2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16,564</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(12,327)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(3,382)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(28,167)</w:t>
            </w: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per common share: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4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7"/>
                <w:szCs w:val="17"/>
                <w:color w:val="auto"/>
              </w:rPr>
              <w:t xml:space="preserve">Basic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0" w:type="dxa"/>
            <w:vAlign w:val="bottom"/>
          </w:tcPr>
          <w:p>
            <w:pPr>
              <w:spacing w:after="0"/>
              <w:rPr>
                <w:sz w:val="1"/>
                <w:szCs w:val="1"/>
                <w:color w:val="auto"/>
              </w:rPr>
            </w:pPr>
          </w:p>
        </w:tc>
      </w:tr>
      <w:tr>
        <w:trPr>
          <w:trHeight w:val="222"/>
        </w:trPr>
        <w:tc>
          <w:tcPr>
            <w:tcW w:w="544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0" w:type="dxa"/>
            <w:vAlign w:val="bottom"/>
          </w:tcPr>
          <w:p>
            <w:pPr>
              <w:spacing w:after="0"/>
              <w:rPr>
                <w:sz w:val="1"/>
                <w:szCs w:val="1"/>
                <w:color w:val="auto"/>
              </w:rPr>
            </w:pPr>
          </w:p>
        </w:tc>
      </w:tr>
      <w:tr>
        <w:trPr>
          <w:trHeight w:val="22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Basic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125,560</w:t>
            </w:r>
          </w:p>
        </w:tc>
        <w:tc>
          <w:tcPr>
            <w:tcW w:w="0" w:type="dxa"/>
            <w:vAlign w:val="bottom"/>
          </w:tcPr>
          <w:p>
            <w:pPr>
              <w:spacing w:after="0"/>
              <w:rPr>
                <w:sz w:val="1"/>
                <w:szCs w:val="1"/>
                <w:color w:val="auto"/>
              </w:rPr>
            </w:pPr>
          </w:p>
        </w:tc>
      </w:tr>
      <w:tr>
        <w:trPr>
          <w:trHeight w:val="222"/>
        </w:trPr>
        <w:tc>
          <w:tcPr>
            <w:tcW w:w="54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125,560</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firstLine="5"/>
        <w:spacing w:after="0" w:line="276" w:lineRule="auto"/>
        <w:tabs>
          <w:tab w:leader="none" w:pos="25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as of June 30, 2024 have been restated to reflect the 1:15 reverse stock split effectuated on February 10, 2025. All historical share and per share amounts for the periods prior to the completion of the reverse stock split reflected in this Report have been adjusted to reflect the reverse stock split. Refer to Note 13: Common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par value and share data)</w:t>
      </w:r>
    </w:p>
    <w:p>
      <w:pPr>
        <w:spacing w:after="0" w:line="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80" w:type="dxa"/>
            <w:vAlign w:val="bottom"/>
          </w:tcPr>
          <w:p>
            <w:pPr>
              <w:spacing w:after="0"/>
              <w:rPr>
                <w:sz w:val="19"/>
                <w:szCs w:val="19"/>
                <w:color w:val="auto"/>
              </w:rPr>
            </w:pPr>
          </w:p>
        </w:tc>
        <w:tc>
          <w:tcPr>
            <w:tcW w:w="172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01"/>
        </w:trPr>
        <w:tc>
          <w:tcPr>
            <w:tcW w:w="7320" w:type="dxa"/>
            <w:vAlign w:val="bottom"/>
          </w:tcPr>
          <w:p>
            <w:pPr>
              <w:ind w:left="3340"/>
              <w:spacing w:after="0" w:line="194" w:lineRule="exact"/>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308,226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391,164</w:t>
            </w: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 for credit losses of $1,456 and $1,504, respectively</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26,952</w:t>
            </w: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10,741</w:t>
            </w: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18,714</w:t>
            </w:r>
          </w:p>
        </w:tc>
      </w:tr>
      <w:tr>
        <w:trPr>
          <w:trHeight w:val="212"/>
        </w:trPr>
        <w:tc>
          <w:tcPr>
            <w:tcW w:w="7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363,391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447,571</w:t>
            </w: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673,632</w:t>
            </w: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 net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31,835</w:t>
            </w: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network costs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312,342</w:t>
            </w: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asset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108,799</w:t>
            </w: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and other assets, net of accumulated amortization of $10,094 and $7,625,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136,058</w:t>
            </w:r>
          </w:p>
        </w:tc>
      </w:tr>
      <w:tr>
        <w:trPr>
          <w:trHeight w:val="212"/>
        </w:trPr>
        <w:tc>
          <w:tcPr>
            <w:tcW w:w="73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1,909,149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1,710,237</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8"/>
        </w:trPr>
        <w:tc>
          <w:tcPr>
            <w:tcW w:w="7320" w:type="dxa"/>
            <w:vAlign w:val="bottom"/>
            <w:tcBorders>
              <w:bottom w:val="single" w:sz="8" w:color="CCEEFF"/>
            </w:tcBorders>
            <w:shd w:val="clear" w:color="auto" w:fill="CCEEFF"/>
          </w:tcPr>
          <w:p>
            <w:pPr>
              <w:ind w:left="1860"/>
              <w:spacing w:after="0" w:line="189"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34,600</w:t>
            </w: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29,677</w:t>
            </w: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network construction costs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15,613</w:t>
            </w: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Payables to affiliates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net</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61,201</w:t>
            </w:r>
          </w:p>
        </w:tc>
      </w:tr>
      <w:tr>
        <w:trPr>
          <w:trHeight w:val="212"/>
        </w:trPr>
        <w:tc>
          <w:tcPr>
            <w:tcW w:w="7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141,485</w:t>
            </w: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468,799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476,822</w:t>
            </w: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26,256</w:t>
            </w: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net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473,306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288,171</w:t>
            </w:r>
          </w:p>
        </w:tc>
      </w:tr>
      <w:tr>
        <w:trPr>
          <w:trHeight w:val="21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425,518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418,620</w:t>
            </w:r>
          </w:p>
        </w:tc>
      </w:tr>
      <w:tr>
        <w:trPr>
          <w:trHeight w:val="219"/>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1,419,029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1,209,869</w:t>
            </w:r>
          </w:p>
        </w:tc>
      </w:tr>
      <w:tr>
        <w:trPr>
          <w:trHeight w:val="32"/>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1,548,269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1,351,354</w:t>
            </w:r>
          </w:p>
        </w:tc>
      </w:tr>
      <w:tr>
        <w:trPr>
          <w:trHeight w:val="32"/>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52"/>
        </w:trPr>
        <w:tc>
          <w:tcPr>
            <w:tcW w:w="7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2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61"/>
        </w:trPr>
        <w:tc>
          <w:tcPr>
            <w:tcW w:w="7320" w:type="dxa"/>
            <w:vAlign w:val="bottom"/>
          </w:tcPr>
          <w:p>
            <w:pPr>
              <w:ind w:left="220"/>
              <w:spacing w:after="0" w:line="162" w:lineRule="exact"/>
              <w:rPr>
                <w:sz w:val="20"/>
                <w:szCs w:val="20"/>
                <w:color w:val="auto"/>
              </w:rPr>
            </w:pPr>
            <w:r>
              <w:rPr>
                <w:rFonts w:ascii="Times New Roman" w:cs="Times New Roman" w:eastAsia="Times New Roman" w:hAnsi="Times New Roman"/>
                <w:sz w:val="17"/>
                <w:szCs w:val="17"/>
                <w:color w:val="auto"/>
              </w:rPr>
              <w:t>Series A Perpetual Preferred Stock of $0.0001 par value; 300,000 shares authorized and 149,425 issued</w:t>
            </w:r>
          </w:p>
        </w:tc>
        <w:tc>
          <w:tcPr>
            <w:tcW w:w="280" w:type="dxa"/>
            <w:vAlign w:val="bottom"/>
          </w:tcPr>
          <w:p>
            <w:pPr>
              <w:spacing w:after="0"/>
              <w:rPr>
                <w:sz w:val="14"/>
                <w:szCs w:val="14"/>
                <w:color w:val="auto"/>
              </w:rPr>
            </w:pPr>
          </w:p>
        </w:tc>
        <w:tc>
          <w:tcPr>
            <w:tcW w:w="17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1720" w:type="dxa"/>
            <w:vAlign w:val="bottom"/>
          </w:tcPr>
          <w:p>
            <w:pPr>
              <w:jc w:val="right"/>
              <w:spacing w:after="0" w:line="162" w:lineRule="exact"/>
              <w:rPr>
                <w:sz w:val="20"/>
                <w:szCs w:val="20"/>
                <w:color w:val="auto"/>
              </w:rPr>
            </w:pPr>
            <w:r>
              <w:rPr>
                <w:rFonts w:ascii="Times New Roman" w:cs="Times New Roman" w:eastAsia="Times New Roman" w:hAnsi="Times New Roman"/>
                <w:sz w:val="17"/>
                <w:szCs w:val="17"/>
                <w:color w:val="auto"/>
              </w:rPr>
              <w:t>—</w:t>
            </w:r>
          </w:p>
        </w:tc>
      </w:tr>
      <w:tr>
        <w:trPr>
          <w:trHeight w:val="217"/>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and outstanding at June 30, 2025 and December 31, 2024, respectively</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58"/>
        </w:trPr>
        <w:tc>
          <w:tcPr>
            <w:tcW w:w="7320" w:type="dxa"/>
            <w:vAlign w:val="bottom"/>
            <w:shd w:val="clear" w:color="auto" w:fill="CCEEFF"/>
          </w:tcPr>
          <w:p>
            <w:pPr>
              <w:ind w:left="220"/>
              <w:spacing w:after="0" w:line="158" w:lineRule="exact"/>
              <w:rPr>
                <w:sz w:val="20"/>
                <w:szCs w:val="20"/>
                <w:color w:val="auto"/>
              </w:rPr>
            </w:pPr>
            <w:r>
              <w:rPr>
                <w:rFonts w:ascii="Times New Roman" w:cs="Times New Roman" w:eastAsia="Times New Roman" w:hAnsi="Times New Roman"/>
                <w:sz w:val="17"/>
                <w:szCs w:val="17"/>
                <w:color w:val="auto"/>
              </w:rPr>
              <w:t>Voting Common Stock of $0.0001 par value; 143,333,334 shares authorized; 126,669,119 and</w:t>
            </w:r>
          </w:p>
        </w:tc>
        <w:tc>
          <w:tcPr>
            <w:tcW w:w="2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7"/>
                <w:szCs w:val="17"/>
                <w:color w:val="auto"/>
              </w:rPr>
              <w:t>13</w:t>
            </w:r>
          </w:p>
        </w:tc>
      </w:tr>
      <w:tr>
        <w:trPr>
          <w:trHeight w:val="222"/>
        </w:trPr>
        <w:tc>
          <w:tcPr>
            <w:tcW w:w="732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126,424,799 shares issued and outstanding at June 30, 2025 and December 31, 2024, respectively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2"/>
        </w:trPr>
        <w:tc>
          <w:tcPr>
            <w:tcW w:w="732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Additional paid-in capital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2,473,564</w:t>
            </w:r>
          </w:p>
        </w:tc>
      </w:tr>
      <w:tr>
        <w:trPr>
          <w:trHeight w:val="222"/>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13,452</w:t>
            </w:r>
          </w:p>
        </w:tc>
      </w:tr>
      <w:tr>
        <w:trPr>
          <w:trHeight w:val="219"/>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deficit</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(2,126,269)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(2,128,146)</w:t>
            </w:r>
          </w:p>
        </w:tc>
      </w:tr>
      <w:tr>
        <w:trPr>
          <w:trHeight w:val="219"/>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360,880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358,883</w:t>
            </w:r>
          </w:p>
        </w:tc>
      </w:tr>
      <w:tr>
        <w:trPr>
          <w:trHeight w:val="212"/>
        </w:trPr>
        <w:tc>
          <w:tcPr>
            <w:tcW w:w="73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1,909,149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1,710,237</w:t>
            </w:r>
          </w:p>
        </w:tc>
      </w:tr>
      <w:tr>
        <w:trPr>
          <w:trHeight w:val="23"/>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5"/>
        <w:spacing w:after="0" w:line="276" w:lineRule="auto"/>
        <w:tabs>
          <w:tab w:leader="none" w:pos="24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as of December 31, 2024 have been restated to reflect the 1:15 reverse stock split effectuated on February 10, 2025. All historical share and per share amounts for the periods prior to the completion of the reverse stock split reflected in this Report have been adjusted to reflect the reverse stock split. Refer to Note 13: Common Stock.</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6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6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1120"/>
          </w:cols>
          <w:pgMar w:left="400" w:top="92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January 1, 2025</w:t>
      </w:r>
    </w:p>
    <w:p>
      <w:pPr>
        <w:spacing w:after="0" w:line="25" w:lineRule="exact"/>
        <w:rPr>
          <w:sz w:val="20"/>
          <w:szCs w:val="20"/>
          <w:color w:val="auto"/>
        </w:rPr>
      </w:pPr>
    </w:p>
    <w:p>
      <w:pPr>
        <w:ind w:left="200"/>
        <w:spacing w:after="0" w:line="239" w:lineRule="auto"/>
        <w:rPr>
          <w:sz w:val="20"/>
          <w:szCs w:val="20"/>
          <w:color w:val="auto"/>
        </w:rPr>
      </w:pPr>
      <w:r>
        <w:rPr>
          <w:rFonts w:ascii="Times New Roman" w:cs="Times New Roman" w:eastAsia="Times New Roman" w:hAnsi="Times New Roman"/>
          <w:sz w:val="15"/>
          <w:szCs w:val="15"/>
          <w:color w:val="auto"/>
        </w:rPr>
        <w:t>Net issuance of restricted stock awards and employee stock options and recognition of stock-based compensation</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Series A Preferred Stock Dividends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loss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March 31, 2025</w:t>
      </w:r>
    </w:p>
    <w:p>
      <w:pPr>
        <w:spacing w:after="0" w:line="25" w:lineRule="exact"/>
        <w:rPr>
          <w:sz w:val="20"/>
          <w:szCs w:val="20"/>
          <w:color w:val="auto"/>
        </w:rPr>
      </w:pPr>
    </w:p>
    <w:p>
      <w:pPr>
        <w:ind w:left="200" w:right="80"/>
        <w:spacing w:after="0" w:line="216" w:lineRule="auto"/>
        <w:rPr>
          <w:sz w:val="20"/>
          <w:szCs w:val="20"/>
          <w:color w:val="auto"/>
        </w:rPr>
      </w:pPr>
      <w:r>
        <w:rPr>
          <w:rFonts w:ascii="Times New Roman" w:cs="Times New Roman" w:eastAsia="Times New Roman" w:hAnsi="Times New Roman"/>
          <w:sz w:val="16"/>
          <w:szCs w:val="16"/>
          <w:color w:val="auto"/>
        </w:rPr>
        <w:t>Net issuance of restricted stock awards, stock for employee stock options and stock for employee stock purchase plan and recognition of stock-based compensation</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Series A Preferred Stock Dividends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income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June 30, 2025</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7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20" w:type="dxa"/>
            <w:vAlign w:val="bottom"/>
            <w:gridSpan w:val="3"/>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xml:space="preserve">Common Stock </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4"/>
                <w:szCs w:val="14"/>
                <w:color w:val="auto"/>
              </w:rPr>
            </w:pPr>
          </w:p>
        </w:tc>
        <w:tc>
          <w:tcPr>
            <w:tcW w:w="10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8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vMerge w:val="restart"/>
          </w:tcPr>
          <w:p>
            <w:pPr>
              <w:jc w:val="center"/>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5"/>
                <w:szCs w:val="5"/>
                <w:color w:val="auto"/>
              </w:rPr>
            </w:pPr>
          </w:p>
        </w:tc>
        <w:tc>
          <w:tcPr>
            <w:tcW w:w="1140" w:type="dxa"/>
            <w:vAlign w:val="bottom"/>
            <w:vMerge w:val="restart"/>
          </w:tcPr>
          <w:p>
            <w:pPr>
              <w:jc w:val="center"/>
              <w:ind w:right="63"/>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20" w:type="dxa"/>
            <w:vAlign w:val="bottom"/>
          </w:tcPr>
          <w:p>
            <w:pPr>
              <w:spacing w:after="0"/>
              <w:rPr>
                <w:sz w:val="5"/>
                <w:szCs w:val="5"/>
                <w:color w:val="auto"/>
              </w:rPr>
            </w:pPr>
          </w:p>
        </w:tc>
        <w:tc>
          <w:tcPr>
            <w:tcW w:w="1000" w:type="dxa"/>
            <w:vAlign w:val="bottom"/>
            <w:vMerge w:val="restart"/>
          </w:tcPr>
          <w:p>
            <w:pPr>
              <w:jc w:val="right"/>
              <w:ind w:right="263"/>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84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2"/>
                <w:szCs w:val="2"/>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vMerge w:val="restart"/>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2"/>
                <w:szCs w:val="2"/>
                <w:color w:val="auto"/>
              </w:rPr>
            </w:pPr>
          </w:p>
        </w:tc>
        <w:tc>
          <w:tcPr>
            <w:tcW w:w="72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44"/>
              <w:spacing w:after="0" w:line="196" w:lineRule="exact"/>
              <w:rPr>
                <w:sz w:val="20"/>
                <w:szCs w:val="20"/>
                <w:color w:val="auto"/>
              </w:rPr>
            </w:pPr>
            <w:r>
              <w:rPr>
                <w:rFonts w:ascii="Times New Roman" w:cs="Times New Roman" w:eastAsia="Times New Roman" w:hAnsi="Times New Roman"/>
                <w:sz w:val="14"/>
                <w:szCs w:val="14"/>
                <w:b w:val="1"/>
                <w:bCs w:val="1"/>
                <w:color w:val="auto"/>
                <w:w w:val="93"/>
              </w:rPr>
              <w:t xml:space="preserve">Capital </w:t>
            </w:r>
            <w:r>
              <w:rPr>
                <w:rFonts w:ascii="Times New Roman" w:cs="Times New Roman" w:eastAsia="Times New Roman" w:hAnsi="Times New Roman"/>
                <w:sz w:val="18"/>
                <w:szCs w:val="18"/>
                <w:b w:val="1"/>
                <w:bCs w:val="1"/>
                <w:color w:val="auto"/>
                <w:w w:val="93"/>
                <w:vertAlign w:val="superscript"/>
              </w:rPr>
              <w:t>(1)</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126,425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2,473,564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13,452</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(2,128,146)</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358,883</w:t>
            </w:r>
          </w:p>
        </w:tc>
        <w:tc>
          <w:tcPr>
            <w:tcW w:w="0" w:type="dxa"/>
            <w:vAlign w:val="bottom"/>
          </w:tcPr>
          <w:p>
            <w:pPr>
              <w:spacing w:after="0"/>
              <w:rPr>
                <w:sz w:val="1"/>
                <w:szCs w:val="1"/>
                <w:color w:val="auto"/>
              </w:rPr>
            </w:pPr>
          </w:p>
        </w:tc>
      </w:tr>
      <w:tr>
        <w:trPr>
          <w:trHeight w:val="522"/>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8,220</w:t>
            </w:r>
          </w:p>
        </w:tc>
        <w:tc>
          <w:tcPr>
            <w:tcW w:w="0" w:type="dxa"/>
            <w:vAlign w:val="bottom"/>
          </w:tcPr>
          <w:p>
            <w:pPr>
              <w:spacing w:after="0"/>
              <w:rPr>
                <w:sz w:val="1"/>
                <w:szCs w:val="1"/>
                <w:color w:val="auto"/>
              </w:rPr>
            </w:pPr>
          </w:p>
        </w:tc>
      </w:tr>
      <w:tr>
        <w:trPr>
          <w:trHeight w:val="209"/>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0" w:type="dxa"/>
            <w:vAlign w:val="bottom"/>
          </w:tcPr>
          <w:p>
            <w:pPr>
              <w:spacing w:after="0"/>
              <w:rPr>
                <w:sz w:val="1"/>
                <w:szCs w:val="1"/>
                <w:color w:val="auto"/>
              </w:rPr>
            </w:pPr>
          </w:p>
        </w:tc>
      </w:tr>
      <w:tr>
        <w:trPr>
          <w:trHeight w:val="209"/>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9"/>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0" w:type="dxa"/>
            <w:vAlign w:val="bottom"/>
          </w:tcPr>
          <w:p>
            <w:pPr>
              <w:spacing w:after="0"/>
              <w:rPr>
                <w:sz w:val="1"/>
                <w:szCs w:val="1"/>
                <w:color w:val="auto"/>
              </w:rPr>
            </w:pPr>
          </w:p>
        </w:tc>
      </w:tr>
      <w:tr>
        <w:trPr>
          <w:trHeight w:val="212"/>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0" w:type="dxa"/>
            <w:vAlign w:val="bottom"/>
          </w:tcPr>
          <w:p>
            <w:pPr>
              <w:spacing w:after="0"/>
              <w:rPr>
                <w:sz w:val="1"/>
                <w:szCs w:val="1"/>
                <w:color w:val="auto"/>
              </w:rPr>
            </w:pPr>
          </w:p>
        </w:tc>
      </w:tr>
      <w:tr>
        <w:trPr>
          <w:trHeight w:val="203"/>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126,579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2,479,201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10,607</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(2,145,477)</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344,344</w:t>
            </w:r>
          </w:p>
        </w:tc>
        <w:tc>
          <w:tcPr>
            <w:tcW w:w="0" w:type="dxa"/>
            <w:vAlign w:val="bottom"/>
          </w:tcPr>
          <w:p>
            <w:pPr>
              <w:spacing w:after="0"/>
              <w:rPr>
                <w:sz w:val="1"/>
                <w:szCs w:val="1"/>
                <w:color w:val="auto"/>
              </w:rPr>
            </w:pPr>
          </w:p>
        </w:tc>
      </w:tr>
      <w:tr>
        <w:trPr>
          <w:trHeight w:val="813"/>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6,626</w:t>
            </w:r>
          </w:p>
        </w:tc>
        <w:tc>
          <w:tcPr>
            <w:tcW w:w="0" w:type="dxa"/>
            <w:vAlign w:val="bottom"/>
          </w:tcPr>
          <w:p>
            <w:pPr>
              <w:spacing w:after="0"/>
              <w:rPr>
                <w:sz w:val="1"/>
                <w:szCs w:val="1"/>
                <w:color w:val="auto"/>
              </w:rPr>
            </w:pPr>
          </w:p>
        </w:tc>
      </w:tr>
      <w:tr>
        <w:trPr>
          <w:trHeight w:val="209"/>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0" w:type="dxa"/>
            <w:vAlign w:val="bottom"/>
          </w:tcPr>
          <w:p>
            <w:pPr>
              <w:spacing w:after="0"/>
              <w:rPr>
                <w:sz w:val="1"/>
                <w:szCs w:val="1"/>
                <w:color w:val="auto"/>
              </w:rPr>
            </w:pPr>
          </w:p>
        </w:tc>
      </w:tr>
      <w:tr>
        <w:trPr>
          <w:trHeight w:val="209"/>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923</w:t>
            </w:r>
          </w:p>
        </w:tc>
        <w:tc>
          <w:tcPr>
            <w:tcW w:w="0" w:type="dxa"/>
            <w:vAlign w:val="bottom"/>
          </w:tcPr>
          <w:p>
            <w:pPr>
              <w:spacing w:after="0"/>
              <w:rPr>
                <w:sz w:val="1"/>
                <w:szCs w:val="1"/>
                <w:color w:val="auto"/>
              </w:rPr>
            </w:pPr>
          </w:p>
        </w:tc>
      </w:tr>
      <w:tr>
        <w:trPr>
          <w:trHeight w:val="207"/>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w:t>
            </w:r>
          </w:p>
        </w:tc>
        <w:tc>
          <w:tcPr>
            <w:tcW w:w="0" w:type="dxa"/>
            <w:vAlign w:val="bottom"/>
          </w:tcPr>
          <w:p>
            <w:pPr>
              <w:spacing w:after="0"/>
              <w:rPr>
                <w:sz w:val="1"/>
                <w:szCs w:val="1"/>
                <w:color w:val="auto"/>
              </w:rPr>
            </w:pPr>
          </w:p>
        </w:tc>
      </w:tr>
      <w:tr>
        <w:trPr>
          <w:trHeight w:val="228"/>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19,208</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19,208</w:t>
            </w:r>
          </w:p>
        </w:tc>
        <w:tc>
          <w:tcPr>
            <w:tcW w:w="0" w:type="dxa"/>
            <w:vAlign w:val="bottom"/>
          </w:tcPr>
          <w:p>
            <w:pPr>
              <w:spacing w:after="0"/>
              <w:rPr>
                <w:sz w:val="1"/>
                <w:szCs w:val="1"/>
                <w:color w:val="auto"/>
              </w:rPr>
            </w:pPr>
          </w:p>
        </w:tc>
      </w:tr>
      <w:tr>
        <w:trPr>
          <w:trHeight w:val="203"/>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126,669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2,484,106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(2,126,269)</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360,880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-2364740</wp:posOffset>
            </wp:positionV>
            <wp:extent cx="7070090" cy="140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0090" cy="14097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-1891665</wp:posOffset>
            </wp:positionV>
            <wp:extent cx="7070090" cy="132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-1625600</wp:posOffset>
            </wp:positionV>
            <wp:extent cx="7070090" cy="132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-1360170</wp:posOffset>
            </wp:positionV>
            <wp:extent cx="7070090" cy="14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0090" cy="14097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-688340</wp:posOffset>
            </wp:positionV>
            <wp:extent cx="7070090" cy="132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-422275</wp:posOffset>
            </wp:positionV>
            <wp:extent cx="7070090" cy="132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-148590</wp:posOffset>
            </wp:positionV>
            <wp:extent cx="7070090" cy="140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0090" cy="140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100"/>
            <w:col w:w="8260"/>
          </w:cols>
          <w:pgMar w:left="400" w:top="92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400" w:top="920" w:right="37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6"/>
          <w:szCs w:val="16"/>
          <w:color w:val="auto"/>
        </w:rPr>
        <w:t>Balances – January 1, 2024</w:t>
      </w:r>
    </w:p>
    <w:p>
      <w:pPr>
        <w:spacing w:after="0" w:line="25" w:lineRule="exact"/>
        <w:rPr>
          <w:sz w:val="20"/>
          <w:szCs w:val="20"/>
          <w:color w:val="auto"/>
        </w:rPr>
      </w:pPr>
    </w:p>
    <w:p>
      <w:pPr>
        <w:ind w:left="215"/>
        <w:spacing w:after="0" w:line="239" w:lineRule="auto"/>
        <w:rPr>
          <w:sz w:val="20"/>
          <w:szCs w:val="20"/>
          <w:color w:val="auto"/>
        </w:rPr>
      </w:pPr>
      <w:r>
        <w:rPr>
          <w:rFonts w:ascii="Times New Roman" w:cs="Times New Roman" w:eastAsia="Times New Roman" w:hAnsi="Times New Roman"/>
          <w:sz w:val="15"/>
          <w:szCs w:val="15"/>
          <w:color w:val="auto"/>
        </w:rPr>
        <w:t>Net issuance of restricted stock awards and stock for employee stock options and recognition of stock-based compensation</w:t>
      </w:r>
    </w:p>
    <w:p>
      <w:pPr>
        <w:spacing w:after="0" w:line="7"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16"/>
          <w:szCs w:val="16"/>
          <w:color w:val="auto"/>
        </w:rPr>
        <w:t>Series A Preferred Stock Dividends</w:t>
      </w:r>
    </w:p>
    <w:p>
      <w:pPr>
        <w:spacing w:after="0" w:line="25"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16"/>
          <w:szCs w:val="16"/>
          <w:color w:val="auto"/>
        </w:rPr>
        <w:t>Other</w:t>
      </w:r>
    </w:p>
    <w:p>
      <w:pPr>
        <w:spacing w:after="0" w:line="25"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16"/>
          <w:szCs w:val="16"/>
          <w:color w:val="auto"/>
        </w:rPr>
        <w:t>Other comprehensive income</w:t>
      </w:r>
    </w:p>
    <w:p>
      <w:pPr>
        <w:spacing w:after="0" w:line="25"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16"/>
          <w:szCs w:val="16"/>
          <w:color w:val="auto"/>
        </w:rPr>
        <w:t>Net loss</w:t>
      </w:r>
    </w:p>
    <w:p>
      <w:pPr>
        <w:spacing w:after="0" w:line="38"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6"/>
          <w:szCs w:val="16"/>
          <w:color w:val="auto"/>
        </w:rPr>
        <w:t>Balances – March 31, 2024</w:t>
      </w:r>
    </w:p>
    <w:p>
      <w:pPr>
        <w:spacing w:after="0" w:line="25" w:lineRule="exact"/>
        <w:rPr>
          <w:sz w:val="20"/>
          <w:szCs w:val="20"/>
          <w:color w:val="auto"/>
        </w:rPr>
      </w:pPr>
    </w:p>
    <w:p>
      <w:pPr>
        <w:ind w:left="215" w:right="120"/>
        <w:spacing w:after="0" w:line="216" w:lineRule="auto"/>
        <w:rPr>
          <w:sz w:val="20"/>
          <w:szCs w:val="20"/>
          <w:color w:val="auto"/>
        </w:rPr>
      </w:pPr>
      <w:r>
        <w:rPr>
          <w:rFonts w:ascii="Times New Roman" w:cs="Times New Roman" w:eastAsia="Times New Roman" w:hAnsi="Times New Roman"/>
          <w:sz w:val="16"/>
          <w:szCs w:val="16"/>
          <w:color w:val="auto"/>
        </w:rPr>
        <w:t>Net issuance of restricted stock awards, stock for employee stock options and stock for employee stock purchase plan and recognition of stock-based compensation</w:t>
      </w:r>
    </w:p>
    <w:p>
      <w:pPr>
        <w:spacing w:after="0" w:line="8"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16"/>
          <w:szCs w:val="16"/>
          <w:color w:val="auto"/>
        </w:rPr>
        <w:t>Series A Preferred Stock Dividends</w:t>
      </w:r>
    </w:p>
    <w:p>
      <w:pPr>
        <w:spacing w:after="0" w:line="25" w:lineRule="exact"/>
        <w:rPr>
          <w:sz w:val="20"/>
          <w:szCs w:val="20"/>
          <w:color w:val="auto"/>
        </w:rPr>
      </w:pPr>
    </w:p>
    <w:p>
      <w:pPr>
        <w:ind w:left="215" w:right="320"/>
        <w:spacing w:after="0" w:line="254" w:lineRule="auto"/>
        <w:rPr>
          <w:sz w:val="20"/>
          <w:szCs w:val="20"/>
          <w:color w:val="auto"/>
        </w:rPr>
      </w:pPr>
      <w:r>
        <w:rPr>
          <w:rFonts w:ascii="Times New Roman" w:cs="Times New Roman" w:eastAsia="Times New Roman" w:hAnsi="Times New Roman"/>
          <w:sz w:val="15"/>
          <w:szCs w:val="15"/>
          <w:color w:val="auto"/>
        </w:rPr>
        <w:t>Issuance of stock in connection with License Agreement with XCOM</w:t>
      </w:r>
    </w:p>
    <w:p>
      <w:pPr>
        <w:spacing w:after="0" w:line="1"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16"/>
          <w:szCs w:val="16"/>
          <w:color w:val="auto"/>
        </w:rPr>
        <w:t>Other</w:t>
      </w:r>
    </w:p>
    <w:p>
      <w:pPr>
        <w:spacing w:after="0" w:line="25"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16"/>
          <w:szCs w:val="16"/>
          <w:color w:val="auto"/>
        </w:rPr>
        <w:t>Other comprehensive income</w:t>
      </w:r>
    </w:p>
    <w:p>
      <w:pPr>
        <w:spacing w:after="0" w:line="25"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16"/>
          <w:szCs w:val="16"/>
          <w:color w:val="auto"/>
        </w:rPr>
        <w:t>Net loss</w:t>
      </w:r>
    </w:p>
    <w:p>
      <w:pPr>
        <w:spacing w:after="0" w:line="38"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6"/>
          <w:szCs w:val="16"/>
          <w:color w:val="auto"/>
        </w:rPr>
        <w:t>Balances –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8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700" w:type="dxa"/>
            <w:vAlign w:val="bottom"/>
            <w:tcBorders>
              <w:bottom w:val="single" w:sz="8" w:color="auto"/>
            </w:tcBorders>
            <w:gridSpan w:val="3"/>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 xml:space="preserve">Common Stock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8"/>
                <w:szCs w:val="18"/>
                <w:color w:val="auto"/>
              </w:rPr>
            </w:pPr>
          </w:p>
        </w:tc>
        <w:tc>
          <w:tcPr>
            <w:tcW w:w="1100" w:type="dxa"/>
            <w:vAlign w:val="bottom"/>
            <w:vMerge w:val="restart"/>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vMerge w:val="restart"/>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86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72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100" w:type="dxa"/>
            <w:vAlign w:val="bottom"/>
          </w:tcPr>
          <w:p>
            <w:pPr>
              <w:jc w:val="center"/>
              <w:ind w:right="122"/>
              <w:spacing w:after="0" w:line="144" w:lineRule="exact"/>
              <w:rPr>
                <w:sz w:val="20"/>
                <w:szCs w:val="20"/>
                <w:color w:val="auto"/>
              </w:rPr>
            </w:pPr>
            <w:r>
              <w:rPr>
                <w:rFonts w:ascii="Times New Roman" w:cs="Times New Roman" w:eastAsia="Times New Roman" w:hAnsi="Times New Roman"/>
                <w:sz w:val="16"/>
                <w:szCs w:val="16"/>
                <w:b w:val="1"/>
                <w:bCs w:val="1"/>
                <w:color w:val="auto"/>
                <w:w w:val="96"/>
              </w:rPr>
              <w:t>Paid-In</w:t>
            </w:r>
          </w:p>
        </w:tc>
        <w:tc>
          <w:tcPr>
            <w:tcW w:w="140" w:type="dxa"/>
            <w:vAlign w:val="bottom"/>
          </w:tcPr>
          <w:p>
            <w:pPr>
              <w:spacing w:after="0"/>
              <w:rPr>
                <w:sz w:val="12"/>
                <w:szCs w:val="12"/>
                <w:color w:val="auto"/>
              </w:rPr>
            </w:pPr>
          </w:p>
        </w:tc>
        <w:tc>
          <w:tcPr>
            <w:tcW w:w="1140" w:type="dxa"/>
            <w:vAlign w:val="bottom"/>
          </w:tcPr>
          <w:p>
            <w:pPr>
              <w:jc w:val="center"/>
              <w:ind w:right="43"/>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8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2"/>
              <w:spacing w:after="0" w:line="196" w:lineRule="exact"/>
              <w:rPr>
                <w:sz w:val="20"/>
                <w:szCs w:val="20"/>
                <w:color w:val="auto"/>
              </w:rPr>
            </w:pPr>
            <w:r>
              <w:rPr>
                <w:rFonts w:ascii="Times New Roman" w:cs="Times New Roman" w:eastAsia="Times New Roman" w:hAnsi="Times New Roman"/>
                <w:sz w:val="16"/>
                <w:szCs w:val="16"/>
                <w:b w:val="1"/>
                <w:bCs w:val="1"/>
                <w:color w:val="auto"/>
                <w:w w:val="93"/>
              </w:rPr>
              <w:t xml:space="preserve">Capital </w:t>
            </w:r>
            <w:r>
              <w:rPr>
                <w:rFonts w:ascii="Times New Roman" w:cs="Times New Roman" w:eastAsia="Times New Roman" w:hAnsi="Times New Roman"/>
                <w:sz w:val="20"/>
                <w:szCs w:val="20"/>
                <w:b w:val="1"/>
                <w:bCs w:val="1"/>
                <w:color w:val="auto"/>
                <w:w w:val="93"/>
                <w:vertAlign w:val="superscript"/>
              </w:rPr>
              <w:t>(1)</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125,413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2,438,878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(2,064,982)</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378,979</w:t>
            </w:r>
          </w:p>
        </w:tc>
        <w:tc>
          <w:tcPr>
            <w:tcW w:w="0" w:type="dxa"/>
            <w:vAlign w:val="bottom"/>
          </w:tcPr>
          <w:p>
            <w:pPr>
              <w:spacing w:after="0"/>
              <w:rPr>
                <w:sz w:val="1"/>
                <w:szCs w:val="1"/>
                <w:color w:val="auto"/>
              </w:rPr>
            </w:pPr>
          </w:p>
        </w:tc>
      </w:tr>
      <w:tr>
        <w:trPr>
          <w:trHeight w:val="522"/>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11,794</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11,794</w:t>
            </w: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0" w:type="dxa"/>
            <w:vAlign w:val="bottom"/>
          </w:tcPr>
          <w:p>
            <w:pPr>
              <w:spacing w:after="0"/>
              <w:rPr>
                <w:sz w:val="1"/>
                <w:szCs w:val="1"/>
                <w:color w:val="auto"/>
              </w:rPr>
            </w:pPr>
          </w:p>
        </w:tc>
      </w:tr>
      <w:tr>
        <w:trPr>
          <w:trHeight w:val="212"/>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(13,196)</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(13,196)</w:t>
            </w:r>
          </w:p>
        </w:tc>
        <w:tc>
          <w:tcPr>
            <w:tcW w:w="0" w:type="dxa"/>
            <w:vAlign w:val="bottom"/>
          </w:tcPr>
          <w:p>
            <w:pPr>
              <w:spacing w:after="0"/>
              <w:rPr>
                <w:sz w:val="1"/>
                <w:szCs w:val="1"/>
                <w:color w:val="auto"/>
              </w:rPr>
            </w:pPr>
          </w:p>
        </w:tc>
      </w:tr>
      <w:tr>
        <w:trPr>
          <w:trHeight w:val="203"/>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125,596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2,447,756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(2,078,178)</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377,054</w:t>
            </w:r>
          </w:p>
        </w:tc>
        <w:tc>
          <w:tcPr>
            <w:tcW w:w="0" w:type="dxa"/>
            <w:vAlign w:val="bottom"/>
          </w:tcPr>
          <w:p>
            <w:pPr>
              <w:spacing w:after="0"/>
              <w:rPr>
                <w:sz w:val="1"/>
                <w:szCs w:val="1"/>
                <w:color w:val="auto"/>
              </w:rPr>
            </w:pPr>
          </w:p>
        </w:tc>
      </w:tr>
      <w:tr>
        <w:trPr>
          <w:trHeight w:val="813"/>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8,844</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8,844</w:t>
            </w: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0" w:type="dxa"/>
            <w:vAlign w:val="bottom"/>
          </w:tcPr>
          <w:p>
            <w:pPr>
              <w:spacing w:after="0"/>
              <w:rPr>
                <w:sz w:val="1"/>
                <w:szCs w:val="1"/>
                <w:color w:val="auto"/>
              </w:rPr>
            </w:pPr>
          </w:p>
        </w:tc>
      </w:tr>
      <w:tr>
        <w:trPr>
          <w:trHeight w:val="36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0" w:type="dxa"/>
            <w:vAlign w:val="bottom"/>
          </w:tcPr>
          <w:p>
            <w:pPr>
              <w:spacing w:after="0"/>
              <w:rPr>
                <w:sz w:val="1"/>
                <w:szCs w:val="1"/>
                <w:color w:val="auto"/>
              </w:rPr>
            </w:pPr>
          </w:p>
        </w:tc>
      </w:tr>
      <w:tr>
        <w:trPr>
          <w:trHeight w:val="212"/>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(9,683)</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(9,683)</w:t>
            </w:r>
          </w:p>
        </w:tc>
        <w:tc>
          <w:tcPr>
            <w:tcW w:w="0" w:type="dxa"/>
            <w:vAlign w:val="bottom"/>
          </w:tcPr>
          <w:p>
            <w:pPr>
              <w:spacing w:after="0"/>
              <w:rPr>
                <w:sz w:val="1"/>
                <w:szCs w:val="1"/>
                <w:color w:val="auto"/>
              </w:rPr>
            </w:pPr>
          </w:p>
        </w:tc>
      </w:tr>
      <w:tr>
        <w:trPr>
          <w:trHeight w:val="203"/>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126,144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2,461,496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9,327</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(2,087,861)</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-2588260</wp:posOffset>
            </wp:positionV>
            <wp:extent cx="7070090" cy="140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0090" cy="140970"/>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-2115185</wp:posOffset>
            </wp:positionV>
            <wp:extent cx="7070090" cy="132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-1849755</wp:posOffset>
            </wp:positionV>
            <wp:extent cx="7070090" cy="132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-1584325</wp:posOffset>
            </wp:positionV>
            <wp:extent cx="7070090" cy="14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0090" cy="140970"/>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-912495</wp:posOffset>
            </wp:positionV>
            <wp:extent cx="7070090" cy="132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-547370</wp:posOffset>
            </wp:positionV>
            <wp:extent cx="7070090" cy="132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-281305</wp:posOffset>
            </wp:positionV>
            <wp:extent cx="7070090" cy="132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0090" cy="132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15" w:space="100"/>
            <w:col w:w="8320"/>
          </w:cols>
          <w:pgMar w:left="325" w:top="909" w:right="339" w:bottom="1440" w:gutter="0" w:footer="0" w:header="0"/>
        </w:sectPr>
      </w:pPr>
    </w:p>
    <w:p>
      <w:pPr>
        <w:spacing w:after="0" w:line="95" w:lineRule="exact"/>
        <w:rPr>
          <w:sz w:val="20"/>
          <w:szCs w:val="20"/>
          <w:color w:val="auto"/>
        </w:rPr>
      </w:pPr>
    </w:p>
    <w:p>
      <w:pPr>
        <w:jc w:val="both"/>
        <w:ind w:left="-5" w:firstLine="5"/>
        <w:spacing w:after="0" w:line="276" w:lineRule="auto"/>
        <w:tabs>
          <w:tab w:leader="none" w:pos="24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have been restated to reflect the 1:15 reverse stock split effectuated on February 10, 2025. All historical share and per share amounts for the periods prior to the completion of the reverse stock split reflected in this Report have been adjusted to reflect the reverse stock split. Refer to Note 13: Common Stock.</w:t>
      </w:r>
    </w:p>
    <w:p>
      <w:pPr>
        <w:spacing w:after="0" w:line="18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35"/>
          </w:cols>
          <w:pgMar w:left="325" w:top="909" w:right="339" w:bottom="1440" w:gutter="0" w:footer="0" w:header="0"/>
          <w:type w:val="continuous"/>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GLOBALSTAR,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157"/>
        </w:trPr>
        <w:tc>
          <w:tcPr>
            <w:tcW w:w="7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7"/>
                <w:szCs w:val="17"/>
                <w:b w:val="1"/>
                <w:bCs w:val="1"/>
                <w:color w:val="auto"/>
              </w:rPr>
              <w:t>June 30,</w:t>
            </w:r>
          </w:p>
        </w:tc>
        <w:tc>
          <w:tcPr>
            <w:tcW w:w="300" w:type="dxa"/>
            <w:vAlign w:val="bottom"/>
          </w:tcPr>
          <w:p>
            <w:pPr>
              <w:spacing w:after="0"/>
              <w:rPr>
                <w:sz w:val="13"/>
                <w:szCs w:val="13"/>
                <w:color w:val="auto"/>
              </w:rPr>
            </w:pPr>
          </w:p>
        </w:tc>
        <w:tc>
          <w:tcPr>
            <w:tcW w:w="1300" w:type="dxa"/>
            <w:vAlign w:val="bottom"/>
          </w:tcPr>
          <w:p>
            <w:pPr>
              <w:jc w:val="right"/>
              <w:ind w:right="437"/>
              <w:spacing w:after="0" w:line="158" w:lineRule="exact"/>
              <w:rPr>
                <w:sz w:val="20"/>
                <w:szCs w:val="20"/>
                <w:color w:val="auto"/>
              </w:rPr>
            </w:pPr>
            <w:r>
              <w:rPr>
                <w:rFonts w:ascii="Times New Roman" w:cs="Times New Roman" w:eastAsia="Times New Roman" w:hAnsi="Times New Roman"/>
                <w:sz w:val="17"/>
                <w:szCs w:val="17"/>
                <w:b w:val="1"/>
                <w:bCs w:val="1"/>
                <w:color w:val="auto"/>
              </w:rPr>
              <w:t>June 30,</w:t>
            </w:r>
          </w:p>
        </w:tc>
      </w:tr>
      <w:tr>
        <w:trPr>
          <w:trHeight w:val="221"/>
        </w:trPr>
        <w:tc>
          <w:tcPr>
            <w:tcW w:w="7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provided by operating activities: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9"/>
        </w:trPr>
        <w:tc>
          <w:tcPr>
            <w:tcW w:w="7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Net income (loss)</w:t>
            </w: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(22,879)</w:t>
            </w: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44,207</w:t>
            </w:r>
          </w:p>
        </w:tc>
      </w:tr>
      <w:tr>
        <w:trPr>
          <w:trHeight w:val="226"/>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18,391</w:t>
            </w:r>
          </w:p>
        </w:tc>
      </w:tr>
      <w:tr>
        <w:trPr>
          <w:trHeight w:val="219"/>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Noncash interest and accretion expense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4,646</w:t>
            </w:r>
          </w:p>
        </w:tc>
      </w:tr>
      <w:tr>
        <w:trPr>
          <w:trHeight w:val="226"/>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Unrealized foreign currency (gain) loss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8,361</w:t>
            </w:r>
          </w:p>
        </w:tc>
      </w:tr>
      <w:tr>
        <w:trPr>
          <w:trHeight w:val="219"/>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Reduction in the value and disposal of long-lived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r>
      <w:tr>
        <w:trPr>
          <w:trHeight w:val="226"/>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w:t>
            </w:r>
          </w:p>
        </w:tc>
      </w:tr>
      <w:tr>
        <w:trPr>
          <w:trHeight w:val="219"/>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6"/>
        </w:trPr>
        <w:tc>
          <w:tcPr>
            <w:tcW w:w="7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receivable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8,195</w:t>
            </w:r>
          </w:p>
        </w:tc>
      </w:tr>
      <w:tr>
        <w:trPr>
          <w:trHeight w:val="219"/>
        </w:trPr>
        <w:tc>
          <w:tcPr>
            <w:tcW w:w="7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Inventory, prepaid expenses and other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2,321</w:t>
            </w:r>
          </w:p>
        </w:tc>
      </w:tr>
      <w:tr>
        <w:trPr>
          <w:trHeight w:val="226"/>
        </w:trPr>
        <w:tc>
          <w:tcPr>
            <w:tcW w:w="7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(2,622)</w:t>
            </w:r>
          </w:p>
        </w:tc>
      </w:tr>
      <w:tr>
        <w:trPr>
          <w:trHeight w:val="219"/>
        </w:trPr>
        <w:tc>
          <w:tcPr>
            <w:tcW w:w="7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1,843</w:t>
            </w:r>
          </w:p>
        </w:tc>
      </w:tr>
      <w:tr>
        <w:trPr>
          <w:trHeight w:val="226"/>
        </w:trPr>
        <w:tc>
          <w:tcPr>
            <w:tcW w:w="7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Deferred revenue</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w:t>
            </w:r>
          </w:p>
        </w:tc>
      </w:tr>
      <w:tr>
        <w:trPr>
          <w:trHeight w:val="212"/>
        </w:trPr>
        <w:tc>
          <w:tcPr>
            <w:tcW w:w="79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209,741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66,486</w:t>
            </w:r>
          </w:p>
        </w:tc>
      </w:tr>
      <w:tr>
        <w:trPr>
          <w:trHeight w:val="21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for network upgrades to support the Phase 1 and Phase 2 Service Period</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(65,059)</w:t>
            </w:r>
          </w:p>
        </w:tc>
      </w:tr>
      <w:tr>
        <w:trPr>
          <w:trHeight w:val="226"/>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Payments for network upgrades to support the Extended MSS Network</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(223,695)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of capitalized interest</w:t>
            </w:r>
          </w:p>
        </w:tc>
        <w:tc>
          <w:tcPr>
            <w:tcW w:w="3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(3,954)</w:t>
            </w:r>
          </w:p>
        </w:tc>
      </w:tr>
      <w:tr>
        <w:trPr>
          <w:trHeight w:val="226"/>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Payments for network upgrades to support product development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w:t>
            </w:r>
          </w:p>
        </w:tc>
      </w:tr>
      <w:tr>
        <w:trPr>
          <w:trHeight w:val="219"/>
        </w:trPr>
        <w:tc>
          <w:tcPr>
            <w:tcW w:w="7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w:t>
            </w:r>
          </w:p>
        </w:tc>
      </w:tr>
      <w:tr>
        <w:trPr>
          <w:trHeight w:val="219"/>
        </w:trPr>
        <w:tc>
          <w:tcPr>
            <w:tcW w:w="79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(271,788)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(74,458)</w:t>
            </w:r>
          </w:p>
        </w:tc>
      </w:tr>
      <w:tr>
        <w:trPr>
          <w:trHeight w:val="208"/>
        </w:trPr>
        <w:tc>
          <w:tcPr>
            <w:tcW w:w="7920" w:type="dxa"/>
            <w:vAlign w:val="bottom"/>
          </w:tcPr>
          <w:p>
            <w:pPr>
              <w:spacing w:after="0"/>
              <w:rPr>
                <w:sz w:val="20"/>
                <w:szCs w:val="20"/>
                <w:color w:val="auto"/>
              </w:rPr>
            </w:pPr>
            <w:r>
              <w:rPr>
                <w:rFonts w:ascii="Times New Roman" w:cs="Times New Roman" w:eastAsia="Times New Roman" w:hAnsi="Times New Roman"/>
                <w:sz w:val="17"/>
                <w:szCs w:val="17"/>
                <w:color w:val="auto"/>
              </w:rPr>
              <w:t>Cash flows (used in) provided by financing activities: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Proceeds from 2023 Funding Agreement</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37,747</w:t>
            </w:r>
          </w:p>
        </w:tc>
      </w:tr>
      <w:tr>
        <w:trPr>
          <w:trHeight w:val="219"/>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Principal payment of 2021 Funding Agreement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(17,300)</w:t>
            </w:r>
          </w:p>
        </w:tc>
      </w:tr>
      <w:tr>
        <w:trPr>
          <w:trHeight w:val="226"/>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Dividends paid on Series A Preferred Stock</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(5,288)</w:t>
            </w:r>
          </w:p>
        </w:tc>
      </w:tr>
      <w:tr>
        <w:trPr>
          <w:trHeight w:val="219"/>
        </w:trPr>
        <w:tc>
          <w:tcPr>
            <w:tcW w:w="7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Proceeds from issuance of common stock and exercise of options and other</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1,085</w:t>
            </w:r>
          </w:p>
        </w:tc>
      </w:tr>
      <w:tr>
        <w:trPr>
          <w:trHeight w:val="219"/>
        </w:trPr>
        <w:tc>
          <w:tcPr>
            <w:tcW w:w="79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16,244</w:t>
            </w:r>
          </w:p>
        </w:tc>
      </w:tr>
      <w:tr>
        <w:trPr>
          <w:trHeight w:val="212"/>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w:t>
            </w:r>
          </w:p>
        </w:tc>
      </w:tr>
      <w:tr>
        <w:trPr>
          <w:trHeight w:val="21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7,590</w:t>
            </w:r>
          </w:p>
        </w:tc>
      </w:tr>
      <w:tr>
        <w:trPr>
          <w:trHeight w:val="219"/>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391,164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56,744</w:t>
            </w:r>
          </w:p>
        </w:tc>
      </w:tr>
      <w:tr>
        <w:trPr>
          <w:trHeight w:val="219"/>
        </w:trPr>
        <w:tc>
          <w:tcPr>
            <w:tcW w:w="79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7"/>
                <w:szCs w:val="17"/>
                <w:color w:val="auto"/>
              </w:rPr>
              <w:t xml:space="preserve">Cash and cash equivalents, end of period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64,334</w:t>
            </w:r>
          </w:p>
        </w:tc>
      </w:tr>
    </w:tbl>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897"/>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157"/>
        </w:trPr>
        <w:tc>
          <w:tcPr>
            <w:tcW w:w="7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3"/>
          </w:tcPr>
          <w:p>
            <w:pPr>
              <w:ind w:left="200"/>
              <w:spacing w:after="0" w:line="158" w:lineRule="exact"/>
              <w:rPr>
                <w:sz w:val="20"/>
                <w:szCs w:val="20"/>
                <w:color w:val="auto"/>
              </w:rPr>
            </w:pPr>
            <w:r>
              <w:rPr>
                <w:rFonts w:ascii="Times New Roman" w:cs="Times New Roman" w:eastAsia="Times New Roman" w:hAnsi="Times New Roman"/>
                <w:sz w:val="17"/>
                <w:szCs w:val="17"/>
                <w:b w:val="1"/>
                <w:bCs w:val="1"/>
                <w:color w:val="auto"/>
              </w:rPr>
              <w:t>June 30,</w:t>
            </w:r>
          </w:p>
        </w:tc>
        <w:tc>
          <w:tcPr>
            <w:tcW w:w="1280" w:type="dxa"/>
            <w:vAlign w:val="bottom"/>
          </w:tcPr>
          <w:p>
            <w:pPr>
              <w:jc w:val="right"/>
              <w:ind w:right="417"/>
              <w:spacing w:after="0" w:line="158" w:lineRule="exact"/>
              <w:rPr>
                <w:sz w:val="20"/>
                <w:szCs w:val="20"/>
                <w:color w:val="auto"/>
              </w:rPr>
            </w:pPr>
            <w:r>
              <w:rPr>
                <w:rFonts w:ascii="Times New Roman" w:cs="Times New Roman" w:eastAsia="Times New Roman" w:hAnsi="Times New Roman"/>
                <w:sz w:val="17"/>
                <w:szCs w:val="17"/>
                <w:b w:val="1"/>
                <w:bCs w:val="1"/>
                <w:color w:val="auto"/>
              </w:rPr>
              <w:t>June 30,</w:t>
            </w:r>
          </w:p>
        </w:tc>
      </w:tr>
      <w:tr>
        <w:trPr>
          <w:trHeight w:val="221"/>
        </w:trPr>
        <w:tc>
          <w:tcPr>
            <w:tcW w:w="7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9"/>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paid for interest</w:t>
            </w: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6,694</w:t>
            </w:r>
          </w:p>
        </w:tc>
      </w:tr>
      <w:tr>
        <w:trPr>
          <w:trHeight w:val="252"/>
        </w:trPr>
        <w:tc>
          <w:tcPr>
            <w:tcW w:w="7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disclosure of non-cash financing and investing activities: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Network construction assets included in accrued expenses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19,866</w:t>
            </w:r>
          </w:p>
        </w:tc>
      </w:tr>
      <w:tr>
        <w:trPr>
          <w:trHeight w:val="219"/>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Fair value of common stock issued for XCOM SSA</w:t>
            </w:r>
          </w:p>
        </w:tc>
        <w:tc>
          <w:tcPr>
            <w:tcW w:w="300" w:type="dxa"/>
            <w:vAlign w:val="bottom"/>
          </w:tcPr>
          <w:p>
            <w:pPr>
              <w:spacing w:after="0"/>
              <w:rPr>
                <w:sz w:val="19"/>
                <w:szCs w:val="19"/>
                <w:color w:val="auto"/>
              </w:rPr>
            </w:pP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r>
      <w:tr>
        <w:trPr>
          <w:trHeight w:val="22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in progress assets acquired through XCOM SSA</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2,754</w:t>
            </w:r>
          </w:p>
        </w:tc>
      </w:tr>
    </w:tbl>
    <w:p>
      <w:pPr>
        <w:spacing w:after="0" w:line="125" w:lineRule="exact"/>
        <w:rPr>
          <w:sz w:val="20"/>
          <w:szCs w:val="20"/>
          <w:color w:val="auto"/>
        </w:rPr>
      </w:pPr>
    </w:p>
    <w:p>
      <w:pPr>
        <w:ind w:left="2440" w:right="2020" w:hanging="2435"/>
        <w:spacing w:after="0" w:line="712" w:lineRule="auto"/>
        <w:tabs>
          <w:tab w:leader="none" w:pos="24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on the consolidated balance sheet is equal to cash and cash equivalents on the statement of cash flows See accompanying notes to unaudited interim condensed consolidated financial statements.</w:t>
      </w:r>
    </w:p>
    <w:p>
      <w:pPr>
        <w:sectPr>
          <w:pgSz w:w="11900" w:h="16838" w:orient="portrait"/>
          <w:cols w:equalWidth="0" w:num="1">
            <w:col w:w="11240"/>
          </w:cols>
          <w:pgMar w:left="320" w:top="921" w:right="3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INTERIM CONDENSED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w:t>
      </w:r>
    </w:p>
    <w:p>
      <w:pPr>
        <w:spacing w:after="0" w:line="251" w:lineRule="exact"/>
        <w:rPr>
          <w:sz w:val="20"/>
          <w:szCs w:val="20"/>
          <w:color w:val="auto"/>
        </w:rPr>
      </w:pPr>
    </w:p>
    <w:p>
      <w:pPr>
        <w:jc w:val="both"/>
        <w:ind w:firstLine="235"/>
        <w:spacing w:after="0" w:line="280" w:lineRule="auto"/>
        <w:rPr>
          <w:sz w:val="20"/>
          <w:szCs w:val="20"/>
          <w:color w:val="auto"/>
        </w:rPr>
      </w:pPr>
      <w:r>
        <w:rPr>
          <w:rFonts w:ascii="Times New Roman" w:cs="Times New Roman" w:eastAsia="Times New Roman" w:hAnsi="Times New Roman"/>
          <w:sz w:val="17"/>
          <w:szCs w:val="17"/>
          <w:color w:val="auto"/>
        </w:rPr>
        <w:t>Through its global satellite network, Globalstar, Inc. (“Globalstar” or the “Company”) provides Mobile Satellite Services (“MSS”) including voice and data communications services to retail, business and governmental customers as well as wholesale capacity services. The Company’s only reportable segment is its</w:t>
      </w:r>
    </w:p>
    <w:p>
      <w:pPr>
        <w:spacing w:after="0" w:line="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MSS business. Thermo Companies, through commonly controlled affiliates (collectively, “Thermo”), is the principal owner and largest stockholder of Globalstar. The Executive Chairman of the Company's Board of Directors (the "Board") controls Thermo.</w:t>
      </w:r>
    </w:p>
    <w:p>
      <w:pPr>
        <w:spacing w:after="0" w:line="173"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The Company has prepared the accompanying unaudited interim condensed consolidated financial statements in accordance with generally accepted accounting principles in the United States of America (“U.S. GAAP”) for interim financial information. Certain information and footnote disclosures normally included in financial statements have been condensed or omitted pursuant to the rules and regulations of the Securities and Exchange Commission (the “SEC”); however, management believes the disclosures made are adequate to make the information presented in this Report not misleading. These financial statements and accompanying notes should be read in conjunction with the consolidated financial statements and notes thereto included in the Company's Annual Report on Form 10-K for the year ended December 31, 2024, as filed with the SEC on February 28, 2025 (the “2024 Annual Report”).</w:t>
      </w:r>
    </w:p>
    <w:p>
      <w:pPr>
        <w:spacing w:after="0" w:line="200"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The Company evaluates estimates on an ongoing basis. Certain reclassifications have been made to prior period condensed consolidated financial statements to conform to current period presentation.</w:t>
      </w:r>
    </w:p>
    <w:p>
      <w:pPr>
        <w:spacing w:after="0" w:line="195"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These unaudited interim condensed consolidated financial statements include the accounts of Globalstar and all its subsidiaries. The Company's consolidated financial statements include results and amounts for the Globalstar SPE (as defined below), which is a variable interest entity further described in Note 2, of which Globalstar is the primary beneficiary. Intercompany transactions and balances have been eliminated in the consolidation. In the opinion of management, the information included herein includes all adjustments, consisting of normal recurring adjustments, that are necessary for a fair presentation of the Company’s condensed consolidated statements of operations, consolidated balance sheets, condensed consolidated statements of stockholders' equity and condensed consolidated statements of cash flows for the periods presented. The results of operations for the three and six months ended June 30, 2025 are not necessarily indicative of the results that may be expected for the full year or any future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w:t>
      </w:r>
    </w:p>
    <w:p>
      <w:pPr>
        <w:spacing w:after="0" w:line="2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On February 10, 2025, the Company effectuated a reverse stock split of its common stock at a 1-for-15 ratio.</w:t>
      </w:r>
    </w:p>
    <w:p>
      <w:pPr>
        <w:spacing w:after="0" w:line="249"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All issued and outstanding common stock, options and warrants to purchase common stock and per share amounts contained in this Report have been adjusted retroactively to reflect the change in capital structure for the periods prior to the completion of the reverse stock split, as applicable. Refer to Note 13: Common Stock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251" w:lineRule="exact"/>
        <w:rPr>
          <w:sz w:val="20"/>
          <w:szCs w:val="20"/>
          <w:color w:val="auto"/>
        </w:rPr>
      </w:pPr>
    </w:p>
    <w:p>
      <w:pPr>
        <w:jc w:val="both"/>
        <w:ind w:firstLine="235"/>
        <w:spacing w:after="0" w:line="267"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Accounting Standards Update ("ASU") 2023-09,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which updates qualitative and quantitative disclosures for the rate reconciliation and income taxes paid.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amendments in ASU 2023-09 were effective for fiscal years beginning after December 15, 2024. The amendments should be applied prospectively; however, retrospective application is also permitted. The Company adopted this standard when it became effective on January 1, 2025. We expect that this standard will increase the tax disclosures in the Company's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51" w:lineRule="exact"/>
        <w:rPr>
          <w:sz w:val="20"/>
          <w:szCs w:val="20"/>
          <w:color w:val="auto"/>
        </w:rPr>
      </w:pPr>
    </w:p>
    <w:p>
      <w:pPr>
        <w:jc w:val="both"/>
        <w:ind w:firstLine="235"/>
        <w:spacing w:after="0" w:line="270"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w:t>
      </w:r>
      <w:r>
        <w:rPr>
          <w:rFonts w:ascii="Times New Roman" w:cs="Times New Roman" w:eastAsia="Times New Roman" w:hAnsi="Times New Roman"/>
          <w:sz w:val="17"/>
          <w:szCs w:val="17"/>
          <w:color w:val="auto"/>
        </w:rPr>
        <w:t>. This ASU requires public companies to disclose, on an annual and interim basis, disaggregated information about certain income statement expense line items. The amendments should be applied prospectively; however, retrospective application is also permitted. The Company plans to adopt this standard when it becomes effective on January 1, 2027. The Company is evaluating the impact this ASU may have on its financial statement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SPECIAL PURPOSE ENTITY</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 provides wholesale capacity over its mobile satellite system (the "Services") to its customer, Apple Inc. (the "Customer") pursuant to a service agreement and certain related ancillary agreements (collectively, the “Service Agreements”) for the Phase 1 Service Period and Phase 2 Service Period (as defined below). The Service Agreements generally require Globalstar to allocate network capacity to support the Services, which launched in November 2022.</w:t>
      </w:r>
    </w:p>
    <w:p>
      <w:pPr>
        <w:spacing w:after="0" w:line="188"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Effective November 5, 2024 (the "Closing Date"), the Company and the Customer amended the Service Agreements and entered into other related agreements (the Service Agreements as amended, collectively, the “Updated Services Agreements”) for Globalstar to deliver expanded services to the Customer over a new MSS network, including a new satellite constellation, expanded ground infrastructure, and increased global MSS licensing (the “Extended MSS Network”) for the Services provided over the Extended MSS Network. The Extended MSS Network will be (i) owned by Globalstar Licensee, LLC, together with its subsidiaries (collectively, the “Globalstar SPE”), a variable interest entity, and (ii) operated by the Company. The Customer (i) has prepaid, and is required, subject to certain conditions, to continue to prepay, for certain services to be delivered by the Company to the Customer’s end users who will utilize the Extended MSS Network under the Updated Services Agreements and (ii) is a passive equity holder in Globalstar SPE.</w:t>
      </w:r>
    </w:p>
    <w:p>
      <w:pPr>
        <w:spacing w:after="0" w:line="199"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Company's allocated capacity supports the following phases of the Services: 1) current Services provided over the Company's existing network of in-orbit satellites and ground stations ("gateways") pursuant to its spectrum licenses (the "Globalstar System") ("Phase 1 Service Period"), 2) future Services provided over the new replacement satellites ("Phase 2 Service Period"), of which such Services are expected to commence following the anticipated launch of the first set of such replacement satellites in the fourth quarter of 2025, and 3) future Services provided over the Extended MSS Network.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table below includes the assets of the Globalstar SPE as of June 30, 2025 (amounts in thousands):</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4"/>
        </w:trPr>
        <w:tc>
          <w:tcPr>
            <w:tcW w:w="90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As of June 30, 2025</w:t>
            </w:r>
          </w:p>
        </w:tc>
      </w:tr>
      <w:tr>
        <w:trPr>
          <w:trHeight w:val="20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2"/>
        </w:trPr>
        <w:tc>
          <w:tcPr>
            <w:tcW w:w="9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34,550</w:t>
            </w:r>
          </w:p>
        </w:tc>
      </w:tr>
      <w:tr>
        <w:trPr>
          <w:trHeight w:val="222"/>
        </w:trPr>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293,826</w:t>
            </w:r>
          </w:p>
        </w:tc>
      </w:tr>
      <w:tr>
        <w:trPr>
          <w:trHeight w:val="222"/>
        </w:trPr>
        <w:tc>
          <w:tcPr>
            <w:tcW w:w="9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Prepaid network costs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284,412</w:t>
            </w:r>
          </w:p>
        </w:tc>
      </w:tr>
      <w:tr>
        <w:trPr>
          <w:trHeight w:val="222"/>
        </w:trPr>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Intangibles and other asset, net</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12,121</w:t>
            </w:r>
          </w:p>
        </w:tc>
      </w:tr>
      <w:tr>
        <w:trPr>
          <w:trHeight w:val="215"/>
        </w:trPr>
        <w:tc>
          <w:tcPr>
            <w:tcW w:w="9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624,909</w:t>
            </w:r>
          </w:p>
        </w:tc>
      </w:tr>
      <w:tr>
        <w:trPr>
          <w:trHeight w:val="20"/>
        </w:trPr>
        <w:tc>
          <w:tcPr>
            <w:tcW w:w="9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Class B Units</w:t>
      </w:r>
    </w:p>
    <w:p>
      <w:pPr>
        <w:spacing w:after="0" w:line="25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On the Closing Date, the Customer purchased 400,000 Class B Units in the Globalstar SPE (the “Customer Class B Units”) for $400 million, representing a 20% equity interest in the Globalstar SPE. The Globalstar SPE holds and administers, or will administer in the future, certain spectrum licenses, satellites, ground stations and other network assets for use and operation by the Company and to enable and provide services to the Customer pursuant to the Updated Services Agreements. The Globalstar SPE does not have commercial operations.</w:t>
      </w:r>
    </w:p>
    <w:p>
      <w:pPr>
        <w:spacing w:after="0" w:line="195"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 xml:space="preserve">The Company holds 1,600,000 Class A Units in the Globalstar SPE, representing an 80% equity ownership in the Globalstar SPE. The Company's 80% ownership in the Globalstar SPE exposes it to residual profit or loss of the Globalstar SPE and the Company will absorb any expense variability of the Globalstar SPE. The Company has power over the most significant activity of the Globalstar SPE and is exposed to losses and benefits of the Globalstar SPE through its equity interest. The Company assessed the accounting considerations pursuant to ASC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and concluded that it is the primary beneficiary of the Globalstar SPE and consolidated the Globalstar SPE into the financial statements appearing in this Report. Based on the redemption provision and other characteristics of the arrangement, the Company recorded the total equity contributions from</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t>the Customer of $400 million as equity on the Globalstar SPE financial statements and a non-current liability on the Company's consolidated balance sheet.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Extended MSS Network Prepayments and 2024 Debt Repayment</w:t>
      </w:r>
    </w:p>
    <w:p>
      <w:pPr>
        <w:spacing w:after="0" w:line="253"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The Updated Services Agreements provide, among other things, that the Customer will make cash payments to the Company for capital expenditures in connection with the Extended MSS Network. The payments required by the Updated Services Agreements consist of: (1) an infrastructure prepayment (the “Infrastructure Prepayment”) of up to $1.1 billion, which is to be funded quarterly (as needed) over the construction period of the satellites to be used in the Extended MSS Network, the proceeds of which the Globalstar SPE will use, together with the proceeds from the sale of the Customer Class B Units, to pay amounts due for the Extended MSS Network (including, but not limited to, construction and launch costs) and (2) the amount that was necessary for the Company to fully retire on the Closing Date its 2023 13% Notes (the "2024 Debt Repayment"), as described further herein. The terms of the Infrastructure Prepayment and the 2024 Debt Repayment are contained within one prepayment agreement (the “2024 Prepayment Agreement”). The Company expects to fully payoff amounts owed under the 2024 Prepayment Agreement and to redeem the Customer Class B Units within the design useful life of the new satellites. The Company expects that such amounts payable to the Customer will be fully offset by amounts payable by the Customer under the Updated Services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Infrastructure Prepayment</w:t>
      </w:r>
    </w:p>
    <w:p>
      <w:pPr>
        <w:spacing w:after="0" w:line="251"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During 2025 and 2024, the Company received $124.7 million and $278.0 million, respectively, from the Customer pursuant to the Infrastructure Prepayment. The Company recorded these prepayments as deferred revenue as they represent the Company’s obligation to provide future services to the Customer. The deferred revenue associated with the Infrastructure Prepayment will be earned as revenue as services are performed. $225.0 million of the Infrastructure Prepayment accrues fees payable to the Customer that will be reduced or eliminated entirely if the Company meets certain defined milestones associated with the completion of the Extended MSS Network. The remaining amount of the Infrastructure Prepayment does not and will not accrue fees. Refer to Note 3: Revenue for further discussion.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Debt Repayment</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On the Closing Date, the Company received $235 million from the Customer pursuant to the 2024 Debt Repayment, representing the amount necessary to retire the Company's outstanding 2023 13% Notes. Refer to Note 6: Long-Term Debt and Other Financing Arrangements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Fees</w:t>
      </w:r>
    </w:p>
    <w:p>
      <w:pPr>
        <w:spacing w:after="0" w:line="253"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As consideration for the satellite services provided for in the Updated Services Agreements, the incremental service fees payable by the Customer to the Company include fees tied to the cost of the Extended MSS Network, fees for providing additional related services, fees tied to expenses incurred by the Company for the provision of such services, and performance bonuses. Payment of a portion of these fees is subject to the satisfaction of certain licensing, service levels and milestone achievements. Additionally, the Updated Services Agreements also provide for annual service fees of $30 million to be accelerated. Such accelerated payments began in the first quarter of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25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In connection with the Updated Services Agreements, in October 2024, the Company entered into a launch services agreement with Space Exploration Technologies Corp. ("SpaceX") for the new satellites that will be procured for the Extended MSS Network. Refer to Note 9: Commitments and Contingencies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1" w:name="page12"/>
    <w:bookmarkEnd w:id="11"/>
    <w:p>
      <w:pPr>
        <w:ind w:right="9240" w:firstLine="5"/>
        <w:spacing w:after="0" w:line="546" w:lineRule="auto"/>
        <w:tabs>
          <w:tab w:leader="none" w:pos="17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Disaggregation of Revenue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discloses revenue disaggregated by type of product and service (amounts in thousands):</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340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6"/>
                <w:szCs w:val="16"/>
                <w:color w:val="auto"/>
              </w:rPr>
              <w:t>Three Months Ended</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4"/>
          </w:tcPr>
          <w:p>
            <w:pPr>
              <w:jc w:val="right"/>
              <w:ind w:right="1322"/>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03"/>
        </w:trPr>
        <w:tc>
          <w:tcPr>
            <w:tcW w:w="3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June 30, 2025</w:t>
            </w:r>
          </w:p>
        </w:tc>
        <w:tc>
          <w:tcPr>
            <w:tcW w:w="320" w:type="dxa"/>
            <w:vAlign w:val="bottom"/>
          </w:tcPr>
          <w:p>
            <w:pPr>
              <w:spacing w:after="0"/>
              <w:rPr>
                <w:sz w:val="17"/>
                <w:szCs w:val="17"/>
                <w:color w:val="auto"/>
              </w:rPr>
            </w:pPr>
          </w:p>
        </w:tc>
        <w:tc>
          <w:tcPr>
            <w:tcW w:w="162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June 30, 2024</w:t>
            </w:r>
          </w:p>
        </w:tc>
      </w:tr>
      <w:tr>
        <w:trPr>
          <w:trHeight w:val="192"/>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14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r>
      <w:tr>
        <w:trPr>
          <w:trHeight w:val="206"/>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Wholesale capacity services</w:t>
            </w:r>
          </w:p>
        </w:tc>
        <w:tc>
          <w:tcPr>
            <w:tcW w:w="1400" w:type="dxa"/>
            <w:vAlign w:val="bottom"/>
          </w:tcPr>
          <w:p>
            <w:pPr>
              <w:jc w:val="right"/>
              <w:ind w:right="124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42,385</w:t>
            </w:r>
          </w:p>
        </w:tc>
        <w:tc>
          <w:tcPr>
            <w:tcW w:w="100" w:type="dxa"/>
            <w:vAlign w:val="bottom"/>
          </w:tcPr>
          <w:p>
            <w:pPr>
              <w:spacing w:after="0"/>
              <w:rPr>
                <w:sz w:val="17"/>
                <w:szCs w:val="17"/>
                <w:color w:val="auto"/>
              </w:rPr>
            </w:pPr>
          </w:p>
        </w:tc>
        <w:tc>
          <w:tcPr>
            <w:tcW w:w="1400" w:type="dxa"/>
            <w:vAlign w:val="bottom"/>
          </w:tcPr>
          <w:p>
            <w:pPr>
              <w:jc w:val="right"/>
              <w:ind w:right="12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5"/>
              </w:rPr>
              <w:t>34,075</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79,094</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65,287</w:t>
            </w:r>
          </w:p>
        </w:tc>
      </w:tr>
      <w:tr>
        <w:trPr>
          <w:trHeight w:val="212"/>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Subscriber services</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06"/>
        </w:trPr>
        <w:tc>
          <w:tcPr>
            <w:tcW w:w="3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IoT</w:t>
            </w:r>
          </w:p>
        </w:tc>
        <w:tc>
          <w:tcPr>
            <w:tcW w:w="1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13,153</w:t>
            </w:r>
          </w:p>
        </w:tc>
      </w:tr>
      <w:tr>
        <w:trPr>
          <w:trHeight w:val="212"/>
        </w:trPr>
        <w:tc>
          <w:tcPr>
            <w:tcW w:w="3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SPOT</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5"/>
              </w:rPr>
              <w:t>10,379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20,622</w:t>
            </w:r>
          </w:p>
        </w:tc>
      </w:tr>
      <w:tr>
        <w:trPr>
          <w:trHeight w:val="206"/>
        </w:trPr>
        <w:tc>
          <w:tcPr>
            <w:tcW w:w="3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Duplex</w:t>
            </w:r>
          </w:p>
        </w:tc>
        <w:tc>
          <w:tcPr>
            <w:tcW w:w="1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3,677</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9,720</w:t>
            </w:r>
          </w:p>
        </w:tc>
      </w:tr>
      <w:tr>
        <w:trPr>
          <w:trHeight w:val="212"/>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Government and other services</w:t>
            </w:r>
          </w:p>
        </w:tc>
        <w:tc>
          <w:tcPr>
            <w:tcW w:w="14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2,318</w:t>
            </w:r>
          </w:p>
        </w:tc>
      </w:tr>
      <w:tr>
        <w:trPr>
          <w:trHeight w:val="199"/>
        </w:trPr>
        <w:tc>
          <w:tcPr>
            <w:tcW w:w="3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service revenue</w:t>
            </w:r>
          </w:p>
        </w:tc>
        <w:tc>
          <w:tcPr>
            <w:tcW w:w="1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63,216</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5"/>
              </w:rPr>
              <w:t>57,635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111,100</w:t>
            </w:r>
          </w:p>
        </w:tc>
      </w:tr>
      <w:tr>
        <w:trPr>
          <w:trHeight w:val="107"/>
        </w:trPr>
        <w:tc>
          <w:tcPr>
            <w:tcW w:w="32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r>
      <w:tr>
        <w:trPr>
          <w:trHeight w:val="206"/>
        </w:trPr>
        <w:tc>
          <w:tcPr>
            <w:tcW w:w="3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subscriber equipment sales</w:t>
            </w:r>
          </w:p>
        </w:tc>
        <w:tc>
          <w:tcPr>
            <w:tcW w:w="1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3,932</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5,765</w:t>
            </w:r>
          </w:p>
        </w:tc>
      </w:tr>
      <w:tr>
        <w:trPr>
          <w:trHeight w:val="107"/>
        </w:trPr>
        <w:tc>
          <w:tcPr>
            <w:tcW w:w="3260" w:type="dxa"/>
            <w:vAlign w:val="bottom"/>
            <w:shd w:val="clear" w:color="auto" w:fill="CCEEFF"/>
          </w:tcPr>
          <w:p>
            <w:pPr>
              <w:spacing w:after="0"/>
              <w:rPr>
                <w:sz w:val="9"/>
                <w:szCs w:val="9"/>
                <w:color w:val="auto"/>
              </w:rPr>
            </w:pPr>
          </w:p>
        </w:tc>
        <w:tc>
          <w:tcPr>
            <w:tcW w:w="140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60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1620" w:type="dxa"/>
            <w:vAlign w:val="bottom"/>
            <w:tcBorders>
              <w:bottom w:val="single" w:sz="8" w:color="auto"/>
            </w:tcBorders>
            <w:shd w:val="clear" w:color="auto" w:fill="CCEEFF"/>
          </w:tcPr>
          <w:p>
            <w:pPr>
              <w:spacing w:after="0"/>
              <w:rPr>
                <w:sz w:val="9"/>
                <w:szCs w:val="9"/>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400" w:type="dxa"/>
            <w:vAlign w:val="bottom"/>
            <w:tcBorders>
              <w:bottom w:val="single" w:sz="8" w:color="auto"/>
            </w:tcBorders>
          </w:tcPr>
          <w:p>
            <w:pPr>
              <w:jc w:val="right"/>
              <w:ind w:right="124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67,148</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12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5"/>
              </w:rPr>
              <w:t>60,385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127,180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116,865</w:t>
            </w:r>
          </w:p>
        </w:tc>
      </w:tr>
      <w:tr>
        <w:trPr>
          <w:trHeight w:val="20"/>
        </w:trPr>
        <w:tc>
          <w:tcPr>
            <w:tcW w:w="3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"Wholesale capacity services" revenue in the above table includes revenue associated with the Updated Services Agreements. As consideration for the services provided by Globalstar, payments include a fixed service fee, payments relating to certain service-related operating expenses and capital expenditures, additional fees related to expanded services, and potential bonus payments subject to satisfaction of certain licensing, service and other related criteria. For a discussion of the Updated Services Agreements, see Note 2: Special Purpose Entity.</w:t>
      </w:r>
    </w:p>
    <w:p>
      <w:pPr>
        <w:spacing w:after="0" w:line="195"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"Government and other services" revenue in the table above includes revenue associated with engineering and other communication services, such as terrestrial spectrum and network services, government service contracts and teleport lease arrangements. The Company's largest network services agreement is with Parsons Corporation, a leading technology provider in the national security and global infrastructure markets, to utilize the Company's satellite network for a mission critical service for government applications.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 records trade accounts receivable from its customers when it has a contractual right to receive payment either on demand or on fixed or determinable dates in the future. The Company's receivable balances by type and classification are presented in the table below, net of allowance for credit losses, and may include amounts related to earned but unbilled receivables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w:t>
            </w:r>
          </w:p>
        </w:tc>
        <w:tc>
          <w:tcPr>
            <w:tcW w:w="1560" w:type="dxa"/>
            <w:vAlign w:val="bottom"/>
            <w:tcBorders>
              <w:bottom w:val="single" w:sz="8" w:color="auto"/>
            </w:tcBorders>
          </w:tcPr>
          <w:p>
            <w:pPr>
              <w:spacing w:after="0"/>
              <w:rPr>
                <w:sz w:val="17"/>
                <w:szCs w:val="17"/>
                <w:color w:val="auto"/>
              </w:rPr>
            </w:pPr>
          </w:p>
        </w:tc>
      </w:tr>
      <w:tr>
        <w:trPr>
          <w:trHeight w:val="203"/>
        </w:trPr>
        <w:tc>
          <w:tcPr>
            <w:tcW w:w="7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June 30, 2025</w:t>
            </w:r>
          </w:p>
        </w:tc>
        <w:tc>
          <w:tcPr>
            <w:tcW w:w="200" w:type="dxa"/>
            <w:vAlign w:val="bottom"/>
          </w:tcPr>
          <w:p>
            <w:pPr>
              <w:spacing w:after="0"/>
              <w:rPr>
                <w:sz w:val="17"/>
                <w:szCs w:val="17"/>
                <w:color w:val="auto"/>
              </w:rPr>
            </w:pPr>
          </w:p>
        </w:tc>
        <w:tc>
          <w:tcPr>
            <w:tcW w:w="15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w:t>
            </w:r>
          </w:p>
        </w:tc>
        <w:tc>
          <w:tcPr>
            <w:tcW w:w="2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and other accounts receivable</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14,829</w:t>
            </w:r>
          </w:p>
        </w:tc>
      </w:tr>
      <w:tr>
        <w:trPr>
          <w:trHeight w:val="209"/>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accounts receivable</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12,123</w:t>
            </w:r>
          </w:p>
        </w:tc>
      </w:tr>
      <w:tr>
        <w:trPr>
          <w:trHeight w:val="205"/>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accounts receivable, net of allowance for credit losses</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26,952</w:t>
            </w:r>
          </w:p>
        </w:tc>
      </w:tr>
      <w:tr>
        <w:trPr>
          <w:trHeight w:val="20"/>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The Company has entered into a satellite procurement agreement and two launch services agreements to support the Phase 2 Service Period, with the second launch services agreement entered into in June 2025. The new satellites purchased under the satellite procurement agreement are intended to replace the Company's HIBLEO-4 U.S.-licensed system. Pursuant to the Service Agreements, payments are expected to be made to the Company by the Customer on a straight-line basis once the first set of new satellites are successfully utilized to provide services for the Phase 2 Service Period. Based on construction in progress through June 30, 2025, the Company expects to bill $257.2 million associated with the Phase 2 Service Period. Refer to Note 9: Commitments and Contingencies for additional information regarding these agreements.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Contract Liabilities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Contract liabilities, which are included in deferred revenue on the Company’s consolidated balance sheet, represent the Company’s obligation to transfer service or equipment to a customer from whom the Company has previously received consideration. The Company's contract liabilities by type and classification are presented in the table below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w:t>
            </w:r>
          </w:p>
        </w:tc>
        <w:tc>
          <w:tcPr>
            <w:tcW w:w="1560" w:type="dxa"/>
            <w:vAlign w:val="bottom"/>
            <w:tcBorders>
              <w:bottom w:val="single" w:sz="8" w:color="auto"/>
            </w:tcBorders>
          </w:tcPr>
          <w:p>
            <w:pPr>
              <w:spacing w:after="0"/>
              <w:rPr>
                <w:sz w:val="17"/>
                <w:szCs w:val="17"/>
                <w:color w:val="auto"/>
              </w:rPr>
            </w:pPr>
          </w:p>
        </w:tc>
      </w:tr>
      <w:tr>
        <w:trPr>
          <w:trHeight w:val="203"/>
        </w:trPr>
        <w:tc>
          <w:tcPr>
            <w:tcW w:w="7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June 30, 2025</w:t>
            </w:r>
          </w:p>
        </w:tc>
        <w:tc>
          <w:tcPr>
            <w:tcW w:w="200" w:type="dxa"/>
            <w:vAlign w:val="bottom"/>
          </w:tcPr>
          <w:p>
            <w:pPr>
              <w:spacing w:after="0"/>
              <w:rPr>
                <w:sz w:val="17"/>
                <w:szCs w:val="17"/>
                <w:color w:val="auto"/>
              </w:rPr>
            </w:pPr>
          </w:p>
        </w:tc>
        <w:tc>
          <w:tcPr>
            <w:tcW w:w="15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contract liabilities</w:t>
            </w:r>
          </w:p>
        </w:tc>
        <w:tc>
          <w:tcPr>
            <w:tcW w:w="2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and other contract liabilities</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19,710</w:t>
            </w:r>
          </w:p>
        </w:tc>
      </w:tr>
      <w:tr>
        <w:trPr>
          <w:trHeight w:val="212"/>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contract liabilities, net of contract asset</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41,491</w:t>
            </w:r>
          </w:p>
        </w:tc>
      </w:tr>
      <w:tr>
        <w:trPr>
          <w:trHeight w:val="199"/>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short-term contract liabilities</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61,201</w:t>
            </w:r>
          </w:p>
        </w:tc>
      </w:tr>
      <w:tr>
        <w:trPr>
          <w:trHeight w:val="21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and other contract liabilities</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r>
      <w:tr>
        <w:trPr>
          <w:trHeight w:val="212"/>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contract liabilities, net of contract asset</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286,740</w:t>
            </w:r>
          </w:p>
        </w:tc>
      </w:tr>
      <w:tr>
        <w:trPr>
          <w:trHeight w:val="19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long-term contract liabilities</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473,306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288,171</w:t>
            </w:r>
          </w:p>
        </w:tc>
      </w:tr>
      <w:tr>
        <w:trPr>
          <w:trHeight w:val="23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349,372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For subscriber and other contract liabilities, the amount of revenue recognized during the six months ended June 30, 2025 and 2024 from performance obligations included in the contract liability balance at the beginning of these periods was $11.4 million and $12.8 million, respectively. For wholesale capacity contract liabilities, the amount of revenue recognized during the six months ended June 30, 2025 and 2024 from performance obligations included in the contract liability balance at the beginning of these periods was $31.3 million and $25.9 million, respectively.</w:t>
      </w:r>
    </w:p>
    <w:p>
      <w:pPr>
        <w:spacing w:after="0" w:line="195"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duration of the Company’s contracts with subscribers is generally one year or less. The Updated Services Agreements have no expiration date; therefore, the related contract liabilities may be recognized as revenue over various periods according to when the related performance obligation is satisfied.</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components of wholesale capacity contract liabilities are presented in the table below (amounts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7"/>
                <w:szCs w:val="17"/>
                <w:color w:val="auto"/>
              </w:rPr>
              <w:t>As of:</w:t>
            </w: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June 30, 2025</w:t>
            </w:r>
          </w:p>
        </w:tc>
        <w:tc>
          <w:tcPr>
            <w:tcW w:w="180" w:type="dxa"/>
            <w:vAlign w:val="bottom"/>
          </w:tcPr>
          <w:p>
            <w:pPr>
              <w:spacing w:after="0"/>
              <w:rPr>
                <w:sz w:val="19"/>
                <w:szCs w:val="19"/>
                <w:color w:val="auto"/>
              </w:rPr>
            </w:pPr>
          </w:p>
        </w:tc>
        <w:tc>
          <w:tcPr>
            <w:tcW w:w="1640" w:type="dxa"/>
            <w:vAlign w:val="bottom"/>
          </w:tcPr>
          <w:p>
            <w:pPr>
              <w:jc w:val="right"/>
              <w:ind w:right="181"/>
              <w:spacing w:after="0"/>
              <w:rPr>
                <w:sz w:val="20"/>
                <w:szCs w:val="20"/>
                <w:color w:val="auto"/>
              </w:rPr>
            </w:pPr>
            <w:r>
              <w:rPr>
                <w:rFonts w:ascii="Times New Roman" w:cs="Times New Roman" w:eastAsia="Times New Roman" w:hAnsi="Times New Roman"/>
                <w:sz w:val="17"/>
                <w:szCs w:val="17"/>
                <w:color w:val="auto"/>
              </w:rPr>
              <w:t>December 31, 2024</w:t>
            </w:r>
          </w:p>
        </w:tc>
        <w:tc>
          <w:tcPr>
            <w:tcW w:w="0" w:type="dxa"/>
            <w:vAlign w:val="bottom"/>
          </w:tcPr>
          <w:p>
            <w:pPr>
              <w:spacing w:after="0"/>
              <w:rPr>
                <w:sz w:val="1"/>
                <w:szCs w:val="1"/>
                <w:color w:val="auto"/>
              </w:rPr>
            </w:pPr>
          </w:p>
        </w:tc>
      </w:tr>
      <w:tr>
        <w:trPr>
          <w:trHeight w:val="19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capacity contract liabilities, net:</w:t>
            </w:r>
          </w:p>
        </w:tc>
        <w:tc>
          <w:tcPr>
            <w:tcW w:w="32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260" w:type="dxa"/>
            <w:vAlign w:val="bottom"/>
          </w:tcPr>
          <w:p>
            <w:pPr>
              <w:ind w:left="120"/>
              <w:spacing w:after="0" w:line="209" w:lineRule="exact"/>
              <w:rPr>
                <w:sz w:val="20"/>
                <w:szCs w:val="20"/>
                <w:color w:val="auto"/>
              </w:rPr>
            </w:pPr>
            <w:r>
              <w:rPr>
                <w:rFonts w:ascii="Times New Roman" w:cs="Times New Roman" w:eastAsia="Times New Roman" w:hAnsi="Times New Roman"/>
                <w:sz w:val="16"/>
                <w:szCs w:val="16"/>
                <w:color w:val="auto"/>
              </w:rPr>
              <w:t xml:space="preserve">Additional consideration associated with the 2021 and 2023 Funding Agreements </w:t>
            </w:r>
            <w:r>
              <w:rPr>
                <w:rFonts w:ascii="Times New Roman" w:cs="Times New Roman" w:eastAsia="Times New Roman" w:hAnsi="Times New Roman"/>
                <w:sz w:val="20"/>
                <w:szCs w:val="20"/>
                <w:color w:val="auto"/>
                <w:vertAlign w:val="superscript"/>
              </w:rPr>
              <w:t>(1)</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10,032</w:t>
            </w:r>
          </w:p>
        </w:tc>
        <w:tc>
          <w:tcPr>
            <w:tcW w:w="18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12,247</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ind w:left="120"/>
              <w:spacing w:after="0" w:line="157" w:lineRule="exact"/>
              <w:rPr>
                <w:sz w:val="20"/>
                <w:szCs w:val="20"/>
                <w:color w:val="auto"/>
              </w:rPr>
            </w:pPr>
            <w:r>
              <w:rPr>
                <w:rFonts w:ascii="Times New Roman" w:cs="Times New Roman" w:eastAsia="Times New Roman" w:hAnsi="Times New Roman"/>
                <w:sz w:val="16"/>
                <w:szCs w:val="16"/>
                <w:color w:val="auto"/>
              </w:rPr>
              <w:t>Advanced payments for services expected to be performed with the ground spare satellite launched in June</w:t>
            </w:r>
          </w:p>
        </w:tc>
        <w:tc>
          <w:tcPr>
            <w:tcW w:w="32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21,034</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21,914</w:t>
            </w: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2022</w:t>
            </w:r>
          </w:p>
        </w:tc>
        <w:tc>
          <w:tcPr>
            <w:tcW w:w="32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260" w:type="dxa"/>
            <w:vAlign w:val="bottom"/>
          </w:tcPr>
          <w:p>
            <w:pPr>
              <w:ind w:left="120"/>
              <w:spacing w:after="0" w:line="157" w:lineRule="exact"/>
              <w:rPr>
                <w:sz w:val="20"/>
                <w:szCs w:val="20"/>
                <w:color w:val="auto"/>
              </w:rPr>
            </w:pPr>
            <w:r>
              <w:rPr>
                <w:rFonts w:ascii="Times New Roman" w:cs="Times New Roman" w:eastAsia="Times New Roman" w:hAnsi="Times New Roman"/>
                <w:sz w:val="16"/>
                <w:szCs w:val="16"/>
                <w:color w:val="auto"/>
                <w:w w:val="99"/>
              </w:rPr>
              <w:t>Advanced payments contractually owed for services expected to be performed with the next-generation satellite</w:t>
            </w:r>
          </w:p>
        </w:tc>
        <w:tc>
          <w:tcPr>
            <w:tcW w:w="32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7,351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8,950</w:t>
            </w:r>
          </w:p>
        </w:tc>
        <w:tc>
          <w:tcPr>
            <w:tcW w:w="0" w:type="dxa"/>
            <w:vAlign w:val="bottom"/>
          </w:tcPr>
          <w:p>
            <w:pPr>
              <w:spacing w:after="0"/>
              <w:rPr>
                <w:sz w:val="1"/>
                <w:szCs w:val="1"/>
                <w:color w:val="auto"/>
              </w:rPr>
            </w:pPr>
          </w:p>
        </w:tc>
      </w:tr>
      <w:tr>
        <w:trPr>
          <w:trHeight w:val="206"/>
        </w:trPr>
        <w:tc>
          <w:tcPr>
            <w:tcW w:w="7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constellation prior to the Phase 2 Service Period</w:t>
            </w:r>
          </w:p>
        </w:tc>
        <w:tc>
          <w:tcPr>
            <w:tcW w:w="3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26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w w:val="99"/>
              </w:rPr>
              <w:t>Advanced payments for the Phase 1 Service Period fixed fee, service-related operating and capital expenditures</w:t>
            </w:r>
          </w:p>
        </w:tc>
        <w:tc>
          <w:tcPr>
            <w:tcW w:w="32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23,778</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25,170</w:t>
            </w: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other services</w:t>
            </w:r>
          </w:p>
        </w:tc>
        <w:tc>
          <w:tcPr>
            <w:tcW w:w="32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Advanced payments under the Infrastructure Prepayment (See Note 2: Special Purpose Entity)</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402,733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278,043</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 xml:space="preserve">Additional consideration associated with the Updated Services Agreements </w:t>
            </w:r>
            <w:r>
              <w:rPr>
                <w:rFonts w:ascii="Times New Roman" w:cs="Times New Roman" w:eastAsia="Times New Roman" w:hAnsi="Times New Roman"/>
                <w:sz w:val="20"/>
                <w:szCs w:val="20"/>
                <w:color w:val="auto"/>
                <w:vertAlign w:val="superscript"/>
              </w:rPr>
              <w:t>(2)</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7,288</w:t>
            </w:r>
          </w:p>
        </w:tc>
        <w:tc>
          <w:tcPr>
            <w:tcW w:w="0" w:type="dxa"/>
            <w:vAlign w:val="bottom"/>
          </w:tcPr>
          <w:p>
            <w:pPr>
              <w:spacing w:after="0"/>
              <w:rPr>
                <w:sz w:val="1"/>
                <w:szCs w:val="1"/>
                <w:color w:val="auto"/>
              </w:rPr>
            </w:pPr>
          </w:p>
        </w:tc>
      </w:tr>
      <w:tr>
        <w:trPr>
          <w:trHeight w:val="209"/>
        </w:trPr>
        <w:tc>
          <w:tcPr>
            <w:tcW w:w="7260" w:type="dxa"/>
            <w:vAlign w:val="bottom"/>
          </w:tcPr>
          <w:p>
            <w:pPr>
              <w:ind w:left="120"/>
              <w:spacing w:after="0" w:line="209" w:lineRule="exact"/>
              <w:rPr>
                <w:sz w:val="20"/>
                <w:szCs w:val="20"/>
                <w:color w:val="auto"/>
              </w:rPr>
            </w:pPr>
            <w:r>
              <w:rPr>
                <w:rFonts w:ascii="Times New Roman" w:cs="Times New Roman" w:eastAsia="Times New Roman" w:hAnsi="Times New Roman"/>
                <w:sz w:val="16"/>
                <w:szCs w:val="16"/>
                <w:color w:val="auto"/>
              </w:rPr>
              <w:t xml:space="preserve">Other advanced payments associated with future performance obligations </w:t>
            </w:r>
            <w:r>
              <w:rPr>
                <w:rFonts w:ascii="Times New Roman" w:cs="Times New Roman" w:eastAsia="Times New Roman" w:hAnsi="Times New Roman"/>
                <w:sz w:val="20"/>
                <w:szCs w:val="20"/>
                <w:color w:val="auto"/>
                <w:vertAlign w:val="superscript"/>
              </w:rPr>
              <w:t>(3)</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18,284</w:t>
            </w: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6"/>
                <w:szCs w:val="16"/>
                <w:color w:val="auto"/>
              </w:rPr>
              <w:t xml:space="preserve">Contract asset </w:t>
            </w:r>
            <w:r>
              <w:rPr>
                <w:rFonts w:ascii="Times New Roman" w:cs="Times New Roman" w:eastAsia="Times New Roman" w:hAnsi="Times New Roman"/>
                <w:sz w:val="20"/>
                <w:szCs w:val="20"/>
                <w:color w:val="auto"/>
                <w:vertAlign w:val="superscript"/>
              </w:rPr>
              <w:t>(4)</w:t>
            </w:r>
          </w:p>
        </w:tc>
        <w:tc>
          <w:tcPr>
            <w:tcW w:w="3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(43,665)</w:t>
            </w:r>
          </w:p>
        </w:tc>
        <w:tc>
          <w:tcPr>
            <w:tcW w:w="0" w:type="dxa"/>
            <w:vAlign w:val="bottom"/>
          </w:tcPr>
          <w:p>
            <w:pPr>
              <w:spacing w:after="0"/>
              <w:rPr>
                <w:sz w:val="1"/>
                <w:szCs w:val="1"/>
                <w:color w:val="auto"/>
              </w:rPr>
            </w:pPr>
          </w:p>
        </w:tc>
      </w:tr>
      <w:tr>
        <w:trPr>
          <w:trHeight w:val="202"/>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capacity contract liabilities, net</w:t>
            </w: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504,833</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328,231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640" w:hanging="322"/>
        <w:spacing w:after="0" w:line="295" w:lineRule="auto"/>
        <w:tabs>
          <w:tab w:leader="none" w:pos="63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additional consideration associated with the below-market interest rates within the 2021 Funding Agreement and 2023 Funding Agreement. This consideration will be recognized over the estimated Phase 1 and Phase 2 Service Periods.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3" w:name="page14"/>
    <w:bookmarkEnd w:id="13"/>
    <w:p>
      <w:pPr>
        <w:jc w:val="both"/>
        <w:ind w:left="640" w:hanging="322"/>
        <w:spacing w:after="0" w:line="262" w:lineRule="auto"/>
        <w:tabs>
          <w:tab w:leader="none" w:pos="634"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additional consideration representing the implied economic benefit to Globalstar for receiving these payments in advance of service. This consideration includes: a) $19.0 million associated with the fee reduction mechanism embedded in the 2024 Debt Repayment and a portion of the Infrastructure Prepayment, and b) an estimate of the significant financing component totaling $19.5 million within these agreements. It is anticipated that this consideration will be recognized over the estimated Extended MSS Network service period.</w:t>
      </w:r>
    </w:p>
    <w:p>
      <w:pPr>
        <w:jc w:val="both"/>
        <w:ind w:left="640" w:hanging="322"/>
        <w:spacing w:after="0" w:line="256" w:lineRule="auto"/>
        <w:tabs>
          <w:tab w:leader="none" w:pos="634"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primarily: a) advanced service payments received during 2025 totaling $30.0 million related to the Updated Services Agreements, which provide for annual service fees of $30 million to be accelerated and b) $13.3 million of make whole fees paid by Customer for the extinguishment of the 2023 13% Notes in 2024. This consideration will be recognized during the Extended MSS Network service period.</w:t>
      </w:r>
    </w:p>
    <w:p>
      <w:pPr>
        <w:spacing w:after="0" w:line="1" w:lineRule="exact"/>
        <w:rPr>
          <w:rFonts w:ascii="Times New Roman" w:cs="Times New Roman" w:eastAsia="Times New Roman" w:hAnsi="Times New Roman"/>
          <w:sz w:val="17"/>
          <w:szCs w:val="17"/>
          <w:color w:val="auto"/>
        </w:rPr>
      </w:pPr>
    </w:p>
    <w:p>
      <w:pPr>
        <w:jc w:val="both"/>
        <w:ind w:left="640" w:hanging="322"/>
        <w:spacing w:after="0" w:line="265" w:lineRule="auto"/>
        <w:tabs>
          <w:tab w:leader="none" w:pos="634"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Primarily includes warrants with an initial fair value at the time of issuance of $48.3 million which was recorded in equity with an offset to a contract asset on the Company's consolidated balance sheets. The fair value of the warrants is recorded as a reduction to revenue over time and totaled $41.9 million as of June 30, 2025.</w:t>
      </w:r>
    </w:p>
    <w:p>
      <w:pPr>
        <w:spacing w:after="0" w:line="194" w:lineRule="exact"/>
        <w:rPr>
          <w:rFonts w:ascii="Times New Roman" w:cs="Times New Roman" w:eastAsia="Times New Roman" w:hAnsi="Times New Roman"/>
          <w:sz w:val="17"/>
          <w:szCs w:val="17"/>
          <w:color w:val="auto"/>
        </w:rPr>
      </w:pPr>
    </w:p>
    <w:p>
      <w:pPr>
        <w:ind w:left="180" w:hanging="175"/>
        <w:spacing w:after="0"/>
        <w:tabs>
          <w:tab w:leader="none" w:pos="18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disclose the components of the Company’s operating leases (amounts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w:t>
            </w:r>
          </w:p>
        </w:tc>
        <w:tc>
          <w:tcPr>
            <w:tcW w:w="1560" w:type="dxa"/>
            <w:vAlign w:val="bottom"/>
            <w:tcBorders>
              <w:bottom w:val="single" w:sz="8" w:color="auto"/>
            </w:tcBorders>
          </w:tcPr>
          <w:p>
            <w:pPr>
              <w:spacing w:after="0"/>
              <w:rPr>
                <w:sz w:val="17"/>
                <w:szCs w:val="17"/>
                <w:color w:val="auto"/>
              </w:rPr>
            </w:pPr>
          </w:p>
        </w:tc>
      </w:tr>
      <w:tr>
        <w:trPr>
          <w:trHeight w:val="203"/>
        </w:trPr>
        <w:tc>
          <w:tcPr>
            <w:tcW w:w="7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June 30, 2025</w:t>
            </w:r>
          </w:p>
        </w:tc>
        <w:tc>
          <w:tcPr>
            <w:tcW w:w="200" w:type="dxa"/>
            <w:vAlign w:val="bottom"/>
          </w:tcPr>
          <w:p>
            <w:pPr>
              <w:spacing w:after="0"/>
              <w:rPr>
                <w:sz w:val="17"/>
                <w:szCs w:val="17"/>
                <w:color w:val="auto"/>
              </w:rPr>
            </w:pPr>
          </w:p>
        </w:tc>
        <w:tc>
          <w:tcPr>
            <w:tcW w:w="15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 net</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60,483</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31,835</w:t>
            </w:r>
          </w:p>
        </w:tc>
      </w:tr>
      <w:tr>
        <w:trPr>
          <w:trHeight w:val="264"/>
        </w:trPr>
        <w:tc>
          <w:tcPr>
            <w:tcW w:w="7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0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lease liability (recorded in accrued expenses)</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w:t>
            </w:r>
          </w:p>
        </w:tc>
      </w:tr>
      <w:tr>
        <w:trPr>
          <w:trHeight w:val="20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liability</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26,256</w:t>
            </w:r>
          </w:p>
        </w:tc>
      </w:tr>
      <w:tr>
        <w:trPr>
          <w:trHeight w:val="205"/>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56,679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30,507</w:t>
            </w:r>
          </w:p>
        </w:tc>
      </w:tr>
      <w:tr>
        <w:trPr>
          <w:trHeight w:val="20"/>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During 2025, the Company modified its leases in Mexico, Spain and Singapore, resulting in increases to the right-of-use assets totaling $9.0 million, $10.0 million and $12.3 million, respectively. These modifications were made in connection with the Updated Services Agreements and for certain locations, extend the lease term and/or expand the leased footprint.</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Finance leases are not significant to the Company's financial statements as of June 30, 2025 and December 31,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Cost</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lease cost are reflected in the table below (amounts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642"/>
              <w:spacing w:after="0"/>
              <w:rPr>
                <w:sz w:val="20"/>
                <w:szCs w:val="20"/>
                <w:color w:val="auto"/>
              </w:rPr>
            </w:pPr>
            <w:r>
              <w:rPr>
                <w:rFonts w:ascii="Times New Roman" w:cs="Times New Roman" w:eastAsia="Times New Roman" w:hAnsi="Times New Roman"/>
                <w:sz w:val="16"/>
                <w:szCs w:val="16"/>
                <w:color w:val="auto"/>
              </w:rPr>
              <w:t>Three Months Ended</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1122"/>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03"/>
        </w:trPr>
        <w:tc>
          <w:tcPr>
            <w:tcW w:w="39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2025</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June 30, 2025</w:t>
            </w:r>
          </w:p>
        </w:tc>
        <w:tc>
          <w:tcPr>
            <w:tcW w:w="260" w:type="dxa"/>
            <w:vAlign w:val="bottom"/>
          </w:tcPr>
          <w:p>
            <w:pPr>
              <w:spacing w:after="0"/>
              <w:rPr>
                <w:sz w:val="17"/>
                <w:szCs w:val="17"/>
                <w:color w:val="auto"/>
              </w:rPr>
            </w:pPr>
          </w:p>
        </w:tc>
        <w:tc>
          <w:tcPr>
            <w:tcW w:w="148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June 30, 2024</w:t>
            </w:r>
          </w:p>
        </w:tc>
      </w:tr>
      <w:tr>
        <w:trPr>
          <w:trHeight w:val="244"/>
        </w:trPr>
        <w:tc>
          <w:tcPr>
            <w:tcW w:w="396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r>
      <w:tr>
        <w:trPr>
          <w:trHeight w:val="209"/>
        </w:trPr>
        <w:tc>
          <w:tcPr>
            <w:tcW w:w="396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Operating lease cost </w:t>
            </w:r>
            <w:r>
              <w:rPr>
                <w:rFonts w:ascii="Times New Roman" w:cs="Times New Roman" w:eastAsia="Times New Roman" w:hAnsi="Times New Roman"/>
                <w:sz w:val="20"/>
                <w:szCs w:val="20"/>
                <w:color w:val="auto"/>
                <w:vertAlign w:val="superscript"/>
              </w:rPr>
              <w:t>(1)</w:t>
            </w:r>
          </w:p>
        </w:tc>
        <w:tc>
          <w:tcPr>
            <w:tcW w:w="1320" w:type="dxa"/>
            <w:vAlign w:val="bottom"/>
          </w:tcPr>
          <w:p>
            <w:pPr>
              <w:jc w:val="right"/>
              <w:ind w:right="11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2,050</w:t>
            </w:r>
          </w:p>
        </w:tc>
        <w:tc>
          <w:tcPr>
            <w:tcW w:w="80" w:type="dxa"/>
            <w:vAlign w:val="bottom"/>
          </w:tcPr>
          <w:p>
            <w:pPr>
              <w:spacing w:after="0"/>
              <w:rPr>
                <w:sz w:val="18"/>
                <w:szCs w:val="18"/>
                <w:color w:val="auto"/>
              </w:rPr>
            </w:pPr>
          </w:p>
        </w:tc>
        <w:tc>
          <w:tcPr>
            <w:tcW w:w="1340" w:type="dxa"/>
            <w:vAlign w:val="bottom"/>
          </w:tcPr>
          <w:p>
            <w:pPr>
              <w:jc w:val="right"/>
              <w:ind w:right="116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1,630</w:t>
            </w:r>
          </w:p>
        </w:tc>
        <w:tc>
          <w:tcPr>
            <w:tcW w:w="8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3,702</w:t>
            </w:r>
          </w:p>
        </w:tc>
        <w:tc>
          <w:tcPr>
            <w:tcW w:w="100" w:type="dxa"/>
            <w:vAlign w:val="bottom"/>
          </w:tcPr>
          <w:p>
            <w:pPr>
              <w:spacing w:after="0"/>
              <w:rPr>
                <w:sz w:val="18"/>
                <w:szCs w:val="18"/>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r>
      <w:tr>
        <w:trPr>
          <w:trHeight w:val="20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lease cost</w:t>
            </w:r>
          </w:p>
        </w:tc>
        <w:tc>
          <w:tcPr>
            <w:tcW w:w="13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05"/>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1320" w:type="dxa"/>
            <w:vAlign w:val="bottom"/>
            <w:tcBorders>
              <w:bottom w:val="single" w:sz="8" w:color="auto"/>
            </w:tcBorders>
          </w:tcPr>
          <w:p>
            <w:pPr>
              <w:jc w:val="right"/>
              <w:ind w:right="11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2,077</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ind w:right="116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1,743</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3,401</w:t>
            </w:r>
          </w:p>
        </w:tc>
      </w:tr>
      <w:tr>
        <w:trPr>
          <w:trHeight w:val="20"/>
        </w:trPr>
        <w:tc>
          <w:tcPr>
            <w:tcW w:w="3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 Includes sublease income.</w:t>
      </w:r>
    </w:p>
    <w:p>
      <w:pPr>
        <w:spacing w:after="0" w:line="249" w:lineRule="exact"/>
        <w:rPr>
          <w:sz w:val="20"/>
          <w:szCs w:val="20"/>
          <w:color w:val="auto"/>
        </w:rPr>
      </w:pPr>
    </w:p>
    <w:p>
      <w:pPr>
        <w:jc w:val="both"/>
        <w:ind w:right="40" w:firstLine="314"/>
        <w:spacing w:after="0" w:line="295" w:lineRule="auto"/>
        <w:rPr>
          <w:sz w:val="20"/>
          <w:szCs w:val="20"/>
          <w:color w:val="auto"/>
        </w:rPr>
      </w:pPr>
      <w:r>
        <w:rPr>
          <w:rFonts w:ascii="Times New Roman" w:cs="Times New Roman" w:eastAsia="Times New Roman" w:hAnsi="Times New Roman"/>
          <w:sz w:val="17"/>
          <w:szCs w:val="17"/>
          <w:color w:val="auto"/>
        </w:rPr>
        <w:t>Amortization and interest associated with finance leases were less than $0.1 million in total for each of the three and six month periods ended June 30, 2025 and 2024; accordingly, these amounts are not shown in the table above.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 and Discount Rate</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discloses the weighted-average remaining lease term and discount rate for operating leases.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2200" w:type="dxa"/>
            <w:vAlign w:val="bottom"/>
            <w:tcBorders>
              <w:bottom w:val="single" w:sz="8" w:color="auto"/>
            </w:tcBorders>
            <w:gridSpan w:val="3"/>
          </w:tcPr>
          <w:p>
            <w:pPr>
              <w:ind w:left="1720"/>
              <w:spacing w:after="0"/>
              <w:rPr>
                <w:sz w:val="20"/>
                <w:szCs w:val="20"/>
                <w:color w:val="auto"/>
              </w:rPr>
            </w:pPr>
            <w:r>
              <w:rPr>
                <w:rFonts w:ascii="Times New Roman" w:cs="Times New Roman" w:eastAsia="Times New Roman" w:hAnsi="Times New Roman"/>
                <w:sz w:val="16"/>
                <w:szCs w:val="16"/>
                <w:color w:val="auto"/>
              </w:rPr>
              <w:t>As of:</w:t>
            </w:r>
          </w:p>
        </w:tc>
        <w:tc>
          <w:tcPr>
            <w:tcW w:w="1620" w:type="dxa"/>
            <w:vAlign w:val="bottom"/>
            <w:tcBorders>
              <w:bottom w:val="single" w:sz="8" w:color="auto"/>
            </w:tcBorders>
          </w:tcPr>
          <w:p>
            <w:pPr>
              <w:spacing w:after="0"/>
              <w:rPr>
                <w:sz w:val="17"/>
                <w:szCs w:val="17"/>
                <w:color w:val="auto"/>
              </w:rPr>
            </w:pPr>
          </w:p>
        </w:tc>
      </w:tr>
      <w:tr>
        <w:trPr>
          <w:trHeight w:val="203"/>
        </w:trPr>
        <w:tc>
          <w:tcPr>
            <w:tcW w:w="7420" w:type="dxa"/>
            <w:vAlign w:val="bottom"/>
          </w:tcPr>
          <w:p>
            <w:pPr>
              <w:spacing w:after="0"/>
              <w:rPr>
                <w:sz w:val="17"/>
                <w:szCs w:val="17"/>
                <w:color w:val="auto"/>
              </w:rPr>
            </w:pPr>
          </w:p>
        </w:tc>
        <w:tc>
          <w:tcPr>
            <w:tcW w:w="220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June 30, 2025</w:t>
            </w:r>
          </w:p>
        </w:tc>
        <w:tc>
          <w:tcPr>
            <w:tcW w:w="16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244"/>
        </w:trPr>
        <w:tc>
          <w:tcPr>
            <w:tcW w:w="7420" w:type="dxa"/>
            <w:vAlign w:val="bottom"/>
            <w:tcBorders>
              <w:top w:val="single" w:sz="8" w:color="CCEEFF"/>
            </w:tcBorders>
            <w:shd w:val="clear" w:color="auto" w:fill="CCEEFF"/>
          </w:tcPr>
          <w:p>
            <w:pPr>
              <w:spacing w:after="0"/>
              <w:rPr>
                <w:sz w:val="21"/>
                <w:szCs w:val="21"/>
                <w:color w:val="auto"/>
              </w:rPr>
            </w:pPr>
          </w:p>
        </w:tc>
        <w:tc>
          <w:tcPr>
            <w:tcW w:w="1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spacing w:after="0"/>
              <w:rPr>
                <w:sz w:val="21"/>
                <w:szCs w:val="21"/>
                <w:color w:val="auto"/>
              </w:rPr>
            </w:pPr>
          </w:p>
        </w:tc>
      </w:tr>
      <w:tr>
        <w:trPr>
          <w:trHeight w:val="206"/>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lease term</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2"/>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leases</w:t>
            </w:r>
          </w:p>
        </w:tc>
        <w:tc>
          <w:tcPr>
            <w:tcW w:w="2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2.9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years</w:t>
            </w:r>
          </w:p>
        </w:tc>
      </w:tr>
      <w:tr>
        <w:trPr>
          <w:trHeight w:val="206"/>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22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17.0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years</w:t>
            </w:r>
          </w:p>
        </w:tc>
      </w:tr>
      <w:tr>
        <w:trPr>
          <w:trHeight w:val="264"/>
        </w:trPr>
        <w:tc>
          <w:tcPr>
            <w:tcW w:w="742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06"/>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2"/>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204"/>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below table discloses supplemental cash flow information for operating leases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137"/>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03"/>
        </w:trPr>
        <w:tc>
          <w:tcPr>
            <w:tcW w:w="7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June 30, 2025</w:t>
            </w:r>
          </w:p>
        </w:tc>
        <w:tc>
          <w:tcPr>
            <w:tcW w:w="280" w:type="dxa"/>
            <w:vAlign w:val="bottom"/>
          </w:tcPr>
          <w:p>
            <w:pPr>
              <w:spacing w:after="0"/>
              <w:rPr>
                <w:sz w:val="17"/>
                <w:szCs w:val="17"/>
                <w:color w:val="auto"/>
              </w:rPr>
            </w:pPr>
          </w:p>
        </w:tc>
        <w:tc>
          <w:tcPr>
            <w:tcW w:w="1480" w:type="dxa"/>
            <w:vAlign w:val="bottom"/>
          </w:tcPr>
          <w:p>
            <w:pPr>
              <w:jc w:val="right"/>
              <w:ind w:right="357"/>
              <w:spacing w:after="0"/>
              <w:rPr>
                <w:sz w:val="20"/>
                <w:szCs w:val="20"/>
                <w:color w:val="auto"/>
              </w:rPr>
            </w:pPr>
            <w:r>
              <w:rPr>
                <w:rFonts w:ascii="Times New Roman" w:cs="Times New Roman" w:eastAsia="Times New Roman" w:hAnsi="Times New Roman"/>
                <w:sz w:val="16"/>
                <w:szCs w:val="16"/>
                <w:color w:val="auto"/>
              </w:rPr>
              <w:t>June 30, 2024</w:t>
            </w:r>
          </w:p>
        </w:tc>
      </w:tr>
      <w:tr>
        <w:trPr>
          <w:trHeight w:val="205"/>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27"/>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5,155</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3,047</w:t>
            </w:r>
          </w:p>
        </w:tc>
      </w:tr>
    </w:tbl>
    <w:p>
      <w:pPr>
        <w:spacing w:after="0" w:line="290" w:lineRule="exact"/>
        <w:rPr>
          <w:sz w:val="20"/>
          <w:szCs w:val="20"/>
          <w:color w:val="auto"/>
        </w:rPr>
      </w:pPr>
    </w:p>
    <w:p>
      <w:pPr>
        <w:jc w:val="both"/>
        <w:ind w:firstLine="314"/>
        <w:spacing w:after="0" w:line="295" w:lineRule="auto"/>
        <w:rPr>
          <w:sz w:val="20"/>
          <w:szCs w:val="20"/>
          <w:color w:val="auto"/>
        </w:rPr>
      </w:pPr>
      <w:r>
        <w:rPr>
          <w:rFonts w:ascii="Times New Roman" w:cs="Times New Roman" w:eastAsia="Times New Roman" w:hAnsi="Times New Roman"/>
          <w:sz w:val="17"/>
          <w:szCs w:val="17"/>
          <w:color w:val="auto"/>
        </w:rPr>
        <w:t>Operating and financing cash flows from finance leases were each less than $0.1 million for each of the three and six month periods ended June 30, 2025 and 2024; accordingly, these cash flows are not shown in the table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Maturity Analysis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reflects undiscounted cash flows on an annual basis for the Company’s lease liabilities as of June 30, 2025 (amounts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Operating Leases</w:t>
            </w:r>
          </w:p>
        </w:tc>
        <w:tc>
          <w:tcPr>
            <w:tcW w:w="220" w:type="dxa"/>
            <w:vAlign w:val="bottom"/>
          </w:tcPr>
          <w:p>
            <w:pPr>
              <w:spacing w:after="0"/>
              <w:rPr>
                <w:sz w:val="19"/>
                <w:szCs w:val="19"/>
                <w:color w:val="auto"/>
              </w:rPr>
            </w:pPr>
          </w:p>
        </w:tc>
        <w:tc>
          <w:tcPr>
            <w:tcW w:w="15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Finance Leases</w:t>
            </w:r>
          </w:p>
        </w:tc>
      </w:tr>
      <w:tr>
        <w:trPr>
          <w:trHeight w:val="242"/>
        </w:trPr>
        <w:tc>
          <w:tcPr>
            <w:tcW w:w="76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(remaining)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22"/>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Imputed interest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4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Discounted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In connection with the Extended MSS Network, the Company will likely enter into additional operating leases in the future, the amount and timing of such leases is unknown and excluded from the table above.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9"/>
        </w:trPr>
        <w:tc>
          <w:tcPr>
            <w:tcW w:w="8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PROPERTY AND EQUIPMENT</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44"/>
        </w:trPr>
        <w:tc>
          <w:tcPr>
            <w:tcW w:w="8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Property and equipment consists of the following (in thousands):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75"/>
        </w:trPr>
        <w:tc>
          <w:tcPr>
            <w:tcW w:w="8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As of:</w:t>
            </w:r>
          </w:p>
        </w:tc>
        <w:tc>
          <w:tcPr>
            <w:tcW w:w="1260" w:type="dxa"/>
            <w:vAlign w:val="bottom"/>
            <w:tcBorders>
              <w:bottom w:val="single" w:sz="8" w:color="auto"/>
            </w:tcBorders>
          </w:tcPr>
          <w:p>
            <w:pPr>
              <w:spacing w:after="0"/>
              <w:rPr>
                <w:sz w:val="24"/>
                <w:szCs w:val="24"/>
                <w:color w:val="auto"/>
              </w:rPr>
            </w:pPr>
          </w:p>
        </w:tc>
      </w:tr>
      <w:tr>
        <w:trPr>
          <w:trHeight w:val="163"/>
        </w:trPr>
        <w:tc>
          <w:tcPr>
            <w:tcW w:w="8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200"/>
              <w:spacing w:after="0" w:line="163" w:lineRule="exact"/>
              <w:rPr>
                <w:sz w:val="20"/>
                <w:szCs w:val="20"/>
                <w:color w:val="auto"/>
              </w:rPr>
            </w:pPr>
            <w:r>
              <w:rPr>
                <w:rFonts w:ascii="Times New Roman" w:cs="Times New Roman" w:eastAsia="Times New Roman" w:hAnsi="Times New Roman"/>
                <w:sz w:val="17"/>
                <w:szCs w:val="17"/>
                <w:color w:val="auto"/>
              </w:rPr>
              <w:t>June 30,</w:t>
            </w:r>
          </w:p>
        </w:tc>
        <w:tc>
          <w:tcPr>
            <w:tcW w:w="160" w:type="dxa"/>
            <w:vAlign w:val="bottom"/>
          </w:tcPr>
          <w:p>
            <w:pPr>
              <w:spacing w:after="0"/>
              <w:rPr>
                <w:sz w:val="14"/>
                <w:szCs w:val="14"/>
                <w:color w:val="auto"/>
              </w:rPr>
            </w:pPr>
          </w:p>
        </w:tc>
        <w:tc>
          <w:tcPr>
            <w:tcW w:w="1260" w:type="dxa"/>
            <w:vAlign w:val="bottom"/>
          </w:tcPr>
          <w:p>
            <w:pPr>
              <w:jc w:val="right"/>
              <w:ind w:right="133"/>
              <w:spacing w:after="0" w:line="163" w:lineRule="exact"/>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8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2024</w:t>
            </w:r>
          </w:p>
        </w:tc>
      </w:tr>
      <w:tr>
        <w:trPr>
          <w:trHeight w:val="22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Globalstar System:</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2"/>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Space component</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1,121,662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1,167,332</w:t>
            </w:r>
          </w:p>
        </w:tc>
      </w:tr>
      <w:tr>
        <w:trPr>
          <w:trHeight w:val="222"/>
        </w:trPr>
        <w:tc>
          <w:tcPr>
            <w:tcW w:w="8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Ground component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102,717</w:t>
            </w:r>
          </w:p>
        </w:tc>
      </w:tr>
      <w:tr>
        <w:trPr>
          <w:trHeight w:val="222"/>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2"/>
        </w:trPr>
        <w:tc>
          <w:tcPr>
            <w:tcW w:w="81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Space component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605,781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357,825</w:t>
            </w:r>
          </w:p>
        </w:tc>
      </w:tr>
      <w:tr>
        <w:trPr>
          <w:trHeight w:val="222"/>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Ground component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20,545</w:t>
            </w:r>
          </w:p>
        </w:tc>
      </w:tr>
      <w:tr>
        <w:trPr>
          <w:trHeight w:val="222"/>
        </w:trPr>
        <w:tc>
          <w:tcPr>
            <w:tcW w:w="8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8,727</w:t>
            </w:r>
          </w:p>
        </w:tc>
      </w:tr>
      <w:tr>
        <w:trPr>
          <w:trHeight w:val="21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Globalstar System</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1,888,554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1,657,146</w:t>
            </w:r>
          </w:p>
        </w:tc>
      </w:tr>
      <w:tr>
        <w:trPr>
          <w:trHeight w:val="22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Internally developed and purchased software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24,309</w:t>
            </w: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14,904</w:t>
            </w:r>
          </w:p>
        </w:tc>
      </w:tr>
      <w:tr>
        <w:trPr>
          <w:trHeight w:val="22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and buildings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w:t>
            </w: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w:t>
            </w:r>
          </w:p>
        </w:tc>
      </w:tr>
      <w:tr>
        <w:trPr>
          <w:trHeight w:val="215"/>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1,937,180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1,701,761</w:t>
            </w: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(1,036,338)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(1,028,129)</w:t>
            </w:r>
          </w:p>
        </w:tc>
      </w:tr>
      <w:tr>
        <w:trPr>
          <w:trHeight w:val="215"/>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900,842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673,632</w:t>
            </w:r>
          </w:p>
        </w:tc>
      </w:tr>
      <w:tr>
        <w:trPr>
          <w:trHeight w:val="20"/>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235"/>
        <w:spacing w:after="0" w:line="288" w:lineRule="auto"/>
        <w:rPr>
          <w:sz w:val="20"/>
          <w:szCs w:val="20"/>
          <w:color w:val="auto"/>
        </w:rPr>
      </w:pPr>
      <w:r>
        <w:rPr>
          <w:rFonts w:ascii="Times New Roman" w:cs="Times New Roman" w:eastAsia="Times New Roman" w:hAnsi="Times New Roman"/>
          <w:sz w:val="17"/>
          <w:szCs w:val="17"/>
          <w:color w:val="auto"/>
        </w:rPr>
        <w:t>During the first quarter of 2025, the Company recorded a loss on disposal of assets of $7.0 million on its consolidated statements of operations. This loss reflects the net book value of one of the Company's second-generation satellites that experienced a power control anomaly which rendered the satellite inoperable.</w:t>
      </w:r>
    </w:p>
    <w:p>
      <w:pPr>
        <w:spacing w:after="0" w:line="39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 has agreements with Macdonald, Dettwiler and Associates Corporation ("MDA") and SpaceX for 1) the purchase and launch of the satellites that are intended to replace the Company's current HIBLEO-4 U.S.-licensed system and 2) the purchase and launch of additional satellites to support the Extended MSS Network. Refer to Note 9: Commitments and Contingencies for additional information regarding these agreements.</w:t>
      </w:r>
    </w:p>
    <w:p>
      <w:pPr>
        <w:spacing w:after="0" w:line="188"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As of June 30, 2025, in connection with constructing and preparing for the launch of the HIBLEO-4 replacement satellites, the Company has incurred $244.8 million and $23.6 million for milestones completed under these agreements with MDA and SpaceX, respectively. As of June 30, 2025, in connection with the constructing and preparing for the launch of the Extended MSS Network, the Company has incurred $209.6 million and $44.6 million for milestones completed under these agreements with MDA and SpaceX, respectively. These costs, as well as the associated personnel costs and capitalized interest, are reflected in the "space component" of construction in progress in the table above.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6" w:name="page17"/>
    <w:bookmarkEnd w:id="16"/>
    <w:p>
      <w:pPr>
        <w:ind w:left="240" w:right="5760" w:hanging="235"/>
        <w:spacing w:after="0" w:line="362" w:lineRule="auto"/>
        <w:tabs>
          <w:tab w:leader="none" w:pos="179"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AND OTHER FINANCING ARRANGEMENTS </w:t>
      </w:r>
      <w:r>
        <w:rPr>
          <w:rFonts w:ascii="Times New Roman" w:cs="Times New Roman" w:eastAsia="Times New Roman" w:hAnsi="Times New Roman"/>
          <w:sz w:val="17"/>
          <w:szCs w:val="17"/>
          <w:color w:val="auto"/>
        </w:rPr>
        <w:t>Long-term debt consists of the following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As of:</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June 30, 2025</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December 31, 2024</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6"/>
                <w:szCs w:val="16"/>
                <w:color w:val="auto"/>
                <w:w w:val="98"/>
              </w:rPr>
              <w:t>Unamortized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6"/>
                <w:szCs w:val="16"/>
                <w:color w:val="auto"/>
                <w:w w:val="98"/>
              </w:rPr>
              <w:t>Unamortized</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8"/>
              </w:rPr>
              <w:t>Premium</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8"/>
              </w:rPr>
              <w:t>Premium</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rPr>
              <w:t>Principal</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8"/>
              </w:rPr>
              <w:t>(Discount) and</w:t>
            </w:r>
          </w:p>
        </w:tc>
        <w:tc>
          <w:tcPr>
            <w:tcW w:w="200" w:type="dxa"/>
            <w:vAlign w:val="bottom"/>
          </w:tcPr>
          <w:p>
            <w:pPr>
              <w:spacing w:after="0"/>
              <w:rPr>
                <w:sz w:val="13"/>
                <w:szCs w:val="13"/>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8"/>
              </w:rPr>
              <w:t>Carrying</w:t>
            </w:r>
          </w:p>
        </w:tc>
        <w:tc>
          <w:tcPr>
            <w:tcW w:w="22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6"/>
              </w:rPr>
              <w:t>Principal</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8"/>
              </w:rPr>
              <w:t>(Discount) and</w:t>
            </w:r>
          </w:p>
        </w:tc>
        <w:tc>
          <w:tcPr>
            <w:tcW w:w="220" w:type="dxa"/>
            <w:vAlign w:val="bottom"/>
          </w:tcPr>
          <w:p>
            <w:pPr>
              <w:spacing w:after="0"/>
              <w:rPr>
                <w:sz w:val="13"/>
                <w:szCs w:val="13"/>
                <w:color w:val="auto"/>
              </w:rPr>
            </w:pPr>
          </w:p>
        </w:tc>
        <w:tc>
          <w:tcPr>
            <w:tcW w:w="104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color w:val="auto"/>
              </w:rPr>
              <w:t>Carrying</w:t>
            </w: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4"/>
              </w:rPr>
              <w:t>Deferred</w:t>
            </w: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6"/>
                <w:szCs w:val="16"/>
                <w:color w:val="auto"/>
                <w:w w:val="98"/>
              </w:rPr>
              <w:t>Deferred</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5"/>
              </w:rPr>
              <w:t>Amount</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Financing Costs</w:t>
            </w: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4"/>
              </w:rPr>
              <w:t>Value</w:t>
            </w: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Amount</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8"/>
              </w:rPr>
              <w:t>Financing Costs</w:t>
            </w:r>
          </w:p>
        </w:tc>
        <w:tc>
          <w:tcPr>
            <w:tcW w:w="220" w:type="dxa"/>
            <w:vAlign w:val="bottom"/>
          </w:tcPr>
          <w:p>
            <w:pPr>
              <w:spacing w:after="0"/>
              <w:rPr>
                <w:sz w:val="17"/>
                <w:szCs w:val="17"/>
                <w:color w:val="auto"/>
              </w:rPr>
            </w:pPr>
          </w:p>
        </w:tc>
        <w:tc>
          <w:tcPr>
            <w:tcW w:w="104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2024</w:t>
            </w: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Repayment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101,630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323,255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107,176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328,801</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2023</w:t>
            </w:r>
          </w:p>
        </w:tc>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Funding Agreement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145,544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143,969</w:t>
            </w: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2021</w:t>
            </w: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Funding Agreement</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38,652</w:t>
            </w:r>
          </w:p>
        </w:tc>
        <w:tc>
          <w:tcPr>
            <w:tcW w:w="0" w:type="dxa"/>
            <w:vAlign w:val="bottom"/>
          </w:tcPr>
          <w:p>
            <w:pPr>
              <w:spacing w:after="0"/>
              <w:rPr>
                <w:sz w:val="1"/>
                <w:szCs w:val="1"/>
                <w:color w:val="auto"/>
              </w:rPr>
            </w:pPr>
          </w:p>
        </w:tc>
      </w:tr>
      <w:tr>
        <w:trPr>
          <w:trHeight w:val="205"/>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debt</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400,175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91,332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491,507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417,475</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93,947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511,422</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22,708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34,600</w:t>
            </w:r>
          </w:p>
        </w:tc>
        <w:tc>
          <w:tcPr>
            <w:tcW w:w="0" w:type="dxa"/>
            <w:vAlign w:val="bottom"/>
          </w:tcPr>
          <w:p>
            <w:pPr>
              <w:spacing w:after="0"/>
              <w:rPr>
                <w:sz w:val="1"/>
                <w:szCs w:val="1"/>
                <w:color w:val="auto"/>
              </w:rPr>
            </w:pPr>
          </w:p>
        </w:tc>
      </w:tr>
      <w:tr>
        <w:trPr>
          <w:trHeight w:val="205"/>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376,625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92,174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468,799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382,875</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93,947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476,822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carrying value of our debt reflected above is net of deferred financing costs and any premium or discount to the loan amount at issuance, including accretion. As of June 30, 2025, the current portion of long-term debt relates to the 2021 Funding Agreement and represents the amounts expected to be paid under the Updated Services Agreements (as previously defined) through service fee offsets from the Customer during the next twelve months.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2024 Debt Repayment</w:t>
      </w:r>
    </w:p>
    <w:p>
      <w:pPr>
        <w:spacing w:after="0" w:line="253"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As discussed in Note 2: Special Purpose Entity, pursuant to the Updated Services Agreements, the Customer funded $235 million (including $13.3 million of make whole premium payments, which were recorded to deferred revenue) for the Company to retire its outstanding 2023 13% Notes. The 2024 Debt Repayment is expected to be fully repaid by offsetting against amounts payable by the Customer to the Company on a quarterly basis over a period of 32 quarters commencing on a fixed repayment date in the future that is not tied to the launch of services. The 2024 Debt Repayment is classified as debt because the Company's repayment obligations will commence on such date regardless of when services are provided under the Updated Services Agreements. The 2024 Debt Repayment accrues annual fees, which would be reduced or eliminated entirely if the Company meets certain defined milestones associated with the completion of the Extended MSS Network, at which time prior accruals will be reduced or eliminated. The balance accrued for these fees is included primarily in long-term deferred revenue on the Company's balance sheet (refer to Note 3: Revenue for further information). As of June 30, 2025, the outstanding principal balance of the 2024 Debt Repayment was $221.6 million.</w:t>
      </w:r>
    </w:p>
    <w:p>
      <w:pPr>
        <w:spacing w:after="0" w:line="204"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On the issuance date, the Company recorded the 2024 Debt Repayment at fair value. The difference between the principal amount of the 2024 Debt Repayment and the fair value was recorded as a debt premium. Additionally, the Company was required to bifurcate the fair value of the interest reduction mechanism and record a derivative asset upon issuance equal to the debt premium. The Company will amortize the premium as an offset to interest expense over the loan term using the effective interest rate method. Refer to Note 7: Derivatives and Note 8: Fair Value Measurements for further information on the embedded derivative bifurcated from the 2024 Debt Repayment.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Funding Agreement</w:t>
      </w:r>
    </w:p>
    <w:p>
      <w:pPr>
        <w:spacing w:after="0" w:line="253"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In 2023, the Service Agreements were amended to provide for, among other things, payment of up to $252 million to the Company (the “2023 Funding Agreement”), which the Company has used and intends to use to fund 50% of the amounts due under its 2022 agreement with MDA, as well as launch, insurance and ancillary costs incurred in connection with the construction and launch of satellites purchased under such agreement. As of June 30, 2025, the Company received aggregate payments under the 2023 Funding Agreement of $155 million, with no amounts received during the first six months of 2025. As of June 30, 2025, the outstanding principal balance under the 2023 Funding Agreement was $155.0 million.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7" w:name="page18"/>
    <w:bookmarkEnd w:id="17"/>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total amount paid to the Company under the 2023 Funding Agreement, including fees, is expected to be fully repaid by offsetting against amounts payable by the Customer beginning in the third quarter of 2026 and continuing for no longer than 16 consecutive quarters. Compounded fees are accrued at a fixed rate based on the average outstanding balance of the 2023 Funding Agreement. The balance accrued for these fees, which totaled $18.2 million as of June 30, 2025, is included in "Other non-current liabilities" on the Company's balance sheet.</w:t>
      </w:r>
    </w:p>
    <w:p>
      <w:pPr>
        <w:spacing w:after="0" w:line="195"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For as long as any amount funded under the 2023 Funding Agreement is outstanding, the Company will be subject to certain covenants, including (i) maintenance of a minimum cash balance of $30 million, (ii) interest coverage and leverage ratios, and (iii) other customary negative covenants, including limitations on certain asset transfers, expenditures and investments. The Company’s obligations under the 2023 Funding Agreement are secured by a first-priority lien over substantially all of the assets of the Company and its domestic subsidiaries. Thermo guaranteed certain of the Company’s obligations under the 2023 Funding Agreement and Service Agreements. See Note 10: Related Party Transactions for further information regarding Thermo's guarantee.</w:t>
      </w:r>
    </w:p>
    <w:p>
      <w:pPr>
        <w:spacing w:after="0" w:line="19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As the Company makes draws under the 2023 Funding Agreement, the amount of each draw is recorded at fair value using a discounted cash flow model. The Company records a debt discount, which is netted against the face value of the 2023 Funding Agreement, for the difference between the fair value of the debt and the proceeds received and accretes this debt discount to interest expense through the maturity date using an effective interest rate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Funding Agreement</w:t>
      </w:r>
    </w:p>
    <w:p>
      <w:pPr>
        <w:spacing w:after="0" w:line="253"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During 2021, the Company received payments totaling $94.2 million (as amended, the "2021 Funding Agreement"). The Company's obligations under the 2021 Funding Agreement are secured by a first-priority lien over substantially all of the assets of the Company and its domestic subsidiaries. This funding is being repaid by offsetting against amounts payable as services are performed by the Company. The last recoupment is expected to be made in the first quarter of 2026. The debt discount associated with the 2021 Funding Agreement is accreting to interest expense through the maturity date using the effective interest rate method. No interest accrues on amounts outstanding under the 2021 Funding Agreement. During the six months ended June 30, 2025, a total of $17.3 million was recouped pursuant to the terms of the 2021 Funding Agreement. As of June 30, 2025, the outstanding principal balance under the 2021 Funding Agreement was $23.6 million.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A Preferred Stock</w:t>
      </w:r>
    </w:p>
    <w:p>
      <w:pPr>
        <w:spacing w:after="0" w:line="25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 2022, the Company issued 149,425 shares of its 7.0% Perpetual Preferred Stock, Series A, liquidation preference $1,000 per share (the “Series A Preferred Stock”) with a fair value of $105.3 million and total outstanding amount of $149.4 million. The shares of Series A Preferred Stock do not possess voting rights, other than with respect to certain matters specifically affecting the rights and obligations of the Series A Preferred Stock.</w:t>
      </w:r>
    </w:p>
    <w:p>
      <w:pPr>
        <w:spacing w:after="0" w:line="188"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color w:val="auto"/>
        </w:rPr>
        <w:t>Holders of the Series A Preferred Stock are entitled to receive, when, as and if declared by the Company's Board of Directors or a committee thereof, cumulative cash dividends based on the liquidation preference of the Series A Preferred Stock, at a fixed rate equal to 7.00% per annum, payable quarterly in arrears on January 1, April 1, July 1 and October 1 of each year. During the six months ended June 30, 2025, the Company paid dividends approved by the Company's Board of Directors totaling $5.3 million.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7. DERIVATIVES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Company reflected on its balance sheet an embedded derivative resulting from certain features in the Company’s 2024 Debt Repayment. This derivative instrument is not designated as a hedge. The fair value of the embedded derivative is marked-to-market at the end of each reporting period, or more frequently as deemed necessary, with any changes in value reported in the consolidated statements of operations and consolidated statements of cash flows as a non-cash operating activity.</w:t>
      </w:r>
    </w:p>
    <w:p>
      <w:pPr>
        <w:spacing w:after="0" w:line="195"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This derivative and related features embedded in the debt instrument that is required to be accounted for as a derivative is described below. See Note 8: Fair Value Measurements for further information.</w:t>
      </w:r>
    </w:p>
    <w:p>
      <w:pPr>
        <w:spacing w:after="0" w:line="17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terms of the 2024 Debt Repayment contain an interest reduction mechanism that is required to be bifurcated and was recorded as an embedded derivative on the Company's consolidated balance sheet with a corresponding debt premium that was added to the principal amount of the 2024 Debt Repayment. The Company determined the fair value of the embedded derivatives using a discounted cash flow model. As the discount yield and the effective interest rate of the loan fluctuate based on projected cash flows, the derivative value is adjusted.</w:t>
      </w:r>
    </w:p>
    <w:p>
      <w:pPr>
        <w:spacing w:after="0" w:line="195"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As of June 30, 2025 and December 31, 2024, the Company recorded the fair value of the embedded derivative, totaling $117.2 million and $108.8 million, respectively, as a derivative asset. The Company records a derivative gain or loss resulting from mark-to-market adjustments, which is reflected in "Other" in the Company’s consolidated statement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FAIR VALUE MEASUREMENTS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Unadjusted quoted prices in active markets that are accessible at the measurement date for identical assets or liabilities.</w:t>
      </w:r>
    </w:p>
    <w:p>
      <w:pPr>
        <w:spacing w:after="0" w:line="223" w:lineRule="exact"/>
        <w:rPr>
          <w:sz w:val="20"/>
          <w:szCs w:val="20"/>
          <w:color w:val="auto"/>
        </w:rPr>
      </w:pPr>
    </w:p>
    <w:p>
      <w:pPr>
        <w:ind w:left="1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Quoted prices in markets that are not active or inputs which are observable, either directly or indirectly, for substantially the full term of the asset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w:t>
      </w:r>
    </w:p>
    <w:p>
      <w:pPr>
        <w:spacing w:after="0" w:line="142" w:lineRule="exact"/>
        <w:rPr>
          <w:sz w:val="20"/>
          <w:szCs w:val="20"/>
          <w:color w:val="auto"/>
        </w:rPr>
      </w:pPr>
    </w:p>
    <w:p>
      <w:pPr>
        <w:ind w:left="1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Prices or valuation techniques that require inputs that are both significant to the fair value measurement and unobservable (i.e., supported by little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 market activity).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25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Company marks-to-market its derivatives at each reporting date, or more frequently as deemed necessary, with the changes in fair value recognized in the Company’s consolidated statements of operations. See Note 7: Derivatives for further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Embedded Derivative within the 2024 Debt Repayment</w:t>
      </w:r>
    </w:p>
    <w:p>
      <w:pPr>
        <w:spacing w:after="0" w:line="120"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embedded derivative relating to the 2024 Debt Repayment is valued using a discounted cash flow model. The most significant input used in the fair value measurement was the discount yield, which was 7.32% and 7.58%, at June 30, 2025 and December 31, 2024, respectively. As the discount yield used in the valuation process increases, the fair value of the embedded derivative decreases. Conversely, as the length of time between the reporting date and the projected milestone deadlines decreases, the present value of the projected interest savings increases, resulting in a higher derivative asset value.</w:t>
      </w:r>
    </w:p>
    <w:p>
      <w:pPr>
        <w:spacing w:after="0" w:line="195"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significant unobservable input used in the fair value measurement included estimated timing of completing certain project milestones associated with the interest fee reduction mechanism. As the probability of reaching the relevant milestones increases, the fair value of the embedded derivative would also increase.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color w:val="auto"/>
        </w:rPr>
        <w:t>Rollforward of Recurring Level 3 Assets and Liabilities</w:t>
      </w:r>
    </w:p>
    <w:p>
      <w:pPr>
        <w:spacing w:after="0" w:line="251" w:lineRule="exact"/>
        <w:rPr>
          <w:sz w:val="20"/>
          <w:szCs w:val="20"/>
          <w:color w:val="auto"/>
        </w:rPr>
      </w:pPr>
    </w:p>
    <w:p>
      <w:pPr>
        <w:ind w:firstLine="235"/>
        <w:spacing w:after="0" w:line="295" w:lineRule="auto"/>
        <w:rPr>
          <w:sz w:val="20"/>
          <w:szCs w:val="20"/>
          <w:color w:val="auto"/>
        </w:rPr>
      </w:pPr>
      <w:r>
        <w:rPr>
          <w:rFonts w:ascii="Times New Roman" w:cs="Times New Roman" w:eastAsia="Times New Roman" w:hAnsi="Times New Roman"/>
          <w:sz w:val="17"/>
          <w:szCs w:val="17"/>
          <w:color w:val="auto"/>
        </w:rPr>
        <w:t>The following table presents a rollforward for all assets and liabilities measured at fair value on a recurring basis using significant unobservable inputs (Level 3) (in thousands):</w:t>
      </w:r>
    </w:p>
    <w:p>
      <w:pPr>
        <w:sectPr>
          <w:pgSz w:w="11900" w:h="16838" w:orient="portrait"/>
          <w:cols w:equalWidth="0" w:num="1">
            <w:col w:w="11240"/>
          </w:cols>
          <w:pgMar w:left="320" w:top="864"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36765" cy="149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12" w:lineRule="exact"/>
        <w:rPr>
          <w:sz w:val="20"/>
          <w:szCs w:val="20"/>
          <w:color w:val="auto"/>
        </w:rPr>
      </w:pPr>
    </w:p>
    <w:p>
      <w:pPr>
        <w:ind w:left="20" w:right="1440"/>
        <w:spacing w:after="0" w:line="293" w:lineRule="auto"/>
        <w:rPr>
          <w:sz w:val="20"/>
          <w:szCs w:val="20"/>
          <w:color w:val="auto"/>
        </w:rPr>
      </w:pPr>
      <w:r>
        <w:rPr>
          <w:rFonts w:ascii="Times New Roman" w:cs="Times New Roman" w:eastAsia="Times New Roman" w:hAnsi="Times New Roman"/>
          <w:sz w:val="17"/>
          <w:szCs w:val="17"/>
          <w:color w:val="auto"/>
        </w:rPr>
        <w:t>Issuance of embedded derivative within the 2024 Debt Repayment Unrealized gain (loss), included in derivative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136765" cy="140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Balance at end of period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Six Months Ended June 30,</w:t>
            </w:r>
          </w:p>
        </w:tc>
        <w:tc>
          <w:tcPr>
            <w:tcW w:w="220" w:type="dxa"/>
            <w:vAlign w:val="bottom"/>
          </w:tcPr>
          <w:p>
            <w:pPr>
              <w:spacing w:after="0"/>
              <w:rPr>
                <w:sz w:val="17"/>
                <w:szCs w:val="17"/>
                <w:color w:val="auto"/>
              </w:rPr>
            </w:pPr>
          </w:p>
        </w:tc>
        <w:tc>
          <w:tcPr>
            <w:tcW w:w="2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Twelve Months Ended</w:t>
            </w:r>
          </w:p>
        </w:tc>
      </w:tr>
      <w:tr>
        <w:trPr>
          <w:trHeight w:val="231"/>
        </w:trPr>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December 31, 2024</w:t>
            </w:r>
          </w:p>
        </w:tc>
      </w:tr>
      <w:tr>
        <w:trPr>
          <w:trHeight w:val="214"/>
        </w:trPr>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108,799</w:t>
            </w:r>
          </w:p>
        </w:tc>
        <w:tc>
          <w:tcPr>
            <w:tcW w:w="100" w:type="dxa"/>
            <w:vAlign w:val="bottom"/>
          </w:tcPr>
          <w:p>
            <w:pPr>
              <w:spacing w:after="0"/>
              <w:rPr>
                <w:sz w:val="18"/>
                <w:szCs w:val="18"/>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1,295</w:t>
            </w:r>
          </w:p>
        </w:tc>
      </w:tr>
      <w:tr>
        <w:trPr>
          <w:trHeight w:val="222"/>
        </w:trPr>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109,601</w:t>
            </w:r>
          </w:p>
        </w:tc>
      </w:tr>
      <w:tr>
        <w:trPr>
          <w:trHeight w:val="227"/>
        </w:trPr>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(2,097)</w:t>
            </w:r>
          </w:p>
        </w:tc>
      </w:tr>
      <w:tr>
        <w:trPr>
          <w:trHeight w:val="215"/>
        </w:trPr>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117,184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108,799</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00" w:space="720"/>
            <w:col w:w="4420"/>
          </w:cols>
          <w:pgMar w:left="320" w:top="864"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Debt Instruments and Other Financing Arrangements</w:t>
      </w:r>
    </w:p>
    <w:p>
      <w:pPr>
        <w:spacing w:after="0" w:line="35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 believes it is not practicable to determine the fair value of its debt agreements on a recurring basis without incurring significant additional costs. Unlike typical long-term debt, certain terms for these instruments cannot be readily compared to other debt instruments and their valuation generally involve a variety of complex factors, including due diligence by the debt 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Updated Services Agreements</w:t>
      </w:r>
    </w:p>
    <w:p>
      <w:pPr>
        <w:spacing w:after="0" w:line="253"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The Updated Services Agreements set forth the primary terms for the Company to provide expanded services to the Customer and incur costs related to the Extended MSS Network, which primarily relate to the construction of new gateways and the upgrade of existing gateways as well as new satellite construction and launch services. The Updated Services Agreements have an indefinite term but are terminable by the Customer at any time upon advance notice or a force majeure event, or by either party upon the occurrence of certain events of default. The Updated Services Agreements obligate the Company to comply with various commitments.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Satellite Procurement Agreement</w:t>
      </w:r>
    </w:p>
    <w:p>
      <w:pPr>
        <w:spacing w:after="0" w:line="25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In February 2022, the Company entered into a satellite procurement agreement with MDA pursuant to which the Company will acquire at least 17 satellites (and up to 26 satellites) to replace its HIBLEO-4 U.S.-licensed system with an amended contract price of $329.3 million for the initial 17 replacement satellites, with delivery expected to occur later in 2025. In addition, MDA will provide a satellite operations control center for $5.0 million as well as other equipment for $4.2 million.</w:t>
      </w:r>
    </w:p>
    <w:p>
      <w:pPr>
        <w:spacing w:after="0" w:line="195"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In February 2025, the Company entered into another agreement with MDA pursuant to which the Company will acquire more than 50 satellites related to the Extended MSS Network. The total contract price for these satellites is $775.0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Launch Services Agreements</w:t>
      </w:r>
    </w:p>
    <w:p>
      <w:pPr>
        <w:spacing w:after="0" w:line="25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In each of August 2023 and June 2025, Globalstar entered into a Launch Services Agreement with SpaceX and certain related ancillary agreements (collectively, the “Launch Services Agreements”), providing for the launch of the first and second sets, respectively, of the 17 replacement satellites that the Company is acquiring pursuant to the 2022 satellite procurement agreement with MDA. In June 2025, the Company and SpaceX extended the launch timeframe and selected a launch window under the August 2023 launch services agreement for the first set of replacement satellites during the fourth quarter of 2025.</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October 2024, the Company entered into a separate agreement with SpaceX for the launch of satellites related to the Extended MSS Network.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for Phase 2 Service Period Asset Procurement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20" w:name="page21"/>
    <w:bookmarkEnd w:id="20"/>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Under the Service Agreements, subject to certain terms and conditions, the Company expects to receive payments equal to 95% of the approved capital expenditures under the satellite procurement agreement for the HIBLEO-4 replacement satellites, launch services agreements for such replacement satellites and other ancillary equipment and costs (to be paid on a straight-line basis over the design life of such replacement satellites) beginning with the commencement of the Phase 2 Service Period. The Phase 2 Service Period is expected to begin when the first set of the new replacement satellites are successfully utilized to provide Services.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for Extended MSS Network Asset Procurement</w:t>
      </w:r>
    </w:p>
    <w:p>
      <w:pPr>
        <w:spacing w:after="0" w:line="25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As discussed in more detail in Note 2: Special Purpose Entity, the Updated Services Agreements provide for prepayments from the Customer for approved capital expenditures associated with the Extended MSS Network.</w:t>
      </w:r>
    </w:p>
    <w:p>
      <w:pPr>
        <w:spacing w:after="0" w:line="17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As of June 30, 2025, the Company has outstanding purchase orders for this project approximately $800.0 million to vendors for various satellite and ground components of the Extended MSS Network, which are expected to be paid with funds from the Infrastructure Prepayment. The Company will continue to incur these costs over the next few years until it completes construction and begins providing Services over the Extended MSS Network.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RELATED PARTY TRANSACTIONS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with Thermo</w:t>
      </w:r>
    </w:p>
    <w:p>
      <w:pPr>
        <w:spacing w:after="0" w:line="25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Thermo is the principal owner and largest stockholder of Globalstar. The Company's Executive Chairman of the Board controls Thermo. Two other members of the Board are also directors, officers or minority equity owners of various Thermo entities.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Payables to Thermo related to arms' length transactions were $0.3 million and $0.4 million as of June 30, 2025 and December 31, 2024, respectively.</w:t>
      </w:r>
    </w:p>
    <w:p>
      <w:pPr>
        <w:spacing w:after="0" w:line="249"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Certain general and administrative expenses are incurred by Thermo on behalf of the Company. These expenses include: (i) non-cash expenses, such as stock compensation costs as well as costs recorded as a contribution to capital, and (ii) expenses incurred by Thermo on behalf of the Company that are charged to the Company; these charges are based on actual amounts (with no mark-up) incurred by Thermo or upon allocated employee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 Agreement</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 has a lease agreement with Thermo Covington, LLC for the Company's headquarters office. Annual lease payments increase at a rate of 2.5% per year. 2025 lease payments will total $1.7 million. The lease term is ten years and is scheduled to expire in January 2029. During each of the six months ended June 30, 2025 and 2024, the Company incurred lease expense of $0.8 million under this lease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A Preferred Stock</w:t>
      </w:r>
    </w:p>
    <w:p>
      <w:pPr>
        <w:spacing w:after="0" w:line="251" w:lineRule="exact"/>
        <w:rPr>
          <w:sz w:val="20"/>
          <w:szCs w:val="20"/>
          <w:color w:val="auto"/>
        </w:rPr>
      </w:pPr>
    </w:p>
    <w:p>
      <w:pPr>
        <w:jc w:val="both"/>
        <w:ind w:firstLine="235"/>
        <w:spacing w:after="0" w:line="268" w:lineRule="auto"/>
        <w:rPr>
          <w:sz w:val="20"/>
          <w:szCs w:val="20"/>
          <w:color w:val="auto"/>
        </w:rPr>
      </w:pPr>
      <w:r>
        <w:rPr>
          <w:rFonts w:ascii="Times New Roman" w:cs="Times New Roman" w:eastAsia="Times New Roman" w:hAnsi="Times New Roman"/>
          <w:sz w:val="17"/>
          <w:szCs w:val="17"/>
          <w:color w:val="auto"/>
        </w:rPr>
        <w:t>Thermo owns $136.7 million of the Company's Series A Preferred Stock (the "Series A Preferred Stock"), based upon the shares' liquidation preference. Holders of the Series A Preferred Stock are entitled to receive, when, as and if declared by the Board, cumulative cash dividends based on the liquidation preference of the Series A Preferred Stock, at a fixed rate equal to 7.00% per annum, payable quarterly in arrears on January 1, April 1, July 1 and October 1 of each year. During the six months ended June 30, 2025, the Company made dividend payments to Thermo, which were approved by the Board, totaling $4.8 million.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 Agreements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In connection with the Service Agreements, the Customer and Thermo entered into a lock-up and right of first offer agreement that generally (i) requires Thermo to offer any shares of Globalstar common stock to the Customer before transferring them to any other person, other than affiliates of Thermo and (ii) prohibits Thermo from transferring shares of Globalstar common stock if such transfer would cause Thermo to hold less than 51.00% of the outstanding common stock of the Company for a period of five years from the launch of Services in November 2022.</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1" w:name="page22"/>
    <w:bookmarkEnd w:id="21"/>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Certain amounts payable by the Company in connection with the 2023 Funding Agreement and certain other obligations under the Service Agreements are guaranteed by Thermo pursuant to a guaranty agreement (the "Thermo Guaranty"). As consideration for Thermo's guarantee, the Company issued to Thermo a warrant to purchase 666,668 shares of the Company’s common stock at an exercise price equal to $30.00 per share (as calculated pursuant to the Thermo Guaranty). The right to purchase 333,334 shares under the warrant vested immediately upon effectiveness of Thermo's guarantee, which occurred in December 2023, and the right to purchase the remaining 333,334 shares under the warrant may vest if and when Thermo advances aggregate funds of $25.0 million or more to the Company or a permitted third party pursuant to the terms of the Thermo Guaranty. The warrant expires in December 2028.</w:t>
      </w:r>
    </w:p>
    <w:p>
      <w:pPr>
        <w:spacing w:after="0" w:line="200"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In connection with the Updated Services Agreements, the Company, the Customer and Thermo amended the Thermo Guaranty to lower the amount of Guaranteed Obligations (as defined in the Thermo Guaranty) to $100 million (collectively with the Thermo Guaranty, the "Amended Thermo Guaranty"). The entry into the Amended Thermo Guaranty required approval of the Company's stockholders (other than Thermo, including its affiliates), which was received at the Company's 2025 annual meeting of stockholders on May 20, 2025. No changes were made to the existing outstanding warrants associated with the Thermo Guaranty and no additional warrants or rights to purchase additional shares of the Company's common stock were issued to Thermo in connection with the entry into the Amended Thermo Guaranty.</w:t>
      </w:r>
    </w:p>
    <w:p>
      <w:pPr>
        <w:spacing w:after="0" w:line="200"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To the extent Thermo is required to advance amounts under the Amended Thermo Guaranty, the Company is required to issue shares of its common stock to Thermo in respect of such advance in an amount equal to the amount of such payment divided by the average of the volume weighted average price of the Company’s common stock for the five trading days immediately preceding such payment.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w:t>
      </w:r>
    </w:p>
    <w:p>
      <w:pPr>
        <w:spacing w:after="0" w:line="251" w:lineRule="exact"/>
        <w:rPr>
          <w:sz w:val="20"/>
          <w:szCs w:val="20"/>
          <w:color w:val="auto"/>
        </w:rPr>
      </w:pPr>
    </w:p>
    <w:p>
      <w:pPr>
        <w:jc w:val="both"/>
        <w:ind w:firstLine="203"/>
        <w:spacing w:after="0" w:line="269" w:lineRule="auto"/>
        <w:rPr>
          <w:sz w:val="20"/>
          <w:szCs w:val="20"/>
          <w:color w:val="auto"/>
        </w:rPr>
      </w:pPr>
      <w:r>
        <w:rPr>
          <w:rFonts w:ascii="Times New Roman" w:cs="Times New Roman" w:eastAsia="Times New Roman" w:hAnsi="Times New Roman"/>
          <w:sz w:val="17"/>
          <w:szCs w:val="17"/>
          <w:color w:val="auto"/>
        </w:rPr>
        <w:t>The Company has a Strategic Review Committee that is required to remain in existence for as long as Thermo and its affiliates beneficially own forty-five percent (45%) or more of Globalstar’s outstanding common stock. To the extent permitted by applicable law, the Strategic Review Committee has exclusive responsibility for the oversight, review and approval of, among other things and subject to certain exceptions, any acquisition by Thermo and its affiliates of additional newly-issued securities of the Company and any transaction between the Company and Thermo and its affiliates with a value in excess of $250,000.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Agreements with XCOM</w:t>
      </w:r>
    </w:p>
    <w:p>
      <w:pPr>
        <w:spacing w:after="0" w:line="25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Dr. Paul E. Jacobs is the Chief Executive Officer of Globalstar and also serves as the Executive Chairman of XCOM Labs, Inc. (now known as Virewirx, Inc.) ("Licensor" or "XCOM") and is the controlling stockholder of XCOM. In connection with the Company's Intellectual Property License Agreement with XCOM (the "License Agreement"), Globalstar issued to XCOM 4.0 million shares of Globalstar common stock, representing a transaction value of approximately $68.7 million on the date of issuance. Of the consideration paid for the License Agreement, 1.1 million shares were issued to Dr. Jacobs.</w:t>
      </w:r>
    </w:p>
    <w:p>
      <w:pPr>
        <w:spacing w:after="0" w:line="195"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The Company and XCOM had a Support Services Agreement ("SSA"), which was terminated during the second quarter of 2025. Under the SSA, XCOM was required to provide certain services to the Company. In August 2023 and June 2024, Globalstar issued 0.7 million shares and 0.5 million shares of its common stock, respectively, to XCOM as payment for costs incurred under the SSA and the release of holdback shares under the License Agreement. In June 2024 and March 2025, XCOM sold 0.3 million shares and 0.2 million shares of the Company's common stock, respectively, in a private placement transaction to an affiliate of Thermo. Effective during the first quarter of 2025, costs that support the XCOM technology development were directly incurred by Globalstar and paid through the Company's operating cash flows. Fees payable by Globalstar pursuant to the SSA were based on costs incurred plus a 15% margin for costs incurred between January 1, 2025 and March 31, 2025. No fees were payable by Globalstar pursuant to the SSA during the second quarter of 2025.</w:t>
      </w:r>
    </w:p>
    <w:p>
      <w:pPr>
        <w:spacing w:after="0" w:line="199"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Dr. Jacobs does not have any family relationships with any director or executive officer of the Company and has not been directly or indirectly involved in any related party transactions with the Company, except for transactions related to the License Agreement and the SSA.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11. NET INCOME (LOSS) PER SHARE</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income (loss) per common share for the periods indicated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5"/>
          </w:tcPr>
          <w:p>
            <w:pPr>
              <w:ind w:left="580"/>
              <w:spacing w:after="0"/>
              <w:rPr>
                <w:sz w:val="20"/>
                <w:szCs w:val="20"/>
                <w:color w:val="auto"/>
              </w:rPr>
            </w:pPr>
            <w:r>
              <w:rPr>
                <w:rFonts w:ascii="Times New Roman" w:cs="Times New Roman" w:eastAsia="Times New Roman" w:hAnsi="Times New Roman"/>
                <w:sz w:val="16"/>
                <w:szCs w:val="16"/>
                <w:color w:val="auto"/>
              </w:rPr>
              <w:t>Three Months Ended</w:t>
            </w:r>
          </w:p>
        </w:tc>
        <w:tc>
          <w:tcPr>
            <w:tcW w:w="180" w:type="dxa"/>
            <w:vAlign w:val="bottom"/>
          </w:tcPr>
          <w:p>
            <w:pPr>
              <w:spacing w:after="0"/>
              <w:rPr>
                <w:sz w:val="17"/>
                <w:szCs w:val="17"/>
                <w:color w:val="auto"/>
              </w:rPr>
            </w:pPr>
          </w:p>
        </w:tc>
        <w:tc>
          <w:tcPr>
            <w:tcW w:w="2640" w:type="dxa"/>
            <w:vAlign w:val="bottom"/>
            <w:gridSpan w:val="4"/>
          </w:tcPr>
          <w:p>
            <w:pPr>
              <w:jc w:val="right"/>
              <w:ind w:right="734"/>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03"/>
        </w:trPr>
        <w:tc>
          <w:tcPr>
            <w:tcW w:w="5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June 30, 2025</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color w:val="auto"/>
              </w:rPr>
              <w:t>June 30, 2024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June 30, 2025</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color w:val="auto"/>
              </w:rPr>
              <w:t>June 30, 2024</w:t>
            </w:r>
          </w:p>
        </w:tc>
      </w:tr>
      <w:tr>
        <w:trPr>
          <w:trHeight w:val="205"/>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22"/>
        </w:trPr>
        <w:tc>
          <w:tcPr>
            <w:tcW w:w="5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(22,879)</w:t>
            </w:r>
          </w:p>
        </w:tc>
      </w:tr>
      <w:tr>
        <w:trPr>
          <w:trHeight w:val="222"/>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Series A Preferred Stock dividends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(5,288)</w:t>
            </w:r>
          </w:p>
        </w:tc>
      </w:tr>
      <w:tr>
        <w:trPr>
          <w:trHeight w:val="215"/>
        </w:trPr>
        <w:tc>
          <w:tcPr>
            <w:tcW w:w="5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(loss) attributable to common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16,564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(28,167)</w:t>
            </w:r>
          </w:p>
        </w:tc>
      </w:tr>
      <w:tr>
        <w:trPr>
          <w:trHeight w:val="261"/>
        </w:trPr>
        <w:tc>
          <w:tcPr>
            <w:tcW w:w="5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 average shares outstanding - basic</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125,560</w:t>
            </w:r>
          </w:p>
        </w:tc>
      </w:tr>
      <w:tr>
        <w:trPr>
          <w:trHeight w:val="222"/>
        </w:trPr>
        <w:tc>
          <w:tcPr>
            <w:tcW w:w="5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Dilutive effect of stock-based compensation plans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Dilutive effect of warrants issued under the Service Agreements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5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Weighted average common shares outstanding - dilutive</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125,614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126,545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125,560</w:t>
            </w:r>
          </w:p>
        </w:tc>
      </w:tr>
      <w:tr>
        <w:trPr>
          <w:trHeight w:val="261"/>
        </w:trPr>
        <w:tc>
          <w:tcPr>
            <w:tcW w:w="5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r>
      <w:tr>
        <w:trPr>
          <w:trHeight w:val="227"/>
        </w:trPr>
        <w:tc>
          <w:tcPr>
            <w:tcW w:w="5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r>
    </w:tbl>
    <w:p>
      <w:pPr>
        <w:spacing w:after="0" w:line="303"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For the six months ended June 30, 2025, 1.3 million shares of potential common stock were excluded from diluted shares outstanding because the effects of such securities would be anti-dilutive. For the three and six months ended June 30, 2024, 1.2 million shares and 1.3 million shares, respectively, of potential common stock were excluded from diluted shares outstanding because the effects of such securities would be anti-dilutive. Included in these shares for all periods presented is a portion of the 3.3 million shares that may be purchased by the Customer pursuant to the warrants issued under the Service Agreements in 2022 based on the treasury stock method. During 2023, the right to purchase 0.3 million shares of common stock vested pursuant to the warrant issued to Thermo for its guarantee of the 2023 Funding Agreement. None of these shares are included in the potentially dilutive securities for the applicable periods presented because the exercise price of the warrants exceeded the average market price of Globalstar common stock during the periods.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SEGMENT REPORTING</w:t>
      </w:r>
    </w:p>
    <w:p>
      <w:pPr>
        <w:spacing w:after="0" w:line="251"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 xml:space="preserve">An operating segment is defined as a component of an enterprise which has discrete financial information that is evaluated regularly by the Company’s Chief Operating Decision Maker ("CODM") to decide how to allocate resources and assess performance. In accordance with ASC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the Company’s only reportable segment is its MSS business. The Company's Chief Executive Officer, Dr. Paul E. Jacobs, is the Company's CODM. Dr. Jacobs manages the consolidated entity and uses net income (loss) as the measure of profit or loss to assess our performance and allocate resources. Dr. Jacobs does not review total assets. Dr. Jacobs reviews revenue and certain operating expenses to determine resource allocations. Revenue is reviewed at a disaggregated level, consistent with the Company’s disclosures in Note 3: Revenue. Expenses are reviewed by the nature of the cost (Cost of Services, Marketing, General and Administrative and Cost of Subscriber Equipment Sales), consistent with the Company’s presentation in its statements of operations. Other operating segment expenses may include stock-based compensation, depreciation, amortization and accretion, the reduction in the value of assets and inventory, interest income and expense, foreign currency gains and losses, gains and losses on extinguishment of debt as well as other smaller items.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13. COMMON STOCK</w:t>
      </w:r>
    </w:p>
    <w:p>
      <w:pPr>
        <w:spacing w:after="0" w:line="251"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Effective following the close of trading on February 10, 2025, the Company voluntarily withdrew the listing of its common stock from the NYSE American, effected a reverse stock split at a ratio of 1 to 15 shares of its common stock and amended its certificate of incorporation to reduce the number of authorized shares of common stock that it may issue from 2,150,000,000 shares to 143,333,334 shares of common stock. Effective at the start of trading on February 11, 2025, the Company's common stock began trading on a post-split basis under the symbol “GSAT” on the Nasdaq Stock Market LLC. Upon the effectiveness of the reverse stock split, the number of shares of the Company's common stock outstanding was reduced from 1,896,635,805 to 126,442,583.</w:t>
      </w:r>
    </w:p>
    <w:p>
      <w:pPr>
        <w:spacing w:after="0" w:line="197"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No fractional shares were issued as a result of the reverse stock split and it did not impact the par value of the Company's common stock. Any fractional shares that would otherwise have resulted from the reverse stock split were rounded up to the next whole share at the DTC participant level, except that any fractional shares resulting from the reverse stock split for any outstanding awards adjustments pursuant to the terms and conditions of the Company's 2006 Equity Incentive Plan and the award or agreement governing such awards were rounded down to the next whole share. Neither the reverse stock split nor the related amendments to the Company's certificate of incorporation had any impact on the number of shares of preferred stock it is authorized to issue under its certificate of incorporation or the number of issued and outstanding shares of the Series A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INCOME TAXES</w:t>
      </w:r>
    </w:p>
    <w:p>
      <w:pPr>
        <w:spacing w:after="0" w:line="251"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The change in the Company’s effective tax rate when comparing the six months ended June 30, 2025 to the same period in 2024 was driven by current state tax expense as a result of (i) increased forecasted taxable income, (ii) net operating loss utilization in various states and (iii) an increase in the provision for uncertain tax positions. For the three months ended June 30, 2025, the change in the Company's effective tax rate reflects additional tax benefits to adjust prior quarters' results to the annual effective tax rate. Specifically, the forecasted 2025 tax provision as estimated at June 30, 2025 remained relatively consistent with that estimated in the first quarter 2025, despite various jurisdictional fluctuations in forecasted pre-tax income/loss as result of second quarter unrealized foreign currency gains. This resulted in a corresponding change in the annualized effective tax rate during the three months ended June 30, 2025.</w:t>
      </w:r>
    </w:p>
    <w:p>
      <w:pPr>
        <w:spacing w:after="0" w:line="200"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color w:val="auto"/>
        </w:rPr>
        <w:t>The Company monitors the realizability of its deferred tax assets considering all relevant factors at each reporting period. As of June 30, 2025, based on the relevant weight of positive and negative evidence, including its ability to forecast future operating results, historical tax losses and its ability to utilize deferred tax assets within the requisite carryforward periods, the Company maintains a valuation allowance on the majority of its U.S. federal, state and foreign deferred tax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SUBSEQUENT EVENTS</w:t>
      </w:r>
    </w:p>
    <w:p>
      <w:pPr>
        <w:spacing w:after="0" w:line="238"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and includes tax reform provisions that amend, eliminate and extend tax rules under the Inflation Reduction Act of 2022 and the Tax Cuts and Jobs Act of 2017 and makes other changes to the Internal Revenue Code of 1986, as amended (the “Code”). The Company is reviewing the impact of the OBBBA, but does not expect it to have a material impact on the Company’s 2025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51"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the accompanying unaudited consolidated financial statements and applicable notes thereto included in Part I, Item 1 of this Report, together with "Management's Discussion and Analysis of Financial Condition and Results of Operation" included in our 2024 Annual Report. The following information contains forward-looking statements, which are not guarantees of future performance and are not necessarily indicative of future results and are subject to risks and uncertainties. Should one or more of these risks or uncertainties materialize, our actual results may differ from those express or implied by the forward-looking statements. See “Cautionary Statement About Forward-Looking Statements” at the beginning of this Report for further information.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Mobile Satellite Services Business</w:t>
      </w:r>
    </w:p>
    <w:p>
      <w:pPr>
        <w:spacing w:after="0" w:line="251"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Through its global satellite network, Globalstar, Inc. ("we", "us" or the "Company") provides Mobile Satellite Services (“MSS”), including voice and data communications services to retail, business and governmental customers as well as wholesale capacity services. We offer these services over our network of in-orbit satellites and ground stations (“gateways”), pursuant to our spectrum licenses, which we refer to collectively as the Globalstar System. In addition to supporting Internet of Things ("IoT") data transmissions in a variety of applications, we provide reliable connectivity in areas not served or underserved by terrestrial wireless and wireline networks and in circumstances where terrestrial networks are not operational due to natural or man-made disasters. By providing global mobile satellite communications services, we aim to meet our customers' increasing desire for connectivity.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Globalstar System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Satellite and Ground Network</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Our goal is to provide service levels and call or message success rates equal to or better than our MSS competitors so our products and services are attractive to potential customers.</w:t>
      </w:r>
    </w:p>
    <w:p>
      <w:pPr>
        <w:spacing w:after="0" w:line="173"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Our satellites communicate with a global network of gateways, each of which serves an area of up to 1,000,000 square miles. A gateway must be within line-of-sight of a satellite and the satellite must be within line-of-sight of the subscriber to provide services. We locate our gateways to maximize coverage over most of the Earth's land and human population and provide redundancy in the unlikely event that a tracking antenna or gateway is offline for any reason. We constantly evaluate and, as deemed necessary, expand our global network of gateways to meet market demand and optimize coverage and service quality. We have announced plans to expand various ground networks to support the Extended MSS Network with construction underway at critical sites in North America, Asia and Europe. This global expansion initiative is expected to include approximately 90 new antennas across 35 ground stations in 25 countries.</w:t>
      </w:r>
    </w:p>
    <w:p>
      <w:pPr>
        <w:spacing w:after="0" w:line="200"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We believe that the design of the Globalstar System enables faster and more cost-effective system maintenance and upgrades because the software and much of the hardware are located on the ground. Our multiple gateways allow us to reconfigure the Globalstar System quickly to extend another gateway's coverage to make up for lost coverage from a disabled gateway or to increase capacity resulting from surges in demand.</w:t>
      </w:r>
    </w:p>
    <w:p>
      <w:pPr>
        <w:spacing w:after="0" w:line="188"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In 2022, we entered into a satellite procurement agreement with Macdonald, Dettwiler and Associates Corporation ("MDA") pursuant to which we expect to acquire 17 satellites with an option to procure an additional nine satellites to replace our HIBLEO-4 U.S.-licensed system. In August 2024, the Federal Communications Commission (the "FCC") Space Bureau granted our application to replace our HIBLEO-4 U.S.-licensed system with up to 26 satellites and operate them under a renewed 15-year license term to provide long-term continuity of our MSS. The technical specifications and design of these replacement satellites are similar to our current satellites. The satellite procurement agreement requires delivery of the 17 HIBLEO-4 replacement satellites by 2025. These replacement satellites are expected to complement our existing second-generation constellation to ensure continuous service delivery. In February 2025, we entered into another agreement with MDA pursuant to which we expect to acquire more than 50 satellites related to the Extended MSS Network.</w:t>
      </w:r>
    </w:p>
    <w:p>
      <w:pPr>
        <w:spacing w:after="0" w:line="199"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In each of August 2023 and June 2025, we entered into a Launch Services Agreement with Space Exploration Technologies Corp. (“SpaceX”) and certain related ancillary agreements (collectively, the “Launch Services Agreements”), providing for the launch of the first set of 8 replacement satellites expected in the fourth quarter of 2025 and second set of 9 replacement satellites expected in 2026, respectively, that the Company is acquiring pursuant to the 2022 satellite procurement agreement with MDA. In October 2024, we entered into additional agreements with SpaceX for the launch of the new C-3 System (defined below) satellites to support the Extended MSS Network.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Spectrum and Regulatory Structure</w:t>
      </w:r>
    </w:p>
    <w:p>
      <w:pPr>
        <w:spacing w:after="0" w:line="238"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can be deployed and sold worldwide. In addition, this broad spectrum allocation enhances our ability to capitalize on existing and emerging wireless and broadband applications.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5" w:name="page26"/>
    <w:bookmarkEnd w:id="25"/>
    <w:p>
      <w:pPr>
        <w:ind w:left="240"/>
        <w:spacing w:after="0"/>
        <w:rPr>
          <w:sz w:val="20"/>
          <w:szCs w:val="20"/>
          <w:color w:val="auto"/>
        </w:rPr>
      </w:pPr>
      <w:r>
        <w:rPr>
          <w:rFonts w:ascii="Times New Roman" w:cs="Times New Roman" w:eastAsia="Times New Roman" w:hAnsi="Times New Roman"/>
          <w:sz w:val="17"/>
          <w:szCs w:val="17"/>
          <w:color w:val="auto"/>
        </w:rPr>
        <w:t>In June 2025, the FCC Space Bureau accepted our third-generation C-3 satellite system (the "C-3 System") petition for filing and published it for comment.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C-3 System is expected to support the Extended MSS Network.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Strategy</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Our competitive advantages are leveraged through our ability to deliver wholesale satellite capacity services, communications products and services, government services, and terrestrial spectrum and network solutions. These core competencies are outlined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Wholesale Satellite Capacity Services</w:t>
      </w:r>
    </w:p>
    <w:p>
      <w:pPr>
        <w:spacing w:after="0" w:line="251" w:lineRule="exact"/>
        <w:rPr>
          <w:sz w:val="20"/>
          <w:szCs w:val="20"/>
          <w:color w:val="auto"/>
        </w:rPr>
      </w:pPr>
    </w:p>
    <w:p>
      <w:pPr>
        <w:jc w:val="both"/>
        <w:ind w:firstLine="279"/>
        <w:spacing w:after="0" w:line="264" w:lineRule="auto"/>
        <w:rPr>
          <w:sz w:val="20"/>
          <w:szCs w:val="20"/>
          <w:color w:val="auto"/>
        </w:rPr>
      </w:pPr>
      <w:r>
        <w:rPr>
          <w:rFonts w:ascii="Times New Roman" w:cs="Times New Roman" w:eastAsia="Times New Roman" w:hAnsi="Times New Roman"/>
          <w:sz w:val="17"/>
          <w:szCs w:val="17"/>
          <w:color w:val="auto"/>
        </w:rPr>
        <w:t>Wholesale satellite capacity services include satellite network access and related services over the Globalstar System. We provide certain services to Apple Inc. (the "Customer") pursuant to the Updated Services Agreements (as defined below). The Updated Services Agreements generally require us to allocate network capacity to support the services provided to the Customer and for the Customer to enable Band 53/n53 for use in cellular-enabled devices designated by the Customer for use with the services. As consideration for the services provided by us, payments to us include a fixed service fee, fees relating to certain service-related operating expenses and capital expenditures, additional fees related to expanded services, and potential bonus payments subject to satisfaction of certain licensing, service and related criteria.</w:t>
      </w:r>
    </w:p>
    <w:p>
      <w:pPr>
        <w:spacing w:after="0" w:line="200"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In October 2024, we agreed to make certain amendments to the then-existing service agreements and entered into other related agreements with the Customer (as amended, collectively, the "Updated Services Agreements") to deliver expanded services over a new MSS network, including a new satellite constellation, expanded ground infrastructure, and increased global MSS licensing (collectively the "Extended MSS Network"). As consideration for the additional services, payments to us will include incremental service fees tied to the cost of the Extended MSS Network, fees for providing additional related services, fees tied to expenses incurred for the provision of such services, and performance bonuses (if earned). For additional information about the Updated Services Agreements, see Note 2: Special Purpose Entity to our condensed consolidated financial statements.</w:t>
      </w:r>
    </w:p>
    <w:p>
      <w:pPr>
        <w:spacing w:after="0" w:line="20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retain 15% of our current and future network capacity to support our other customers, including our existing and future Commercial IoT, SPOT and Duplex subscribers. This capacity can support a substantial increase in our own subscriber base. This retained satellite capacity can be used by us directly or through additional wholesale customer opportunities.</w:t>
      </w:r>
    </w:p>
    <w:p>
      <w:pPr>
        <w:spacing w:after="0" w:line="18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For the six months ended June 30, 2025 and 2024, the Customer, under the Updated Services Agreements, was responsible for 62% and 56%, respectively, of our total revenue. No other customer was responsible for more than 10% of our revenue. The loss of the Customer would likely have a material adverse impact on our financial condition, results of operations and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Communications Products and Services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currently provide the following communications products and services to our MSS subscribers:</w:t>
      </w:r>
    </w:p>
    <w:p>
      <w:pPr>
        <w:spacing w:after="0" w:line="249" w:lineRule="exact"/>
        <w:rPr>
          <w:sz w:val="20"/>
          <w:szCs w:val="20"/>
          <w:color w:val="auto"/>
        </w:rPr>
      </w:pPr>
    </w:p>
    <w:p>
      <w:pPr>
        <w:ind w:left="640" w:hanging="322"/>
        <w:spacing w:after="0" w:line="267"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transmissions using a mobile or fixed device that transmits the location of the devices and other information to a central monitoring station, including our commercial IoT products ("Commercial IoT");</w:t>
      </w:r>
    </w:p>
    <w:p>
      <w:pPr>
        <w:spacing w:after="0" w:line="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communication and data transmissions using our SPOT family of mobile devices that transmit messages and the location of the device ("SPOT"); and</w:t>
      </w:r>
    </w:p>
    <w:p>
      <w:pPr>
        <w:spacing w:after="0" w:line="1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voice communication and data transmissions ("Duplex").</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6" w:name="page27"/>
    <w:bookmarkEnd w:id="26"/>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As of June 30, 2025, we had approximately 784,000 subscribers worldwide. Our subscriber count only includes our MSS subscribers using devices sold and manufactured by Globalstar. For our subscriber driven revenue, the specialized needs of our global customers span many industries. The Globalstar System is able to offer our customers cost-effective communications solutions completely independent of cellular coverage. Although traditional users of wireless telephone and broadband data services have access to such services in developed locations, our MSS customers often operate, travel and/or live in remote regions or regions with under-developed telecommunications infrastructure where such services are not readily available or are not provided on a reliable basis.</w:t>
      </w:r>
    </w:p>
    <w:p>
      <w:pPr>
        <w:spacing w:after="0" w:line="197"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We compete aggressively on price and strive to differentiate the solutions that we offer to our customers. As technological advancements are made, we continue to explore opportunities to develop new products and provide new services over the Globalstar System to meet the needs of our existing and prospective customers. Our current initiatives are focused in part on further investment and development of Commercial IoT-enabled devices, including a two-way reference design module and finished products.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Government Services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We have an exclusive partnership with Parsons Corporation, a governmental services company, to utilize the Globalstar System to provide an innovative solution design to enhance resilience against disrupted communication pathways. We also provide engineering services to assist certain governmental and other customers in developing new applications to operate on our network and to enhance our ground network. These services include hardware and software designs to develop specific applications operating over our satellite network, as well as the installation of gateways and antennas.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Terrestrial Spectrum and Network Solutions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We are authorized to provide terrestrial broadband services over 11.5 MHz of our licensed MSS spectrum at 2483.5 to 2495 MHz throughout the United States of America and its territories. The Third Generation Partnership Project (“3GPP”), an organization that produces technical specifications and reports for 3GPP technologies, has designated the 11.5 MHz terrestrial band as Band 53 with 5G variant of our Band 53, known as n53 (collectively "Band 53/n53").</w:t>
      </w:r>
    </w:p>
    <w:p>
      <w:pPr>
        <w:spacing w:after="0" w:line="188"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7"/>
          <w:szCs w:val="17"/>
          <w:color w:val="auto"/>
        </w:rPr>
        <w:t>We have terrestrial licenses in 12 countries, resulting in approximately 12.0 billion MHz-POPs (megahertz of our spectrum authority in each country multiplied by a total population of approximately 961 million over the covered area) as of June 30, 2025. Prospective spectrum partners, including cable companies, wireless carriers, system integrators, utilities and other infrastructure operators, are able to benefit from access to uniform and increasingly “borderless” spectrum working across geographies. We believe our expanding portfolio of terrestrial spectrum represents a substantial opportunity for us. The Updated Services Agreements significantly enhance the device ecosystem for Band 53/n53 by enabling access to our terrestrial spectrum band in certain of the Customer's devices.</w:t>
      </w:r>
    </w:p>
    <w:p>
      <w:pPr>
        <w:spacing w:after="0" w:line="200" w:lineRule="exact"/>
        <w:rPr>
          <w:sz w:val="20"/>
          <w:szCs w:val="20"/>
          <w:color w:val="auto"/>
        </w:rPr>
      </w:pPr>
    </w:p>
    <w:p>
      <w:pPr>
        <w:spacing w:after="0" w:line="211"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7"/>
          <w:szCs w:val="17"/>
          <w:color w:val="auto"/>
        </w:rPr>
        <w:t>We have an Intellectual Property License Agreement (the “License Agreement”) with XCOM Labs, Inc. (now known as Virewirx, Inc.) (“Licensor” or “XCOM”). Under the License Agreement, we purchased an exclusive right and license (the “License”) as well as certain intellectual property assets relating to the development and commercialization of XCOM’s key novel technologies for wireless spectrum innovations, including XCOM RAN systems, which is XCOM’s commercially available coordinated multi-point radio system. XCOM RAN systems deliver substantial capacity gains in dense, complex, challenging wireless environments in sub 7 GHz spectrum. We also gained exclusive access to XCOM’s peer-to-peer connectivity technologies that could have applications across cellular and satellite devices. As part of the License Agreement, certain XCOM employees, including engineering, test, product and R&amp;D professionals, who helped develop the licensed technologies, have continued to further commercialize the technology on behalf of Globalstar as either employees or contractors. We believe bringing together Globalstar’s terrestrial spectrum and relationships with leading partners around the world with XCOM’s differentiated technology creates a significant opportunity to deliver private networks for mission-critical needs of customers.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Reverse Stock Split and Nasdaq Listing</w:t>
      </w:r>
    </w:p>
    <w:p>
      <w:pPr>
        <w:spacing w:after="0" w:line="251"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color w:val="auto"/>
        </w:rPr>
        <w:t>Effective following the close of trading on February 10, 2025, we voluntarily withdrew the listing of our common stock from the NYSE American, effected a reverse stock split at a ratio of 1 to 15 shares of our common stock and amended our certificate of incorporation to reduce the number of authorized shares of our common stock that we may issue from 2,150,000,000 shares to 143,333,334 shares of common stock. Effective at the start of trading on February 11, 2025, our common stock began trading on a post-split basis under the symbol “GSAT” on the Nasdaq Stock Market LLC.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7"/>
          <w:szCs w:val="17"/>
          <w:color w:val="auto"/>
        </w:rPr>
        <w:t>For additional information regarding the reverse stock split and Nasdaq listing, see Note 1: Basis of Presentation—Reverse Stock Split and Note 13: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to our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Indicators</w:t>
      </w:r>
    </w:p>
    <w:p>
      <w:pPr>
        <w:spacing w:after="0" w:line="251" w:lineRule="exact"/>
        <w:rPr>
          <w:sz w:val="20"/>
          <w:szCs w:val="20"/>
          <w:color w:val="auto"/>
        </w:rPr>
      </w:pPr>
    </w:p>
    <w:p>
      <w:pPr>
        <w:ind w:firstLine="235"/>
        <w:spacing w:after="0" w:line="295" w:lineRule="auto"/>
        <w:rPr>
          <w:sz w:val="20"/>
          <w:szCs w:val="20"/>
          <w:color w:val="auto"/>
        </w:rPr>
      </w:pPr>
      <w:r>
        <w:rPr>
          <w:rFonts w:ascii="Times New Roman" w:cs="Times New Roman" w:eastAsia="Times New Roman" w:hAnsi="Times New Roman"/>
          <w:sz w:val="17"/>
          <w:szCs w:val="17"/>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73" w:lineRule="exact"/>
        <w:rPr>
          <w:sz w:val="20"/>
          <w:szCs w:val="20"/>
          <w:color w:val="auto"/>
        </w:rPr>
      </w:pPr>
    </w:p>
    <w:p>
      <w:pPr>
        <w:ind w:left="480" w:hanging="319"/>
        <w:spacing w:after="0"/>
        <w:tabs>
          <w:tab w:leader="none" w:pos="4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which is an indicator of our overall business growth;</w:t>
      </w:r>
    </w:p>
    <w:p>
      <w:pPr>
        <w:spacing w:after="0" w:line="31" w:lineRule="exact"/>
        <w:rPr>
          <w:rFonts w:ascii="Times New Roman" w:cs="Times New Roman" w:eastAsia="Times New Roman" w:hAnsi="Times New Roman"/>
          <w:sz w:val="17"/>
          <w:szCs w:val="17"/>
          <w:color w:val="auto"/>
        </w:rPr>
      </w:pPr>
    </w:p>
    <w:p>
      <w:pPr>
        <w:ind w:left="480" w:hanging="319"/>
        <w:spacing w:after="0"/>
        <w:tabs>
          <w:tab w:leader="none" w:pos="4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growth and churn rate, which are both indicators of the satisfaction of our customers;</w:t>
      </w:r>
    </w:p>
    <w:p>
      <w:pPr>
        <w:spacing w:after="0" w:line="13" w:lineRule="exact"/>
        <w:rPr>
          <w:rFonts w:ascii="Times New Roman" w:cs="Times New Roman" w:eastAsia="Times New Roman" w:hAnsi="Times New Roman"/>
          <w:sz w:val="17"/>
          <w:szCs w:val="17"/>
          <w:color w:val="auto"/>
        </w:rPr>
      </w:pPr>
    </w:p>
    <w:p>
      <w:pPr>
        <w:ind w:left="480" w:hanging="319"/>
        <w:spacing w:after="0" w:line="256" w:lineRule="auto"/>
        <w:tabs>
          <w:tab w:leader="none" w:pos="47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revenue per user, or ARPU, which is an indicator of our pricing and ability to obtain effectively long-term, high-value customers. We calculate ARPU separately for each type of our subscriber-driven revenue, including Commercial IoT, SPOT and Duplex;</w:t>
      </w:r>
    </w:p>
    <w:p>
      <w:pPr>
        <w:spacing w:after="0" w:line="1" w:lineRule="exact"/>
        <w:rPr>
          <w:rFonts w:ascii="Times New Roman" w:cs="Times New Roman" w:eastAsia="Times New Roman" w:hAnsi="Times New Roman"/>
          <w:sz w:val="17"/>
          <w:szCs w:val="17"/>
          <w:color w:val="auto"/>
        </w:rPr>
      </w:pPr>
    </w:p>
    <w:p>
      <w:pPr>
        <w:ind w:left="480" w:hanging="319"/>
        <w:spacing w:after="0"/>
        <w:tabs>
          <w:tab w:leader="none" w:pos="4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and adjusted EBITDA, both of which are indicators of our financial performance; and</w:t>
      </w:r>
    </w:p>
    <w:p>
      <w:pPr>
        <w:spacing w:after="0" w:line="13" w:lineRule="exact"/>
        <w:rPr>
          <w:rFonts w:ascii="Times New Roman" w:cs="Times New Roman" w:eastAsia="Times New Roman" w:hAnsi="Times New Roman"/>
          <w:sz w:val="17"/>
          <w:szCs w:val="17"/>
          <w:color w:val="auto"/>
        </w:rPr>
      </w:pPr>
    </w:p>
    <w:p>
      <w:pPr>
        <w:ind w:left="480" w:hanging="319"/>
        <w:spacing w:after="0"/>
        <w:tabs>
          <w:tab w:leader="none" w:pos="4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which are an indicator of future revenue growth potential and cash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Regulatory Change</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See Note 15: Subsequent Events for more information regarding the One Big Beautiful Bill Act (“OBBBA”) was enacted on July 4, 2025. The Company is reviewing the impact of the OBBBA, but does not expect it to have a material impact on the Company’s 2025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Results of Operations for the three and six months ended June 30, 2025 and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Revenue</w:t>
      </w:r>
    </w:p>
    <w:p>
      <w:pPr>
        <w:spacing w:after="0" w:line="251"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Our revenue is categorized as service revenue and subscriber equipment sales. Service revenue is generated by the MSS services we provide to customers using the Globalstar System. Subscriber equipment sales are generated from the sale of MSS devices that work over the Globalstar System. We also generate service and equipment revenue from the sale of XCOM RAN systems and associated services that support such systems. For the three months ended June 30, 2025, total revenue increased 11% to $67.1 million from $60.4 million for the same period in 2024. For the six months ended June 30, 2025, total revenue increased 9% to $127.2 million from $116.9 million for the same period in 2024. The increases in revenue for both the three and six month periods ended June 30, 2025 resulted primarily from higher wholesale capacity services. See below for a discussion of the main fluctuations in revenue.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8" w:name="page29"/>
    <w:bookmarkEnd w:id="28"/>
    <w:p>
      <w:pPr>
        <w:ind w:left="240"/>
        <w:spacing w:after="0"/>
        <w:rPr>
          <w:sz w:val="20"/>
          <w:szCs w:val="20"/>
          <w:color w:val="auto"/>
        </w:rPr>
      </w:pPr>
      <w:r>
        <w:rPr>
          <w:rFonts w:ascii="Times New Roman" w:cs="Times New Roman" w:eastAsia="Times New Roman" w:hAnsi="Times New Roman"/>
          <w:sz w:val="17"/>
          <w:szCs w:val="17"/>
          <w:color w:val="auto"/>
        </w:rPr>
        <w:t>The following table sets forth amounts and percentages of our revenue by type of service (dollars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w w:val="99"/>
              </w:rPr>
              <w:t>Three Months Ended</w:t>
            </w:r>
          </w:p>
        </w:tc>
        <w:tc>
          <w:tcPr>
            <w:tcW w:w="140" w:type="dxa"/>
            <w:vAlign w:val="bottom"/>
          </w:tcPr>
          <w:p>
            <w:pPr>
              <w:spacing w:after="0"/>
              <w:rPr>
                <w:sz w:val="16"/>
                <w:szCs w:val="16"/>
                <w:color w:val="auto"/>
              </w:rPr>
            </w:pPr>
          </w:p>
        </w:tc>
        <w:tc>
          <w:tcPr>
            <w:tcW w:w="210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w w:val="99"/>
              </w:rPr>
              <w:t>Three Months Ended</w:t>
            </w:r>
          </w:p>
        </w:tc>
        <w:tc>
          <w:tcPr>
            <w:tcW w:w="160" w:type="dxa"/>
            <w:vAlign w:val="bottom"/>
          </w:tcPr>
          <w:p>
            <w:pPr>
              <w:spacing w:after="0"/>
              <w:rPr>
                <w:sz w:val="16"/>
                <w:szCs w:val="16"/>
                <w:color w:val="auto"/>
              </w:rPr>
            </w:pPr>
          </w:p>
        </w:tc>
        <w:tc>
          <w:tcPr>
            <w:tcW w:w="210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color w:val="auto"/>
                <w:w w:val="97"/>
              </w:rPr>
              <w:t>Six Months Ended</w:t>
            </w:r>
          </w:p>
        </w:tc>
        <w:tc>
          <w:tcPr>
            <w:tcW w:w="160" w:type="dxa"/>
            <w:vAlign w:val="bottom"/>
          </w:tcPr>
          <w:p>
            <w:pPr>
              <w:spacing w:after="0"/>
              <w:rPr>
                <w:sz w:val="16"/>
                <w:szCs w:val="16"/>
                <w:color w:val="auto"/>
              </w:rPr>
            </w:pPr>
          </w:p>
        </w:tc>
        <w:tc>
          <w:tcPr>
            <w:tcW w:w="2000" w:type="dxa"/>
            <w:vAlign w:val="bottom"/>
            <w:gridSpan w:val="3"/>
          </w:tcPr>
          <w:p>
            <w:pPr>
              <w:jc w:val="right"/>
              <w:ind w:right="442"/>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06"/>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w w:val="96"/>
              </w:rPr>
              <w:t>June 30, 2025</w:t>
            </w:r>
          </w:p>
        </w:tc>
        <w:tc>
          <w:tcPr>
            <w:tcW w:w="140" w:type="dxa"/>
            <w:vAlign w:val="bottom"/>
          </w:tcPr>
          <w:p>
            <w:pPr>
              <w:spacing w:after="0"/>
              <w:rPr>
                <w:sz w:val="17"/>
                <w:szCs w:val="17"/>
                <w:color w:val="auto"/>
              </w:rPr>
            </w:pPr>
          </w:p>
        </w:tc>
        <w:tc>
          <w:tcPr>
            <w:tcW w:w="21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w w:val="96"/>
              </w:rPr>
              <w:t>June 30, 2024</w:t>
            </w:r>
          </w:p>
        </w:tc>
        <w:tc>
          <w:tcPr>
            <w:tcW w:w="160" w:type="dxa"/>
            <w:vAlign w:val="bottom"/>
          </w:tcPr>
          <w:p>
            <w:pPr>
              <w:spacing w:after="0"/>
              <w:rPr>
                <w:sz w:val="17"/>
                <w:szCs w:val="17"/>
                <w:color w:val="auto"/>
              </w:rPr>
            </w:pPr>
          </w:p>
        </w:tc>
        <w:tc>
          <w:tcPr>
            <w:tcW w:w="210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color w:val="auto"/>
                <w:w w:val="98"/>
              </w:rPr>
              <w:t>June 30, 2025</w:t>
            </w:r>
          </w:p>
        </w:tc>
        <w:tc>
          <w:tcPr>
            <w:tcW w:w="160" w:type="dxa"/>
            <w:vAlign w:val="bottom"/>
          </w:tcPr>
          <w:p>
            <w:pPr>
              <w:spacing w:after="0"/>
              <w:rPr>
                <w:sz w:val="17"/>
                <w:szCs w:val="17"/>
                <w:color w:val="auto"/>
              </w:rPr>
            </w:pPr>
          </w:p>
        </w:tc>
        <w:tc>
          <w:tcPr>
            <w:tcW w:w="2000" w:type="dxa"/>
            <w:vAlign w:val="bottom"/>
            <w:gridSpan w:val="3"/>
          </w:tcPr>
          <w:p>
            <w:pPr>
              <w:jc w:val="right"/>
              <w:ind w:right="562"/>
              <w:spacing w:after="0"/>
              <w:rPr>
                <w:sz w:val="20"/>
                <w:szCs w:val="20"/>
                <w:color w:val="auto"/>
              </w:rPr>
            </w:pPr>
            <w:r>
              <w:rPr>
                <w:rFonts w:ascii="Times New Roman" w:cs="Times New Roman" w:eastAsia="Times New Roman" w:hAnsi="Times New Roman"/>
                <w:sz w:val="16"/>
                <w:szCs w:val="16"/>
                <w:color w:val="auto"/>
              </w:rPr>
              <w:t>June 30, 2024</w:t>
            </w: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color w:val="auto"/>
                <w:w w:val="96"/>
              </w:rPr>
              <w:t>% of Total</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color w:val="auto"/>
                <w:w w:val="96"/>
              </w:rPr>
              <w:t>% of Total</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color w:val="auto"/>
                <w:w w:val="96"/>
              </w:rPr>
              <w:t>% of Total</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tcBorders>
              <w:top w:val="single" w:sz="8" w:color="auto"/>
            </w:tcBorders>
          </w:tcPr>
          <w:p>
            <w:pPr>
              <w:jc w:val="right"/>
              <w:ind w:right="142"/>
              <w:spacing w:after="0" w:line="153" w:lineRule="exact"/>
              <w:rPr>
                <w:sz w:val="20"/>
                <w:szCs w:val="20"/>
                <w:color w:val="auto"/>
              </w:rPr>
            </w:pPr>
            <w:r>
              <w:rPr>
                <w:rFonts w:ascii="Times New Roman" w:cs="Times New Roman" w:eastAsia="Times New Roman" w:hAnsi="Times New Roman"/>
                <w:sz w:val="16"/>
                <w:szCs w:val="16"/>
                <w:color w:val="auto"/>
              </w:rPr>
              <w:t>% of Total</w:t>
            </w:r>
          </w:p>
        </w:tc>
        <w:tc>
          <w:tcPr>
            <w:tcW w:w="0" w:type="dxa"/>
            <w:vAlign w:val="bottom"/>
          </w:tcPr>
          <w:p>
            <w:pPr>
              <w:spacing w:after="0"/>
              <w:rPr>
                <w:sz w:val="1"/>
                <w:szCs w:val="1"/>
                <w:color w:val="auto"/>
              </w:rPr>
            </w:pPr>
          </w:p>
        </w:tc>
      </w:tr>
      <w:tr>
        <w:trPr>
          <w:trHeight w:val="204"/>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Revenue</w:t>
            </w: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Revenue</w:t>
            </w: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Revenue</w:t>
            </w: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1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Revenue</w:t>
            </w:r>
          </w:p>
        </w:tc>
        <w:tc>
          <w:tcPr>
            <w:tcW w:w="0" w:type="dxa"/>
            <w:vAlign w:val="bottom"/>
          </w:tcPr>
          <w:p>
            <w:pPr>
              <w:spacing w:after="0"/>
              <w:rPr>
                <w:sz w:val="1"/>
                <w:szCs w:val="1"/>
                <w:color w:val="auto"/>
              </w:rPr>
            </w:pPr>
          </w:p>
        </w:tc>
      </w:tr>
      <w:tr>
        <w:trPr>
          <w:trHeight w:val="204"/>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Service revenue:</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Wholesale capacity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42,385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79,094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06"/>
        </w:trPr>
        <w:tc>
          <w:tcPr>
            <w:tcW w:w="2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Subscriber services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Commercial IoT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7,051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6"/>
        </w:trPr>
        <w:tc>
          <w:tcPr>
            <w:tcW w:w="2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SPOT</w:t>
            </w:r>
          </w:p>
        </w:tc>
        <w:tc>
          <w:tcPr>
            <w:tcW w:w="14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9,224</w:t>
            </w:r>
          </w:p>
        </w:tc>
        <w:tc>
          <w:tcPr>
            <w:tcW w:w="10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10,379</w:t>
            </w:r>
          </w:p>
        </w:tc>
        <w:tc>
          <w:tcPr>
            <w:tcW w:w="10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18,595</w:t>
            </w:r>
          </w:p>
        </w:tc>
        <w:tc>
          <w:tcPr>
            <w:tcW w:w="10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20,622</w:t>
            </w:r>
          </w:p>
        </w:tc>
        <w:tc>
          <w:tcPr>
            <w:tcW w:w="10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Duplex</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3,677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6"/>
        </w:trPr>
        <w:tc>
          <w:tcPr>
            <w:tcW w:w="2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Government and other services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service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63,216</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57,635</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120,283</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111,100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sets forth our average number of subscribers and ARPU by type of subscriber services revenue.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00" w:type="dxa"/>
            <w:vAlign w:val="bottom"/>
          </w:tcPr>
          <w:p>
            <w:pPr>
              <w:spacing w:after="0"/>
              <w:rPr>
                <w:sz w:val="19"/>
                <w:szCs w:val="19"/>
                <w:color w:val="auto"/>
              </w:rPr>
            </w:pPr>
          </w:p>
        </w:tc>
        <w:tc>
          <w:tcPr>
            <w:tcW w:w="23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120" w:type="dxa"/>
            <w:vAlign w:val="bottom"/>
          </w:tcPr>
          <w:p>
            <w:pPr>
              <w:spacing w:after="0"/>
              <w:rPr>
                <w:sz w:val="19"/>
                <w:szCs w:val="19"/>
                <w:color w:val="auto"/>
              </w:rPr>
            </w:pPr>
          </w:p>
        </w:tc>
        <w:tc>
          <w:tcPr>
            <w:tcW w:w="2100" w:type="dxa"/>
            <w:vAlign w:val="bottom"/>
            <w:gridSpan w:val="4"/>
          </w:tcPr>
          <w:p>
            <w:pPr>
              <w:jc w:val="right"/>
              <w:ind w:right="53"/>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15"/>
        </w:trPr>
        <w:tc>
          <w:tcPr>
            <w:tcW w:w="67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2024</w:t>
            </w: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Average number of subscribers for the period: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IoT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508,518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528,869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506,793</w:t>
            </w:r>
          </w:p>
        </w:tc>
      </w:tr>
      <w:tr>
        <w:trPr>
          <w:trHeight w:val="222"/>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SPOT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224,885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227,546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248,329</w:t>
            </w:r>
          </w:p>
        </w:tc>
      </w:tr>
      <w:tr>
        <w:trPr>
          <w:trHeight w:val="222"/>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Duplex</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28,715</w:t>
            </w:r>
          </w:p>
        </w:tc>
      </w:tr>
      <w:tr>
        <w:trPr>
          <w:trHeight w:val="222"/>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w:t>
            </w:r>
          </w:p>
        </w:tc>
      </w:tr>
      <w:tr>
        <w:trPr>
          <w:trHeight w:val="240"/>
        </w:trPr>
        <w:tc>
          <w:tcPr>
            <w:tcW w:w="6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781,470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782,895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779,301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784,143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ARPU (monthly):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2"/>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IoT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r>
      <w:tr>
        <w:trPr>
          <w:trHeight w:val="222"/>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SPOT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w:t>
            </w:r>
          </w:p>
        </w:tc>
      </w:tr>
      <w:tr>
        <w:trPr>
          <w:trHeight w:val="227"/>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Duplex</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56.42</w:t>
            </w:r>
          </w:p>
        </w:tc>
      </w:tr>
    </w:tbl>
    <w:p>
      <w:pPr>
        <w:spacing w:after="0" w:line="200" w:lineRule="exact"/>
        <w:rPr>
          <w:sz w:val="20"/>
          <w:szCs w:val="20"/>
          <w:color w:val="auto"/>
        </w:rPr>
      </w:pPr>
    </w:p>
    <w:p>
      <w:pPr>
        <w:spacing w:after="0" w:line="208"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We count "subscribers" based on the number of devices that are subject to agreements that entitle them to use our voice or data communications services rather than the number of persons or entities who own or lease those devices. Other providers of comparable services may count their subscribers differently.</w:t>
      </w:r>
    </w:p>
    <w:p>
      <w:pPr>
        <w:spacing w:after="0" w:line="17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Wholesale capacity services revenue includes revenue generated from providing satellite network access and related services, including revenue from the Customer under the Updated Services Agreement. Government and other services revenue includes revenue generated primarily from terrestrial spectrum and network solutions as well as governmental and engineering service contracts. None of these service revenue items are subscriber driven. Accordingly, we do not present ARPU for wholesale capacity services revenue or government and other services revenue in the table above.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 Revenue</w:t>
      </w:r>
    </w:p>
    <w:p>
      <w:pPr>
        <w:spacing w:after="0" w:line="251"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Wholesale capacity services revenue increased 24% and 21%, respectively, for the three and six months ended June 30, 2025, compared to the same periods in 2024. This type of service includes revenue from the Customer under the Updated Services Agreements. The majority of the increase during the second quarter of 2025 related to the timing of service fees associated with the reimbursement of network-related costs. Additionally, for the six months ended June 30, 2025, revenue increased for fees related to certain expanded services that began in March 2024 as well as revenue associated with higher network costs, which is a driver of the revenue earned under the Updated Services Agreements.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9" w:name="page30"/>
    <w:bookmarkEnd w:id="29"/>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Commercial IoT service revenue increased 5% and 4%, respectively, for the three and six months ended June 30, 2025, compared to the same periods in 2024. Average subscribers increased 5% and 4% respectively, for the three and six months ended June 30, 2025, compared to the same periods in 2024, due to higher subscriber activations on a last twelve month basis. We also expect activations to increase following commercial sales of our two-way reference design module now expected later this year.</w:t>
      </w:r>
    </w:p>
    <w:p>
      <w:pPr>
        <w:spacing w:after="0" w:line="195" w:lineRule="exact"/>
        <w:rPr>
          <w:sz w:val="20"/>
          <w:szCs w:val="20"/>
          <w:color w:val="auto"/>
        </w:rPr>
      </w:pPr>
    </w:p>
    <w:p>
      <w:pPr>
        <w:jc w:val="both"/>
        <w:ind w:firstLine="235"/>
        <w:spacing w:after="0" w:line="273" w:lineRule="auto"/>
        <w:rPr>
          <w:sz w:val="20"/>
          <w:szCs w:val="20"/>
          <w:color w:val="auto"/>
        </w:rPr>
      </w:pPr>
      <w:r>
        <w:rPr>
          <w:rFonts w:ascii="Times New Roman" w:cs="Times New Roman" w:eastAsia="Times New Roman" w:hAnsi="Times New Roman"/>
          <w:sz w:val="17"/>
          <w:szCs w:val="17"/>
          <w:color w:val="auto"/>
        </w:rPr>
        <w:t>SPOT service revenue decreased $1.2 million and $2.0 million, respectively, for the three and six months ended June 30, 2025, compared to the same periods in 2024, due principally to fewer subscribers. The decline in average subscribers is due to continued competitive pressure; however, product engineering efforts continue to be underway to develop a new consumer SPOT device, which we believe could stabilize or even increase demand for such services from our subscribers.</w:t>
      </w:r>
    </w:p>
    <w:p>
      <w:pPr>
        <w:spacing w:after="0" w:line="200" w:lineRule="exact"/>
        <w:rPr>
          <w:sz w:val="20"/>
          <w:szCs w:val="20"/>
          <w:color w:val="auto"/>
        </w:rPr>
      </w:pPr>
    </w:p>
    <w:p>
      <w:pPr>
        <w:spacing w:after="0" w:line="205"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Duplex service revenue decreased $1.3 million and $2.6 million, respectively, for the three and six months ended June 30, 2025, compared to the same periods in 2024, due to fewer average subscribers resulting from our decision to discontinue the manufacture and sale of Duplex devices to increase our focus on maximizing other sources of 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Expenses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Total operating expenses decreased to $61.0 million from $61.8 million and increased to $129.5 million from $123.0 million for the three and six months ended June 30, 2025, respectively, compared to the same periods in 2024. In both periods, stock-based compensation was lower and costs to support XCOM were higher. Additionally, for the six months ended June 30, 2025, operating expenses were also impacted by a loss on disposal of assets. The main contributors to the variances in operating expenses are explained in detail below.</w:t>
      </w:r>
    </w:p>
    <w:p>
      <w:pPr>
        <w:spacing w:after="0" w:line="195"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In February 2025 and May 2025, we received employee retention credits as a result of our eligibility under the provisions of the Coronavirus Aid, Relief and Economic Security Act (the "CARES Act") for the second and third quarters of 2021. During the first and second quarters of 2025, the refunds of $2.0 million and $1.9 million, respectively, reduced operating expenses. Based on the employee costs incurred during the eligible periods, for the first and second quarters of 2025, $1.4 million and $1.3 million, respectively, was allocated to cost of services and $0.6 million for each period was allocated to marketing, general and administrative expense.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Services</w:t>
      </w:r>
    </w:p>
    <w:p>
      <w:pPr>
        <w:spacing w:after="0" w:line="251"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Cost of services increased $1.4 million and $3.2 million for the three and six months ended June 30, 2025, respectively, compared to the same periods in 2024. We continue to incur higher network operating costs relating to our new and upgraded global ground infrastructure. In connection with services provided under the Updated Services Agreements, a substantial portion of these costs are reimbursed thereunder and this consideration is recognized as revenue in accordance with the terms of the Updated Services Agreements. For the three and six months ended June 30, 2025, personnel costs that support the Globalstar System increased $1.0 million and $1.8 million, respectively. Ground network costs, such as occupancy and maintenance charges, increased $0.4 million for both the three and six months ended June 30, 2025 compared to the same periods in 2024.</w:t>
      </w:r>
    </w:p>
    <w:p>
      <w:pPr>
        <w:spacing w:after="0" w:line="200"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For the six months ended June 30, 2025, higher cost of services was also due to expenses totaling $2.0 million for the Support Services Agreement (the “SSA”) (terminated in the second quarter of 2025) as well as other ancillary costs to support XCOM technology development, some of which are due to the timing of the incurrence of certain amortized non-cash costs beginning in May 2024. Costs to support new MSS product development also contributed to the increase in operating expenses during the six months ended June 30,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Marketing, General and Administrative</w:t>
      </w:r>
    </w:p>
    <w:p>
      <w:pPr>
        <w:spacing w:after="0" w:line="251"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Marketing, general and administrative expenses decreased $0.7 million and increased $0.3 million for the three and six months ended June 30, 2025, respectively, compared to the same periods in 2024. For both periods, the portion of the employee retention credits received during the first and second quarters of 2025 (as discussed above) offset expenses. For the six month period ended June 30, 2025, as expected, certain costs, including higher professional fees associated with the Globalstar SPE exceeded such offset of expenses; however, these costs decreased during the second quarter of 2025 and are not expected to recur at the higher level over the second half of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0" w:name="page31"/>
    <w:bookmarkEnd w:id="30"/>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Stock-based compensation expense decreased $3.2 million and $5.5 million, respectively, for the three and six months ended June 30, 2025, compared to the same periods in 2024. The decrease was due primarily to restricted stock units ("RSUs") granted to certain executives in connection with the License Agreement in August 2023, the majority of the cost of which was recognized in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Reduction in Value and Loss on Disposal of Assets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During the first quarter of 2025, we recorded a loss on disposal of assets totaling $7.0 million, which is the net book value of one of our second-generation satellites that experienced a power control anomaly which rendered the satellite inoperable. Based on our recent and historical testing, we currently believe that our constellation of other second-generation satellites will generally operate free of similar anomalies during their projected remaining useful lives. Similar activity did not occur at this level during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(Expense) Income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 and Expense</w:t>
      </w:r>
    </w:p>
    <w:p>
      <w:pPr>
        <w:spacing w:after="0" w:line="251"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Interest expense, net, increased $3.8 million and $7.9 million, respectively, during the three and six months ended June 30, 2025, compared to the same periods in 2024, due to: (1) higher interest costs associated with the 2024 Prepayment Agreement of $12.1 million and $23.6 million, respectively, which were inclusive of a non-cash significant financing component ($8.6 million and $16.6 million, respectively) in accordance with ASC 606 and accrued fees ($7.5 million and $15.0 million, respectively) offset by debt premium amortization ($4.0 million and $8.0 million, respectively), and (2) lower capitalized interest of $1.6 million and $4.9 million, respectively (due in part to the decrease in interest costs eligible for capitalization), which increased "interest income and expense, net" during 2025, offset by: (i) lower interest costs of $7.5 million and $14.8 million, respectively, following the retirement of our 2023 13% Notes in November 2024, and (ii) an increase in interest income of $1.5 million and $4.2 million, respectively, due to a higher cash balance.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Gain (Loss)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Changes in foreign currency gains and losses are driven by the remeasurement of financial statement items, which are denominated in various currencies, at the end of each reporting period.</w:t>
      </w:r>
    </w:p>
    <w:p>
      <w:pPr>
        <w:spacing w:after="0" w:line="173"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We recorded foreign currency gains of $12.0 million and $16.1 million, respectively, during the three and six months ended June 30, 2025, compared to foreign currency losses of $4.5 million and $8.3 million during the three and six months ended June 30, 2024. Many of our foreign subsidiaries have USD-denominated intercompany payable balances, which impact the foreign currency gains and losses recorded each reporting period. In these instances, foreign currency gains result from other currencies strengthening relative to the U.S. dollar; inversely, foreign currency losses result from the U.S. dollar strengthening relative to other currencies.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Income tax expense decreased $2.0 million and increased $2.6 million, respectively, during the three and six months ended June 30, 2025, compared to the same periods in 2024. Overall, the changes in income tax expense were driven by current state tax expense as a result of (i) increased forecasted taxable income, (ii) net operating loss utilization in various states and (iii) an increase in the provision for uncertain tax positions.</w:t>
      </w:r>
    </w:p>
    <w:p>
      <w:pPr>
        <w:spacing w:after="0" w:line="188"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For the three month period, the forecasted 2025 tax provision, as estimated at June 30, 2025, remained relatively consistent with that estimated in the first quarter 2025 despite various jurisdictional fluctuations in forecasted pre-tax income/loss as result of second quarter unrealized foreign currency gains. This resulted in a corresponding change in the annualized effective tax rate during the three months ended June 30, 2025. The effective tax rate for the three months ended June 30, 2025 reflects additional tax benefits to adjust prior quarters' results to the annual effective tax rate. For the six month period, the increase was primarily driven by current state tax expense as a result of increased forecasted taxable income and state tax impacts of a new uncertain tax position in the US.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53"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Our principal sources of liquidity include cash on hand, cash flows from operations and proceeds from the 2023 Funding Agreement and Infrastructure Prepayment (each term defined below). We expect these liquidity sources to meet our short-term and long-term liquidity needs for funding our operating costs, capital expenditures, including related to the Extended MSS Network and other growth opportunities, and financing obligations, including scheduled recoupments under the 2021 and 2023 Funding Agreements and 2024 Prepayment Agreement as well as dividends on our Series A Preferred Stock. In addition, we have issued warrants to the Customer that are exercisable in accordance with the Updated Services Agreements and to Thermo in connection with its guarantee of the 2023 Funding Agreement. These warrants would become a source of liquidity if exercised.</w:t>
      </w:r>
    </w:p>
    <w:p>
      <w:pPr>
        <w:spacing w:after="0" w:line="200"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As of June 30, 2025 and December 31, 2024, we held cash and cash equivalents of $308.2 million and $391.2 million, respectively. The decrease in cash and cash equivalents during 2025 was due primarily to capital expenditures associated with our commitments under the Updated Services Agreements, including network expansion and upgrades, offset partially by $124.7 million in cash received pursuant to the Infrastructure Prepayment.</w:t>
      </w:r>
    </w:p>
    <w:p>
      <w:pPr>
        <w:spacing w:after="0" w:line="188"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principal amount of our debt outstanding was $400.2 million at June 30, 2025, compared to $417.5 million at December 31, 2024. This decrease was due to our scheduled recoupment of $17.3 million under the 2021 Funding Agreement (more detailed discussion and defined terms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six months ended June 30, 2025 and 2024</w:t>
      </w:r>
    </w:p>
    <w:p>
      <w:pPr>
        <w:spacing w:after="0" w:line="2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shows our cash flows from operating, investing and financing activities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913"/>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163"/>
        </w:trPr>
        <w:tc>
          <w:tcPr>
            <w:tcW w:w="7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180"/>
              <w:spacing w:after="0" w:line="163" w:lineRule="exact"/>
              <w:rPr>
                <w:sz w:val="20"/>
                <w:szCs w:val="20"/>
                <w:color w:val="auto"/>
              </w:rPr>
            </w:pPr>
            <w:r>
              <w:rPr>
                <w:rFonts w:ascii="Times New Roman" w:cs="Times New Roman" w:eastAsia="Times New Roman" w:hAnsi="Times New Roman"/>
                <w:sz w:val="17"/>
                <w:szCs w:val="17"/>
                <w:color w:val="auto"/>
              </w:rPr>
              <w:t>June 30,</w:t>
            </w:r>
          </w:p>
        </w:tc>
        <w:tc>
          <w:tcPr>
            <w:tcW w:w="320" w:type="dxa"/>
            <w:vAlign w:val="bottom"/>
          </w:tcPr>
          <w:p>
            <w:pPr>
              <w:spacing w:after="0"/>
              <w:rPr>
                <w:sz w:val="14"/>
                <w:szCs w:val="14"/>
                <w:color w:val="auto"/>
              </w:rPr>
            </w:pPr>
          </w:p>
        </w:tc>
        <w:tc>
          <w:tcPr>
            <w:tcW w:w="1340" w:type="dxa"/>
            <w:vAlign w:val="bottom"/>
          </w:tcPr>
          <w:p>
            <w:pPr>
              <w:jc w:val="right"/>
              <w:ind w:right="453"/>
              <w:spacing w:after="0" w:line="163" w:lineRule="exact"/>
              <w:rPr>
                <w:sz w:val="20"/>
                <w:szCs w:val="20"/>
                <w:color w:val="auto"/>
              </w:rPr>
            </w:pPr>
            <w:r>
              <w:rPr>
                <w:rFonts w:ascii="Times New Roman" w:cs="Times New Roman" w:eastAsia="Times New Roman" w:hAnsi="Times New Roman"/>
                <w:sz w:val="17"/>
                <w:szCs w:val="17"/>
                <w:color w:val="auto"/>
              </w:rPr>
              <w:t>June 30,</w:t>
            </w:r>
          </w:p>
        </w:tc>
      </w:tr>
      <w:tr>
        <w:trPr>
          <w:trHeight w:val="231"/>
        </w:trPr>
        <w:tc>
          <w:tcPr>
            <w:tcW w:w="78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rPr>
              <w:t>2024</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66,486</w:t>
            </w:r>
          </w:p>
        </w:tc>
      </w:tr>
      <w:tr>
        <w:trPr>
          <w:trHeight w:val="22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(271,788)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(74,458)</w:t>
            </w:r>
          </w:p>
        </w:tc>
      </w:tr>
      <w:tr>
        <w:trPr>
          <w:trHeight w:val="22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16,244</w:t>
            </w:r>
          </w:p>
        </w:tc>
      </w:tr>
      <w:tr>
        <w:trPr>
          <w:trHeight w:val="22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w:t>
            </w:r>
          </w:p>
        </w:tc>
      </w:tr>
      <w:tr>
        <w:trPr>
          <w:trHeight w:val="24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Provided by Operating Activities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Net cash provided by operating activities includes primarily cash received from our customers from the sale of products and services, including the performance of wholesale capacity services as well as related to the purchase of equipment and satellite voice and data services. We use cash in operating activities primarily for network costs, personnel costs, inventory purchases and other general corporate expenditures.</w:t>
      </w:r>
    </w:p>
    <w:p>
      <w:pPr>
        <w:spacing w:after="0" w:line="188"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Net cash provided by operating activities during the six months ended June 30, 2025 was $209.7 million, compared to net cash provided by operating activities of $66.5 million during the same period in 2024. This improvement was due primarily to favorable working capital changes, specifically resulting from the receipt of $124.7 million during the second quarter of 2025 pursuant to the Infrastructure Prepayment, which was recorded as deferred revenue and will be used to fund capital expenditure purchases in the near future. During 2025, $30.0 million in accelerated fees were paid to us pursuant to the Updated Services Agreements, which also increased deferred revenue. Other smaller items, such as higher net income, after adjusting for noncash items, was offset by other unfavorable working capital changes during the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Net cash used in investing activities was $271.8 million for the six months ended June 30, 2025, compared to $74.5 million for the same period in 2024. Net cash used in investing activities during both periods included primarily network upgrades associated with the Updated Services Agreements. The increase during 2025 was principally due to $203.1 million in milestone payments to MDA associated with the Extended MSS Network contract executed in February 2025.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color w:val="auto"/>
        </w:rPr>
        <w:t>Cash Flows (Used in) Provided by Financing Activities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Net cash used in financing activities was $22.0 million during the six month period ended June 30, 2025, compared to net cash provided by financing activities of $16.2 million for the same period in 2024. In February 2024, we received proceeds from the 2023 Funding Agreement totaling $37.7 million, which was used to pay amounts owed to MDA. During both 2025 and 2024, we made payments for the scheduled recoupments pursuant to the terms of the 2021 Funding Agreement and also paid cash dividends to our preferred equity holders.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 and Other Financing Arrangements</w:t>
      </w:r>
    </w:p>
    <w:p>
      <w:pPr>
        <w:spacing w:after="0" w:line="2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At June 30, 2025, the principal amount of our debt totaled $400.2 million, which accrues fees at a weighted average stated rate up to 9%.</w:t>
      </w:r>
    </w:p>
    <w:p>
      <w:pPr>
        <w:spacing w:after="0" w:line="249"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At June 30, 2025, our deferred revenue, net, totaled $524.5 million, of which the majority is expected to be earned over a period in excess of five years as we perform services under the Updated Services Agreements.</w:t>
      </w:r>
    </w:p>
    <w:p>
      <w:pPr>
        <w:spacing w:after="0" w:line="17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During the six month period ended June 30, 2025, we paid dividends totaling $5.3 million to holders of the Series A Preferred Stock. Holders of the Series A Preferred Stock are entitled to receive, when, as and if declared by the Board, cumulative cash dividends based on the liquidation preference of the Series A Preferred Stock, at a fixed rate equal to 7.00% per annum.</w:t>
      </w:r>
    </w:p>
    <w:p>
      <w:pPr>
        <w:spacing w:after="0" w:line="188"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For more information regarding our 2024 Debt Repayment, 2021 and 2023 Funding Agreements, Series A Preferred Stock and Infrastructure Payments, see Note 6: Long-Term Debt and Other Financing Arrangements and Note 2: Special Purpose Entity to our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Transactions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have no material off-balance sheet transactions.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For a discussion of recently issued accounting guidance and the expected impact that the guidance could have on our condensed consolidated financial statements, see Recently Issued Accounting Pronouncements in Note 1: Basis of Presentation to our condensed consolidated financial statements in Part I, Item 1 of this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There have been no material changes in our Critical Accounting Policies and Estimates from the information provided in the "Critical Accounting Policies and Estimates" section of Part II, Item 7, "Management's Discussion and Analysis of Financial Condition and Results of Operations" in our 2024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5"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There were no material changes to our market risk during the quarter ended June 30, 2025. For a discussion of our exposure to market risk, refer to our disclosures set forth in Part II, Item 7A, “Quantitative and Qualitative Disclosures About Market Risk” in our 2024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Evaluation of disclosure controls and procedures.</w:t>
      </w:r>
    </w:p>
    <w:p>
      <w:pPr>
        <w:spacing w:after="0" w:line="225"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amended, the "Exchange Act") as of June 30, 2025, the end of the period covered by this Report. This evaluation was based on the guidelines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3" w:name="page34"/>
    <w:bookmarkEnd w:id="33"/>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Based on this evaluation, each of our Principal Executive Officer and Principal Financial Officer concluded that as of June 30, 2025,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7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We believe that the condensed consolidated financial statements included in this Report fairly present, in all material respects, our condensed consolidated financial position and results of operations for the six months ended June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 Changes in internal control over financial reporting.</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As of June 30, 2025, our management, with the participation of our Principal Executive Officer and Principal Financial Officer, evaluated our internal control over financial reporting. Based on this evaluation, our Principal Executive Officer and Principal Financial Officer concluded that no changes in our internal control over financial reporting occurred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There have been no material changes to our risk factors disclosed in Part I, Item 1A, "Risk Factors" of our 2024 Annual Report.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10b5-1 Trading Plans</w:t>
      </w:r>
    </w:p>
    <w:p>
      <w:pPr>
        <w:spacing w:after="0" w:line="251" w:lineRule="exact"/>
        <w:rPr>
          <w:sz w:val="20"/>
          <w:szCs w:val="20"/>
          <w:color w:val="auto"/>
        </w:rPr>
      </w:pPr>
    </w:p>
    <w:p>
      <w:pPr>
        <w:jc w:val="both"/>
        <w:ind w:right="100" w:firstLine="235"/>
        <w:spacing w:after="0" w:line="276" w:lineRule="auto"/>
        <w:rPr>
          <w:sz w:val="20"/>
          <w:szCs w:val="20"/>
          <w:color w:val="auto"/>
        </w:rPr>
      </w:pPr>
      <w:r>
        <w:rPr>
          <w:rFonts w:ascii="Times New Roman" w:cs="Times New Roman" w:eastAsia="Times New Roman" w:hAnsi="Times New Roman"/>
          <w:sz w:val="17"/>
          <w:szCs w:val="17"/>
          <w:color w:val="auto"/>
        </w:rPr>
        <w:t>On June 27, 2025, Rebecca S. Clary, our Vice President and Chief Financial Officer, entered into a Rule 10b5-1 trading plan (the “Plan”) intended to satisfy the affirmative defense conditions of Rule 10b5-1(c). The Plan provides for the sale of $0.3 million target amount of shares of the Company’s voting common stock and will terminate on June 5, 2026.</w:t>
      </w:r>
    </w:p>
    <w:p>
      <w:pPr>
        <w:spacing w:after="0" w:line="188" w:lineRule="exact"/>
        <w:rPr>
          <w:sz w:val="20"/>
          <w:szCs w:val="20"/>
          <w:color w:val="auto"/>
        </w:rPr>
      </w:pPr>
    </w:p>
    <w:p>
      <w:pPr>
        <w:jc w:val="both"/>
        <w:ind w:right="100" w:firstLine="235"/>
        <w:spacing w:after="0" w:line="276" w:lineRule="auto"/>
        <w:rPr>
          <w:sz w:val="20"/>
          <w:szCs w:val="20"/>
          <w:color w:val="auto"/>
        </w:rPr>
      </w:pPr>
      <w:r>
        <w:rPr>
          <w:rFonts w:ascii="Times New Roman" w:cs="Times New Roman" w:eastAsia="Times New Roman" w:hAnsi="Times New Roman"/>
          <w:sz w:val="17"/>
          <w:szCs w:val="17"/>
          <w:color w:val="auto"/>
        </w:rPr>
        <w:t>Other than Ms. Clary, during the fiscal quarter ended June 30, 2025, none of our directors or executive officers adopted or terminated any contract, instruction or written plan for the purchase or sale of the Company's securities that was intended to satisfy the affirmative defense conditions of Rule 10b5-1(c) (each, a “10b5-1 Plan”) or any non-Rule 10b5-1 trading arrangement.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335"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1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90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56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3.1</w:t>
            </w:r>
          </w:p>
        </w:tc>
        <w:tc>
          <w:tcPr>
            <w:tcW w:w="9300" w:type="dxa"/>
            <w:vAlign w:val="bottom"/>
            <w:gridSpan w:val="8"/>
          </w:tcPr>
          <w:p>
            <w:pPr>
              <w:spacing w:after="0" w:line="176" w:lineRule="exact"/>
              <w:rPr>
                <w:sz w:val="20"/>
                <w:szCs w:val="20"/>
                <w:color w:val="auto"/>
              </w:rPr>
            </w:pPr>
            <w:r>
              <w:rPr>
                <w:rFonts w:ascii="Times New Roman" w:cs="Times New Roman" w:eastAsia="Times New Roman" w:hAnsi="Times New Roman"/>
                <w:sz w:val="17"/>
                <w:szCs w:val="17"/>
                <w:color w:val="0000FF"/>
              </w:rPr>
              <w:t>Composite Certificate of Incorporation of Globalstar, Inc. (as amended through May 20, 2025)</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9300" w:type="dxa"/>
            <w:vAlign w:val="bottom"/>
            <w:tcBorders>
              <w:bottom w:val="single" w:sz="8" w:color="0000FF"/>
            </w:tcBorders>
            <w:gridSpan w:val="8"/>
          </w:tcPr>
          <w:p>
            <w:pPr>
              <w:spacing w:after="0"/>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Sixth Amended and Restated Bylaws of Globalstar, Inc. (incorporated by reference to Exhibit 3.2 to the Company’s Quarterly Report</w:t>
              </w:r>
            </w:hyperlink>
          </w:p>
        </w:tc>
        <w:tc>
          <w:tcPr>
            <w:tcW w:w="0" w:type="dxa"/>
            <w:vAlign w:val="bottom"/>
          </w:tcPr>
          <w:p>
            <w:pPr>
              <w:spacing w:after="0"/>
              <w:rPr>
                <w:sz w:val="1"/>
                <w:szCs w:val="1"/>
                <w:color w:val="auto"/>
              </w:rPr>
            </w:pPr>
          </w:p>
        </w:tc>
      </w:tr>
      <w:tr>
        <w:trPr>
          <w:trHeight w:val="150"/>
        </w:trPr>
        <w:tc>
          <w:tcPr>
            <w:tcW w:w="1560" w:type="dxa"/>
            <w:vAlign w:val="bottom"/>
          </w:tcPr>
          <w:p>
            <w:pPr>
              <w:spacing w:after="0"/>
              <w:rPr>
                <w:sz w:val="13"/>
                <w:szCs w:val="13"/>
                <w:color w:val="auto"/>
              </w:rPr>
            </w:pPr>
          </w:p>
        </w:tc>
        <w:tc>
          <w:tcPr>
            <w:tcW w:w="2900" w:type="dxa"/>
            <w:vAlign w:val="bottom"/>
            <w:tcBorders>
              <w:bottom w:val="single" w:sz="8" w:color="0000FF"/>
            </w:tcBorders>
            <w:gridSpan w:val="2"/>
          </w:tcPr>
          <w:p>
            <w:pPr>
              <w:spacing w:after="0" w:line="150" w:lineRule="exact"/>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Form 10-Q filed with the SEC on May 8,</w:t>
              </w:r>
            </w:hyperlink>
          </w:p>
        </w:tc>
        <w:tc>
          <w:tcPr>
            <w:tcW w:w="420" w:type="dxa"/>
            <w:vAlign w:val="bottom"/>
            <w:tcBorders>
              <w:bottom w:val="single" w:sz="8" w:color="0000FF"/>
            </w:tcBorders>
          </w:tcPr>
          <w:p>
            <w:pPr>
              <w:jc w:val="right"/>
              <w:spacing w:after="0" w:line="150" w:lineRule="exact"/>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2025)</w:t>
              </w:r>
            </w:hyperlink>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93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Amended Guaranty Agreement dated as of May 20, 2025 made by Thermo Funding II, LLC</w:t>
            </w:r>
          </w:p>
        </w:tc>
        <w:tc>
          <w:tcPr>
            <w:tcW w:w="0" w:type="dxa"/>
            <w:vAlign w:val="bottom"/>
          </w:tcPr>
          <w:p>
            <w:pPr>
              <w:spacing w:after="0"/>
              <w:rPr>
                <w:sz w:val="1"/>
                <w:szCs w:val="1"/>
                <w:color w:val="auto"/>
              </w:rPr>
            </w:pPr>
          </w:p>
        </w:tc>
      </w:tr>
      <w:tr>
        <w:trPr>
          <w:trHeight w:val="202"/>
        </w:trPr>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8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Section 302</w:t>
            </w:r>
          </w:p>
        </w:tc>
        <w:tc>
          <w:tcPr>
            <w:tcW w:w="330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 of the Principal Executive Officer</w:t>
            </w:r>
          </w:p>
        </w:tc>
        <w:tc>
          <w:tcPr>
            <w:tcW w:w="2280" w:type="dxa"/>
            <w:vAlign w:val="bottom"/>
            <w:tcBorders>
              <w:top w:val="single" w:sz="8" w:color="0000FF"/>
            </w:tcBorders>
          </w:tcPr>
          <w:p>
            <w:pPr>
              <w:spacing w:after="0"/>
              <w:rPr>
                <w:sz w:val="17"/>
                <w:szCs w:val="17"/>
                <w:color w:val="auto"/>
              </w:rPr>
            </w:pPr>
          </w:p>
        </w:tc>
        <w:tc>
          <w:tcPr>
            <w:tcW w:w="2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Section 302</w:t>
            </w:r>
          </w:p>
        </w:tc>
        <w:tc>
          <w:tcPr>
            <w:tcW w:w="32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Certification of the Principal Financial Officer</w:t>
            </w:r>
          </w:p>
        </w:tc>
        <w:tc>
          <w:tcPr>
            <w:tcW w:w="5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Section 906</w:t>
            </w:r>
          </w:p>
        </w:tc>
        <w:tc>
          <w:tcPr>
            <w:tcW w:w="33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 of the Principal Executive Officer</w:t>
            </w:r>
          </w:p>
        </w:tc>
        <w:tc>
          <w:tcPr>
            <w:tcW w:w="5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Section 906</w:t>
            </w:r>
          </w:p>
        </w:tc>
        <w:tc>
          <w:tcPr>
            <w:tcW w:w="32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Certification of the Principal Financial Officer</w:t>
            </w:r>
          </w:p>
        </w:tc>
        <w:tc>
          <w:tcPr>
            <w:tcW w:w="5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jc w:val="both"/>
        <w:ind w:left="2040" w:hanging="1548"/>
        <w:spacing w:after="0" w:line="230" w:lineRule="auto"/>
        <w:tabs>
          <w:tab w:leader="none" w:pos="2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from the Company’s Quarterly Report on Form 10-Q for the quarter ended June 30, 2025, formatt Inline XBRL: (i) Consolidated Statements of Cash Flows, (ii) Consolidated Statements of Operations, (iii) Consolidated Statements o Comprehensive Income, (iv) Consolidated Balance Sheets, and (v) Notes to Consolidated Financial Statements, tagged as blocks of t and including detailed tags.</w:t>
      </w:r>
    </w:p>
    <w:p>
      <w:pPr>
        <w:spacing w:after="0" w:line="1" w:lineRule="exact"/>
        <w:rPr>
          <w:sz w:val="20"/>
          <w:szCs w:val="20"/>
          <w:color w:val="auto"/>
        </w:rPr>
      </w:pPr>
    </w:p>
    <w:p>
      <w:pPr>
        <w:ind w:left="1920" w:right="2980" w:hanging="1428"/>
        <w:spacing w:after="0" w:line="610" w:lineRule="auto"/>
        <w:tabs>
          <w:tab w:leader="none" w:pos="204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in Inline XBRL and contained in Exhibit 101) * Incorporated by reference.</w:t>
      </w:r>
    </w:p>
    <w:p>
      <w:pPr>
        <w:spacing w:after="0" w:line="2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64" w:right="2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5" w:lineRule="exact"/>
        <w:rPr>
          <w:sz w:val="20"/>
          <w:szCs w:val="20"/>
          <w:color w:val="auto"/>
        </w:rPr>
      </w:pPr>
    </w:p>
    <w:p>
      <w:pPr>
        <w:ind w:right="140" w:firstLine="235"/>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77" w:lineRule="exact"/>
        <w:rPr>
          <w:sz w:val="20"/>
          <w:szCs w:val="20"/>
          <w:color w:val="auto"/>
        </w:rPr>
      </w:pPr>
    </w:p>
    <w:tbl>
      <w:tblPr>
        <w:tblLayout w:type="fixed"/>
        <w:tblInd w:w="280" w:type="dxa"/>
        <w:tblCellMar>
          <w:top w:w="0" w:type="dxa"/>
          <w:left w:w="0" w:type="dxa"/>
          <w:bottom w:w="0" w:type="dxa"/>
          <w:right w:w="0" w:type="dxa"/>
        </w:tblCellMar>
      </w:tblPr>
      <w:tr>
        <w:trPr>
          <w:trHeight w:val="227"/>
        </w:trPr>
        <w:tc>
          <w:tcPr>
            <w:tcW w:w="2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GLOBALSTAR, INC.</w:t>
            </w:r>
          </w:p>
        </w:tc>
      </w:tr>
      <w:tr>
        <w:trPr>
          <w:trHeight w:val="444"/>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Date: August 7, 2025</w:t>
            </w:r>
          </w:p>
        </w:tc>
        <w:tc>
          <w:tcPr>
            <w:tcW w:w="8360" w:type="dxa"/>
            <w:vAlign w:val="bottom"/>
            <w:gridSpan w:val="2"/>
          </w:tcPr>
          <w:p>
            <w:pPr>
              <w:ind w:left="1100"/>
              <w:spacing w:after="0"/>
              <w:rPr>
                <w:sz w:val="20"/>
                <w:szCs w:val="20"/>
                <w:color w:val="auto"/>
              </w:rPr>
            </w:pPr>
            <w:r>
              <w:rPr>
                <w:rFonts w:ascii="Times New Roman" w:cs="Times New Roman" w:eastAsia="Times New Roman" w:hAnsi="Times New Roman"/>
                <w:sz w:val="17"/>
                <w:szCs w:val="17"/>
                <w:color w:val="auto"/>
              </w:rPr>
              <w:t>By:   /s/ Dr. Paul E. Jacobs</w:t>
            </w:r>
          </w:p>
        </w:tc>
      </w:tr>
      <w:tr>
        <w:trPr>
          <w:trHeight w:val="208"/>
        </w:trPr>
        <w:tc>
          <w:tcPr>
            <w:tcW w:w="2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Dr. Paul E. Jacobs</w:t>
            </w:r>
          </w:p>
        </w:tc>
      </w:tr>
      <w:tr>
        <w:trPr>
          <w:trHeight w:val="229"/>
        </w:trPr>
        <w:tc>
          <w:tcPr>
            <w:tcW w:w="2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r>
        <w:trPr>
          <w:trHeight w:val="471"/>
        </w:trPr>
        <w:tc>
          <w:tcPr>
            <w:tcW w:w="2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Rebecca S. Clary</w:t>
            </w:r>
          </w:p>
        </w:tc>
      </w:tr>
      <w:tr>
        <w:trPr>
          <w:trHeight w:val="208"/>
        </w:trPr>
        <w:tc>
          <w:tcPr>
            <w:tcW w:w="2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Rebecca S. Clary</w:t>
            </w:r>
          </w:p>
        </w:tc>
      </w:tr>
      <w:tr>
        <w:trPr>
          <w:trHeight w:val="229"/>
        </w:trPr>
        <w:tc>
          <w:tcPr>
            <w:tcW w:w="2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20"/>
          </w:cols>
          <w:pgMar w:left="320" w:top="864" w:right="3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COMPOSITE THIRD AMENDED AND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amended through May 20, 2025)</w:t>
      </w:r>
    </w:p>
    <w:p>
      <w:pPr>
        <w:spacing w:after="0" w:line="200" w:lineRule="exact"/>
        <w:rPr>
          <w:sz w:val="20"/>
          <w:szCs w:val="20"/>
          <w:color w:val="auto"/>
        </w:rPr>
      </w:pPr>
    </w:p>
    <w:p>
      <w:pPr>
        <w:spacing w:after="0" w:line="24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b w:val="1"/>
          <w:bCs w:val="1"/>
          <w:color w:val="auto"/>
        </w:rPr>
        <w:t>FIRST</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name of the Corporation is Globalstar, Inc.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w:t>
      </w:r>
    </w:p>
    <w:p>
      <w:pPr>
        <w:spacing w:after="0" w:line="238"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The address of the Corporation’s registered office in the State of Delaware is 251 Little Falls Drive, Wilmington, Delaware, 19808, County of New Castle. The name of its registered agent at such address is Corporation Service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THIRD</w:t>
      </w:r>
    </w:p>
    <w:p>
      <w:pPr>
        <w:spacing w:after="0" w:line="238"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The purpose of the Corporation is to engage in any lawful act or activity for which corporations may be organized under the General Corporation Law of the State of Delaware.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FOURTH</w:t>
      </w:r>
    </w:p>
    <w:p>
      <w:pPr>
        <w:spacing w:after="0" w:line="238" w:lineRule="exact"/>
        <w:rPr>
          <w:sz w:val="20"/>
          <w:szCs w:val="20"/>
          <w:color w:val="auto"/>
        </w:rPr>
      </w:pPr>
    </w:p>
    <w:p>
      <w:pPr>
        <w:jc w:val="both"/>
        <w:ind w:firstLine="627"/>
        <w:spacing w:after="0" w:line="242" w:lineRule="auto"/>
        <w:rPr>
          <w:sz w:val="20"/>
          <w:szCs w:val="20"/>
          <w:color w:val="auto"/>
        </w:rPr>
      </w:pPr>
      <w:r>
        <w:rPr>
          <w:rFonts w:ascii="Times New Roman" w:cs="Times New Roman" w:eastAsia="Times New Roman" w:hAnsi="Times New Roman"/>
          <w:sz w:val="17"/>
          <w:szCs w:val="17"/>
          <w:color w:val="auto"/>
        </w:rPr>
        <w:t>The Corporation shall have the authority to issue Two Hundred Forty-Three Million Three Hundred Thirty-Three Thousand Three Hundred Thirty-Four (243,333,334) total shares of capital stock, consisting of One Hundred Million (100,000,000) shares of Preferred Stock, $0.0001 par value per share (the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and One Hundred Forty-Three Million Three Hundred Thirty-Three Thousand Three Hundred Thirty-Four (143,333,334) shares of voting common stock, $0.0001 par value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Upon the filing and effectiveness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pursuant to the General Corporation Law of the State of Delaware, of this Certificate of Amendment to the Third Amended and Restated Certificate of Incorporation of the Corporation, each 15 shares of Common Stock issued and outstanding immediately prior to the Effective Time shall, automatically and without any action on the part of the respective holders thereof, be combined and converted into one validly issued, fully-paid and non-assessable share of Common Stock without any further action by the Corporation or the holder thereof (the “</w:t>
      </w:r>
      <w:r>
        <w:rPr>
          <w:rFonts w:ascii="Times New Roman" w:cs="Times New Roman" w:eastAsia="Times New Roman" w:hAnsi="Times New Roman"/>
          <w:sz w:val="17"/>
          <w:szCs w:val="17"/>
          <w:u w:val="single" w:color="auto"/>
          <w:color w:val="auto"/>
        </w:rPr>
        <w:t>Reverse Stock Split</w:t>
      </w:r>
      <w:r>
        <w:rPr>
          <w:rFonts w:ascii="Times New Roman" w:cs="Times New Roman" w:eastAsia="Times New Roman" w:hAnsi="Times New Roman"/>
          <w:sz w:val="17"/>
          <w:szCs w:val="17"/>
          <w:color w:val="auto"/>
        </w:rPr>
        <w:t>”). No fractional shares shall be issued in connection with the Reverse Stock Split. Holders of Common Stock who otherwise would be entitled to receive fractional shares of Common Stock because they hold a number of shares not evenly divisible by the Reverse Stock Split ratio will automatically be entitled to receive an additional fraction of a share of Common Stock to round up to the next whole share of Common Stock in lieu of any fractional share created as a result of such Reverse Stock Split. For avoidance of doubt, the Reverse Stock Split shall also apply to the amount of shares of the Company’s Common Stock issuable upon conversion or exercise of any derivative securities, including options, restricted stock units, warrants, and convertible debt or equity, subject to the terms and conditions of any plans or agreements governing such securities.</w:t>
      </w:r>
    </w:p>
    <w:p>
      <w:pPr>
        <w:spacing w:after="0" w:line="208" w:lineRule="exact"/>
        <w:rPr>
          <w:sz w:val="20"/>
          <w:szCs w:val="20"/>
          <w:color w:val="auto"/>
        </w:rPr>
      </w:pPr>
    </w:p>
    <w:p>
      <w:pPr>
        <w:jc w:val="both"/>
        <w:ind w:firstLine="627"/>
        <w:spacing w:after="0" w:line="244" w:lineRule="auto"/>
        <w:rPr>
          <w:sz w:val="20"/>
          <w:szCs w:val="20"/>
          <w:color w:val="auto"/>
        </w:rPr>
      </w:pPr>
      <w:r>
        <w:rPr>
          <w:rFonts w:ascii="Times New Roman" w:cs="Times New Roman" w:eastAsia="Times New Roman" w:hAnsi="Times New Roman"/>
          <w:sz w:val="17"/>
          <w:szCs w:val="17"/>
          <w:color w:val="auto"/>
        </w:rPr>
        <w:t>Subject to the provisions of law, the rights, preferences and limitations of the common stock shall be as set forth in this Article Fourth. The Board of Directors of the Corporation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is hereby authorized, without requirement of the consent, approval or authorization of the stockholders of the Corporation, except as otherwise expressly required by the terms of this Amended and Restated Certificate of Incorporation (as it may be amended from time to time, including, without limitation, the terms of any certificate or resolution designating the rights, powers, preferences, qualifications, limitations and restrictions of any series of Preferred Stock, the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to authorize, establish, designate, create and issue by resolution of the Board from time to time one or more series of Preferred Stock, each such series having such rights, powers, preferences, qualifications, limitations and restrictions as the Board shall designate in such resolution.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COMMON STOCK</w:t>
      </w:r>
    </w:p>
    <w:p>
      <w:pPr>
        <w:sectPr>
          <w:pgSz w:w="11900" w:h="16838" w:orient="portrait"/>
          <w:cols w:equalWidth="0" w:num="1">
            <w:col w:w="11240"/>
          </w:cols>
          <w:pgMar w:left="320" w:top="119" w:right="339" w:bottom="1440" w:gutter="0" w:footer="0" w:header="0"/>
        </w:sectPr>
      </w:pPr>
    </w:p>
    <w:bookmarkStart w:id="37" w:name="page38"/>
    <w:bookmarkEnd w:id="37"/>
    <w:p>
      <w:pPr>
        <w:ind w:firstLine="627"/>
        <w:spacing w:after="0" w:line="279" w:lineRule="auto"/>
        <w:rPr>
          <w:sz w:val="20"/>
          <w:szCs w:val="20"/>
          <w:color w:val="auto"/>
        </w:rPr>
      </w:pPr>
      <w:r>
        <w:rPr>
          <w:rFonts w:ascii="Times New Roman" w:cs="Times New Roman" w:eastAsia="Times New Roman" w:hAnsi="Times New Roman"/>
          <w:sz w:val="17"/>
          <w:szCs w:val="17"/>
          <w:color w:val="auto"/>
        </w:rPr>
        <w:t>All outstanding shares of common stock shall be identical and shall entitle the holders thereof to the same rights and privileges. The holders of shares of common stock shall have no preemptive or preferential rights of subscription to any shares of any class of capital stock of the Corporation.</w:t>
      </w:r>
    </w:p>
    <w:p>
      <w:pPr>
        <w:spacing w:after="0" w:line="173" w:lineRule="exact"/>
        <w:rPr>
          <w:sz w:val="20"/>
          <w:szCs w:val="20"/>
          <w:color w:val="auto"/>
        </w:rPr>
      </w:pPr>
    </w:p>
    <w:p>
      <w:pPr>
        <w:jc w:val="both"/>
        <w:ind w:firstLine="1259"/>
        <w:spacing w:after="0" w:line="253" w:lineRule="auto"/>
        <w:tabs>
          <w:tab w:leader="none" w:pos="144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Subject to the provisions of law and the rights that may be granted to holders of any Preferred Stock, the holders of common stock shall be entitled to receive out of funds legally available therefor a pro rata share of any dividends that the Board in its sole discretion may declare. The Board may fix a record date for the determination of holders of shares of common stock entitled to receive payment of a dividend declared thereon, which record date shall be not more than sixty (60) days nor less than ten (10) days prior to the date fixed for payment of the dividend.</w:t>
      </w:r>
    </w:p>
    <w:p>
      <w:pPr>
        <w:spacing w:after="0" w:line="195" w:lineRule="exact"/>
        <w:rPr>
          <w:rFonts w:ascii="Times New Roman" w:cs="Times New Roman" w:eastAsia="Times New Roman" w:hAnsi="Times New Roman"/>
          <w:sz w:val="17"/>
          <w:szCs w:val="17"/>
          <w:color w:val="auto"/>
        </w:rPr>
      </w:pPr>
    </w:p>
    <w:p>
      <w:pPr>
        <w:jc w:val="both"/>
        <w:ind w:firstLine="1259"/>
        <w:spacing w:after="0" w:line="252" w:lineRule="auto"/>
        <w:tabs>
          <w:tab w:leader="none" w:pos="142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Dissolution or Winding-Up and Distributions</w:t>
      </w:r>
      <w:r>
        <w:rPr>
          <w:rFonts w:ascii="Times New Roman" w:cs="Times New Roman" w:eastAsia="Times New Roman" w:hAnsi="Times New Roman"/>
          <w:sz w:val="17"/>
          <w:szCs w:val="17"/>
          <w:color w:val="auto"/>
        </w:rPr>
        <w:t>. Subject to the provisions of law and any rights that may be granted to holders of any Preferred Stock, the assets available for distribution to holders of common stock upon liquidation, dissolution or winding up of the Corporation shall be distributed ratably among the holders of the common stock.</w:t>
      </w:r>
    </w:p>
    <w:p>
      <w:pPr>
        <w:spacing w:after="0" w:line="194" w:lineRule="exact"/>
        <w:rPr>
          <w:rFonts w:ascii="Times New Roman" w:cs="Times New Roman" w:eastAsia="Times New Roman" w:hAnsi="Times New Roman"/>
          <w:sz w:val="17"/>
          <w:szCs w:val="17"/>
          <w:color w:val="auto"/>
        </w:rPr>
      </w:pPr>
    </w:p>
    <w:p>
      <w:pPr>
        <w:ind w:left="1440" w:hanging="181"/>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w:t>
      </w:r>
    </w:p>
    <w:p>
      <w:pPr>
        <w:spacing w:after="0" w:line="235" w:lineRule="exact"/>
        <w:rPr>
          <w:rFonts w:ascii="Times New Roman" w:cs="Times New Roman" w:eastAsia="Times New Roman" w:hAnsi="Times New Roman"/>
          <w:sz w:val="17"/>
          <w:szCs w:val="17"/>
          <w:color w:val="auto"/>
        </w:rPr>
      </w:pPr>
    </w:p>
    <w:p>
      <w:pPr>
        <w:ind w:firstLine="1886"/>
        <w:spacing w:after="0" w:line="279" w:lineRule="auto"/>
        <w:tabs>
          <w:tab w:leader="none" w:pos="216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 General</w:t>
      </w:r>
      <w:r>
        <w:rPr>
          <w:rFonts w:ascii="Times New Roman" w:cs="Times New Roman" w:eastAsia="Times New Roman" w:hAnsi="Times New Roman"/>
          <w:sz w:val="17"/>
          <w:szCs w:val="17"/>
          <w:color w:val="auto"/>
        </w:rPr>
        <w:t>. Subject to subparagraph (C) of this Article Fourth, Section 3 and Article Eleventh, the holders of outstanding shares of Common Stock shall have the right to vote on all matters submitted to the stockholders of the Corporation.</w:t>
      </w:r>
    </w:p>
    <w:p>
      <w:pPr>
        <w:spacing w:after="0" w:line="172" w:lineRule="exact"/>
        <w:rPr>
          <w:rFonts w:ascii="Times New Roman" w:cs="Times New Roman" w:eastAsia="Times New Roman" w:hAnsi="Times New Roman"/>
          <w:sz w:val="17"/>
          <w:szCs w:val="17"/>
          <w:color w:val="auto"/>
        </w:rPr>
      </w:pPr>
    </w:p>
    <w:p>
      <w:pPr>
        <w:jc w:val="both"/>
        <w:ind w:firstLine="1886"/>
        <w:spacing w:after="0" w:line="260" w:lineRule="auto"/>
        <w:tabs>
          <w:tab w:leader="none" w:pos="215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Procedures at Meetings</w:t>
      </w:r>
      <w:r>
        <w:rPr>
          <w:rFonts w:ascii="Times New Roman" w:cs="Times New Roman" w:eastAsia="Times New Roman" w:hAnsi="Times New Roman"/>
          <w:sz w:val="17"/>
          <w:szCs w:val="17"/>
          <w:color w:val="auto"/>
        </w:rPr>
        <w:t>. Subject to subparagraph (C) of this Article Fourth, Section 3 and Article Eleventh, at every meeting with respect to matters on which the holders of outstanding shares of Common Stock are entitled to vote, the holders of outstanding shares of Common Stock shall be entitled to one vote per share.</w:t>
      </w:r>
    </w:p>
    <w:p>
      <w:pPr>
        <w:spacing w:after="0" w:line="187" w:lineRule="exact"/>
        <w:rPr>
          <w:rFonts w:ascii="Times New Roman" w:cs="Times New Roman" w:eastAsia="Times New Roman" w:hAnsi="Times New Roman"/>
          <w:sz w:val="17"/>
          <w:szCs w:val="17"/>
          <w:color w:val="auto"/>
        </w:rPr>
      </w:pPr>
    </w:p>
    <w:p>
      <w:pPr>
        <w:jc w:val="both"/>
        <w:ind w:firstLine="1886"/>
        <w:spacing w:after="0"/>
        <w:tabs>
          <w:tab w:leader="none" w:pos="215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Minority Directors; Other Thermo-Voting Issues</w:t>
      </w:r>
      <w:r>
        <w:rPr>
          <w:rFonts w:ascii="Times New Roman" w:cs="Times New Roman" w:eastAsia="Times New Roman" w:hAnsi="Times New Roman"/>
          <w:sz w:val="17"/>
          <w:szCs w:val="17"/>
          <w:color w:val="auto"/>
        </w:rPr>
        <w:t>: Until such time as Thermo Capital Partners, L.L.C. and any of its affiliates (as defined in Section 203 of the General Corporation Law of the State of Delaware) (each a “</w:t>
      </w:r>
      <w:r>
        <w:rPr>
          <w:rFonts w:ascii="Times New Roman" w:cs="Times New Roman" w:eastAsia="Times New Roman" w:hAnsi="Times New Roman"/>
          <w:sz w:val="17"/>
          <w:szCs w:val="17"/>
          <w:u w:val="single" w:color="auto"/>
          <w:color w:val="auto"/>
        </w:rPr>
        <w:t>Thermo Stockholder</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u w:val="single" w:color="auto"/>
          <w:color w:val="auto"/>
        </w:rPr>
        <w:t>Thermo</w:t>
      </w:r>
      <w:r>
        <w:rPr>
          <w:rFonts w:ascii="Times New Roman" w:cs="Times New Roman" w:eastAsia="Times New Roman" w:hAnsi="Times New Roman"/>
          <w:sz w:val="17"/>
          <w:szCs w:val="17"/>
          <w:color w:val="auto"/>
        </w:rPr>
        <w:t>”) shall no longer be the beneficial owner of 45% or more of the Corporation’s outstanding Common Stock (the “</w:t>
      </w:r>
      <w:r>
        <w:rPr>
          <w:rFonts w:ascii="Times New Roman" w:cs="Times New Roman" w:eastAsia="Times New Roman" w:hAnsi="Times New Roman"/>
          <w:sz w:val="17"/>
          <w:szCs w:val="17"/>
          <w:u w:val="single" w:color="auto"/>
          <w:color w:val="auto"/>
        </w:rPr>
        <w:t>Relevant Time Period</w:t>
      </w:r>
      <w:r>
        <w:rPr>
          <w:rFonts w:ascii="Times New Roman" w:cs="Times New Roman" w:eastAsia="Times New Roman" w:hAnsi="Times New Roman"/>
          <w:sz w:val="17"/>
          <w:szCs w:val="17"/>
          <w:color w:val="auto"/>
        </w:rPr>
        <w:t>”), (i) two members of the Board (the “</w:t>
      </w:r>
      <w:r>
        <w:rPr>
          <w:rFonts w:ascii="Times New Roman" w:cs="Times New Roman" w:eastAsia="Times New Roman" w:hAnsi="Times New Roman"/>
          <w:sz w:val="17"/>
          <w:szCs w:val="17"/>
          <w:u w:val="single" w:color="auto"/>
          <w:color w:val="auto"/>
        </w:rPr>
        <w:t>Minority Directors</w:t>
      </w:r>
      <w:r>
        <w:rPr>
          <w:rFonts w:ascii="Times New Roman" w:cs="Times New Roman" w:eastAsia="Times New Roman" w:hAnsi="Times New Roman"/>
          <w:sz w:val="17"/>
          <w:szCs w:val="17"/>
          <w:color w:val="auto"/>
        </w:rPr>
        <w:t>”) shall be elected by a vote of the stockholders of the Corporation other than the Thermo Stockholders and (ii) no Thermo Stockholder shall be entitled to vote on, or consent to, or have any voting power with respect to, the election (including to fill a vacancy) or removal without cause of the Minority Directors. In addition, and regardless of the number of shares of Common Stock owned, Thermo may not exercise in the election of directors voting rights of shares representing 70% or more of the total voting power of all outstanding voting stock having power to vote. The Minority Directors shall be elected by a plurality of the votes of the shares present in person or represented by proxy at the meeting and entitled to vote on the election of Minority Directors. During the Relevant Time Period, vacancies in any directorship previously held by a Minority Director may be filled only by a plurality of the votes of the shares present in person or represented by proxy at the meeting and entitled to vote on the election of Minority Directors. Except as provided in the immediately preceding sentence, newly created directorships or any vacancy occurring in the Board for any reason may be filled only by the remaining directors (including any Minority Directors), even if less than a majority of the whole authorized number of directors by vote of a majority of those remaining in office, and each director so appointed shall hold office until the expiration of the term of office of the director whom he or she has replaced or until his or her successor is elected and qualified. During the Relevant Time Period, no person shall qualify or be eligible for election or reelection (including to fill a vacancy) as a Minority Director unless such person has been nominated in accordance with Article Twelfth of this Certificate of Incorporation or by a stockholder other than Thermo (provided, for the avoidance of doubt, Thermo may suggest individuals for nomination as Minority Directors to the Strategic Review Committee). For purpose of this Certificate of Incorporation: (a)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xml:space="preserve">” means the action captioned </w:t>
      </w:r>
      <w:r>
        <w:rPr>
          <w:rFonts w:ascii="Times New Roman" w:cs="Times New Roman" w:eastAsia="Times New Roman" w:hAnsi="Times New Roman"/>
          <w:sz w:val="17"/>
          <w:szCs w:val="17"/>
          <w:i w:val="1"/>
          <w:iCs w:val="1"/>
          <w:color w:val="auto"/>
        </w:rPr>
        <w:t>Mudrick Capital Management, L.P. v. Monroe</w:t>
      </w:r>
      <w:r>
        <w:rPr>
          <w:rFonts w:ascii="Times New Roman" w:cs="Times New Roman" w:eastAsia="Times New Roman" w:hAnsi="Times New Roman"/>
          <w:sz w:val="17"/>
          <w:szCs w:val="17"/>
          <w:color w:val="auto"/>
        </w:rPr>
        <w:t>, C.A. No. 2018-0699 TMR, (b) “</w:t>
      </w:r>
      <w:r>
        <w:rPr>
          <w:rFonts w:ascii="Times New Roman" w:cs="Times New Roman" w:eastAsia="Times New Roman" w:hAnsi="Times New Roman"/>
          <w:sz w:val="17"/>
          <w:szCs w:val="17"/>
          <w:u w:val="single" w:color="auto"/>
          <w:color w:val="auto"/>
        </w:rPr>
        <w:t>Judgment</w:t>
      </w:r>
      <w:r>
        <w:rPr>
          <w:rFonts w:ascii="Times New Roman" w:cs="Times New Roman" w:eastAsia="Times New Roman" w:hAnsi="Times New Roman"/>
          <w:sz w:val="17"/>
          <w:szCs w:val="17"/>
          <w:color w:val="auto"/>
        </w:rPr>
        <w:t>” means the Order and Judgment entered by the Court of Chancery of the State of Delaware in connection with the settlement of the Action; (c) the Minority Directors shall include the Initial Minority Directors (as defined in the Judgment) and those persons who, during the Relevant Time Period, are serving or elected to serve in the director seats to which the Initial Minority Directors were appointed in accordance with the Judgment; and (d) for purposes of determining the capital stock of the Corporation beneficially owned by Thermo, the Corporation shall rely on filings of Schedule 13D or 13G under the Securities and Exchange Act of 1934, as amended (or similar filings), or, if no such filings are current, the actual knowledge of the Board, as</w:t>
      </w:r>
    </w:p>
    <w:p>
      <w:pPr>
        <w:sectPr>
          <w:pgSz w:w="11900" w:h="16838" w:orient="portrait"/>
          <w:cols w:equalWidth="0" w:num="1">
            <w:col w:w="11240"/>
          </w:cols>
          <w:pgMar w:left="320" w:top="1363" w:right="339" w:bottom="1440" w:gutter="0" w:footer="0" w:header="0"/>
        </w:sectPr>
      </w:pPr>
    </w:p>
    <w:bookmarkStart w:id="38" w:name="page39"/>
    <w:bookmarkEnd w:id="38"/>
    <w:p>
      <w:pPr>
        <w:jc w:val="both"/>
        <w:spacing w:after="0" w:line="260" w:lineRule="auto"/>
        <w:rPr>
          <w:sz w:val="20"/>
          <w:szCs w:val="20"/>
          <w:color w:val="auto"/>
        </w:rPr>
      </w:pPr>
      <w:r>
        <w:rPr>
          <w:rFonts w:ascii="Times New Roman" w:cs="Times New Roman" w:eastAsia="Times New Roman" w:hAnsi="Times New Roman"/>
          <w:sz w:val="17"/>
          <w:szCs w:val="17"/>
          <w:color w:val="auto"/>
        </w:rPr>
        <w:t>of any date. Notwithstanding this paragraph, references in this Certificate of Incorporation and in the Bylaws of the Corporation (as amended from time to time, the “</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to “outstanding shares of capital stock of the Corporation then entitled to vote in the election of the directors” shall include shares of Common Stock beneficially owned by Thermo.</w:t>
      </w:r>
    </w:p>
    <w:p>
      <w:pPr>
        <w:spacing w:after="0" w:line="188" w:lineRule="exact"/>
        <w:rPr>
          <w:sz w:val="20"/>
          <w:szCs w:val="20"/>
          <w:color w:val="auto"/>
        </w:rPr>
      </w:pPr>
    </w:p>
    <w:p>
      <w:pPr>
        <w:jc w:val="both"/>
        <w:ind w:firstLine="1886"/>
        <w:spacing w:after="0" w:line="245" w:lineRule="auto"/>
        <w:tabs>
          <w:tab w:leader="none" w:pos="216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Director Qualification</w:t>
      </w:r>
      <w:r>
        <w:rPr>
          <w:rFonts w:ascii="Times New Roman" w:cs="Times New Roman" w:eastAsia="Times New Roman" w:hAnsi="Times New Roman"/>
          <w:sz w:val="17"/>
          <w:szCs w:val="17"/>
          <w:color w:val="auto"/>
        </w:rPr>
        <w:t>: As of the Effective Date (as defined in the Judgment), the size of the Board is seven (7). If, following the Effective Date, the size of the Board is expanded, the first two (2) additional member(s) of the Board shall be deemed, for purposes of this Certificate of Incorporation, the “</w:t>
      </w:r>
      <w:r>
        <w:rPr>
          <w:rFonts w:ascii="Times New Roman" w:cs="Times New Roman" w:eastAsia="Times New Roman" w:hAnsi="Times New Roman"/>
          <w:sz w:val="17"/>
          <w:szCs w:val="17"/>
          <w:u w:val="single" w:color="auto"/>
          <w:color w:val="auto"/>
        </w:rPr>
        <w:t>Additional Member(s)</w:t>
      </w:r>
      <w:r>
        <w:rPr>
          <w:rFonts w:ascii="Times New Roman" w:cs="Times New Roman" w:eastAsia="Times New Roman" w:hAnsi="Times New Roman"/>
          <w:sz w:val="17"/>
          <w:szCs w:val="17"/>
          <w:color w:val="auto"/>
        </w:rPr>
        <w:t>”. During the Relevant Time Period, no person nominated by the Board shall qualify or be eligible for election or reelection as an Additional Member, and no person shall qualify for appointment by the Board to fill a vacancy or newly created directorship as an Additional Member, unless such person shall first have been determined to be an approved seasoned expert in the telecom industry by (A) the Strategic Review Committee (as defined in Article Twelfth) and (B) Mr. James Monroe III (“</w:t>
      </w:r>
      <w:r>
        <w:rPr>
          <w:rFonts w:ascii="Times New Roman" w:cs="Times New Roman" w:eastAsia="Times New Roman" w:hAnsi="Times New Roman"/>
          <w:sz w:val="17"/>
          <w:szCs w:val="17"/>
          <w:u w:val="single" w:color="auto"/>
          <w:color w:val="auto"/>
        </w:rPr>
        <w:t>Monroe</w:t>
      </w:r>
      <w:r>
        <w:rPr>
          <w:rFonts w:ascii="Times New Roman" w:cs="Times New Roman" w:eastAsia="Times New Roman" w:hAnsi="Times New Roman"/>
          <w:sz w:val="17"/>
          <w:szCs w:val="17"/>
          <w:color w:val="auto"/>
        </w:rPr>
        <w:t>”); provided, however, that such approval shall not be unreasonably withheld.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FIFTH</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Corporation shall have perpetual existence.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SIXTH</w:t>
      </w:r>
    </w:p>
    <w:p>
      <w:pPr>
        <w:spacing w:after="0" w:line="238"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In furtherance and not in limitation of the powers conferred upon the Board of Directors by law, the Board shall have power to adopt, amend and repeal the Bylaws of the Corporation from time to time. The Bylaws of the Corporation may also be amended or repealed or new bylaws of the Corporation may be adopted, by the vote of the holders of at least 66 2/3% in voting power of the outstanding shares of capital stock of the Corporation then entitled to vote in the election of the directors. Notwithstanding the foregoing, if Thermo owns beneficially a majority in voting power of the outstanding shares of capital stock of the Corporation then entitled to vote in the election of the directors, the Bylaws of the Corporation may also be amended or repealed by the vote of the holders of a majority in voting power of the outstanding shares of capital stock of the Corporation then entitled to vote in the election of the directors.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SEVENTH</w:t>
      </w:r>
    </w:p>
    <w:p>
      <w:pPr>
        <w:spacing w:after="0" w:line="238" w:lineRule="exact"/>
        <w:rPr>
          <w:sz w:val="20"/>
          <w:szCs w:val="20"/>
          <w:color w:val="auto"/>
        </w:rPr>
      </w:pPr>
    </w:p>
    <w:p>
      <w:pPr>
        <w:jc w:val="both"/>
        <w:ind w:firstLine="627"/>
        <w:spacing w:after="0" w:line="243" w:lineRule="auto"/>
        <w:rPr>
          <w:sz w:val="20"/>
          <w:szCs w:val="20"/>
          <w:color w:val="auto"/>
        </w:rPr>
      </w:pPr>
      <w:r>
        <w:rPr>
          <w:rFonts w:ascii="Times New Roman" w:cs="Times New Roman" w:eastAsia="Times New Roman" w:hAnsi="Times New Roman"/>
          <w:sz w:val="17"/>
          <w:szCs w:val="17"/>
          <w:color w:val="auto"/>
        </w:rPr>
        <w:t xml:space="preserve">Meetings of stockholders may be held within or without the State of Delaware, as the Bylaws may provide. The books of the Corporation may be kept outside the State of Delaware at such place or places as may be designated from time to time by the Board or in the Bylaws. Elections of directors need not be by written ballot unless the Bylaws shall so provide. If Thermo owns beneficially a majority in voting power of the outstanding shares of capital stock of the Corporation entitled to vote in the election of the directors, directors may be removed with or without cause;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for the avoidance of doubt, through the end of the Relevant Time Period, no Thermo Stockholder shall be entitled to vote on, or consent to, or have any voting power with respect to, the removal without cause of the Minority Directors. If Thermo does not own beneficially a majority in voting power of the outstanding shares of the Corporation entitled to vote in the election of the directors, directors may be removed only for cause by the holders of at least 66 2/3% in voting power of the outstanding shares of capital stock of the Corporation then entitled to vote in the election of the directors.</w:t>
      </w:r>
    </w:p>
    <w:p>
      <w:pPr>
        <w:spacing w:after="0" w:line="207" w:lineRule="exact"/>
        <w:rPr>
          <w:sz w:val="20"/>
          <w:szCs w:val="20"/>
          <w:color w:val="auto"/>
        </w:rPr>
      </w:pPr>
    </w:p>
    <w:p>
      <w:pPr>
        <w:jc w:val="both"/>
        <w:ind w:firstLine="627"/>
        <w:spacing w:after="0" w:line="243" w:lineRule="auto"/>
        <w:rPr>
          <w:sz w:val="20"/>
          <w:szCs w:val="20"/>
          <w:color w:val="auto"/>
        </w:rPr>
      </w:pPr>
      <w:r>
        <w:rPr>
          <w:rFonts w:ascii="Times New Roman" w:cs="Times New Roman" w:eastAsia="Times New Roman" w:hAnsi="Times New Roman"/>
          <w:sz w:val="17"/>
          <w:szCs w:val="17"/>
          <w:color w:val="auto"/>
        </w:rPr>
        <w:t>If Thermo owns beneficially a majority in voting power of the outstanding shares of capital stock of the Corporation entitled to vote in the election of the directors, any action that is required to be or that may be taken at any annual or special meeting of the stockholders of the Corporation may be taken without a meeting, without prior notice and without a vote, if a consent in writing, setting forth the action so taken, shall be signed by the holders of outstanding capital stock having not less than the minimum number of votes that would be necessary to authorize or take the action at a meeting at which all shares entitled to vote on the action were present and voted. Prompt notice of the taking of the corporate action without a meeting by less than unanimous written consent shall be given to those stockholders who have not consented in writing. If Thermo does not own beneficially a majority in voting power of the outstanding shares of capital stock of the Corporation entitled to vote in the election of the directors, no action may be taken by the stockholders of the Corporation without a meeting and any action required to be taken by the stockholders may be taken only at an annual or special meeting of the stockholders called in accordance with law and the Bylaws of the Corporation.</w:t>
      </w:r>
    </w:p>
    <w:p>
      <w:pPr>
        <w:sectPr>
          <w:pgSz w:w="11900" w:h="16838" w:orient="portrait"/>
          <w:cols w:equalWidth="0" w:num="1">
            <w:col w:w="11240"/>
          </w:cols>
          <w:pgMar w:left="320" w:top="1363" w:right="339" w:bottom="1440" w:gutter="0" w:footer="0" w:header="0"/>
        </w:sectPr>
      </w:pPr>
    </w:p>
    <w:bookmarkStart w:id="39" w:name="page40"/>
    <w:bookmarkEnd w:id="39"/>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EIGHTH</w:t>
      </w:r>
    </w:p>
    <w:p>
      <w:pPr>
        <w:spacing w:after="0" w:line="238" w:lineRule="exact"/>
        <w:rPr>
          <w:sz w:val="20"/>
          <w:szCs w:val="20"/>
          <w:color w:val="auto"/>
        </w:rPr>
      </w:pPr>
    </w:p>
    <w:p>
      <w:pPr>
        <w:jc w:val="both"/>
        <w:ind w:firstLine="627"/>
        <w:spacing w:after="0" w:line="243" w:lineRule="auto"/>
        <w:rPr>
          <w:sz w:val="20"/>
          <w:szCs w:val="20"/>
          <w:color w:val="auto"/>
        </w:rPr>
      </w:pPr>
      <w:r>
        <w:rPr>
          <w:rFonts w:ascii="Times New Roman" w:cs="Times New Roman" w:eastAsia="Times New Roman" w:hAnsi="Times New Roman"/>
          <w:sz w:val="17"/>
          <w:szCs w:val="17"/>
          <w:color w:val="auto"/>
        </w:rPr>
        <w:t>A director or officer of the Corporation shall not be liable to the Corporation or the stockholders for monetary damages for breach of fiduciary duty as a director or officer, respectively, except to the extent that exculpation from liability is not permitted under the General Corporation Law of the State of Delaware as in effect at the time such liability is determined. No amendment or repeal of this Article Eighth shall apply to or have any effect on the liability of any director or officer with respect to acts or omissions of such director or officer prior to such amendment or repeal. To the maximum extent permitted from time to time under the law of the State of Delaware, the Corporation renounces any interest or expectancy of the Corporation in, or in being offered an opportunity to participate in, business opportunities that are from time to time being presented to its officers, directors or stockholders, other than (i) those officers, directors or stockholders who are employees of the Corporation and (ii) those opportunities demonstrated by the Corporation to have been presented to officers or directors of the Corporation in their capacity as such. No amendment or repeal of this Article Eighth shall apply to or have any effect on any opportunities which such officer, director or stockholder becomes aware prior to such amendment or repeal.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NINTH</w:t>
      </w:r>
    </w:p>
    <w:p>
      <w:pPr>
        <w:spacing w:after="0" w:line="238" w:lineRule="exact"/>
        <w:rPr>
          <w:sz w:val="20"/>
          <w:szCs w:val="20"/>
          <w:color w:val="auto"/>
        </w:rPr>
      </w:pPr>
    </w:p>
    <w:p>
      <w:pPr>
        <w:jc w:val="both"/>
        <w:ind w:firstLine="627"/>
        <w:spacing w:after="0" w:line="242" w:lineRule="auto"/>
        <w:rPr>
          <w:sz w:val="20"/>
          <w:szCs w:val="20"/>
          <w:color w:val="auto"/>
        </w:rPr>
      </w:pPr>
      <w:r>
        <w:rPr>
          <w:rFonts w:ascii="Times New Roman" w:cs="Times New Roman" w:eastAsia="Times New Roman" w:hAnsi="Times New Roman"/>
          <w:sz w:val="17"/>
          <w:szCs w:val="17"/>
          <w:color w:val="auto"/>
        </w:rPr>
        <w:t>The Corporation shall, to the maximum extent permitted from time to time under the law of the State of Delaware, indemnify upon request and after receipt of an undertaking to repay such amount if it shall be ultimately determined that the requesting person is not entitled to be indemnified by the Corporation advance expenses to any person who is or was a party or is threatened to be made a party to any threatened, pending or completed action, suit, proceeding or claim, whether civil, criminal, administrative or investigative, by reason of the fact that such person is or was a director or officer of the Corporation or, while a director or officer of the Corporation, is or was serving at the request of the Corporation as a director, officer, partner, trustee, employee or agent of any corporation, partnership, joint venture, trust, limited liability company or other enterprise, including service with respect to employee benefit plans, against expenses (including attorney’s fees and expenses), judgments, fines, penalties, amounts paid in settlement and expenses actually and reasonably incurred by him or her in connection with the investigation, preparation to defend or defense of such action, suit, proceeding or claim; provided, however, that the foregoing shall not require the Corporation to indemnify or advance expenses to any person in connection with any action, suit, proceeding or claim initiated by or on behalf of such person or any counterclaim against the Corporation initiated by or on behalf of such person. Such indemnification shall not be exclusive of other indemnification rights arising under any bylaw, agreement, vote of directors or stockholders or otherwise and shall inure to the benefit of the heirs and legal representatives of such person. Any person seeking indemnification under this Article Ninth shall be deemed to have met the standard of conduct required for such indemnification unless the contrary shall be established. Any repeal or modification of the foregoing provisions of this Article Ninth shall not adversely affect any right or protection of a director or officer of the Corporation with respect to any acts or omissions of such director or officer occurring prior to such repeal or modification.</w:t>
      </w:r>
    </w:p>
    <w:p>
      <w:pPr>
        <w:spacing w:after="0" w:line="200" w:lineRule="exact"/>
        <w:rPr>
          <w:sz w:val="20"/>
          <w:szCs w:val="20"/>
          <w:color w:val="auto"/>
        </w:rPr>
      </w:pPr>
    </w:p>
    <w:p>
      <w:pPr>
        <w:spacing w:after="0" w:line="203" w:lineRule="exact"/>
        <w:rPr>
          <w:sz w:val="20"/>
          <w:szCs w:val="20"/>
          <w:color w:val="auto"/>
        </w:rPr>
      </w:pPr>
    </w:p>
    <w:p>
      <w:pPr>
        <w:jc w:val="both"/>
        <w:ind w:firstLine="627"/>
        <w:spacing w:after="0" w:line="243" w:lineRule="auto"/>
        <w:rPr>
          <w:sz w:val="20"/>
          <w:szCs w:val="20"/>
          <w:color w:val="auto"/>
        </w:rPr>
      </w:pPr>
      <w:r>
        <w:rPr>
          <w:rFonts w:ascii="Times New Roman" w:cs="Times New Roman" w:eastAsia="Times New Roman" w:hAnsi="Times New Roman"/>
          <w:sz w:val="17"/>
          <w:szCs w:val="17"/>
          <w:color w:val="auto"/>
        </w:rPr>
        <w:t>To the fullest extent permitted by law as it presently exists, or may hereafter be amended from time to time, the Corporation may purchase and maintain insurance or make other financial arrangements on behalf of any person who is or was a director, officer, employee or agent of the Corporation, or is or was serving at the request of the Corporation as a director, officer, stockholder, member, partner, trustee, employee or agent of any other person, joint venture, corporation, trust, limited liability company, partnership or other enterprise, for any liability asserted against him or her and expenses incurred by him or her in his or her capacity as a director, officer, stockholder, member, partner, employee or agent, or arising out of his or her status as such, whether or not the Corporation has the authority to indemnify him or her against such liability and expenses. To the fullest extent permitted by law as it presently exists, or may hereafter be amended from time to time, other financial arrangements made by the Corporation pursuant to this Article Ninth may include (i) the creation of a trust fund; (ii) the establishment of a program of self-insurance; and (iii) the establishment of a letter of credit, guaranty or surety. No financial arrangement made pursuant to this Article Ninth may provide protection for a person adjudged by a court of competent jurisdiction to be liable for intentional misconduct, fraud, or a knowing violation of law, except with respect to the advancement of expenses or indemnification ordered by a court.</w:t>
      </w:r>
    </w:p>
    <w:p>
      <w:pPr>
        <w:spacing w:after="0" w:line="203"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7"/>
          <w:szCs w:val="17"/>
          <w:color w:val="auto"/>
        </w:rPr>
        <w:t>To the fullest extent permitted by law as it presently exists, or may hereafter be amended from time to time, in the absence of intentional misconduct, fraud or a knowing violation of law: (i) the decision of the Corporation as</w:t>
      </w:r>
    </w:p>
    <w:p>
      <w:pPr>
        <w:sectPr>
          <w:pgSz w:w="11900" w:h="16838" w:orient="portrait"/>
          <w:cols w:equalWidth="0" w:num="1">
            <w:col w:w="11240"/>
          </w:cols>
          <w:pgMar w:left="320" w:top="1440"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7"/>
          <w:szCs w:val="17"/>
          <w:color w:val="auto"/>
        </w:rPr>
        <w:t>to the propriety of the terms and conditions of any insurance or other financial arrangement made pursuant to this Article Ninth, and the choice of the person to provide the insurance or other financial arrangement, shall be conclusive; and (ii) the insurance or other financial arrangement shall not (1) be void or voidable or (2) subject any director or stockholder approving it to personal liability for his or her action, even if the director or stockholder is a beneficiary of the insurance or arrangement.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TENTH</w:t>
      </w:r>
    </w:p>
    <w:p>
      <w:pPr>
        <w:spacing w:after="0" w:line="238" w:lineRule="exact"/>
        <w:rPr>
          <w:sz w:val="20"/>
          <w:szCs w:val="20"/>
          <w:color w:val="auto"/>
        </w:rPr>
      </w:pPr>
    </w:p>
    <w:p>
      <w:pPr>
        <w:jc w:val="both"/>
        <w:ind w:firstLine="627"/>
        <w:spacing w:after="0" w:line="244" w:lineRule="auto"/>
        <w:rPr>
          <w:sz w:val="20"/>
          <w:szCs w:val="20"/>
          <w:color w:val="auto"/>
        </w:rPr>
      </w:pPr>
      <w:r>
        <w:rPr>
          <w:rFonts w:ascii="Times New Roman" w:cs="Times New Roman" w:eastAsia="Times New Roman" w:hAnsi="Times New Roman"/>
          <w:sz w:val="17"/>
          <w:szCs w:val="17"/>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 provided, however, the Corporation shall not amend this Certificate of Incorporation without the prior affirmative vote of the holders of at least 66 2/3% in voting power of the outstanding shares of capital stock of the Corporation then entitled to vote in the election of the directors. Notwithstanding the foregoing, if Thermo owns beneficially a majority in voting power of the outstanding shares of capital stock of the Corporation then entitled to vote in the election of the directors, this Certificate of Incorporation may also be amended, altered, changed or repealed by the vote of the holders of a majority in voting power of the outstanding shares of capital stock of the Corporation then entitled to vote in the election of the directors.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ELEVENTH</w:t>
      </w:r>
    </w:p>
    <w:p>
      <w:pPr>
        <w:spacing w:after="0" w:line="238" w:lineRule="exact"/>
        <w:rPr>
          <w:sz w:val="20"/>
          <w:szCs w:val="20"/>
          <w:color w:val="auto"/>
        </w:rPr>
      </w:pPr>
    </w:p>
    <w:p>
      <w:pPr>
        <w:jc w:val="both"/>
        <w:ind w:firstLine="627"/>
        <w:spacing w:after="0" w:line="242" w:lineRule="auto"/>
        <w:rPr>
          <w:sz w:val="20"/>
          <w:szCs w:val="20"/>
          <w:color w:val="auto"/>
        </w:rPr>
      </w:pPr>
      <w:r>
        <w:rPr>
          <w:rFonts w:ascii="Times New Roman" w:cs="Times New Roman" w:eastAsia="Times New Roman" w:hAnsi="Times New Roman"/>
          <w:sz w:val="17"/>
          <w:szCs w:val="17"/>
          <w:color w:val="auto"/>
        </w:rPr>
        <w:t>During the Relevant Time Period, the Corporation shall not have power to effect a Related Party Transaction unless such Related Party Transaction shall be approved by the affirmative vote of a majority of shares of common stock owned by stockholders other than Thermo and voting affirmatively or negatively on the matter. For purposes of this Certificate of Incorporation, a “</w:t>
      </w:r>
      <w:r>
        <w:rPr>
          <w:rFonts w:ascii="Times New Roman" w:cs="Times New Roman" w:eastAsia="Times New Roman" w:hAnsi="Times New Roman"/>
          <w:sz w:val="17"/>
          <w:szCs w:val="17"/>
          <w:u w:val="single" w:color="auto"/>
          <w:color w:val="auto"/>
        </w:rPr>
        <w:t>Related Party Transaction</w:t>
      </w:r>
      <w:r>
        <w:rPr>
          <w:rFonts w:ascii="Times New Roman" w:cs="Times New Roman" w:eastAsia="Times New Roman" w:hAnsi="Times New Roman"/>
          <w:sz w:val="17"/>
          <w:szCs w:val="17"/>
          <w:color w:val="auto"/>
        </w:rPr>
        <w:t xml:space="preserve">” shall mean any transaction between the Corporation, on the one hand, and one or more of the Thermo Stockholders, on the other hand, that either (i) requires a stockholder vote pursuant to the General Corporation Law of the State of Delaware or (ii) has a value (as determined in good faith by the Strategic Review Committee) of $5,000,000 or more;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none of the following shall be a Related Party Transaction: (i) a financing that includes participation by one or more of the Thermo Stockholders on terms equal (as determined in good faith by the Board) to other parties (including, for the avoidance of doubt, the equity offering or similarly structured capital raising transaction contemplated by the Judgment) (a “</w:t>
      </w:r>
      <w:r>
        <w:rPr>
          <w:rFonts w:ascii="Times New Roman" w:cs="Times New Roman" w:eastAsia="Times New Roman" w:hAnsi="Times New Roman"/>
          <w:sz w:val="17"/>
          <w:szCs w:val="17"/>
          <w:u w:val="single" w:color="auto"/>
          <w:color w:val="auto"/>
        </w:rPr>
        <w:t>Permitted Financing</w:t>
      </w:r>
      <w:r>
        <w:rPr>
          <w:rFonts w:ascii="Times New Roman" w:cs="Times New Roman" w:eastAsia="Times New Roman" w:hAnsi="Times New Roman"/>
          <w:sz w:val="17"/>
          <w:szCs w:val="17"/>
          <w:color w:val="auto"/>
        </w:rPr>
        <w:t>”), (ii) the conversion of subordinated debt held by Thermo into capital stock of the Corporation in accordance with the terms of such debt as existing as of the Effective Date (a “</w:t>
      </w:r>
      <w:r>
        <w:rPr>
          <w:rFonts w:ascii="Times New Roman" w:cs="Times New Roman" w:eastAsia="Times New Roman" w:hAnsi="Times New Roman"/>
          <w:sz w:val="17"/>
          <w:szCs w:val="17"/>
          <w:u w:val="single" w:color="auto"/>
          <w:color w:val="auto"/>
        </w:rPr>
        <w:t>Debt Conversion</w:t>
      </w:r>
      <w:r>
        <w:rPr>
          <w:rFonts w:ascii="Times New Roman" w:cs="Times New Roman" w:eastAsia="Times New Roman" w:hAnsi="Times New Roman"/>
          <w:sz w:val="17"/>
          <w:szCs w:val="17"/>
          <w:color w:val="auto"/>
        </w:rPr>
        <w:t>”), (iii) the exercise of options by any Thermo Stockholder (including, for the avoidance of doubt, Monroe) in accordance with the terms of such options as existing as of the Effective Date (an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and (iv) a lease with respect to the Corporation’s headquarters (a “</w:t>
      </w:r>
      <w:r>
        <w:rPr>
          <w:rFonts w:ascii="Times New Roman" w:cs="Times New Roman" w:eastAsia="Times New Roman" w:hAnsi="Times New Roman"/>
          <w:sz w:val="17"/>
          <w:szCs w:val="17"/>
          <w:u w:val="single" w:color="auto"/>
          <w:color w:val="auto"/>
        </w:rPr>
        <w:t>Lease</w:t>
      </w:r>
      <w:r>
        <w:rPr>
          <w:rFonts w:ascii="Times New Roman" w:cs="Times New Roman" w:eastAsia="Times New Roman" w:hAnsi="Times New Roman"/>
          <w:sz w:val="17"/>
          <w:szCs w:val="17"/>
          <w:color w:val="auto"/>
        </w:rPr>
        <w:t>” and with any Permitted Financing, any Debt Conversion, and any Option Conversion, the “</w:t>
      </w:r>
      <w:r>
        <w:rPr>
          <w:rFonts w:ascii="Times New Roman" w:cs="Times New Roman" w:eastAsia="Times New Roman" w:hAnsi="Times New Roman"/>
          <w:sz w:val="17"/>
          <w:szCs w:val="17"/>
          <w:u w:val="single" w:color="auto"/>
          <w:color w:val="auto"/>
        </w:rPr>
        <w:t>Carve Out Transactions</w:t>
      </w:r>
      <w:r>
        <w:rPr>
          <w:rFonts w:ascii="Times New Roman" w:cs="Times New Roman" w:eastAsia="Times New Roman" w:hAnsi="Times New Roman"/>
          <w:sz w:val="17"/>
          <w:szCs w:val="17"/>
          <w:color w:val="auto"/>
        </w:rPr>
        <w:t>”). Any determination made by the Strategic Review Committee or the Board pursuant to this Certificate of Incorporation shall be final, conclusive and binding.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TWELFTH</w:t>
      </w:r>
    </w:p>
    <w:p>
      <w:pPr>
        <w:spacing w:after="0" w:line="238" w:lineRule="exact"/>
        <w:rPr>
          <w:sz w:val="20"/>
          <w:szCs w:val="20"/>
          <w:color w:val="auto"/>
        </w:rPr>
      </w:pPr>
    </w:p>
    <w:p>
      <w:pPr>
        <w:jc w:val="both"/>
        <w:ind w:firstLine="627"/>
        <w:spacing w:after="0" w:line="242" w:lineRule="auto"/>
        <w:rPr>
          <w:sz w:val="20"/>
          <w:szCs w:val="20"/>
          <w:color w:val="auto"/>
        </w:rPr>
      </w:pPr>
      <w:r>
        <w:rPr>
          <w:rFonts w:ascii="Times New Roman" w:cs="Times New Roman" w:eastAsia="Times New Roman" w:hAnsi="Times New Roman"/>
          <w:sz w:val="17"/>
          <w:szCs w:val="17"/>
          <w:color w:val="auto"/>
        </w:rPr>
        <w:t>The Board shall (i) establish and maintain through the end of the Relevant Time Period a standing “</w:t>
      </w:r>
      <w:r>
        <w:rPr>
          <w:rFonts w:ascii="Times New Roman" w:cs="Times New Roman" w:eastAsia="Times New Roman" w:hAnsi="Times New Roman"/>
          <w:sz w:val="17"/>
          <w:szCs w:val="17"/>
          <w:u w:val="single" w:color="auto"/>
          <w:color w:val="auto"/>
        </w:rPr>
        <w:t>Strategic Review Committee</w:t>
      </w:r>
      <w:r>
        <w:rPr>
          <w:rFonts w:ascii="Times New Roman" w:cs="Times New Roman" w:eastAsia="Times New Roman" w:hAnsi="Times New Roman"/>
          <w:sz w:val="17"/>
          <w:szCs w:val="17"/>
          <w:color w:val="auto"/>
        </w:rPr>
        <w:t>” and (ii) designate directors to the Strategic Review Committee. The Strategic Review Committee shall remain in existence through the end of the Relevant Time Period. Unless the Strategic Review Committee is prohibited under applicable law from having the power or authority to act on any of the following matters, the Strategic Review Committee shall, during the Relevant Time Period, have exclusive responsibility for oversight, review, and approval (to the extent permitted by law) or disapproval of the following: (i) any acquisition by Thermo of additional newly-issued securities of the Corporation (other than pursuant to a Permitted Financing, a Debt Conversion or an Option Conversion); (ii) any extraordinary corporate transaction, such as a merger, reorganization or liquidation, involving the Corporation or any of its subsidiaries; (iii) any sale or transfer of a material amount of assets of the Corporation or any sale or transfer of assets of any of the Corporation’s subsidiaries which are material to the Corporation; (iv) any change in the Board, including any plans or proposals to change the number or term of directors; other than (a) nominations for election or reelection to the Board (except nominations for election or reelection of Minority Directors in connection with the end of a term of a Minority Director, which shall be within the authority of the Strategic Review Committee) and (b) nominations and appointments of individuals to fill vacancies or newly created directorships (except nominations and appointments to fill vacancies of Minority Director seats, which shall be within the authority of the Strategic Review Committee); (v) any material</w:t>
      </w:r>
    </w:p>
    <w:p>
      <w:pPr>
        <w:sectPr>
          <w:pgSz w:w="11900" w:h="16838" w:orient="portrait"/>
          <w:cols w:equalWidth="0" w:num="1">
            <w:col w:w="11240"/>
          </w:cols>
          <w:pgMar w:left="320" w:top="1363" w:right="339" w:bottom="1440" w:gutter="0" w:footer="0" w:header="0"/>
        </w:sectPr>
      </w:pPr>
    </w:p>
    <w:bookmarkStart w:id="41" w:name="page42"/>
    <w:bookmarkEnd w:id="41"/>
    <w:p>
      <w:pPr>
        <w:jc w:val="both"/>
        <w:spacing w:after="0"/>
        <w:rPr>
          <w:sz w:val="20"/>
          <w:szCs w:val="20"/>
          <w:color w:val="auto"/>
        </w:rPr>
      </w:pPr>
      <w:r>
        <w:rPr>
          <w:rFonts w:ascii="Times New Roman" w:cs="Times New Roman" w:eastAsia="Times New Roman" w:hAnsi="Times New Roman"/>
          <w:sz w:val="17"/>
          <w:szCs w:val="17"/>
          <w:color w:val="auto"/>
        </w:rPr>
        <w:t xml:space="preserve">change in the present capitalization or dividend policy of the Corporation (other than pursuant to a Permitted Financing, a Debt Conversion or an Option Conversion); (vi) any other material changes in the Corporation’s lines of business or corporate structure (other than pursuant to a Permitted Financing, a Debt Conversion or an Option Conversion); and (vii) any transaction between the Corporation, on the one hand, and one or more of the Thermo Stockholders, on the other hand, that has a value (as determined in good faith by the Strategic Review Committee) in excess of $250,000, except for any Permitted Financing, any Debt Conversion, any Option Conversion, and the matters set forth on a Schedule delivered by counsel to defendants in the Action to counsel to plaintiffs in the Action pursuant to the Judgment and on file at the Corporation’s headquarters. During the Relevant Time Period, to the extent that any of the foregoing matters, or any matter set forth in the charter of the Strategic Review Committee, cannot be approved solely by the Strategic Review Committee and requires approval of the full Board under applicable law, the Corporation shall not have the power to take such action, and any such action shall be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unless such action is approved by the Board only after the approval of such action has been recommended to the Board by the Strategic Review Committee. Pursuant to the first sentence of this Article Twelfth, the Board shall appoint four (4) directors to serve on the Strategic Review Committee, two of whom shall consist of the then-serving Minority Directors, and the other two of whom shall be independent directors (as determined in good faith by the Board, but at a minimum, who would qualify (as determined in good faith by the Board) as “independent directors” under the rules and regulations of The Nasdaq Stock Market LLC) (an “</w:t>
      </w:r>
      <w:r>
        <w:rPr>
          <w:rFonts w:ascii="Times New Roman" w:cs="Times New Roman" w:eastAsia="Times New Roman" w:hAnsi="Times New Roman"/>
          <w:sz w:val="17"/>
          <w:szCs w:val="17"/>
          <w:u w:val="single" w:color="auto"/>
          <w:color w:val="auto"/>
        </w:rPr>
        <w:t>Independent Director</w:t>
      </w:r>
      <w:r>
        <w:rPr>
          <w:rFonts w:ascii="Times New Roman" w:cs="Times New Roman" w:eastAsia="Times New Roman" w:hAnsi="Times New Roman"/>
          <w:sz w:val="17"/>
          <w:szCs w:val="17"/>
          <w:color w:val="auto"/>
        </w:rPr>
        <w:t xml:space="preserve">”); provided that (y) Monroe shall not serve as a member of the Strategic Review Committee (but the Strategic Review Committee may consult with Monroe as it deems appropriate) and (z) notwithstanding anything to the contrary herein, solely for purposes of constituting the Strategic Review Committee, the requirement of an Independent Director shall be waived for one time (and one time only) to allow Mr. Tim Taylor to be appointed to and serve on the Strategic Review Committee. Notwithstanding anything in this Certificate of Incorporation to the contrary, during a fourteen-day period commencing on the date six months after the effective date of this Second Amended and Restated Certificate of Incorporation, and recurring at each six (6) month interval thereafter for as long as Mr. Taylor is serving on the Strategic Review Committee, the Minority Directors may, by notice signed by each Minority Director and delivered to the Secretary of the Corporation, remove Taylor as a member of the Strategic Review Committee with or without cause (at which time Taylor shall be disqualified from serving on the Strategic Review Committee and shall not be deemed an Independent Director for any purpose). In the event that Mr. Taylor departs from the Strategic Review Committee for any reason whatsoever, the Board shall appoint Mr. Michael Lovett to serve on the Strategic Review Committee in Mr. Taylor’s place, unless Mr. Lovett is no longer a director of the Corporation, in which case the Board shall appoint an Independent Director to serve on the Strategic Review Committee in Mr. Taylor’s place. The Strategic Review Committee shall require the affirmative vote of a majority of its authorized number of members (regardless of vacancies thereon) in order to take action at a meeting;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(i) to the extent the Strategic Review Committee fails to obtain such vote on any particular matter of business before it, the Strategic Review Committee shall consult with the Board until such vote is obtained and (ii) in the event the Strategic Review Committee cannot obtain such vote for any single nominee for Minority Director, then the Strategic Review Committee shall nominate two (2) such nominees for each Minority Director seat subject to election, and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For the avoidance of doubt, pursuant to the immediately preceding sentence, the Strategic Review Committee may nominate and include on the annual or special meeting proxy card two candidates for a Minority Director seat.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THIRTEENTH</w:t>
      </w:r>
    </w:p>
    <w:p>
      <w:pPr>
        <w:spacing w:after="0" w:line="238"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17"/>
          <w:szCs w:val="17"/>
          <w:color w:val="auto"/>
        </w:rPr>
        <w:t>When the terms of this Certificate of Incorporation refer to a specific document or a decision by anybody or person that determines the meaning or operation of a provision hereof, the Secretary of the Corporation shall maintain a copy of such document or decision at the Corporation’s headquarters and a copy thereof shall be provided free of charge to any stockholder who makes a request therefor.</w:t>
      </w:r>
    </w:p>
    <w:p>
      <w:pPr>
        <w:spacing w:after="0" w:line="194"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For purposes of this Certificate of Incorporation and the Bylaws of the Corporation, every reference to a majority or other proportion of stock with respect to establishing a quorum for meetings of stockholders or the requisite vote for stockholder approval (whether at a stockholder meeting or by written consent) shall be deemed to refer to such majority or other proportion, as applicable, of the votes entitled to be cast by the holders of such stock.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FOURTEENTH</w:t>
      </w:r>
    </w:p>
    <w:p>
      <w:pPr>
        <w:sectPr>
          <w:pgSz w:w="11900" w:h="16838" w:orient="portrait"/>
          <w:cols w:equalWidth="0" w:num="1">
            <w:col w:w="11240"/>
          </w:cols>
          <w:pgMar w:left="320" w:top="136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This Certificate of Incorporation shall be effective upon filing with the Delaware Secretary of State.</w:t>
      </w:r>
    </w:p>
    <w:p>
      <w:pPr>
        <w:sectPr>
          <w:pgSz w:w="11900" w:h="16838" w:orient="portrait"/>
          <w:cols w:equalWidth="0" w:num="1">
            <w:col w:w="9499"/>
          </w:cols>
          <w:pgMar w:left="960" w:top="1363"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to Guaranty</w:t>
      </w:r>
    </w:p>
    <w:p>
      <w:pPr>
        <w:spacing w:after="0" w:line="238" w:lineRule="exact"/>
        <w:rPr>
          <w:sz w:val="20"/>
          <w:szCs w:val="20"/>
          <w:color w:val="auto"/>
        </w:rPr>
      </w:pPr>
    </w:p>
    <w:p>
      <w:pPr>
        <w:jc w:val="both"/>
        <w:ind w:firstLine="627"/>
        <w:spacing w:after="0" w:line="257" w:lineRule="auto"/>
        <w:rPr>
          <w:sz w:val="20"/>
          <w:szCs w:val="20"/>
          <w:color w:val="auto"/>
        </w:rPr>
      </w:pPr>
      <w:r>
        <w:rPr>
          <w:rFonts w:ascii="Arial" w:cs="Arial" w:eastAsia="Arial" w:hAnsi="Arial"/>
          <w:sz w:val="17"/>
          <w:szCs w:val="17"/>
          <w:color w:val="auto"/>
        </w:rPr>
        <w:t>This Amendment to Guaranty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dated as of May 21, 2025, is made by Thermo Funding II, LLC, a Colorado limited liability company, located at 1735 19 Street, #200, Denver, CO 80202 (“</w:t>
      </w:r>
      <w:r>
        <w:rPr>
          <w:rFonts w:ascii="Arial" w:cs="Arial" w:eastAsia="Arial" w:hAnsi="Arial"/>
          <w:sz w:val="17"/>
          <w:szCs w:val="17"/>
          <w:b w:val="1"/>
          <w:bCs w:val="1"/>
          <w:i w:val="1"/>
          <w:iCs w:val="1"/>
          <w:color w:val="auto"/>
        </w:rPr>
        <w:t>Thermo Funding</w:t>
      </w:r>
      <w:r>
        <w:rPr>
          <w:rFonts w:ascii="Arial" w:cs="Arial" w:eastAsia="Arial" w:hAnsi="Arial"/>
          <w:sz w:val="17"/>
          <w:szCs w:val="17"/>
          <w:color w:val="auto"/>
        </w:rPr>
        <w:t>”), in favor of Globalstar, Inc., a Delaware corporation located at 1351 Holiday Square Blvd., Covington, Louisiana 70433 (“</w:t>
      </w:r>
      <w:r>
        <w:rPr>
          <w:rFonts w:ascii="Arial" w:cs="Arial" w:eastAsia="Arial" w:hAnsi="Arial"/>
          <w:sz w:val="17"/>
          <w:szCs w:val="17"/>
          <w:b w:val="1"/>
          <w:bCs w:val="1"/>
          <w:i w:val="1"/>
          <w:iCs w:val="1"/>
          <w:color w:val="auto"/>
        </w:rPr>
        <w:t>Globalstar</w:t>
      </w:r>
      <w:r>
        <w:rPr>
          <w:rFonts w:ascii="Arial" w:cs="Arial" w:eastAsia="Arial" w:hAnsi="Arial"/>
          <w:sz w:val="17"/>
          <w:szCs w:val="17"/>
          <w:color w:val="auto"/>
        </w:rPr>
        <w:t>”) and solely for the purposes of Sections 23 and 24 of the Guaranty (as defined below), Apple Inc., a California corporation (“</w:t>
      </w:r>
      <w:r>
        <w:rPr>
          <w:rFonts w:ascii="Arial" w:cs="Arial" w:eastAsia="Arial" w:hAnsi="Arial"/>
          <w:sz w:val="17"/>
          <w:szCs w:val="17"/>
          <w:b w:val="1"/>
          <w:bCs w:val="1"/>
          <w:i w:val="1"/>
          <w:iCs w:val="1"/>
          <w:color w:val="auto"/>
        </w:rPr>
        <w:t>Apple</w:t>
      </w:r>
      <w:r>
        <w:rPr>
          <w:rFonts w:ascii="Arial" w:cs="Arial" w:eastAsia="Arial" w:hAnsi="Arial"/>
          <w:sz w:val="17"/>
          <w:szCs w:val="17"/>
          <w:color w:val="auto"/>
        </w:rPr>
        <w: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reference is made to that certain Secured Guaranty by Thermo Funding in favor of Globalstar, dated December 7, 2023,</w:t>
      </w:r>
    </w:p>
    <w:p>
      <w:pPr>
        <w:spacing w:after="0" w:line="1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pursuant to which Thermo Funding guaranteed certain obligations to Globalstar (as amended, the “</w:t>
      </w:r>
      <w:r>
        <w:rPr>
          <w:rFonts w:ascii="Arial" w:cs="Arial" w:eastAsia="Arial" w:hAnsi="Arial"/>
          <w:sz w:val="17"/>
          <w:szCs w:val="17"/>
          <w:b w:val="1"/>
          <w:bCs w:val="1"/>
          <w:i w:val="1"/>
          <w:iCs w:val="1"/>
          <w:color w:val="auto"/>
        </w:rPr>
        <w:t>Guaranty</w:t>
      </w:r>
      <w:r>
        <w:rPr>
          <w:rFonts w:ascii="Arial" w:cs="Arial" w:eastAsia="Arial" w:hAnsi="Arial"/>
          <w:sz w:val="17"/>
          <w:szCs w:val="17"/>
          <w:color w:val="auto"/>
        </w:rPr>
        <w:t>”). Capitalized terms used herein and not otherwise defined herein shall have the meanings given to them in the Guaranty.</w:t>
      </w:r>
    </w:p>
    <w:p>
      <w:pPr>
        <w:spacing w:after="0" w:line="197"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7"/>
          <w:szCs w:val="17"/>
          <w:color w:val="auto"/>
        </w:rPr>
        <w:t>WHEREAS, Globalstar and Thermo Funding have agreed to cap the amount Guaranteed Obligations covered by the Guaranty, and Apple has agreed to consent to this Amendment.</w:t>
      </w:r>
    </w:p>
    <w:p>
      <w:pPr>
        <w:spacing w:after="0" w:line="168"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7"/>
          <w:szCs w:val="17"/>
          <w:color w:val="auto"/>
        </w:rPr>
        <w:t>NOW THEREFORE, for good and valuable consideration, the adequacy and receipt of which is hereby acknowledged, the parties agree as follows:</w:t>
      </w:r>
    </w:p>
    <w:p>
      <w:pPr>
        <w:spacing w:after="0" w:line="168" w:lineRule="exact"/>
        <w:rPr>
          <w:sz w:val="20"/>
          <w:szCs w:val="20"/>
          <w:color w:val="auto"/>
        </w:rPr>
      </w:pPr>
    </w:p>
    <w:p>
      <w:pPr>
        <w:ind w:left="820" w:hanging="188"/>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Amendment to Guaranty</w:t>
      </w:r>
    </w:p>
    <w:p>
      <w:pPr>
        <w:spacing w:after="0" w:line="235" w:lineRule="exact"/>
        <w:rPr>
          <w:rFonts w:ascii="Arial" w:cs="Arial" w:eastAsia="Arial" w:hAnsi="Arial"/>
          <w:sz w:val="17"/>
          <w:szCs w:val="17"/>
          <w:color w:val="auto"/>
        </w:rPr>
      </w:pPr>
    </w:p>
    <w:p>
      <w:pPr>
        <w:ind w:left="1520" w:hanging="261"/>
        <w:spacing w:after="0"/>
        <w:tabs>
          <w:tab w:leader="none" w:pos="15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Section 1(b) of the Guaranty is hereby amended to delete the current language in its entirety and restate it as follows:</w:t>
      </w:r>
    </w:p>
    <w:p>
      <w:pPr>
        <w:spacing w:after="0" w:line="235" w:lineRule="exact"/>
        <w:rPr>
          <w:rFonts w:ascii="Arial" w:cs="Arial" w:eastAsia="Arial" w:hAnsi="Arial"/>
          <w:sz w:val="17"/>
          <w:szCs w:val="17"/>
          <w:color w:val="auto"/>
        </w:rPr>
      </w:pPr>
    </w:p>
    <w:p>
      <w:pPr>
        <w:jc w:val="both"/>
        <w:ind w:left="1260" w:hanging="1"/>
        <w:spacing w:after="0" w:line="244" w:lineRule="auto"/>
        <w:tabs>
          <w:tab w:leader="none" w:pos="1521"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MDA Satellites</w:t>
      </w:r>
      <w:r>
        <w:rPr>
          <w:rFonts w:ascii="Arial" w:cs="Arial" w:eastAsia="Arial" w:hAnsi="Arial"/>
          <w:sz w:val="17"/>
          <w:szCs w:val="17"/>
          <w:color w:val="auto"/>
        </w:rPr>
        <w:t>. Thermo Funding hereby absolutely, unconditionally and irrevocably, as a primary obligor and not merely as a surety, guarantees to Globalstar the repayment, in full upon demand by Apple, of any amounts paid by Apple to cure any default of Globalstar in the performance or punctual payment when due of all Globalstar payment obligations under the MDA Satellites Agreements. Thermo Funding hereby guarantees that if Globalstar does not make a payment within 5 Business Days as required under the MDA Satellites Agreements or any other agreement related to P2 Capex (as defined in the 2023 Prepayment Agreement) up to $252 million, as may be adjusted pursuant to the Supply Agreements; provided, that the $252 million shall be automatically adjusted upwards to an amount not to exceed $364.5 million (i.e., 50% of $729 million) as amendments to the MDA Satellites Agreements and/or other agreements related to P2 Capex are entered into by Globalstar that increase the total dollar amount of P2 Capex, then upon written notice by Apple to Thermo Funding of such failure to pay, Thermo Funding will make such payments either to Globalstar or directly to the P2 Capex vendor in 5 Business Days ((a)-(b), the “</w:t>
      </w:r>
      <w:r>
        <w:rPr>
          <w:rFonts w:ascii="Arial" w:cs="Arial" w:eastAsia="Arial" w:hAnsi="Arial"/>
          <w:sz w:val="17"/>
          <w:szCs w:val="17"/>
          <w:b w:val="1"/>
          <w:bCs w:val="1"/>
          <w:i w:val="1"/>
          <w:iCs w:val="1"/>
          <w:color w:val="auto"/>
        </w:rPr>
        <w:t>Guaranteed Obligations</w:t>
      </w:r>
      <w:r>
        <w:rPr>
          <w:rFonts w:ascii="Arial" w:cs="Arial" w:eastAsia="Arial" w:hAnsi="Arial"/>
          <w:sz w:val="17"/>
          <w:szCs w:val="17"/>
          <w:color w:val="auto"/>
        </w:rPr>
        <w:t>”).</w:t>
      </w:r>
    </w:p>
    <w:p>
      <w:pPr>
        <w:spacing w:after="0" w:line="195" w:lineRule="exact"/>
        <w:rPr>
          <w:sz w:val="20"/>
          <w:szCs w:val="20"/>
          <w:color w:val="auto"/>
        </w:rPr>
      </w:pPr>
    </w:p>
    <w:p>
      <w:pPr>
        <w:jc w:val="both"/>
        <w:ind w:firstLine="1259"/>
        <w:spacing w:after="0" w:line="261" w:lineRule="auto"/>
        <w:tabs>
          <w:tab w:leader="none" w:pos="154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language is hereby added to the end of Section 1 of the Guaranty: “provided, that, that Thermo Funding’s guarantee of the Guaranteed Obligations hereunder is limited to $100,000,000.00 (One Hundred Million United States Dollars), or such other amount as may be agreed in writing from time to time by Thermo Funding and Globalstar).”</w:t>
      </w:r>
    </w:p>
    <w:p>
      <w:pPr>
        <w:spacing w:after="0" w:line="185" w:lineRule="exact"/>
        <w:rPr>
          <w:rFonts w:ascii="Arial" w:cs="Arial" w:eastAsia="Arial" w:hAnsi="Arial"/>
          <w:sz w:val="17"/>
          <w:szCs w:val="17"/>
          <w:color w:val="auto"/>
        </w:rPr>
      </w:pPr>
    </w:p>
    <w:p>
      <w:pPr>
        <w:ind w:left="1520" w:hanging="261"/>
        <w:spacing w:after="0"/>
        <w:tabs>
          <w:tab w:leader="none" w:pos="1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Apple hereby consents to this Amendment, with respect to its rights pursuant to Sections 23 and 24 of the Guaranty.</w:t>
      </w:r>
    </w:p>
    <w:p>
      <w:pPr>
        <w:spacing w:after="0" w:line="235" w:lineRule="exact"/>
        <w:rPr>
          <w:rFonts w:ascii="Arial" w:cs="Arial" w:eastAsia="Arial" w:hAnsi="Arial"/>
          <w:sz w:val="17"/>
          <w:szCs w:val="17"/>
          <w:color w:val="auto"/>
        </w:rPr>
      </w:pPr>
    </w:p>
    <w:p>
      <w:pPr>
        <w:ind w:left="1520" w:hanging="261"/>
        <w:spacing w:after="0"/>
        <w:tabs>
          <w:tab w:leader="none" w:pos="1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Thermo Funding hereby ratifies and approves the Guaranty as such agreement existed both before and after the execution of</w:t>
      </w:r>
    </w:p>
    <w:p>
      <w:pPr>
        <w:spacing w:after="0" w:line="1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this Amendment.</w:t>
      </w:r>
    </w:p>
    <w:p>
      <w:pPr>
        <w:spacing w:after="0" w:line="219" w:lineRule="exact"/>
        <w:rPr>
          <w:rFonts w:ascii="Arial" w:cs="Arial" w:eastAsia="Arial" w:hAnsi="Arial"/>
          <w:sz w:val="17"/>
          <w:szCs w:val="17"/>
          <w:color w:val="auto"/>
        </w:rPr>
      </w:pPr>
    </w:p>
    <w:p>
      <w:pPr>
        <w:ind w:firstLine="1259"/>
        <w:spacing w:after="0" w:line="282" w:lineRule="auto"/>
        <w:tabs>
          <w:tab w:leader="none" w:pos="154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Amendment is limited as specified herein and shall not otherwise constitute a modification or waiver of any other provision of the Guaranty, all of which other provisions are hereby ratified and confirmed and remain in full force and effect.</w:t>
      </w:r>
    </w:p>
    <w:p>
      <w:pPr>
        <w:spacing w:after="0" w:line="167" w:lineRule="exact"/>
        <w:rPr>
          <w:rFonts w:ascii="Arial" w:cs="Arial" w:eastAsia="Arial" w:hAnsi="Arial"/>
          <w:sz w:val="17"/>
          <w:szCs w:val="17"/>
          <w:color w:val="auto"/>
        </w:rPr>
      </w:pPr>
    </w:p>
    <w:p>
      <w:pPr>
        <w:ind w:left="1480" w:hanging="221"/>
        <w:spacing w:after="0"/>
        <w:tabs>
          <w:tab w:leader="none" w:pos="1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Amendment shall be governed by, and construed in accordance with, the law of the State of New York.</w:t>
      </w:r>
    </w:p>
    <w:p>
      <w:pPr>
        <w:sectPr>
          <w:pgSz w:w="11900" w:h="16838" w:orient="portrait"/>
          <w:cols w:equalWidth="0" w:num="1">
            <w:col w:w="11240"/>
          </w:cols>
          <w:pgMar w:left="320" w:top="121"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ectPr>
          <w:pgSz w:w="11900" w:h="16838" w:orient="portrait"/>
          <w:cols w:equalWidth="0" w:num="1">
            <w:col w:w="9019"/>
          </w:cols>
          <w:pgMar w:left="1440" w:top="1440" w:right="1440" w:bottom="1440" w:gutter="0" w:footer="0" w:header="0"/>
        </w:sectPr>
      </w:pPr>
    </w:p>
    <w:bookmarkStart w:id="45" w:name="page46"/>
    <w:bookmarkEnd w:id="45"/>
    <w:p>
      <w:pPr>
        <w:spacing w:after="0" w:line="395" w:lineRule="exact"/>
        <w:rPr>
          <w:sz w:val="20"/>
          <w:szCs w:val="20"/>
          <w:color w:val="auto"/>
        </w:rPr>
      </w:pPr>
    </w:p>
    <w:p>
      <w:pPr>
        <w:ind w:right="300" w:firstLine="627"/>
        <w:spacing w:after="0" w:line="282" w:lineRule="auto"/>
        <w:rPr>
          <w:sz w:val="20"/>
          <w:szCs w:val="20"/>
          <w:color w:val="auto"/>
        </w:rPr>
      </w:pPr>
      <w:r>
        <w:rPr>
          <w:rFonts w:ascii="Arial" w:cs="Arial" w:eastAsia="Arial" w:hAnsi="Arial"/>
          <w:sz w:val="17"/>
          <w:szCs w:val="17"/>
          <w:color w:val="auto"/>
        </w:rPr>
        <w:t>IN WITNESS WHEREOF, each of the parties has duly executed and delivered this Amendment through its undersigned designee duly authorized to be effective as of the date first above written.</w:t>
      </w:r>
    </w:p>
    <w:p>
      <w:pPr>
        <w:spacing w:after="0" w:line="166"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THERMO FUNDING II, LLC</w:t>
      </w:r>
    </w:p>
    <w:p>
      <w:pPr>
        <w:spacing w:after="0" w:line="200" w:lineRule="exact"/>
        <w:rPr>
          <w:sz w:val="20"/>
          <w:szCs w:val="20"/>
          <w:color w:val="auto"/>
        </w:rPr>
      </w:pPr>
    </w:p>
    <w:p>
      <w:pPr>
        <w:spacing w:after="0" w:line="273" w:lineRule="exact"/>
        <w:rPr>
          <w:sz w:val="20"/>
          <w:szCs w:val="20"/>
          <w:color w:val="auto"/>
        </w:rPr>
      </w:pPr>
    </w:p>
    <w:p>
      <w:pPr>
        <w:ind w:left="2900"/>
        <w:spacing w:after="0"/>
        <w:rPr>
          <w:sz w:val="20"/>
          <w:szCs w:val="20"/>
          <w:color w:val="auto"/>
        </w:rPr>
      </w:pPr>
      <w:r>
        <w:rPr>
          <w:rFonts w:ascii="Arial" w:cs="Arial" w:eastAsia="Arial" w:hAnsi="Arial"/>
          <w:sz w:val="17"/>
          <w:szCs w:val="17"/>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2004695</wp:posOffset>
            </wp:positionH>
            <wp:positionV relativeFrom="paragraph">
              <wp:posOffset>-5080</wp:posOffset>
            </wp:positionV>
            <wp:extent cx="147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7320" cy="8255"/>
                    </a:xfrm>
                    <a:prstGeom prst="rect">
                      <a:avLst/>
                    </a:prstGeom>
                    <a:noFill/>
                  </pic:spPr>
                </pic:pic>
              </a:graphicData>
            </a:graphic>
          </wp:anchor>
        </w:drawing>
      </w:r>
    </w:p>
    <w:p>
      <w:pPr>
        <w:ind w:left="2900"/>
        <w:spacing w:after="0"/>
        <w:rPr>
          <w:sz w:val="20"/>
          <w:szCs w:val="20"/>
          <w:color w:val="auto"/>
        </w:rPr>
      </w:pPr>
      <w:r>
        <w:rPr>
          <w:rFonts w:ascii="Arial" w:cs="Arial" w:eastAsia="Arial" w:hAnsi="Arial"/>
          <w:sz w:val="17"/>
          <w:szCs w:val="17"/>
          <w:color w:val="auto"/>
        </w:rPr>
        <w:t>Name: James Monroe III</w:t>
      </w:r>
    </w:p>
    <w:p>
      <w:pPr>
        <w:spacing w:after="0" w:line="1" w:lineRule="exact"/>
        <w:rPr>
          <w:sz w:val="20"/>
          <w:szCs w:val="20"/>
          <w:color w:val="auto"/>
        </w:rPr>
      </w:pPr>
    </w:p>
    <w:p>
      <w:pPr>
        <w:ind w:left="2900"/>
        <w:spacing w:after="0"/>
        <w:rPr>
          <w:sz w:val="20"/>
          <w:szCs w:val="20"/>
          <w:color w:val="auto"/>
        </w:rPr>
      </w:pPr>
      <w:r>
        <w:rPr>
          <w:rFonts w:ascii="Arial" w:cs="Arial" w:eastAsia="Arial" w:hAnsi="Arial"/>
          <w:sz w:val="17"/>
          <w:szCs w:val="17"/>
          <w:color w:val="auto"/>
        </w:rPr>
        <w:t>Title: Manager</w:t>
      </w:r>
    </w:p>
    <w:p>
      <w:pPr>
        <w:spacing w:after="0" w:line="200" w:lineRule="exact"/>
        <w:rPr>
          <w:sz w:val="20"/>
          <w:szCs w:val="20"/>
          <w:color w:val="auto"/>
        </w:rPr>
      </w:pPr>
    </w:p>
    <w:p>
      <w:pPr>
        <w:spacing w:after="0" w:line="253"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GLOBALSTAR, INC.</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-5080</wp:posOffset>
            </wp:positionV>
            <wp:extent cx="147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732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Rebecca Clary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Title: VP and Chief Financial Officer</w:t>
      </w:r>
    </w:p>
    <w:p>
      <w:pPr>
        <w:spacing w:after="0" w:line="220" w:lineRule="exact"/>
        <w:rPr>
          <w:sz w:val="20"/>
          <w:szCs w:val="20"/>
          <w:color w:val="auto"/>
        </w:rPr>
      </w:pPr>
    </w:p>
    <w:p>
      <w:pPr>
        <w:ind w:left="2900"/>
        <w:spacing w:after="0" w:line="282" w:lineRule="auto"/>
        <w:rPr>
          <w:sz w:val="20"/>
          <w:szCs w:val="20"/>
          <w:color w:val="auto"/>
        </w:rPr>
      </w:pPr>
      <w:r>
        <w:rPr>
          <w:rFonts w:ascii="Arial" w:cs="Arial" w:eastAsia="Arial" w:hAnsi="Arial"/>
          <w:sz w:val="17"/>
          <w:szCs w:val="17"/>
          <w:color w:val="auto"/>
        </w:rPr>
        <w:t>Solely for the purposes of consenting to this Amendment with respect to Apple’s rights pursuant to Sections 23 and 24 of the Guaranty:</w:t>
      </w:r>
    </w:p>
    <w:p>
      <w:pPr>
        <w:spacing w:after="0" w:line="166"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APPLE INC.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-5080</wp:posOffset>
            </wp:positionV>
            <wp:extent cx="147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732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Customer Authorized Signatory</w:t>
      </w:r>
    </w:p>
    <w:p>
      <w:pPr>
        <w:sectPr>
          <w:pgSz w:w="11900" w:h="16838" w:orient="portrait"/>
          <w:cols w:equalWidth="0" w:num="1">
            <w:col w:w="11240"/>
          </w:cols>
          <w:pgMar w:left="320" w:top="144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Dr. Paul E. Jacobs, certify that:</w:t>
      </w:r>
    </w:p>
    <w:p>
      <w:pPr>
        <w:spacing w:after="0" w:line="249" w:lineRule="exact"/>
        <w:rPr>
          <w:sz w:val="20"/>
          <w:szCs w:val="20"/>
          <w:color w:val="auto"/>
        </w:rPr>
      </w:pPr>
    </w:p>
    <w:p>
      <w:pPr>
        <w:ind w:left="320" w:hanging="315"/>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Globalstar, Inc.;</w:t>
      </w:r>
    </w:p>
    <w:p>
      <w:pPr>
        <w:spacing w:after="0" w:line="248"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320" w:right="340" w:hanging="315"/>
        <w:spacing w:after="0" w:line="295" w:lineRule="auto"/>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2" w:lineRule="exact"/>
        <w:rPr>
          <w:rFonts w:ascii="Times New Roman" w:cs="Times New Roman" w:eastAsia="Times New Roman" w:hAnsi="Times New Roman"/>
          <w:sz w:val="17"/>
          <w:szCs w:val="17"/>
          <w:color w:val="auto"/>
        </w:rPr>
      </w:pPr>
    </w:p>
    <w:p>
      <w:pPr>
        <w:jc w:val="both"/>
        <w:ind w:left="940" w:right="440" w:hanging="308"/>
        <w:spacing w:after="0" w:line="276" w:lineRule="auto"/>
        <w:tabs>
          <w:tab w:leader="none" w:pos="9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ind w:left="940" w:right="120" w:hanging="308"/>
        <w:spacing w:after="0" w:line="276" w:lineRule="auto"/>
        <w:tabs>
          <w:tab w:leader="none" w:pos="9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940" w:right="40" w:hanging="308"/>
        <w:spacing w:after="0" w:line="295" w:lineRule="auto"/>
        <w:tabs>
          <w:tab w:leader="none" w:pos="9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940" w:right="200" w:hanging="308"/>
        <w:spacing w:after="0" w:line="295" w:lineRule="auto"/>
        <w:tabs>
          <w:tab w:leader="none" w:pos="9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2" w:lineRule="exact"/>
        <w:rPr>
          <w:rFonts w:ascii="Times New Roman" w:cs="Times New Roman" w:eastAsia="Times New Roman" w:hAnsi="Times New Roman"/>
          <w:sz w:val="17"/>
          <w:szCs w:val="17"/>
          <w:color w:val="auto"/>
        </w:rPr>
      </w:pPr>
    </w:p>
    <w:p>
      <w:pPr>
        <w:ind w:left="320" w:right="160" w:hanging="315"/>
        <w:spacing w:after="0" w:line="295" w:lineRule="auto"/>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w:t>
      </w:r>
    </w:p>
    <w:p>
      <w:pPr>
        <w:spacing w:after="0" w:line="172" w:lineRule="exact"/>
        <w:rPr>
          <w:rFonts w:ascii="Times New Roman" w:cs="Times New Roman" w:eastAsia="Times New Roman" w:hAnsi="Times New Roman"/>
          <w:sz w:val="17"/>
          <w:szCs w:val="17"/>
          <w:color w:val="auto"/>
        </w:rPr>
      </w:pPr>
    </w:p>
    <w:p>
      <w:pPr>
        <w:ind w:left="940" w:right="320" w:hanging="308"/>
        <w:spacing w:after="0" w:line="295" w:lineRule="auto"/>
        <w:tabs>
          <w:tab w:leader="none" w:pos="9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940" w:right="280" w:hanging="308"/>
        <w:spacing w:after="0" w:line="295" w:lineRule="auto"/>
        <w:tabs>
          <w:tab w:leader="none" w:pos="9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7, 2025</w:t>
            </w:r>
          </w:p>
        </w:tc>
      </w:tr>
      <w:tr>
        <w:trPr>
          <w:trHeight w:val="37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Dr. Paul E. Jacobs</w:t>
            </w:r>
          </w:p>
        </w:tc>
      </w:tr>
      <w:tr>
        <w:trPr>
          <w:trHeight w:val="208"/>
        </w:trPr>
        <w:tc>
          <w:tcPr>
            <w:tcW w:w="7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Dr. Paul E. Jacobs</w:t>
            </w:r>
          </w:p>
        </w:tc>
      </w:tr>
      <w:tr>
        <w:trPr>
          <w:trHeight w:val="229"/>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bl>
    <w:p>
      <w:pPr>
        <w:sectPr>
          <w:pgSz w:w="11900" w:h="16838" w:orient="portrait"/>
          <w:cols w:equalWidth="0" w:num="1">
            <w:col w:w="11240"/>
          </w:cols>
          <w:pgMar w:left="320" w:top="86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Rebecca S. Clary certify that:</w:t>
      </w:r>
    </w:p>
    <w:p>
      <w:pPr>
        <w:spacing w:after="0" w:line="249" w:lineRule="exact"/>
        <w:rPr>
          <w:sz w:val="20"/>
          <w:szCs w:val="20"/>
          <w:color w:val="auto"/>
        </w:rPr>
      </w:pPr>
    </w:p>
    <w:p>
      <w:pPr>
        <w:ind w:left="320" w:hanging="315"/>
        <w:spacing w:after="0"/>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Globalstar, Inc.;</w:t>
      </w:r>
    </w:p>
    <w:p>
      <w:pPr>
        <w:spacing w:after="0" w:line="248"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320" w:right="340" w:hanging="315"/>
        <w:spacing w:after="0" w:line="295"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2" w:lineRule="exact"/>
        <w:rPr>
          <w:rFonts w:ascii="Times New Roman" w:cs="Times New Roman" w:eastAsia="Times New Roman" w:hAnsi="Times New Roman"/>
          <w:sz w:val="17"/>
          <w:szCs w:val="17"/>
          <w:color w:val="auto"/>
        </w:rPr>
      </w:pPr>
    </w:p>
    <w:p>
      <w:pPr>
        <w:jc w:val="both"/>
        <w:ind w:left="940" w:right="440" w:hanging="308"/>
        <w:spacing w:after="0" w:line="276" w:lineRule="auto"/>
        <w:tabs>
          <w:tab w:leader="none" w:pos="9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ind w:left="940" w:right="120" w:hanging="308"/>
        <w:spacing w:after="0" w:line="276" w:lineRule="auto"/>
        <w:tabs>
          <w:tab w:leader="none" w:pos="9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940" w:right="40" w:hanging="308"/>
        <w:spacing w:after="0" w:line="295" w:lineRule="auto"/>
        <w:tabs>
          <w:tab w:leader="none" w:pos="9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940" w:right="200" w:hanging="308"/>
        <w:spacing w:after="0" w:line="295" w:lineRule="auto"/>
        <w:tabs>
          <w:tab w:leader="none" w:pos="9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2" w:lineRule="exact"/>
        <w:rPr>
          <w:rFonts w:ascii="Times New Roman" w:cs="Times New Roman" w:eastAsia="Times New Roman" w:hAnsi="Times New Roman"/>
          <w:sz w:val="17"/>
          <w:szCs w:val="17"/>
          <w:color w:val="auto"/>
        </w:rPr>
      </w:pPr>
    </w:p>
    <w:p>
      <w:pPr>
        <w:ind w:left="320" w:right="160" w:hanging="315"/>
        <w:spacing w:after="0" w:line="295"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w:t>
      </w:r>
    </w:p>
    <w:p>
      <w:pPr>
        <w:spacing w:after="0" w:line="172" w:lineRule="exact"/>
        <w:rPr>
          <w:rFonts w:ascii="Times New Roman" w:cs="Times New Roman" w:eastAsia="Times New Roman" w:hAnsi="Times New Roman"/>
          <w:sz w:val="17"/>
          <w:szCs w:val="17"/>
          <w:color w:val="auto"/>
        </w:rPr>
      </w:pPr>
    </w:p>
    <w:p>
      <w:pPr>
        <w:ind w:left="940" w:right="320" w:hanging="308"/>
        <w:spacing w:after="0" w:line="295" w:lineRule="auto"/>
        <w:tabs>
          <w:tab w:leader="none" w:pos="9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940" w:right="280" w:hanging="308"/>
        <w:spacing w:after="0" w:line="295" w:lineRule="auto"/>
        <w:tabs>
          <w:tab w:leader="none" w:pos="9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7, 2025</w:t>
            </w:r>
          </w:p>
        </w:tc>
      </w:tr>
      <w:tr>
        <w:trPr>
          <w:trHeight w:val="37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Rebecca S. Clary</w:t>
            </w:r>
          </w:p>
        </w:tc>
      </w:tr>
      <w:tr>
        <w:trPr>
          <w:trHeight w:val="208"/>
        </w:trPr>
        <w:tc>
          <w:tcPr>
            <w:tcW w:w="7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Rebecca S. Clary</w:t>
            </w:r>
          </w:p>
        </w:tc>
      </w:tr>
      <w:tr>
        <w:trPr>
          <w:trHeight w:val="229"/>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tc>
      </w:tr>
    </w:tbl>
    <w:p>
      <w:pPr>
        <w:sectPr>
          <w:pgSz w:w="11900" w:h="16838" w:orient="portrait"/>
          <w:cols w:equalWidth="0" w:num="1">
            <w:col w:w="11240"/>
          </w:cols>
          <w:pgMar w:left="320" w:top="86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906 of the Sarbanes-Oxley Act of 2002</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4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This quarterly report on Form 10-Q for the quarter ended June 30, 2025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August 7, 2025</w:t>
            </w:r>
          </w:p>
        </w:tc>
        <w:tc>
          <w:tcPr>
            <w:tcW w:w="7620" w:type="dxa"/>
            <w:vAlign w:val="bottom"/>
            <w:gridSpan w:val="2"/>
          </w:tcPr>
          <w:p>
            <w:pPr>
              <w:ind w:left="1660"/>
              <w:spacing w:after="0"/>
              <w:rPr>
                <w:sz w:val="20"/>
                <w:szCs w:val="20"/>
                <w:color w:val="auto"/>
              </w:rPr>
            </w:pPr>
            <w:r>
              <w:rPr>
                <w:rFonts w:ascii="Times New Roman" w:cs="Times New Roman" w:eastAsia="Times New Roman" w:hAnsi="Times New Roman"/>
                <w:sz w:val="17"/>
                <w:szCs w:val="17"/>
                <w:color w:val="auto"/>
              </w:rPr>
              <w:t>By:   /s/ Dr. Paul E. Jacobs</w:t>
            </w:r>
          </w:p>
        </w:tc>
      </w:tr>
      <w:tr>
        <w:trPr>
          <w:trHeight w:val="208"/>
        </w:trPr>
        <w:tc>
          <w:tcPr>
            <w:tcW w:w="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Dr. Paul E. Jacobs</w:t>
            </w:r>
          </w:p>
        </w:tc>
      </w:tr>
      <w:tr>
        <w:trPr>
          <w:trHeight w:val="229"/>
        </w:trPr>
        <w:tc>
          <w:tcPr>
            <w:tcW w:w="5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bl>
    <w:p>
      <w:pPr>
        <w:sectPr>
          <w:pgSz w:w="11900" w:h="16838" w:orient="portrait"/>
          <w:cols w:equalWidth="0" w:num="1">
            <w:col w:w="11240"/>
          </w:cols>
          <w:pgMar w:left="320" w:top="86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906 of the Sarbanes-Oxley Act of 2002</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4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This quarterly report on Form 10-Q for the quarter ended June 30, 2025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August 7, 2025</w:t>
            </w:r>
          </w:p>
        </w:tc>
        <w:tc>
          <w:tcPr>
            <w:tcW w:w="7620" w:type="dxa"/>
            <w:vAlign w:val="bottom"/>
            <w:gridSpan w:val="2"/>
          </w:tcPr>
          <w:p>
            <w:pPr>
              <w:ind w:left="1660"/>
              <w:spacing w:after="0"/>
              <w:rPr>
                <w:sz w:val="20"/>
                <w:szCs w:val="20"/>
                <w:color w:val="auto"/>
              </w:rPr>
            </w:pPr>
            <w:r>
              <w:rPr>
                <w:rFonts w:ascii="Times New Roman" w:cs="Times New Roman" w:eastAsia="Times New Roman" w:hAnsi="Times New Roman"/>
                <w:sz w:val="17"/>
                <w:szCs w:val="17"/>
                <w:color w:val="auto"/>
              </w:rPr>
              <w:t>By:   /s/ Rebecca S. Clary</w:t>
            </w:r>
          </w:p>
        </w:tc>
      </w:tr>
      <w:tr>
        <w:trPr>
          <w:trHeight w:val="208"/>
        </w:trPr>
        <w:tc>
          <w:tcPr>
            <w:tcW w:w="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Rebecca S. Clary</w:t>
            </w:r>
          </w:p>
        </w:tc>
      </w:tr>
      <w:tr>
        <w:trPr>
          <w:trHeight w:val="229"/>
        </w:trPr>
        <w:tc>
          <w:tcPr>
            <w:tcW w:w="5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tc>
      </w:tr>
    </w:tbl>
    <w:p>
      <w:pPr>
        <w:spacing w:after="0" w:line="1" w:lineRule="exact"/>
        <w:rPr>
          <w:sz w:val="20"/>
          <w:szCs w:val="20"/>
          <w:color w:val="auto"/>
        </w:rPr>
      </w:pP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3"/>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lvl w:ilvl="1">
      <w:lvlJc w:val="left"/>
      <w:lvlText w:val="(%2)"/>
      <w:numFmt w:val="decimal"/>
      <w:start w:val="2"/>
    </w:lvl>
  </w:abstractNum>
  <w:abstractNum w:abstractNumId="9">
    <w:nsid w:val="41A7C4C9"/>
    <w:multiLevelType w:val="hybridMultilevel"/>
    <w:lvl w:ilvl="0">
      <w:lvlJc w:val="left"/>
      <w:lvlText w:val="%1."/>
      <w:numFmt w:val="decimal"/>
      <w:start w:val="4"/>
    </w:lvl>
    <w:lvl w:ilvl="1">
      <w:lvlJc w:val="left"/>
      <w:lvlText w:val="%2"/>
      <w:numFmt w:val="decimal"/>
      <w:start w:val="1"/>
    </w:lvl>
  </w:abstractNum>
  <w:abstractNum w:abstractNumId="10">
    <w:nsid w:val="6B68079A"/>
    <w:multiLevelType w:val="hybridMultilevel"/>
    <w:lvl w:ilvl="0">
      <w:lvlJc w:val="left"/>
      <w:lvlText w:val="%1."/>
      <w:numFmt w:val="decimal"/>
      <w:start w:val="6"/>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01"/>
    </w:lvl>
  </w:abstractNum>
  <w:abstractNum w:abstractNumId="14">
    <w:nsid w:val="431BD7B7"/>
    <w:multiLevelType w:val="hybridMultilevel"/>
    <w:lvl w:ilvl="0">
      <w:lvlJc w:val="left"/>
      <w:lvlText w:val="%1"/>
      <w:numFmt w:val="decimal"/>
      <w:start w:val="104"/>
    </w:lvl>
    <w:lvl w:ilvl="1">
      <w:lvlJc w:val="left"/>
      <w:lvlText w:val="*"/>
      <w:numFmt w:val="bullet"/>
      <w:start w:val="1"/>
    </w:lvl>
  </w:abstractNum>
  <w:abstractNum w:abstractNumId="15">
    <w:nsid w:val="3F2DBA31"/>
    <w:multiLevelType w:val="hybridMultilevel"/>
    <w:lvl w:ilvl="0">
      <w:lvlJc w:val="left"/>
      <w:lvlText w:val="%1."/>
      <w:numFmt w:val="decimal"/>
      <w:start w:val="1"/>
    </w:lvl>
    <w:lvl w:ilvl="1">
      <w:lvlJc w:val="left"/>
      <w:lvlText w:val="(%2)"/>
      <w:numFmt w:val="upperLetter"/>
      <w:start w:val="1"/>
    </w:lvl>
  </w:abstractNum>
  <w:abstractNum w:abstractNumId="16">
    <w:nsid w:val="7C83E458"/>
    <w:multiLevelType w:val="hybridMultilevel"/>
    <w:lvl w:ilvl="0">
      <w:lvlJc w:val="left"/>
      <w:lvlText w:val="(%1)"/>
      <w:numFmt w:val="upperLetter"/>
      <w:start w:val="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58" Type="http://schemas.openxmlformats.org/officeDocument/2006/relationships/hyperlink" Target="https://www.sec.gov/Archives/edgar/data/1366868/000136686825000077/ex32-sixthamended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2025-08-07T16:11:34Z</dcterms:created>
  <dcterms:modified xsi:type="dcterms:W3CDTF">2025-08-07T16:11:34Z</dcterms:modified>
</cp:coreProperties>
</file>