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August 8, 2024</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6"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Delaware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9"/>
              </w:rPr>
              <w:t>001-33117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225"/>
        </w:trPr>
        <w:tc>
          <w:tcPr>
            <w:tcW w:w="38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(Commission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tcPr>
          <w:p>
            <w:pPr>
              <w:spacing w:after="0"/>
              <w:rPr>
                <w:sz w:val="20"/>
                <w:szCs w:val="20"/>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File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5"/>
        </w:trPr>
        <w:tc>
          <w:tcPr>
            <w:tcW w:w="3840" w:type="dxa"/>
            <w:vAlign w:val="bottom"/>
          </w:tcPr>
          <w:p>
            <w:pPr>
              <w:spacing w:after="0"/>
              <w:rPr>
                <w:sz w:val="24"/>
                <w:szCs w:val="24"/>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9"/>
              </w:rPr>
              <w:t>1351 Holiday Square Blvd.</w:t>
            </w:r>
          </w:p>
        </w:tc>
        <w:tc>
          <w:tcPr>
            <w:tcW w:w="27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Covington, LA 70433</w:t>
            </w:r>
          </w:p>
        </w:tc>
        <w:tc>
          <w:tcPr>
            <w:tcW w:w="270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18"/>
                <w:szCs w:val="18"/>
                <w:color w:val="auto"/>
              </w:rPr>
            </w:pPr>
          </w:p>
        </w:tc>
      </w:tr>
      <w:tr>
        <w:trPr>
          <w:trHeight w:val="234"/>
        </w:trPr>
        <w:tc>
          <w:tcPr>
            <w:tcW w:w="106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(985) 335-1500</w:t>
            </w:r>
          </w:p>
        </w:tc>
      </w:tr>
      <w:tr>
        <w:trPr>
          <w:trHeight w:val="414"/>
        </w:trPr>
        <w:tc>
          <w:tcPr>
            <w:tcW w:w="3840" w:type="dxa"/>
            <w:vAlign w:val="bottom"/>
          </w:tcPr>
          <w:p>
            <w:pPr>
              <w:spacing w:after="0"/>
              <w:rPr>
                <w:sz w:val="24"/>
                <w:szCs w:val="24"/>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Pr>
          <w:p>
            <w:pPr>
              <w:spacing w:after="0"/>
              <w:rPr>
                <w:sz w:val="24"/>
                <w:szCs w:val="24"/>
                <w:color w:val="auto"/>
              </w:rPr>
            </w:pPr>
          </w:p>
        </w:tc>
      </w:tr>
      <w:tr>
        <w:trPr>
          <w:trHeight w:val="234"/>
        </w:trPr>
        <w:tc>
          <w:tcPr>
            <w:tcW w:w="7960" w:type="dxa"/>
            <w:vAlign w:val="bottom"/>
            <w:gridSpan w:val="2"/>
          </w:tcPr>
          <w:p>
            <w:pPr>
              <w:jc w:val="center"/>
              <w:ind w:left="3092"/>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00" w:type="dxa"/>
            <w:vAlign w:val="bottom"/>
          </w:tcPr>
          <w:p>
            <w:pPr>
              <w:spacing w:after="0"/>
              <w:rPr>
                <w:sz w:val="20"/>
                <w:szCs w:val="20"/>
                <w:color w:val="auto"/>
              </w:rPr>
            </w:pPr>
          </w:p>
        </w:tc>
      </w:tr>
      <w:tr>
        <w:trPr>
          <w:trHeight w:val="289"/>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tc>
        <w:tc>
          <w:tcPr>
            <w:tcW w:w="4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Act:</w:t>
            </w:r>
          </w:p>
        </w:tc>
        <w:tc>
          <w:tcPr>
            <w:tcW w:w="4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22"/>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color w:val="auto"/>
                <w:w w:val="99"/>
              </w:rPr>
              <w:t>Trading Symbol</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30"/>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b w:val="1"/>
                <w:bCs w:val="1"/>
                <w:color w:val="auto"/>
                <w:w w:val="99"/>
              </w:rPr>
              <w:t>GSAT</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NYSE American</w:t>
            </w:r>
          </w:p>
        </w:tc>
      </w:tr>
    </w:tbl>
    <w:p>
      <w:pPr>
        <w:spacing w:after="0" w:line="30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38"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8, 2024, Globalstar, Inc. (the "Company") issued a press release announcing the Company's financial and operating results for the three and six months ended June 30, 2024. A copy of the press release is furnished as Exhibit 99.1 to this Current Report on Form 8-K and incorporated herein by reference.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8, 2024</w:t>
            </w:r>
          </w:p>
        </w:tc>
      </w:tr>
      <w:tr>
        <w:trPr>
          <w:trHeight w:val="20"/>
        </w:trPr>
        <w:tc>
          <w:tcPr>
            <w:tcW w:w="124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304"/>
        </w:trPr>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82"/>
        </w:trPr>
        <w:tc>
          <w:tcPr>
            <w:tcW w:w="1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ectPr>
          <w:pgSz w:w="11900" w:h="16838" w:orient="portrait"/>
          <w:cols w:equalWidth="0" w:num="1">
            <w:col w:w="10820"/>
          </w:cols>
          <w:pgMar w:left="320" w:top="1346" w:right="7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71450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9146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GLOBALSTAR ANNOUNCES SECOND QUARTER 2024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RESULTS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Covington, LA, August 8, 2024 </w:t>
      </w:r>
      <w:r>
        <w:rPr>
          <w:rFonts w:ascii="Times New Roman" w:cs="Times New Roman" w:eastAsia="Times New Roman" w:hAnsi="Times New Roman"/>
          <w:sz w:val="18"/>
          <w:szCs w:val="18"/>
          <w:color w:val="auto"/>
        </w:rPr>
        <w:t>-- Globalstar, Inc. (NYSE American: GSAT) today announced its financial results for the second quarter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"Globalstar reported record revenue during the second quarter, driven primarily by growth in wholesale capacity services and other recent business initiatives. The high-margin nature of this revenue contributed to a 20% increase in Adjusted EBITDA and an increase in cash on hand to $64 million as of June 30, 2024," commented Rebecca Clary, Chief Financial Officer. Clary continued, “Based on the continued momentum across our key growth categories, we are raising the low end of our revenue guidance to $235 million from $225 million and projected Adjusted EBITDA margin to 53% from 50%.”</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Dr. Paul E. Jacobs, Chief Executive Officer, said, “This quarter highlighted Globalstar’s ability to enable new capabilities by leveraging our core competencies as an MSS operator, as well as the flexibility of our network to reliably and rapidly support and deploy new technologies and services. We are pleased that our wholesale services are growing in both the government and consumer segments. We are continuing to make good progress through the proof of concept that commenced this year for a government services company. We have been installing and validating XCOM RAN in our customer's Micro Fulfillment Centers, demonstrating XCOM RAN’s ability to uniquely support their mission critical requirements. Additionally, we are in the midst of a government study of use cases for our XCOMP technology. We remain focused on building on our strong customer relationships to create value leveraging the differentiated assets of our LEO network, Band 53 spectrum, and XCOM RAN technology."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FINANCIAL REVIEW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10% to $60.4 million during the second quarter of 2024 compared to the second quarter of 2023, due to an increase in service revenue offset partially by a decrease in revenue generated from subscriber equipment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revenue increased $9.0 million, or 18%, during the second quarter of 2024 from the second quarter of 2023. This increase was due predominantly to revenue generated from wholesale capacity services.</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highlight for our subscriber driven service revenue was continued growth in Commercial IoT. Commercial IoT service revenue reached a record high this quarter, totaling $6.7 million, an increase of 25% from the prior year's quarter, due to both growth in our subscriber base and higher ARPU. Gross subscriber activations have continued to increase over this period, including on a consecutive basis with activations up 20% from the first quarter of 2024 to the second quarter of 2024, which we expect will further contribute to future service revenue for Commercial IoT.</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Consistent with prior quarters, service revenue associated with legacy services was lower due to fewer Duplex and SPOT subscribers. The number of SPOT subscribers has been unfavorably impacted by competitive pressure, as well as supply chain disruptions that have now been resolved. We are encouraged by an almost 40% increase in gross SPOT subscriber activations from the first quarter of 2024 to the second quarter of 2024. While this increase may be attributable in part to the seasonality of SPOT subscriber activity, this increase is more than double the activity from the same periods in the prior year. Duplex service revenue declined due to expected attrition in the subscriber base.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Subscriber Equipment Sales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generated from subscriber equipment sales was down $3.7 million from the prior year's quarter due to the timing of Commercial IoT and SPOT device sales. During 2023, we recovered from inventory shortages that impacted both device categories and experienced higher sales as a result of improved product availability.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Loss from operations was $1.4 million during the second quarter of 2024, compared to income from operations of $2.6 million during the second quarter of 2023. This variance was due primarily to higher operating expenses.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services increased resulting from higher network operating costs, including gateway maintenance, security, IT and personnel expenses. These costs are necessary to support our new and upgraded global ground infrastructure. A significant portion of these costs are reimbursed to us, and this consideration is recognized as revenue when earned in the subsequent year. We do not expect the operating costs that support existing Phase 1 services to increase meaningfully beyond current levels. Cost of services also increased due to non-cash costs associated with the Support Services Agreement (the “SSA”) we entered into in August 2023 in connection with the XCOM License Agreement.</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Stock-based compensation increased from the prior year's second quarter due primarily to restricted stock units granted in connection with the XCOM License Agreement in September 2023. The total fair value of the RSUs was $39.5 million and is being recognized over the derived service period of 2.6 years; nearly 60% of the compensation cost for these RSUs will be recognized during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offsetting these increases was lower cost of subscriber equipment sales, which was down consistent with the decrease in equipment revenue.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was $9.7 million for the second quarter of 2024, compared to net income of less than $0.1 million for the second quarter of 2023. This variance was due primarily to a loss from operations (for the reasons discussed above) as well as unfavorable fluctuations in foreign currency gains and losses due to the remeasurement of intercompany balances.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EBITDA increased 20% to $32.6 million during the second quarter of 2024 compared to $27.0 million during the prior year's second quarter, due primarily to an increase in high margin service revenue. Adjusted EBITDA is a non-GAAP financial measure. For more information on its usage and presentation, as well as a reconciliation to GAAP net income (loss), refer to “Reconciliation of GAAP Net Income (Loss) to Non-GAAP Adjusted EBITDA”.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FINANCIAL REVIEW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increased to $116.9 million during the six months ended June 30, 2024 compared to the six months ended June 30, 2023, due to an increase in service revenue offset partially by a decrease in revenue generated from subscriber equipment sales.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Service revenue increased $9.5 million, or 9%, for the six months ended June 30, 2024 compared to the same period in 2023. Consistent with the quarterly results discussed above, higher wholesale capacity service revenue was the primary driver of the increase. Higher Commercial IoT subscribers and ARPU also positively impacted this variance, offset by fewer Duplex and SPOT subscribers.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generated from subscriber equipment sales decreased $6.3 million due primarily to the timing of Commercial IoT sales. Our pipeline for Commercial IoT opportunities remains strong and we expect sales to rebound in the second half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Operations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from operations was $6.1 million for the six months ended June 30, 2024 compared to income from operations of $9.8 million during the same period in 2023. Higher operating expenses more than offset the increase in revenue for the period.</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discussed above, higher stock-based compensation and cost of services were the primary expense increases during the first six months of 2024. Additionally, a 6% increase in MG&amp;A costs was due primarily to non-cash costs associated with the SSA and certain non-routine items, including professional fees to support increased regulatory efforts and negotiations of new commercial arrangements. Lower cost of subscriber equipment partially offset these increases.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04" w:right="339" w:bottom="1440" w:gutter="0" w:footer="0" w:header="0"/>
          <w:type w:val="continuous"/>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18"/>
          <w:szCs w:val="18"/>
          <w:color w:val="auto"/>
        </w:rPr>
        <w:t>Net loss was $22.9 million for the six months ended June 30, 2024 compared to $3.5 million during the same period in 2023. The higher net loss in 2024 was due to the increase in loss from operations (discussed above) coupled with various noncash items. During the first quarter of 2023, we recognized a nonrecurring, non-cash loss on extinguishment of debt. This favorable fluctuation was offset by unfavorable fluctuations in foreign currency gains and losses due to the remeasurement of intercompany balances.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June 30, 2024, we held cash and cash equivalents of $64.3 million, compared to $56.7 million as of December 31, 2023. During the first half of 2024, net cash flows generated from operations of $66.5 million and net cash flows from financing activities of $16.2 million were used to fund capital expenditures of $74.5 million.</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cash flows include cash receipts from our customers, primarily from the performance of wholesale capacity services, as well as from subscribers for the purchase of equipment and satellite voice and data services. We use cash in operating activities primarily for network costs, personnel costs, inventory purchases and other general corporate expenditures. Investing outflows largely relate to network upgrades associated with the Service Agreements, including milestone work under the satellite procurement agreement with MDA and the launch services agreement with SpaceX. Financing activities relate primarily to the 2021 and 2023 Funding Agreements.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Over the next twelve months, our sources of cash are expected to include operating cash flows generated from the business and proceeds under the 2023 Funding Agreement. These sources of cash will be used to pay capital expenditures associated with the new satellites and associated launch costs as well as debt service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raising our prior financial outlook for full year 2024 with anticipated results below.</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between $235 million and $250 million (an increase from the prior range of $225 million to $250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of approximately 53% (an increase from the prior margin of 50%)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announced, the Company will host a conference call to discuss its results at 9:00 a.m. Eastern Time (ET) on Thursday, August 8,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40575" cy="1894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1894205"/>
                    </a:xfrm>
                    <a:prstGeom prst="rect">
                      <a:avLst/>
                    </a:prstGeom>
                    <a:noFill/>
                  </pic:spPr>
                </pic:pic>
              </a:graphicData>
            </a:graphic>
          </wp:anchor>
        </w:drawing>
      </w:r>
    </w:p>
    <w:p>
      <w:pPr>
        <w:spacing w:after="0" w:line="264"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i w:val="1"/>
          <w:iCs w:val="1"/>
          <w:color w:val="auto"/>
        </w:rPr>
        <w:t>Earnings Call:</w:t>
      </w:r>
      <w:r>
        <w:rPr>
          <w:sz w:val="20"/>
          <w:szCs w:val="20"/>
          <w:color w:val="auto"/>
        </w:rPr>
        <w:tab/>
      </w:r>
      <w:r>
        <w:rPr>
          <w:rFonts w:ascii="Times New Roman" w:cs="Times New Roman" w:eastAsia="Times New Roman" w:hAnsi="Times New Roman"/>
          <w:sz w:val="18"/>
          <w:szCs w:val="18"/>
          <w:color w:val="auto"/>
        </w:rPr>
        <w:t>The earnings call will be available via webcast from the following link.</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Webcast Link: https://edge.media-server.com/mmc/p/whk4vk5x</w:t>
      </w:r>
    </w:p>
    <w:p>
      <w:pPr>
        <w:spacing w:after="0" w:line="239" w:lineRule="exact"/>
        <w:rPr>
          <w:sz w:val="20"/>
          <w:szCs w:val="20"/>
          <w:color w:val="auto"/>
        </w:rPr>
      </w:pPr>
    </w:p>
    <w:p>
      <w:pPr>
        <w:ind w:left="1340" w:right="700"/>
        <w:spacing w:after="0" w:line="266" w:lineRule="auto"/>
        <w:rPr>
          <w:sz w:val="20"/>
          <w:szCs w:val="20"/>
          <w:color w:val="auto"/>
        </w:rPr>
      </w:pPr>
      <w:r>
        <w:rPr>
          <w:rFonts w:ascii="Times New Roman" w:cs="Times New Roman" w:eastAsia="Times New Roman" w:hAnsi="Times New Roman"/>
          <w:sz w:val="18"/>
          <w:szCs w:val="18"/>
          <w:color w:val="auto"/>
        </w:rPr>
        <w:t>To participate in the earnings call via teleconference or to participate in the live Q&amp;A session, participants should register at the following link to receive an email containing the dial-in number and unique passcode.</w:t>
      </w:r>
    </w:p>
    <w:p>
      <w:pPr>
        <w:spacing w:after="0" w:line="1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Participant Teleconference Registration Link:</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https://register.vevent.com/register/BIdfcd476ba38644cabd29808c5afa55b7</w:t>
      </w:r>
    </w:p>
    <w:p>
      <w:pPr>
        <w:spacing w:after="0" w:line="298" w:lineRule="exact"/>
        <w:rPr>
          <w:sz w:val="20"/>
          <w:szCs w:val="20"/>
          <w:color w:val="auto"/>
        </w:rPr>
      </w:pPr>
    </w:p>
    <w:p>
      <w:pPr>
        <w:ind w:left="1340" w:right="820" w:hanging="1309"/>
        <w:spacing w:after="0" w:line="250" w:lineRule="auto"/>
        <w:tabs>
          <w:tab w:leader="none" w:pos="1320" w:val="left"/>
        </w:tabs>
        <w:rPr>
          <w:sz w:val="20"/>
          <w:szCs w:val="20"/>
          <w:color w:val="auto"/>
        </w:rPr>
      </w:pPr>
      <w:r>
        <w:rPr>
          <w:rFonts w:ascii="Times New Roman" w:cs="Times New Roman" w:eastAsia="Times New Roman" w:hAnsi="Times New Roman"/>
          <w:sz w:val="18"/>
          <w:szCs w:val="18"/>
          <w:i w:val="1"/>
          <w:iCs w:val="1"/>
          <w:color w:val="auto"/>
        </w:rPr>
        <w:t>Audio Replay:</w:t>
      </w:r>
      <w:r>
        <w:rPr>
          <w:sz w:val="20"/>
          <w:szCs w:val="20"/>
          <w:color w:val="auto"/>
        </w:rPr>
        <w:tab/>
      </w:r>
      <w:r>
        <w:rPr>
          <w:rFonts w:ascii="Times New Roman" w:cs="Times New Roman" w:eastAsia="Times New Roman" w:hAnsi="Times New Roman"/>
          <w:sz w:val="18"/>
          <w:szCs w:val="18"/>
          <w:color w:val="auto"/>
        </w:rPr>
        <w:t>For those unable to participate in the live call, a replay of the webcast will be available in the Investor Relations section of the 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Globalstar, Inc.</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Globalstar empowers its customers to connect, transmit, and communicate in smarter ways – easily, quickly, securely, and affordably – offering reliable satellite and terrestrial connectivity services as an international telecom infrastructure provider. The Company’s LEO satellite constellation ensures secure data transmission for connecting and protecting assets, transmitting critical operational data, and saving lives for consumers, businesses, and government agencies across the globe. Globalstar’s terrestrial spectrum, Band 53, and its 5G variant, n53, offers carriers, cable companies, and system integrators a versatile, fully licensed channel for private networks with a growing ecosystem to improve customer wireless connectivity, while Globalstar’s XCOM RAN product offers significant capacity gains in dense wireless deployments. In addition to SPOT GPS messengers, Globalstar offers next-generation IoT hardware and software products for efficiently tracking and monitoring assets, processing smart data at the edge, and managing analytics with cloud-based telematics solutions to drive safety, productivity, and profitability.</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that all SPOT products described in this press release are the products of SPOT LLC, which is not affiliated in any manner with Spot Image of Toulouse, France or Spot Image Corporation of Chantilly, Virginia.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www.globalstar.com.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investorrelations@globalstar.com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Language for Globalstar Releases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identify and realize opportunities and to generate the expected revenues and other benefits of the XCOM License Agreement, our ability to integrate the licensed technology into our current line of business, the ability of Dr. Jacobs and other new employees to drive innovation and growth, our expectations with respect to the pursuit of terrestrial spectrum authorities globally, the success of current and potential future applications for our terrestrial spectrum, future increases in our revenue and profitability, our ability to meet our obligations under, and profit from, the Service Agreements,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0"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57,635</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48,648</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101,602</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116,865</w:t>
            </w: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113,716</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8"/>
                <w:szCs w:val="18"/>
                <w:color w:val="auto"/>
              </w:rPr>
              <w:t>Cost of services (exclusive of depreciation, amortization,</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18,114</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12,246</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34,873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24,066</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accretion shown separately below)</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value of long-lived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122,999</w:t>
            </w: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103,905</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and expense, net of amounts capitalized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1,884,208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1,813,393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1,883,406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1,812,617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1,884,208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1,813,393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1,883,406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420" w:top="1224" w:right="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 and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80" w:type="dxa"/>
            <w:vAlign w:val="bottom"/>
          </w:tcPr>
          <w:p>
            <w:pPr>
              <w:spacing w:after="0"/>
              <w:rPr>
                <w:sz w:val="20"/>
                <w:szCs w:val="20"/>
                <w:color w:val="auto"/>
              </w:rPr>
            </w:pPr>
          </w:p>
        </w:tc>
        <w:tc>
          <w:tcPr>
            <w:tcW w:w="17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8"/>
        </w:trPr>
        <w:tc>
          <w:tcPr>
            <w:tcW w:w="7360" w:type="dxa"/>
            <w:vAlign w:val="bottom"/>
          </w:tcPr>
          <w:p>
            <w:pPr>
              <w:ind w:left="33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56,744</w:t>
            </w:r>
          </w:p>
        </w:tc>
      </w:tr>
      <w:tr>
        <w:trPr>
          <w:trHeight w:val="233"/>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$1,461 and $2,312, respectively</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48,743</w:t>
            </w: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14,582</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22,584</w:t>
            </w:r>
          </w:p>
        </w:tc>
      </w:tr>
      <w:tr>
        <w:trPr>
          <w:trHeight w:val="219"/>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144,010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142,653</w:t>
            </w:r>
          </w:p>
        </w:tc>
      </w:tr>
      <w:tr>
        <w:trPr>
          <w:trHeight w:val="22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624,002</w:t>
            </w:r>
          </w:p>
        </w:tc>
      </w:tr>
      <w:tr>
        <w:trPr>
          <w:trHeight w:val="226"/>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34,164</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$13,634 and $12,385,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127,259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123,490</w:t>
            </w:r>
          </w:p>
        </w:tc>
      </w:tr>
      <w:tr>
        <w:trPr>
          <w:trHeight w:val="219"/>
        </w:trPr>
        <w:tc>
          <w:tcPr>
            <w:tcW w:w="73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926,246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924,309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07"/>
        </w:trPr>
        <w:tc>
          <w:tcPr>
            <w:tcW w:w="736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226"/>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34,600</w:t>
            </w: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28,985</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satellite construction costs</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58,187</w:t>
            </w: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Payables to affiliates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net</w:t>
            </w:r>
          </w:p>
        </w:tc>
        <w:tc>
          <w:tcPr>
            <w:tcW w:w="2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53,677</w:t>
            </w:r>
          </w:p>
        </w:tc>
      </w:tr>
      <w:tr>
        <w:trPr>
          <w:trHeight w:val="219"/>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138,343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175,908</w:t>
            </w:r>
          </w:p>
        </w:tc>
      </w:tr>
      <w:tr>
        <w:trPr>
          <w:trHeight w:val="22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325,700</w:t>
            </w:r>
          </w:p>
        </w:tc>
      </w:tr>
      <w:tr>
        <w:trPr>
          <w:trHeight w:val="226"/>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29,244</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14,478</w:t>
            </w:r>
          </w:p>
        </w:tc>
      </w:tr>
      <w:tr>
        <w:trPr>
          <w:trHeight w:val="262"/>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404,928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369,422</w:t>
            </w:r>
          </w:p>
        </w:tc>
      </w:tr>
      <w:tr>
        <w:trPr>
          <w:trHeight w:val="226"/>
        </w:trPr>
        <w:tc>
          <w:tcPr>
            <w:tcW w:w="7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r>
      <w:tr>
        <w:trPr>
          <w:trHeight w:val="171"/>
        </w:trPr>
        <w:tc>
          <w:tcPr>
            <w:tcW w:w="736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Preferred Stock of $0.0001 par value; 99,700,000 shares authorized and none issued and outstanding at</w:t>
            </w:r>
          </w:p>
        </w:tc>
        <w:tc>
          <w:tcPr>
            <w:tcW w:w="2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60"/>
              <w:spacing w:after="0" w:line="17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7"/>
                <w:szCs w:val="17"/>
                <w:color w:val="auto"/>
              </w:rPr>
              <w:t>—</w:t>
            </w:r>
          </w:p>
        </w:tc>
      </w:tr>
      <w:tr>
        <w:trPr>
          <w:trHeight w:val="224"/>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June 30, 2024 and December 31, 2023, respectively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67"/>
        </w:trPr>
        <w:tc>
          <w:tcPr>
            <w:tcW w:w="736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Series A Preferred Convertible Stock of $0.0001 par value; 300,000 shares authorized and 149,425</w:t>
            </w:r>
          </w:p>
        </w:tc>
        <w:tc>
          <w:tcPr>
            <w:tcW w:w="260" w:type="dxa"/>
            <w:vAlign w:val="bottom"/>
          </w:tcPr>
          <w:p>
            <w:pPr>
              <w:spacing w:after="0"/>
              <w:rPr>
                <w:sz w:val="14"/>
                <w:szCs w:val="14"/>
                <w:color w:val="auto"/>
              </w:rPr>
            </w:pPr>
          </w:p>
        </w:tc>
        <w:tc>
          <w:tcPr>
            <w:tcW w:w="1720" w:type="dxa"/>
            <w:vAlign w:val="bottom"/>
            <w:gridSpan w:val="2"/>
          </w:tcPr>
          <w:p>
            <w:pPr>
              <w:jc w:val="right"/>
              <w:ind w:right="160"/>
              <w:spacing w:after="0" w:line="167"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17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w:t>
            </w: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issued and outstanding at June 30, 2024 and December 31, 2023, respectively</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68"/>
        </w:trPr>
        <w:tc>
          <w:tcPr>
            <w:tcW w:w="736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7"/>
                <w:szCs w:val="17"/>
                <w:color w:val="auto"/>
              </w:rPr>
              <w:t>Voting Common Stock of $0.0001 par value; 2,150,000,000 shares authorized; 1,892,156,225 and</w:t>
            </w: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188</w:t>
            </w:r>
          </w:p>
        </w:tc>
      </w:tr>
      <w:tr>
        <w:trPr>
          <w:trHeight w:val="224"/>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1,881,194,682 shares issued and outstanding at June 30, 2024 and December 31, 2023, respectively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6"/>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2,438,703</w:t>
            </w: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5,070</w:t>
            </w:r>
          </w:p>
        </w:tc>
      </w:tr>
      <w:tr>
        <w:trPr>
          <w:trHeight w:val="226"/>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deficit</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(2,087,861)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(2,064,982)</w:t>
            </w:r>
          </w:p>
        </w:tc>
      </w:tr>
      <w:tr>
        <w:trPr>
          <w:trHeight w:val="227"/>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378,979</w:t>
            </w:r>
          </w:p>
        </w:tc>
      </w:tr>
      <w:tr>
        <w:trPr>
          <w:trHeight w:val="219"/>
        </w:trPr>
        <w:tc>
          <w:tcPr>
            <w:tcW w:w="73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926,246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924,309</w:t>
            </w:r>
          </w:p>
        </w:tc>
      </w:tr>
      <w:tr>
        <w:trPr>
          <w:trHeight w:val="24"/>
        </w:trPr>
        <w:tc>
          <w:tcPr>
            <w:tcW w:w="7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(LOSS) TO NON-GAAP ADJUSTED EBITDA</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3"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6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(9,683)</w:t>
            </w:r>
          </w:p>
        </w:tc>
        <w:tc>
          <w:tcPr>
            <w:tcW w:w="180" w:type="dxa"/>
            <w:vAlign w:val="bottom"/>
          </w:tcPr>
          <w:p>
            <w:pPr>
              <w:spacing w:after="0"/>
              <w:rPr>
                <w:sz w:val="19"/>
                <w:szCs w:val="19"/>
                <w:color w:val="auto"/>
              </w:rPr>
            </w:pP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70"/>
        </w:trPr>
        <w:tc>
          <w:tcPr>
            <w:tcW w:w="40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3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loss (gain)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22,110</w:t>
            </w:r>
          </w:p>
        </w:tc>
        <w:tc>
          <w:tcPr>
            <w:tcW w:w="1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21,890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16,279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26,696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47,225</w:t>
            </w:r>
          </w:p>
        </w:tc>
      </w:tr>
      <w:tr>
        <w:trPr>
          <w:trHeight w:val="270"/>
        </w:trPr>
        <w:tc>
          <w:tcPr>
            <w:tcW w:w="40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29"/>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r>
      <w:tr>
        <w:trPr>
          <w:trHeight w:val="230"/>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loss (gain) and other</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r>
      <w:tr>
        <w:trPr>
          <w:trHeight w:val="229"/>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 in value of long-lived assets</w:t>
            </w:r>
          </w:p>
        </w:tc>
        <w:tc>
          <w:tcPr>
            <w:tcW w:w="9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Non-cash expenses associated with License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4040" w:type="dxa"/>
            <w:vAlign w:val="bottom"/>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r>
      <w:tr>
        <w:trPr>
          <w:trHeight w:val="223"/>
        </w:trPr>
        <w:tc>
          <w:tcPr>
            <w:tcW w:w="40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32,561</w:t>
            </w:r>
          </w:p>
        </w:tc>
        <w:tc>
          <w:tcPr>
            <w:tcW w:w="1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27,042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59,616</w:t>
            </w:r>
          </w:p>
        </w:tc>
      </w:tr>
      <w:tr>
        <w:trPr>
          <w:trHeight w:val="21"/>
        </w:trPr>
        <w:tc>
          <w:tcPr>
            <w:tcW w:w="4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jc w:val="both"/>
        <w:ind w:left="380" w:hanging="374"/>
        <w:spacing w:after="0" w:line="223"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Management uses Adjusted EBITDA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98" w:lineRule="exact"/>
        <w:rPr>
          <w:rFonts w:ascii="Times New Roman" w:cs="Times New Roman" w:eastAsia="Times New Roman" w:hAnsi="Times New Roman"/>
          <w:sz w:val="16"/>
          <w:szCs w:val="16"/>
          <w:color w:val="auto"/>
        </w:rPr>
      </w:pPr>
    </w:p>
    <w:p>
      <w:pPr>
        <w:jc w:val="both"/>
        <w:ind w:left="380"/>
        <w:spacing w:after="0" w:line="21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pacing w:after="0" w:line="249" w:lineRule="exact"/>
        <w:rPr>
          <w:rFonts w:ascii="Times New Roman" w:cs="Times New Roman" w:eastAsia="Times New Roman" w:hAnsi="Times New Roman"/>
          <w:sz w:val="16"/>
          <w:szCs w:val="16"/>
          <w:color w:val="auto"/>
        </w:rPr>
      </w:pPr>
    </w:p>
    <w:p>
      <w:pPr>
        <w:jc w:val="both"/>
        <w:ind w:left="380" w:hanging="374"/>
        <w:spacing w:after="0" w:line="232"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License Agreement with XCOM, the Company entered into a Support Services Agreement (the “SSA”) with XCOM. Fees payable by Globalstar pursuant to the SSA were or may be paid in shares of its common stock. Costs also include noncash intangible asset technology amortization associated with the initial purchase of certain intangible assets made in the form of Globalstar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60" w:top="1319"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SELECTED OPERATING METRICS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subscriber and ARPU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376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3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Subscriber services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Duplex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w:t>
            </w:r>
          </w:p>
        </w:tc>
      </w:tr>
      <w:tr>
        <w:trPr>
          <w:trHeight w:val="230"/>
        </w:trPr>
        <w:tc>
          <w:tcPr>
            <w:tcW w:w="3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SPOT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r>
      <w:tr>
        <w:trPr>
          <w:trHeight w:val="229"/>
        </w:trPr>
        <w:tc>
          <w:tcPr>
            <w:tcW w:w="3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IoT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Wholesale capacity services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55,889</w:t>
            </w: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Engineering and other services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101,602</w:t>
            </w:r>
          </w:p>
        </w:tc>
      </w:tr>
      <w:tr>
        <w:trPr>
          <w:trHeight w:val="108"/>
        </w:trPr>
        <w:tc>
          <w:tcPr>
            <w:tcW w:w="3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r>
      <w:tr>
        <w:trPr>
          <w:trHeight w:val="108"/>
        </w:trPr>
        <w:tc>
          <w:tcPr>
            <w:tcW w:w="304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68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68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68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680" w:type="dxa"/>
            <w:vAlign w:val="bottom"/>
            <w:tcBorders>
              <w:bottom w:val="single" w:sz="8" w:color="auto"/>
            </w:tcBorders>
            <w:shd w:val="clear" w:color="auto" w:fill="CCEEFF"/>
          </w:tcPr>
          <w:p>
            <w:pPr>
              <w:spacing w:after="0"/>
              <w:rPr>
                <w:sz w:val="9"/>
                <w:szCs w:val="9"/>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113,716</w:t>
            </w:r>
          </w:p>
        </w:tc>
      </w:tr>
      <w:tr>
        <w:trPr>
          <w:trHeight w:val="21"/>
        </w:trPr>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2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3740" w:type="dxa"/>
            <w:vAlign w:val="bottom"/>
            <w:gridSpan w:val="4"/>
          </w:tcPr>
          <w:p>
            <w:pPr>
              <w:jc w:val="right"/>
              <w:ind w:right="12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8"/>
        </w:trPr>
        <w:tc>
          <w:tcPr>
            <w:tcW w:w="3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subscribers</w:t>
            </w: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Duplex</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36,047</w:t>
            </w: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264,162</w:t>
            </w:r>
          </w:p>
        </w:tc>
      </w:tr>
      <w:tr>
        <w:trPr>
          <w:trHeight w:val="229"/>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IoT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467,059</w:t>
            </w: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782,895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763,702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767,663</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3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3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ARPU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Duplex</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r>
      <w:tr>
        <w:trPr>
          <w:trHeight w:val="229"/>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SPOT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IoT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bl>
    <w:p>
      <w:pPr>
        <w:spacing w:after="0" w:line="200" w:lineRule="exact"/>
        <w:rPr>
          <w:sz w:val="20"/>
          <w:szCs w:val="20"/>
          <w:color w:val="auto"/>
        </w:rPr>
      </w:pPr>
    </w:p>
    <w:p>
      <w:pPr>
        <w:spacing w:after="0" w:line="210" w:lineRule="exact"/>
        <w:rPr>
          <w:sz w:val="20"/>
          <w:szCs w:val="20"/>
          <w:color w:val="auto"/>
        </w:rPr>
      </w:pPr>
    </w:p>
    <w:p>
      <w:pPr>
        <w:ind w:left="500" w:hanging="492"/>
        <w:spacing w:after="0" w:line="223" w:lineRule="auto"/>
        <w:tabs>
          <w:tab w:leader="none" w:pos="41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2024-08-08T07:11:59Z</dcterms:created>
  <dcterms:modified xsi:type="dcterms:W3CDTF">2024-08-08T07:11:59Z</dcterms:modified>
</cp:coreProperties>
</file>