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f-form4_168384030442038.xml.htm"/>
      <w:bookmarkStart w:id="1" w:name="kswfform4_16838403044203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Monroe James III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1735 NINETEENTH STREET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DENVER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Globalstar,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GSAT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8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05/09/2023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704"/>
        <w:gridCol w:w="917"/>
        <w:gridCol w:w="789"/>
        <w:gridCol w:w="608"/>
        <w:gridCol w:w="330"/>
        <w:gridCol w:w="1199"/>
        <w:gridCol w:w="392"/>
        <w:gridCol w:w="626"/>
        <w:gridCol w:w="1423"/>
        <w:gridCol w:w="929"/>
        <w:gridCol w:w="128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7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8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7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1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3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7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Voting Common Stock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05/09/2023</w:t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0.97</w:t>
            </w:r>
            <w:r>
              <w:rPr/>
              <w:t xml:space="preserve"> </w:t>
            </w:r>
          </w:p>
        </w:tc>
        <w:tc>
          <w:tcPr>
            <w:tcW w:w="1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3,100,000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Thermo Properties II, LLC</w:t>
            </w:r>
          </w:p>
        </w:tc>
      </w:tr>
      <w:tr>
        <w:trPr/>
        <w:tc>
          <w:tcPr>
            <w:tcW w:w="17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Voting Common Stock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05/10/2023</w:t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1,555,000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0.99</w:t>
            </w:r>
            <w:r>
              <w:rPr/>
              <w:t xml:space="preserve"> </w:t>
            </w:r>
          </w:p>
        </w:tc>
        <w:tc>
          <w:tcPr>
            <w:tcW w:w="1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4,655,000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Thermo Properties II, LLC</w:t>
            </w:r>
          </w:p>
        </w:tc>
      </w:tr>
      <w:tr>
        <w:trPr/>
        <w:tc>
          <w:tcPr>
            <w:tcW w:w="17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Voting Common Stock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05/11/2023</w:t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708,863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3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0.99</w:t>
            </w:r>
            <w:r>
              <w:rPr/>
              <w:t xml:space="preserve"> </w:t>
            </w:r>
          </w:p>
        </w:tc>
        <w:tc>
          <w:tcPr>
            <w:tcW w:w="1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5,363,863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Thermo Properties II, LLC</w:t>
            </w:r>
          </w:p>
        </w:tc>
      </w:tr>
      <w:tr>
        <w:trPr/>
        <w:tc>
          <w:tcPr>
            <w:tcW w:w="17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Voting Common Stock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875,540,711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Thermo Funding II LLC</w:t>
            </w:r>
          </w:p>
        </w:tc>
      </w:tr>
      <w:tr>
        <w:trPr/>
        <w:tc>
          <w:tcPr>
            <w:tcW w:w="17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Voting Common Stock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640,750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FL Investment Holdings LLC</w:t>
            </w:r>
          </w:p>
        </w:tc>
      </w:tr>
      <w:tr>
        <w:trPr/>
        <w:tc>
          <w:tcPr>
            <w:tcW w:w="17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Voting Common Stock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200,200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Thermo Investments Limited Partnership</w:t>
            </w:r>
          </w:p>
        </w:tc>
      </w:tr>
      <w:tr>
        <w:trPr/>
        <w:tc>
          <w:tcPr>
            <w:tcW w:w="17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Voting Common Stock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618,558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Globalstar Satellite L.P.</w:t>
            </w:r>
          </w:p>
        </w:tc>
      </w:tr>
      <w:tr>
        <w:trPr/>
        <w:tc>
          <w:tcPr>
            <w:tcW w:w="17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Voting Common Stock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626,930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Voting Common Stock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197,139,972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Thermo Funding Company</w:t>
            </w:r>
          </w:p>
        </w:tc>
      </w:tr>
      <w:tr>
        <w:trPr/>
        <w:tc>
          <w:tcPr>
            <w:tcW w:w="17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Voting Common Stock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29,334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James Monroe III Grantor Trust</w:t>
            </w:r>
          </w:p>
        </w:tc>
      </w:tr>
      <w:tr>
        <w:trPr/>
        <w:tc>
          <w:tcPr>
            <w:tcW w:w="17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Voting Common Stock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3,000,000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Monroe Irr. Educational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were purchased in multiple transactions at prices ranging from $0.93 to $1.02 per share. The price reported reflects the volume weighted average purchase price for the transactions. The reporting person undertakes to provide upon request by the SEC staff, the issuer or a security holder of the issuer, full information regarding the number of shares purchased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shares were purchased in multiple transactions at prices ranging from $0.99 to $1.00 per share. The price reported reflects the volume weighted average purchase price for the transactions. The reporting person undertakes to provide upon request by the SEC staff, the issuer or a security holder of the issuer, full information regarding the number of shares purchased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shares were purchased in multiple transactions at prices ranging from $0.98 to $1.00 per share. The price reported reflects the volume weighted average purchase price for the transactions. The reporting person undertakes to provide upon request by the SEC staff, the issuer or a security holder of the issuer, full information regarding the number of shares purchased at each separate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Arthur McMahon, III, attorney-in-fact for James Monroe III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05/11/2023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379664" TargetMode="External"/><Relationship Id="rId4" Type="http://schemas.openxmlformats.org/officeDocument/2006/relationships/hyperlink" Target="http://www.sec.gov/cgi-bin/browse-edgar?action=getcompany&amp;CIK=000136686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853</Words>
  <Characters>4637</Characters>
  <CharactersWithSpaces>5381</CharactersWithSpaces>
  <Paragraphs>149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