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10-Q</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14" w:lineRule="exact"/>
        <w:rPr>
          <w:sz w:val="24"/>
          <w:szCs w:val="24"/>
          <w:color w:val="auto"/>
        </w:rPr>
      </w:pPr>
    </w:p>
    <w:p>
      <w:pPr>
        <w:ind w:left="1260" w:hanging="1166"/>
        <w:spacing w:after="0"/>
        <w:tabs>
          <w:tab w:leader="none" w:pos="12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2021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114" w:lineRule="exact"/>
        <w:rPr>
          <w:sz w:val="24"/>
          <w:szCs w:val="24"/>
          <w:color w:val="auto"/>
        </w:rPr>
      </w:pPr>
    </w:p>
    <w:p>
      <w:pPr>
        <w:ind w:left="1260" w:hanging="1166"/>
        <w:spacing w:after="0"/>
        <w:tabs>
          <w:tab w:leader="none" w:pos="12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60" w:lineRule="exact"/>
        <w:rPr>
          <w:sz w:val="24"/>
          <w:szCs w:val="24"/>
          <w:color w:val="auto"/>
        </w:rPr>
      </w:pPr>
    </w:p>
    <w:p>
      <w:pPr>
        <w:ind w:left="3880"/>
        <w:spacing w:after="0"/>
        <w:tabs>
          <w:tab w:leader="none" w:pos="656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Commission file number 001-33117</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967" w:right="339" w:bottom="1440" w:gutter="0" w:footer="0" w:header="0"/>
        </w:sectPr>
      </w:pPr>
    </w:p>
    <w:p>
      <w:pPr>
        <w:spacing w:after="0" w:line="101"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41-2116508</w:t>
      </w:r>
    </w:p>
    <w:p>
      <w:pPr>
        <w:spacing w:after="0" w:line="52" w:lineRule="exact"/>
        <w:rPr>
          <w:sz w:val="24"/>
          <w:szCs w:val="24"/>
          <w:color w:val="auto"/>
        </w:rPr>
      </w:pPr>
    </w:p>
    <w:p>
      <w:pPr>
        <w:sectPr>
          <w:pgSz w:w="11900" w:h="16838" w:orient="portrait"/>
          <w:cols w:equalWidth="0" w:num="2">
            <w:col w:w="7380" w:space="720"/>
            <w:col w:w="3140"/>
          </w:cols>
          <w:pgMar w:left="320" w:top="967" w:right="339" w:bottom="1440" w:gutter="0" w:footer="0" w:header="0"/>
          <w:type w:val="continuous"/>
        </w:sectPr>
      </w:pPr>
    </w:p>
    <w:p>
      <w:pPr>
        <w:ind w:left="1700"/>
        <w:spacing w:after="0"/>
        <w:rPr>
          <w:sz w:val="20"/>
          <w:szCs w:val="20"/>
          <w:color w:val="auto"/>
        </w:rPr>
      </w:pPr>
      <w:r>
        <w:rPr>
          <w:rFonts w:ascii="Arial" w:cs="Arial" w:eastAsia="Arial" w:hAnsi="Arial"/>
          <w:sz w:val="14"/>
          <w:szCs w:val="14"/>
          <w:color w:val="auto"/>
        </w:rPr>
        <w:t>(State or Other Jurisdiction of</w:t>
      </w:r>
    </w:p>
    <w:p>
      <w:pPr>
        <w:spacing w:after="0" w:line="48"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409" w:lineRule="exact"/>
        <w:rPr>
          <w:sz w:val="24"/>
          <w:szCs w:val="24"/>
          <w:color w:val="auto"/>
        </w:rPr>
      </w:pPr>
    </w:p>
    <w:p>
      <w:pPr>
        <w:sectPr>
          <w:pgSz w:w="11900" w:h="16838" w:orient="portrait"/>
          <w:cols w:equalWidth="0" w:num="2">
            <w:col w:w="6580" w:space="720"/>
            <w:col w:w="3940"/>
          </w:cols>
          <w:pgMar w:left="320" w:top="967" w:right="339" w:bottom="1440" w:gutter="0" w:footer="0" w:header="0"/>
          <w:type w:val="continuous"/>
        </w:sectPr>
      </w:pP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1351 Holiday Square Blvd.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Covington, Louisiana 70433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(985) 335-1500</w:t>
      </w:r>
    </w:p>
    <w:p>
      <w:pPr>
        <w:spacing w:after="0" w:line="152" w:lineRule="exact"/>
        <w:rPr>
          <w:sz w:val="24"/>
          <w:szCs w:val="24"/>
          <w:color w:val="auto"/>
        </w:rPr>
      </w:pPr>
    </w:p>
    <w:p>
      <w:pPr>
        <w:jc w:val="center"/>
        <w:ind w:right="7540"/>
        <w:spacing w:after="0"/>
        <w:rPr>
          <w:sz w:val="20"/>
          <w:szCs w:val="20"/>
          <w:color w:val="auto"/>
        </w:rPr>
      </w:pPr>
      <w:r>
        <w:rPr>
          <w:rFonts w:ascii="Arial" w:cs="Arial" w:eastAsia="Arial" w:hAnsi="Arial"/>
          <w:sz w:val="14"/>
          <w:szCs w:val="14"/>
          <w:color w:val="auto"/>
        </w:rPr>
        <w:t>Securities registered pursuant to section 12(b) of the</w:t>
      </w:r>
    </w:p>
    <w:p>
      <w:pPr>
        <w:spacing w:after="0" w:line="10" w:lineRule="exact"/>
        <w:rPr>
          <w:sz w:val="24"/>
          <w:szCs w:val="24"/>
          <w:color w:val="auto"/>
        </w:rPr>
      </w:pPr>
    </w:p>
    <w:p>
      <w:pPr>
        <w:jc w:val="center"/>
        <w:ind w:right="7540"/>
        <w:spacing w:after="0"/>
        <w:rPr>
          <w:sz w:val="20"/>
          <w:szCs w:val="20"/>
          <w:color w:val="auto"/>
        </w:rPr>
      </w:pPr>
      <w:r>
        <w:rPr>
          <w:rFonts w:ascii="Arial" w:cs="Arial" w:eastAsia="Arial" w:hAnsi="Arial"/>
          <w:sz w:val="17"/>
          <w:szCs w:val="17"/>
          <w:color w:val="auto"/>
        </w:rPr>
        <w:t>Act:</w:t>
      </w:r>
    </w:p>
    <w:p>
      <w:pPr>
        <w:sectPr>
          <w:pgSz w:w="11900" w:h="16838" w:orient="portrait"/>
          <w:cols w:equalWidth="0" w:num="1">
            <w:col w:w="11240"/>
          </w:cols>
          <w:pgMar w:left="320" w:top="967" w:right="339" w:bottom="1440" w:gutter="0" w:footer="0" w:header="0"/>
          <w:type w:val="continuous"/>
        </w:sectPr>
      </w:pPr>
    </w:p>
    <w:p>
      <w:pPr>
        <w:jc w:val="center"/>
        <w:ind w:right="680"/>
        <w:spacing w:after="0"/>
        <w:rPr>
          <w:sz w:val="20"/>
          <w:szCs w:val="20"/>
          <w:color w:val="auto"/>
        </w:rPr>
      </w:pPr>
      <w:r>
        <w:rPr>
          <w:rFonts w:ascii="Arial" w:cs="Arial" w:eastAsia="Arial" w:hAnsi="Arial"/>
          <w:sz w:val="17"/>
          <w:szCs w:val="17"/>
          <w:color w:val="auto"/>
        </w:rPr>
        <w:t>Title of each class</w:t>
      </w:r>
    </w:p>
    <w:p>
      <w:pPr>
        <w:spacing w:after="0" w:line="14" w:lineRule="exact"/>
        <w:rPr>
          <w:sz w:val="24"/>
          <w:szCs w:val="24"/>
          <w:color w:val="auto"/>
        </w:rPr>
      </w:pPr>
    </w:p>
    <w:p>
      <w:pPr>
        <w:jc w:val="center"/>
        <w:ind w:right="680"/>
        <w:spacing w:after="0"/>
        <w:rPr>
          <w:sz w:val="20"/>
          <w:szCs w:val="20"/>
          <w:color w:val="auto"/>
        </w:rPr>
      </w:pPr>
      <w:r>
        <w:rPr>
          <w:rFonts w:ascii="Arial" w:cs="Arial" w:eastAsia="Arial" w:hAnsi="Arial"/>
          <w:sz w:val="14"/>
          <w:szCs w:val="14"/>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color w:val="auto"/>
        </w:rPr>
        <w:t>Trading Symbol</w:t>
      </w: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7"/>
          <w:szCs w:val="17"/>
          <w:b w:val="1"/>
          <w:bCs w:val="1"/>
          <w:color w:val="auto"/>
        </w:rPr>
        <w:t>GSAT</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14"/>
          <w:szCs w:val="14"/>
          <w:color w:val="auto"/>
        </w:rPr>
        <w:t>Name of exchange on which registered</w:t>
      </w:r>
    </w:p>
    <w:p>
      <w:pPr>
        <w:spacing w:after="0" w:line="48" w:lineRule="exact"/>
        <w:rPr>
          <w:sz w:val="24"/>
          <w:szCs w:val="24"/>
          <w:color w:val="auto"/>
        </w:rPr>
      </w:pPr>
    </w:p>
    <w:p>
      <w:pPr>
        <w:jc w:val="center"/>
        <w:ind w:right="560"/>
        <w:spacing w:after="0"/>
        <w:rPr>
          <w:sz w:val="20"/>
          <w:szCs w:val="20"/>
          <w:color w:val="auto"/>
        </w:rPr>
      </w:pPr>
      <w:r>
        <w:rPr>
          <w:rFonts w:ascii="Arial" w:cs="Arial" w:eastAsia="Arial" w:hAnsi="Arial"/>
          <w:sz w:val="17"/>
          <w:szCs w:val="17"/>
          <w:b w:val="1"/>
          <w:bCs w:val="1"/>
          <w:color w:val="auto"/>
        </w:rPr>
        <w:t>NYSE American</w:t>
      </w:r>
    </w:p>
    <w:p>
      <w:pPr>
        <w:spacing w:after="0" w:line="79" w:lineRule="exact"/>
        <w:rPr>
          <w:sz w:val="24"/>
          <w:szCs w:val="24"/>
          <w:color w:val="auto"/>
        </w:rPr>
      </w:pPr>
    </w:p>
    <w:p>
      <w:pPr>
        <w:sectPr>
          <w:pgSz w:w="11900" w:h="16838" w:orient="portrait"/>
          <w:cols w:equalWidth="0" w:num="3">
            <w:col w:w="4360" w:space="720"/>
            <w:col w:w="2300" w:space="720"/>
            <w:col w:w="3140"/>
          </w:cols>
          <w:pgMar w:left="320" w:top="967" w:right="339" w:bottom="1440" w:gutter="0" w:footer="0" w:header="0"/>
          <w:type w:val="continuous"/>
        </w:sectPr>
      </w:pPr>
    </w:p>
    <w:p>
      <w:pPr>
        <w:jc w:val="both"/>
        <w:ind w:right="160" w:firstLine="235"/>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63" w:lineRule="exact"/>
        <w:rPr>
          <w:sz w:val="24"/>
          <w:szCs w:val="24"/>
          <w:color w:val="auto"/>
        </w:rPr>
      </w:pPr>
    </w:p>
    <w:p>
      <w:pPr>
        <w:ind w:right="60" w:firstLine="235"/>
        <w:spacing w:after="0" w:line="21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63" w:lineRule="exact"/>
        <w:rPr>
          <w:sz w:val="24"/>
          <w:szCs w:val="24"/>
          <w:color w:val="auto"/>
        </w:rPr>
      </w:pPr>
    </w:p>
    <w:p>
      <w:pPr>
        <w:ind w:right="100" w:firstLine="235"/>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760" w:type="dxa"/>
        <w:tblCellMar>
          <w:top w:w="0" w:type="dxa"/>
          <w:left w:w="0" w:type="dxa"/>
          <w:bottom w:w="0" w:type="dxa"/>
          <w:right w:w="0" w:type="dxa"/>
        </w:tblCellMar>
      </w:tblPr>
      <w:tr>
        <w:trPr>
          <w:trHeight w:val="209"/>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7"/>
              </w:rPr>
              <w:t>Large 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91"/>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9"/>
              </w:rPr>
              <w:t>Non-accelerated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88"/>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9"/>
              </w:rPr>
              <w:t>(Do not check if a smaller reporting company)</w:t>
            </w:r>
          </w:p>
        </w:tc>
        <w:tc>
          <w:tcPr>
            <w:tcW w:w="1800" w:type="dxa"/>
            <w:vAlign w:val="bottom"/>
          </w:tcPr>
          <w:p>
            <w:pPr>
              <w:spacing w:after="0"/>
              <w:rPr>
                <w:sz w:val="22"/>
                <w:szCs w:val="22"/>
                <w:color w:val="auto"/>
              </w:rPr>
            </w:pP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89"/>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8" w:lineRule="exact"/>
        <w:rPr>
          <w:sz w:val="24"/>
          <w:szCs w:val="24"/>
          <w:color w:val="auto"/>
        </w:rPr>
      </w:pPr>
    </w:p>
    <w:p>
      <w:pPr>
        <w:ind w:right="380" w:firstLine="512"/>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4"/>
          <w:szCs w:val="24"/>
          <w:color w:val="auto"/>
        </w:rPr>
      </w:pPr>
    </w:p>
    <w:p>
      <w:pPr>
        <w:ind w:left="2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27" w:lineRule="exact"/>
        <w:rPr>
          <w:sz w:val="24"/>
          <w:szCs w:val="24"/>
          <w:color w:val="auto"/>
        </w:rPr>
      </w:pPr>
    </w:p>
    <w:p>
      <w:pPr>
        <w:ind w:left="240"/>
        <w:spacing w:after="0"/>
        <w:rPr>
          <w:sz w:val="20"/>
          <w:szCs w:val="20"/>
          <w:color w:val="auto"/>
        </w:rPr>
      </w:pPr>
      <w:r>
        <w:rPr>
          <w:rFonts w:ascii="Arial" w:cs="Arial" w:eastAsia="Arial" w:hAnsi="Arial"/>
          <w:sz w:val="14"/>
          <w:szCs w:val="14"/>
          <w:color w:val="auto"/>
        </w:rPr>
        <w:t>As of July 30, 2021, 1,793 million shares of voting common stock were outstanding, and no shares of nonvoting common stock were authorized or outstanding.</w:t>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Unless the context otherwise requires, references to common stock in this Report mean the Registrant’s 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529590</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9040" w:type="dxa"/>
            <w:vAlign w:val="bottom"/>
          </w:tcPr>
          <w:p>
            <w:pPr>
              <w:jc w:val="center"/>
              <w:ind w:left="573"/>
              <w:spacing w:after="0"/>
              <w:rPr>
                <w:sz w:val="20"/>
                <w:szCs w:val="20"/>
                <w:color w:val="auto"/>
              </w:rPr>
            </w:pPr>
            <w:r>
              <w:rPr>
                <w:rFonts w:ascii="Arial" w:cs="Arial" w:eastAsia="Arial" w:hAnsi="Arial"/>
                <w:sz w:val="17"/>
                <w:szCs w:val="17"/>
                <w:b w:val="1"/>
                <w:bCs w:val="1"/>
                <w:color w:val="auto"/>
              </w:rPr>
              <w:t>FORM 10-Q</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4"/>
                <w:szCs w:val="24"/>
                <w:color w:val="auto"/>
              </w:rPr>
            </w:pPr>
          </w:p>
        </w:tc>
        <w:tc>
          <w:tcPr>
            <w:tcW w:w="9040" w:type="dxa"/>
            <w:vAlign w:val="bottom"/>
          </w:tcPr>
          <w:p>
            <w:pPr>
              <w:jc w:val="center"/>
              <w:ind w:left="553"/>
              <w:spacing w:after="0"/>
              <w:rPr>
                <w:sz w:val="20"/>
                <w:szCs w:val="20"/>
                <w:color w:val="auto"/>
              </w:rPr>
            </w:pPr>
            <w:r>
              <w:rPr>
                <w:rFonts w:ascii="Arial" w:cs="Arial" w:eastAsia="Arial" w:hAnsi="Arial"/>
                <w:sz w:val="17"/>
                <w:szCs w:val="17"/>
                <w:b w:val="1"/>
                <w:bCs w:val="1"/>
                <w:color w:val="auto"/>
              </w:rPr>
              <w:t>GLOBALSTAR, INC.</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9040" w:type="dxa"/>
            <w:vAlign w:val="bottom"/>
          </w:tcPr>
          <w:p>
            <w:pPr>
              <w:jc w:val="center"/>
              <w:ind w:left="553"/>
              <w:spacing w:after="0"/>
              <w:rPr>
                <w:sz w:val="20"/>
                <w:szCs w:val="20"/>
                <w:color w:val="auto"/>
              </w:rPr>
            </w:pPr>
            <w:r>
              <w:rPr>
                <w:rFonts w:ascii="Arial" w:cs="Arial" w:eastAsia="Arial" w:hAnsi="Arial"/>
                <w:sz w:val="17"/>
                <w:szCs w:val="17"/>
                <w:b w:val="1"/>
                <w:bCs w:val="1"/>
                <w:color w:val="auto"/>
              </w:rPr>
              <w:t>TABLE OF CONTENTS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9"/>
        </w:trPr>
        <w:tc>
          <w:tcPr>
            <w:tcW w:w="900" w:type="dxa"/>
            <w:vAlign w:val="bottom"/>
          </w:tcPr>
          <w:p>
            <w:pPr>
              <w:spacing w:after="0"/>
              <w:rPr>
                <w:sz w:val="24"/>
                <w:szCs w:val="24"/>
                <w:color w:val="auto"/>
              </w:rPr>
            </w:pPr>
          </w:p>
        </w:tc>
        <w:tc>
          <w:tcPr>
            <w:tcW w:w="9040" w:type="dxa"/>
            <w:vAlign w:val="bottom"/>
            <w:vMerge w:val="restart"/>
          </w:tcPr>
          <w:p>
            <w:pPr>
              <w:ind w:left="2560"/>
              <w:spacing w:after="0"/>
              <w:rPr>
                <w:rFonts w:ascii="Arial" w:cs="Arial" w:eastAsia="Arial" w:hAnsi="Arial"/>
                <w:sz w:val="17"/>
                <w:szCs w:val="17"/>
                <w:b w:val="1"/>
                <w:bCs w:val="1"/>
                <w:color w:val="auto"/>
              </w:rPr>
            </w:pPr>
            <w:hyperlink w:anchor="page2">
              <w:r>
                <w:rPr>
                  <w:rFonts w:ascii="Arial" w:cs="Arial" w:eastAsia="Arial" w:hAnsi="Arial"/>
                  <w:sz w:val="17"/>
                  <w:szCs w:val="17"/>
                  <w:b w:val="1"/>
                  <w:bCs w:val="1"/>
                  <w:color w:val="auto"/>
                </w:rPr>
                <w:t xml:space="preserve">PART I - </w:t>
              </w:r>
            </w:hyperlink>
            <w:r>
              <w:rPr>
                <w:rFonts w:ascii="Arial" w:cs="Arial" w:eastAsia="Arial" w:hAnsi="Arial"/>
                <w:sz w:val="17"/>
                <w:szCs w:val="17"/>
                <w:b w:val="1"/>
                <w:bCs w:val="1"/>
                <w:color w:val="auto"/>
              </w:rPr>
              <w:t>FINANCIAL INFORMATION</w:t>
            </w:r>
          </w:p>
        </w:tc>
        <w:tc>
          <w:tcPr>
            <w:tcW w:w="1300" w:type="dxa"/>
            <w:vAlign w:val="bottom"/>
            <w:gridSpan w:val="2"/>
          </w:tcPr>
          <w:p>
            <w:pPr>
              <w:ind w:left="4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9040" w:type="dxa"/>
            <w:vAlign w:val="bottom"/>
            <w:vMerge w:val="continue"/>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w:t>
            </w:r>
          </w:p>
        </w:tc>
        <w:tc>
          <w:tcPr>
            <w:tcW w:w="9040" w:type="dxa"/>
            <w:vAlign w:val="bottom"/>
          </w:tcPr>
          <w:p>
            <w:pPr>
              <w:ind w:left="160"/>
              <w:spacing w:after="0"/>
              <w:rPr>
                <w:rFonts w:ascii="Arial" w:cs="Arial" w:eastAsia="Arial" w:hAnsi="Arial"/>
                <w:sz w:val="17"/>
                <w:szCs w:val="17"/>
                <w:color w:val="auto"/>
              </w:rPr>
            </w:pPr>
            <w:hyperlink w:anchor="page3">
              <w:r>
                <w:rPr>
                  <w:rFonts w:ascii="Arial" w:cs="Arial" w:eastAsia="Arial" w:hAnsi="Arial"/>
                  <w:sz w:val="17"/>
                  <w:szCs w:val="17"/>
                  <w:color w:val="auto"/>
                </w:rPr>
                <w:t>Financial Statements.</w:t>
              </w:r>
            </w:hyperlink>
          </w:p>
        </w:tc>
        <w:tc>
          <w:tcPr>
            <w:tcW w:w="1280" w:type="dxa"/>
            <w:vAlign w:val="bottom"/>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2.</w:t>
            </w:r>
          </w:p>
        </w:tc>
        <w:tc>
          <w:tcPr>
            <w:tcW w:w="9040" w:type="dxa"/>
            <w:vAlign w:val="bottom"/>
          </w:tcPr>
          <w:p>
            <w:pPr>
              <w:ind w:left="160"/>
              <w:spacing w:after="0"/>
              <w:rPr>
                <w:rFonts w:ascii="Arial" w:cs="Arial" w:eastAsia="Arial" w:hAnsi="Arial"/>
                <w:sz w:val="17"/>
                <w:szCs w:val="17"/>
                <w:color w:val="auto"/>
              </w:rPr>
            </w:pPr>
            <w:hyperlink w:anchor="page23">
              <w:r>
                <w:rPr>
                  <w:rFonts w:ascii="Arial" w:cs="Arial" w:eastAsia="Arial" w:hAnsi="Arial"/>
                  <w:sz w:val="17"/>
                  <w:szCs w:val="17"/>
                  <w:color w:val="auto"/>
                </w:rPr>
                <w:t>Management’s Discussion and Analysis of Financial Condition and Results of Operations.</w:t>
              </w:r>
            </w:hyperlink>
          </w:p>
        </w:tc>
        <w:tc>
          <w:tcPr>
            <w:tcW w:w="1280" w:type="dxa"/>
            <w:vAlign w:val="bottom"/>
          </w:tcPr>
          <w:p>
            <w:pPr>
              <w:jc w:val="right"/>
              <w:spacing w:after="0"/>
              <w:rPr>
                <w:rFonts w:ascii="Arial" w:cs="Arial" w:eastAsia="Arial" w:hAnsi="Arial"/>
                <w:sz w:val="17"/>
                <w:szCs w:val="17"/>
                <w:color w:val="auto"/>
              </w:rPr>
            </w:pPr>
            <w:hyperlink w:anchor="page23">
              <w:r>
                <w:rPr>
                  <w:rFonts w:ascii="Arial" w:cs="Arial" w:eastAsia="Arial" w:hAnsi="Arial"/>
                  <w:sz w:val="17"/>
                  <w:szCs w:val="17"/>
                  <w:color w:val="auto"/>
                </w:rPr>
                <w:t>19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3.</w:t>
            </w:r>
          </w:p>
        </w:tc>
        <w:tc>
          <w:tcPr>
            <w:tcW w:w="9040" w:type="dxa"/>
            <w:vAlign w:val="bottom"/>
          </w:tcPr>
          <w:p>
            <w:pPr>
              <w:ind w:left="160"/>
              <w:spacing w:after="0"/>
              <w:rPr>
                <w:rFonts w:ascii="Arial" w:cs="Arial" w:eastAsia="Arial" w:hAnsi="Arial"/>
                <w:sz w:val="17"/>
                <w:szCs w:val="17"/>
                <w:color w:val="auto"/>
              </w:rPr>
            </w:pPr>
            <w:hyperlink w:anchor="page33">
              <w:r>
                <w:rPr>
                  <w:rFonts w:ascii="Arial" w:cs="Arial" w:eastAsia="Arial" w:hAnsi="Arial"/>
                  <w:sz w:val="17"/>
                  <w:szCs w:val="17"/>
                  <w:color w:val="auto"/>
                </w:rPr>
                <w:t>Quantitative and Qualitative Disclosures About Market Risk.</w:t>
              </w:r>
            </w:hyperlink>
          </w:p>
        </w:tc>
        <w:tc>
          <w:tcPr>
            <w:tcW w:w="128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29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4.</w:t>
            </w:r>
          </w:p>
        </w:tc>
        <w:tc>
          <w:tcPr>
            <w:tcW w:w="9040" w:type="dxa"/>
            <w:vAlign w:val="bottom"/>
          </w:tcPr>
          <w:p>
            <w:pPr>
              <w:ind w:left="160"/>
              <w:spacing w:after="0"/>
              <w:rPr>
                <w:rFonts w:ascii="Arial" w:cs="Arial" w:eastAsia="Arial" w:hAnsi="Arial"/>
                <w:sz w:val="17"/>
                <w:szCs w:val="17"/>
                <w:color w:val="auto"/>
              </w:rPr>
            </w:pPr>
            <w:hyperlink w:anchor="page34">
              <w:r>
                <w:rPr>
                  <w:rFonts w:ascii="Arial" w:cs="Arial" w:eastAsia="Arial" w:hAnsi="Arial"/>
                  <w:sz w:val="17"/>
                  <w:szCs w:val="17"/>
                  <w:color w:val="auto"/>
                </w:rPr>
                <w:t>Controls and Procedures.</w:t>
              </w:r>
            </w:hyperlink>
          </w:p>
        </w:tc>
        <w:tc>
          <w:tcPr>
            <w:tcW w:w="128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2700"/>
              <w:spacing w:after="0"/>
              <w:rPr>
                <w:rFonts w:ascii="Arial" w:cs="Arial" w:eastAsia="Arial" w:hAnsi="Arial"/>
                <w:sz w:val="17"/>
                <w:szCs w:val="17"/>
                <w:b w:val="1"/>
                <w:bCs w:val="1"/>
                <w:color w:val="auto"/>
              </w:rPr>
            </w:pPr>
            <w:hyperlink w:anchor="page34">
              <w:r>
                <w:rPr>
                  <w:rFonts w:ascii="Arial" w:cs="Arial" w:eastAsia="Arial" w:hAnsi="Arial"/>
                  <w:sz w:val="17"/>
                  <w:szCs w:val="17"/>
                  <w:b w:val="1"/>
                  <w:bCs w:val="1"/>
                  <w:color w:val="auto"/>
                </w:rPr>
                <w:t xml:space="preserve">PART II - </w:t>
              </w:r>
            </w:hyperlink>
            <w:r>
              <w:rPr>
                <w:rFonts w:ascii="Arial" w:cs="Arial" w:eastAsia="Arial" w:hAnsi="Arial"/>
                <w:sz w:val="17"/>
                <w:szCs w:val="17"/>
                <w:b w:val="1"/>
                <w:bCs w:val="1"/>
                <w:color w:val="auto"/>
              </w:rPr>
              <w:t>OTHER INFORMATION</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w:t>
            </w:r>
          </w:p>
        </w:tc>
        <w:tc>
          <w:tcPr>
            <w:tcW w:w="9040" w:type="dxa"/>
            <w:vAlign w:val="bottom"/>
          </w:tcPr>
          <w:p>
            <w:pPr>
              <w:ind w:left="160"/>
              <w:spacing w:after="0"/>
              <w:rPr>
                <w:rFonts w:ascii="Arial" w:cs="Arial" w:eastAsia="Arial" w:hAnsi="Arial"/>
                <w:sz w:val="17"/>
                <w:szCs w:val="17"/>
                <w:color w:val="auto"/>
              </w:rPr>
            </w:pPr>
            <w:hyperlink w:anchor="page35">
              <w:r>
                <w:rPr>
                  <w:rFonts w:ascii="Arial" w:cs="Arial" w:eastAsia="Arial" w:hAnsi="Arial"/>
                  <w:sz w:val="17"/>
                  <w:szCs w:val="17"/>
                  <w:color w:val="auto"/>
                </w:rPr>
                <w:t>Legal Proceedings.</w:t>
              </w:r>
            </w:hyperlink>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1A.</w:t>
            </w:r>
          </w:p>
        </w:tc>
        <w:tc>
          <w:tcPr>
            <w:tcW w:w="9040" w:type="dxa"/>
            <w:vAlign w:val="bottom"/>
          </w:tcPr>
          <w:p>
            <w:pPr>
              <w:ind w:left="160"/>
              <w:spacing w:after="0"/>
              <w:rPr>
                <w:rFonts w:ascii="Arial" w:cs="Arial" w:eastAsia="Arial" w:hAnsi="Arial"/>
                <w:sz w:val="17"/>
                <w:szCs w:val="17"/>
                <w:color w:val="auto"/>
              </w:rPr>
            </w:pPr>
            <w:hyperlink w:anchor="page35">
              <w:r>
                <w:rPr>
                  <w:rFonts w:ascii="Arial" w:cs="Arial" w:eastAsia="Arial" w:hAnsi="Arial"/>
                  <w:sz w:val="17"/>
                  <w:szCs w:val="17"/>
                  <w:color w:val="auto"/>
                </w:rPr>
                <w:t>Risk Factors.</w:t>
              </w:r>
            </w:hyperlink>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2.</w:t>
            </w:r>
          </w:p>
        </w:tc>
        <w:tc>
          <w:tcPr>
            <w:tcW w:w="9040" w:type="dxa"/>
            <w:vAlign w:val="bottom"/>
          </w:tcPr>
          <w:p>
            <w:pPr>
              <w:ind w:left="160"/>
              <w:spacing w:after="0"/>
              <w:rPr>
                <w:rFonts w:ascii="Arial" w:cs="Arial" w:eastAsia="Arial" w:hAnsi="Arial"/>
                <w:sz w:val="17"/>
                <w:szCs w:val="17"/>
                <w:color w:val="auto"/>
              </w:rPr>
            </w:pPr>
            <w:hyperlink w:anchor="page35">
              <w:r>
                <w:rPr>
                  <w:rFonts w:ascii="Arial" w:cs="Arial" w:eastAsia="Arial" w:hAnsi="Arial"/>
                  <w:sz w:val="17"/>
                  <w:szCs w:val="17"/>
                  <w:color w:val="auto"/>
                </w:rPr>
                <w:t>Unregistered Sales of Equity Securities and Use of Proceeds.</w:t>
              </w:r>
            </w:hyperlink>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3.</w:t>
            </w:r>
          </w:p>
        </w:tc>
        <w:tc>
          <w:tcPr>
            <w:tcW w:w="9040" w:type="dxa"/>
            <w:vAlign w:val="bottom"/>
          </w:tcPr>
          <w:p>
            <w:pPr>
              <w:ind w:left="160"/>
              <w:spacing w:after="0"/>
              <w:rPr>
                <w:rFonts w:ascii="Arial" w:cs="Arial" w:eastAsia="Arial" w:hAnsi="Arial"/>
                <w:sz w:val="17"/>
                <w:szCs w:val="17"/>
                <w:color w:val="auto"/>
              </w:rPr>
            </w:pPr>
            <w:hyperlink w:anchor="page35">
              <w:r>
                <w:rPr>
                  <w:rFonts w:ascii="Arial" w:cs="Arial" w:eastAsia="Arial" w:hAnsi="Arial"/>
                  <w:sz w:val="17"/>
                  <w:szCs w:val="17"/>
                  <w:color w:val="auto"/>
                </w:rPr>
                <w:t>Defaults Upon Senior Securities.</w:t>
              </w:r>
            </w:hyperlink>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4.</w:t>
            </w:r>
          </w:p>
        </w:tc>
        <w:tc>
          <w:tcPr>
            <w:tcW w:w="9040" w:type="dxa"/>
            <w:vAlign w:val="bottom"/>
          </w:tcPr>
          <w:p>
            <w:pPr>
              <w:ind w:left="160"/>
              <w:spacing w:after="0"/>
              <w:rPr>
                <w:rFonts w:ascii="Arial" w:cs="Arial" w:eastAsia="Arial" w:hAnsi="Arial"/>
                <w:sz w:val="17"/>
                <w:szCs w:val="17"/>
                <w:color w:val="auto"/>
              </w:rPr>
            </w:pPr>
            <w:hyperlink w:anchor="page35">
              <w:r>
                <w:rPr>
                  <w:rFonts w:ascii="Arial" w:cs="Arial" w:eastAsia="Arial" w:hAnsi="Arial"/>
                  <w:sz w:val="17"/>
                  <w:szCs w:val="17"/>
                  <w:color w:val="auto"/>
                </w:rPr>
                <w:t>Mine Safety Disclosures.</w:t>
              </w:r>
            </w:hyperlink>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5.</w:t>
            </w:r>
          </w:p>
        </w:tc>
        <w:tc>
          <w:tcPr>
            <w:tcW w:w="9040" w:type="dxa"/>
            <w:vAlign w:val="bottom"/>
          </w:tcPr>
          <w:p>
            <w:pPr>
              <w:ind w:left="160"/>
              <w:spacing w:after="0"/>
              <w:rPr>
                <w:rFonts w:ascii="Arial" w:cs="Arial" w:eastAsia="Arial" w:hAnsi="Arial"/>
                <w:sz w:val="17"/>
                <w:szCs w:val="17"/>
                <w:color w:val="auto"/>
              </w:rPr>
            </w:pPr>
            <w:hyperlink w:anchor="page35">
              <w:r>
                <w:rPr>
                  <w:rFonts w:ascii="Arial" w:cs="Arial" w:eastAsia="Arial" w:hAnsi="Arial"/>
                  <w:sz w:val="17"/>
                  <w:szCs w:val="17"/>
                  <w:color w:val="auto"/>
                </w:rPr>
                <w:t>Other Information.</w:t>
              </w:r>
            </w:hyperlink>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6.</w:t>
            </w:r>
          </w:p>
        </w:tc>
        <w:tc>
          <w:tcPr>
            <w:tcW w:w="9040" w:type="dxa"/>
            <w:vAlign w:val="bottom"/>
          </w:tcPr>
          <w:p>
            <w:pPr>
              <w:ind w:left="160"/>
              <w:spacing w:after="0"/>
              <w:rPr>
                <w:rFonts w:ascii="Arial" w:cs="Arial" w:eastAsia="Arial" w:hAnsi="Arial"/>
                <w:sz w:val="17"/>
                <w:szCs w:val="17"/>
                <w:color w:val="auto"/>
              </w:rPr>
            </w:pPr>
            <w:hyperlink w:anchor="page35">
              <w:r>
                <w:rPr>
                  <w:rFonts w:ascii="Arial" w:cs="Arial" w:eastAsia="Arial" w:hAnsi="Arial"/>
                  <w:sz w:val="17"/>
                  <w:szCs w:val="17"/>
                  <w:color w:val="auto"/>
                </w:rPr>
                <w:t>Exhibits.</w:t>
              </w:r>
            </w:hyperlink>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rFonts w:ascii="Arial" w:cs="Arial" w:eastAsia="Arial" w:hAnsi="Arial"/>
                <w:sz w:val="17"/>
                <w:szCs w:val="17"/>
                <w:color w:val="auto"/>
              </w:rPr>
            </w:pPr>
            <w:hyperlink w:anchor="page35">
              <w:r>
                <w:rPr>
                  <w:rFonts w:ascii="Arial" w:cs="Arial" w:eastAsia="Arial" w:hAnsi="Arial"/>
                  <w:sz w:val="17"/>
                  <w:szCs w:val="17"/>
                  <w:color w:val="auto"/>
                </w:rPr>
                <w:t>Signatures</w:t>
              </w:r>
            </w:hyperlink>
          </w:p>
        </w:tc>
        <w:tc>
          <w:tcPr>
            <w:tcW w:w="9040" w:type="dxa"/>
            <w:vAlign w:val="bottom"/>
          </w:tcPr>
          <w:p>
            <w:pPr>
              <w:spacing w:after="0"/>
              <w:rPr>
                <w:sz w:val="19"/>
                <w:szCs w:val="19"/>
                <w:color w:val="auto"/>
              </w:rPr>
            </w:pPr>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9"/>
        </w:trPr>
        <w:tc>
          <w:tcPr>
            <w:tcW w:w="9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5"/>
          </w:tcPr>
          <w:p>
            <w:pPr>
              <w:ind w:left="4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68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60"/>
              <w:spacing w:after="0" w:line="164" w:lineRule="exact"/>
              <w:rPr>
                <w:sz w:val="20"/>
                <w:szCs w:val="20"/>
                <w:color w:val="auto"/>
              </w:rPr>
            </w:pPr>
            <w:r>
              <w:rPr>
                <w:rFonts w:ascii="Arial" w:cs="Arial" w:eastAsia="Arial" w:hAnsi="Arial"/>
                <w:sz w:val="17"/>
                <w:szCs w:val="17"/>
                <w:b w:val="1"/>
                <w:bCs w:val="1"/>
                <w:color w:val="auto"/>
              </w:rPr>
              <w:t>June 30,</w:t>
            </w: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5"/>
              <w:spacing w:after="0" w:line="164" w:lineRule="exact"/>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60"/>
              <w:spacing w:after="0" w:line="164" w:lineRule="exact"/>
              <w:rPr>
                <w:sz w:val="20"/>
                <w:szCs w:val="20"/>
                <w:color w:val="auto"/>
              </w:rPr>
            </w:pPr>
            <w:r>
              <w:rPr>
                <w:rFonts w:ascii="Arial" w:cs="Arial" w:eastAsia="Arial" w:hAnsi="Arial"/>
                <w:sz w:val="17"/>
                <w:szCs w:val="17"/>
                <w:b w:val="1"/>
                <w:bCs w:val="1"/>
                <w:color w:val="auto"/>
              </w:rPr>
              <w:t>June 30,</w:t>
            </w: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15"/>
              <w:spacing w:after="0" w:line="164" w:lineRule="exact"/>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0"/>
        </w:trPr>
        <w:tc>
          <w:tcPr>
            <w:tcW w:w="5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 revenue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56,025</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Subscriber equipment sales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30,279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30,364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62,558</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20"/>
              <w:spacing w:after="0" w:line="175" w:lineRule="exact"/>
              <w:rPr>
                <w:sz w:val="20"/>
                <w:szCs w:val="20"/>
                <w:color w:val="auto"/>
              </w:rPr>
            </w:pPr>
            <w:r>
              <w:rPr>
                <w:rFonts w:ascii="Arial" w:cs="Arial" w:eastAsia="Arial" w:hAnsi="Arial"/>
                <w:sz w:val="17"/>
                <w:szCs w:val="17"/>
                <w:color w:val="auto"/>
                <w:w w:val="94"/>
              </w:rPr>
              <w:t>Cost of services (exclusive of depreciation, amortization, and accretion</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18,200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17,375</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shown separately below)</w:t>
            </w: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Cost of subscriber equipment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5,583</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Cost of subscriber equipment sales - reduction in the value of inventory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Marketing,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10,253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21,344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amortization and accretion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23,903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47,720</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46,287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45,743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92,022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(29,464)</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Other (expense) income: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extinguishment of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Interest income and expense, net of amounts capitalized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(10,778)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(22,352)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(25,518)</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Derivative (loss) gain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Foreign currency gain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(7,639)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other (expense) income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(33,384)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(62,848)</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(21,449)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(24,736)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(62,959)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3,935</w:t>
            </w:r>
          </w:p>
        </w:tc>
        <w:tc>
          <w:tcPr>
            <w:tcW w:w="0" w:type="dxa"/>
            <w:vAlign w:val="bottom"/>
          </w:tcPr>
          <w:p>
            <w:pPr>
              <w:spacing w:after="0"/>
              <w:rPr>
                <w:sz w:val="1"/>
                <w:szCs w:val="1"/>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(26,104)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(59,024)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(0.01)</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(0.01)</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1"/>
        </w:trPr>
        <w:tc>
          <w:tcPr>
            <w:tcW w:w="5280" w:type="dxa"/>
            <w:vAlign w:val="bottom"/>
          </w:tcPr>
          <w:p>
            <w:pPr>
              <w:ind w:left="20"/>
              <w:spacing w:after="0"/>
              <w:rPr>
                <w:sz w:val="20"/>
                <w:szCs w:val="20"/>
                <w:color w:val="auto"/>
              </w:rPr>
            </w:pPr>
            <w:r>
              <w:rPr>
                <w:rFonts w:ascii="Arial" w:cs="Arial" w:eastAsia="Arial" w:hAnsi="Arial"/>
                <w:sz w:val="17"/>
                <w:szCs w:val="17"/>
                <w:color w:val="auto"/>
              </w:rPr>
              <w:t>Weighted-average shares outstanding: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1,791,943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1,668,974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1,613,467</w:t>
            </w:r>
          </w:p>
        </w:tc>
        <w:tc>
          <w:tcPr>
            <w:tcW w:w="0" w:type="dxa"/>
            <w:vAlign w:val="bottom"/>
          </w:tcPr>
          <w:p>
            <w:pPr>
              <w:spacing w:after="0"/>
              <w:rPr>
                <w:sz w:val="1"/>
                <w:szCs w:val="1"/>
                <w:color w:val="auto"/>
              </w:rPr>
            </w:pPr>
          </w:p>
        </w:tc>
      </w:tr>
      <w:tr>
        <w:trPr>
          <w:trHeight w:val="220"/>
        </w:trPr>
        <w:tc>
          <w:tcPr>
            <w:tcW w:w="5280" w:type="dxa"/>
            <w:vAlign w:val="bottom"/>
          </w:tcPr>
          <w:p>
            <w:pPr>
              <w:ind w:left="220"/>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1,791,943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1,668,974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1,736,158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1,613,467</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GLOBALSTAR, INC.</w:t>
      </w:r>
    </w:p>
    <w:p>
      <w:pPr>
        <w:spacing w:after="0" w:line="53"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53"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(In thousands, except par value and share data)</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vMerge w:val="restart"/>
          </w:tcPr>
          <w:p>
            <w:pPr>
              <w:ind w:left="33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 2021</w:t>
            </w:r>
          </w:p>
        </w:tc>
        <w:tc>
          <w:tcPr>
            <w:tcW w:w="180" w:type="dxa"/>
            <w:vAlign w:val="bottom"/>
          </w:tcPr>
          <w:p>
            <w:pPr>
              <w:spacing w:after="0"/>
              <w:rPr>
                <w:sz w:val="18"/>
                <w:szCs w:val="18"/>
                <w:color w:val="auto"/>
              </w:rPr>
            </w:pPr>
          </w:p>
        </w:tc>
        <w:tc>
          <w:tcPr>
            <w:tcW w:w="1720" w:type="dxa"/>
            <w:vAlign w:val="bottom"/>
          </w:tcPr>
          <w:p>
            <w:pPr>
              <w:jc w:val="right"/>
              <w:ind w:right="197"/>
              <w:spacing w:after="0"/>
              <w:rPr>
                <w:sz w:val="20"/>
                <w:szCs w:val="20"/>
                <w:color w:val="auto"/>
              </w:rPr>
            </w:pPr>
            <w:r>
              <w:rPr>
                <w:rFonts w:ascii="Arial" w:cs="Arial" w:eastAsia="Arial" w:hAnsi="Arial"/>
                <w:sz w:val="17"/>
                <w:szCs w:val="17"/>
                <w:b w:val="1"/>
                <w:bCs w:val="1"/>
                <w:color w:val="auto"/>
                <w:w w:val="92"/>
              </w:rPr>
              <w:t>December 31, 2020</w:t>
            </w:r>
          </w:p>
        </w:tc>
        <w:tc>
          <w:tcPr>
            <w:tcW w:w="0" w:type="dxa"/>
            <w:vAlign w:val="bottom"/>
          </w:tcPr>
          <w:p>
            <w:pPr>
              <w:spacing w:after="0"/>
              <w:rPr>
                <w:sz w:val="1"/>
                <w:szCs w:val="1"/>
                <w:color w:val="auto"/>
              </w:rPr>
            </w:pPr>
          </w:p>
        </w:tc>
      </w:tr>
      <w:tr>
        <w:trPr>
          <w:trHeight w:val="189"/>
        </w:trPr>
        <w:tc>
          <w:tcPr>
            <w:tcW w:w="7320" w:type="dxa"/>
            <w:vAlign w:val="bottom"/>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15,724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13,330</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3,625</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Accounts receivable, net of allowance for credit losses of $3,560 and $4,352, respectively</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28,870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22,147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13,736</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15,649</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440"/>
              <w:spacing w:after="0" w:line="189" w:lineRule="exact"/>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68,487</w:t>
            </w:r>
          </w:p>
        </w:tc>
        <w:tc>
          <w:tcPr>
            <w:tcW w:w="0" w:type="dxa"/>
            <w:vAlign w:val="bottom"/>
          </w:tcPr>
          <w:p>
            <w:pPr>
              <w:spacing w:after="0"/>
              <w:rPr>
                <w:sz w:val="1"/>
                <w:szCs w:val="1"/>
                <w:color w:val="auto"/>
              </w:rPr>
            </w:pPr>
          </w:p>
        </w:tc>
      </w:tr>
      <w:tr>
        <w:trPr>
          <w:trHeight w:val="202"/>
        </w:trPr>
        <w:tc>
          <w:tcPr>
            <w:tcW w:w="7320" w:type="dxa"/>
            <w:vAlign w:val="bottom"/>
          </w:tcPr>
          <w:p>
            <w:pPr>
              <w:ind w:left="20"/>
              <w:spacing w:after="0" w:line="189" w:lineRule="exact"/>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681,325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715,909</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51,068</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7"/>
                <w:szCs w:val="17"/>
                <w:color w:val="auto"/>
              </w:rPr>
              <w:t>Operating lease right of use assets, net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27,542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14,400</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Intangible and other assets, net of accumulated amortization of $10,575 and $9,998,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38,229</w:t>
            </w:r>
          </w:p>
        </w:tc>
        <w:tc>
          <w:tcPr>
            <w:tcW w:w="0" w:type="dxa"/>
            <w:vAlign w:val="bottom"/>
          </w:tcPr>
          <w:p>
            <w:pPr>
              <w:spacing w:after="0"/>
              <w:rPr>
                <w:sz w:val="1"/>
                <w:szCs w:val="1"/>
                <w:color w:val="auto"/>
              </w:rPr>
            </w:pPr>
          </w:p>
        </w:tc>
      </w:tr>
      <w:tr>
        <w:trPr>
          <w:trHeight w:val="202"/>
        </w:trPr>
        <w:tc>
          <w:tcPr>
            <w:tcW w:w="7320" w:type="dxa"/>
            <w:vAlign w:val="bottom"/>
          </w:tcPr>
          <w:p>
            <w:pPr>
              <w:ind w:left="440"/>
              <w:spacing w:after="0" w:line="189"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875,771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888,093</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320" w:type="dxa"/>
            <w:vAlign w:val="bottom"/>
            <w:tcBorders>
              <w:bottom w:val="single" w:sz="8" w:color="CCEEFF"/>
            </w:tcBorders>
            <w:shd w:val="clear" w:color="auto" w:fill="CCEEFF"/>
          </w:tcPr>
          <w:p>
            <w:pPr>
              <w:ind w:left="1860"/>
              <w:spacing w:after="0" w:line="180" w:lineRule="exact"/>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58,824</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2,917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25,916</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Payables to affiliates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25,977</w:t>
            </w:r>
          </w:p>
        </w:tc>
        <w:tc>
          <w:tcPr>
            <w:tcW w:w="0" w:type="dxa"/>
            <w:vAlign w:val="bottom"/>
          </w:tcPr>
          <w:p>
            <w:pPr>
              <w:spacing w:after="0"/>
              <w:rPr>
                <w:sz w:val="1"/>
                <w:szCs w:val="1"/>
                <w:color w:val="auto"/>
              </w:rPr>
            </w:pPr>
          </w:p>
        </w:tc>
      </w:tr>
      <w:tr>
        <w:trPr>
          <w:trHeight w:val="202"/>
        </w:trPr>
        <w:tc>
          <w:tcPr>
            <w:tcW w:w="732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114,215</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Long-term debt, less current portion</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326,586</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25,492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13,726</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benefit obligations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7"/>
                <w:szCs w:val="17"/>
                <w:color w:val="auto"/>
              </w:rPr>
              <w:t>Derivative liabilities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2,944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3,448</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440"/>
              <w:spacing w:after="0" w:line="189" w:lineRule="exact"/>
              <w:rPr>
                <w:sz w:val="20"/>
                <w:szCs w:val="20"/>
                <w:color w:val="auto"/>
              </w:rPr>
            </w:pPr>
            <w:r>
              <w:rPr>
                <w:rFonts w:ascii="Arial" w:cs="Arial" w:eastAsia="Arial" w:hAnsi="Arial"/>
                <w:sz w:val="17"/>
                <w:szCs w:val="17"/>
                <w:color w:val="auto"/>
              </w:rPr>
              <w:t>Total non-current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403,021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350,813</w:t>
            </w:r>
          </w:p>
        </w:tc>
        <w:tc>
          <w:tcPr>
            <w:tcW w:w="0" w:type="dxa"/>
            <w:vAlign w:val="bottom"/>
          </w:tcPr>
          <w:p>
            <w:pPr>
              <w:spacing w:after="0"/>
              <w:rPr>
                <w:sz w:val="1"/>
                <w:szCs w:val="1"/>
                <w:color w:val="auto"/>
              </w:rPr>
            </w:pPr>
          </w:p>
        </w:tc>
      </w:tr>
      <w:tr>
        <w:trPr>
          <w:trHeight w:val="32"/>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tcPr>
          <w:p>
            <w:pPr>
              <w:ind w:left="220"/>
              <w:spacing w:after="0" w:line="157" w:lineRule="exact"/>
              <w:rPr>
                <w:sz w:val="20"/>
                <w:szCs w:val="20"/>
                <w:color w:val="auto"/>
              </w:rPr>
            </w:pPr>
            <w:r>
              <w:rPr>
                <w:rFonts w:ascii="Arial" w:cs="Arial" w:eastAsia="Arial" w:hAnsi="Arial"/>
                <w:sz w:val="17"/>
                <w:szCs w:val="17"/>
                <w:color w:val="auto"/>
                <w:w w:val="88"/>
              </w:rPr>
              <w:t>Preferred Stock of $0.0001 par value; 100,000,000 shares authorized and none issued and outstanding at</w:t>
            </w:r>
          </w:p>
        </w:tc>
        <w:tc>
          <w:tcPr>
            <w:tcW w:w="280" w:type="dxa"/>
            <w:vAlign w:val="bottom"/>
          </w:tcPr>
          <w:p>
            <w:pPr>
              <w:spacing w:after="0"/>
              <w:rPr>
                <w:sz w:val="13"/>
                <w:szCs w:val="13"/>
                <w:color w:val="auto"/>
              </w:rPr>
            </w:pPr>
          </w:p>
        </w:tc>
        <w:tc>
          <w:tcPr>
            <w:tcW w:w="1720" w:type="dxa"/>
            <w:vAlign w:val="bottom"/>
            <w:gridSpan w:val="2"/>
          </w:tcPr>
          <w:p>
            <w:pPr>
              <w:jc w:val="right"/>
              <w:ind w:right="180"/>
              <w:spacing w:after="0" w:line="157"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1720" w:type="dxa"/>
            <w:vAlign w:val="bottom"/>
          </w:tcPr>
          <w:p>
            <w:pPr>
              <w:jc w:val="right"/>
              <w:spacing w:after="0" w:line="15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June 30, 2021 and December 31, 2020, respectively</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ind w:left="220"/>
              <w:spacing w:after="0" w:line="157" w:lineRule="exact"/>
              <w:rPr>
                <w:sz w:val="20"/>
                <w:szCs w:val="20"/>
                <w:color w:val="auto"/>
              </w:rPr>
            </w:pPr>
            <w:r>
              <w:rPr>
                <w:rFonts w:ascii="Arial" w:cs="Arial" w:eastAsia="Arial" w:hAnsi="Arial"/>
                <w:sz w:val="17"/>
                <w:szCs w:val="17"/>
                <w:color w:val="auto"/>
                <w:w w:val="92"/>
              </w:rPr>
              <w:t>Series A Preferred Convertible Stock of $0.0001 par value; one share authorized and none issued and</w:t>
            </w:r>
          </w:p>
        </w:tc>
        <w:tc>
          <w:tcPr>
            <w:tcW w:w="2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outstanding at June 30, 2021 and December 31, 2020, respectively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tcPr>
          <w:p>
            <w:pPr>
              <w:ind w:left="220"/>
              <w:spacing w:after="0" w:line="157" w:lineRule="exact"/>
              <w:rPr>
                <w:sz w:val="20"/>
                <w:szCs w:val="20"/>
                <w:color w:val="auto"/>
              </w:rPr>
            </w:pPr>
            <w:r>
              <w:rPr>
                <w:rFonts w:ascii="Arial" w:cs="Arial" w:eastAsia="Arial" w:hAnsi="Arial"/>
                <w:sz w:val="17"/>
                <w:szCs w:val="17"/>
                <w:color w:val="auto"/>
                <w:w w:val="94"/>
              </w:rPr>
              <w:t>Voting Common Stock of $0.0001 par value; 2,150,000,000 and 1,900,000,000 shares authorized at</w:t>
            </w:r>
          </w:p>
        </w:tc>
        <w:tc>
          <w:tcPr>
            <w:tcW w:w="280" w:type="dxa"/>
            <w:vAlign w:val="bottom"/>
          </w:tcPr>
          <w:p>
            <w:pPr>
              <w:spacing w:after="0"/>
              <w:rPr>
                <w:sz w:val="13"/>
                <w:szCs w:val="13"/>
                <w:color w:val="auto"/>
              </w:rPr>
            </w:pPr>
          </w:p>
        </w:tc>
        <w:tc>
          <w:tcPr>
            <w:tcW w:w="1620" w:type="dxa"/>
            <w:vAlign w:val="bottom"/>
          </w:tcPr>
          <w:p>
            <w:pPr>
              <w:jc w:val="right"/>
              <w:spacing w:after="0" w:line="157" w:lineRule="exact"/>
              <w:rPr>
                <w:sz w:val="20"/>
                <w:szCs w:val="20"/>
                <w:color w:val="auto"/>
              </w:rPr>
            </w:pPr>
            <w:r>
              <w:rPr>
                <w:rFonts w:ascii="Arial" w:cs="Arial" w:eastAsia="Arial" w:hAnsi="Arial"/>
                <w:sz w:val="17"/>
                <w:szCs w:val="17"/>
                <w:color w:val="auto"/>
              </w:rPr>
              <w:t>179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right"/>
              <w:spacing w:after="0" w:line="157"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57"/>
        </w:trPr>
        <w:tc>
          <w:tcPr>
            <w:tcW w:w="7320" w:type="dxa"/>
            <w:vAlign w:val="bottom"/>
          </w:tcPr>
          <w:p>
            <w:pPr>
              <w:ind w:left="220"/>
              <w:spacing w:after="0" w:line="157" w:lineRule="exact"/>
              <w:rPr>
                <w:sz w:val="20"/>
                <w:szCs w:val="20"/>
                <w:color w:val="auto"/>
              </w:rPr>
            </w:pPr>
            <w:r>
              <w:rPr>
                <w:rFonts w:ascii="Arial" w:cs="Arial" w:eastAsia="Arial" w:hAnsi="Arial"/>
                <w:sz w:val="17"/>
                <w:szCs w:val="17"/>
                <w:color w:val="auto"/>
                <w:w w:val="88"/>
              </w:rPr>
              <w:t>June 30, 2021 and December 31, 2020, respectively; 1,793,063,410 and 1,674,668,617 shares issued and</w:t>
            </w:r>
          </w:p>
        </w:tc>
        <w:tc>
          <w:tcPr>
            <w:tcW w:w="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outstanding at June 30, 2021 and December 31, 2020, respectively</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ind w:left="220"/>
              <w:spacing w:after="0" w:line="157" w:lineRule="exact"/>
              <w:rPr>
                <w:sz w:val="20"/>
                <w:szCs w:val="20"/>
                <w:color w:val="auto"/>
              </w:rPr>
            </w:pPr>
            <w:r>
              <w:rPr>
                <w:rFonts w:ascii="Arial" w:cs="Arial" w:eastAsia="Arial" w:hAnsi="Arial"/>
                <w:sz w:val="17"/>
                <w:szCs w:val="17"/>
                <w:color w:val="auto"/>
                <w:w w:val="88"/>
              </w:rPr>
              <w:t>Nonvoting Common Stock of $0.0001 par value; no shares authorized and none issued and outstanding at</w:t>
            </w:r>
          </w:p>
        </w:tc>
        <w:tc>
          <w:tcPr>
            <w:tcW w:w="2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June 30, 2021 and December 31, 2020, respectively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2,143,319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2,096,566</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deficit</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(1,728,506)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(1,670,724)</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440"/>
              <w:spacing w:after="0" w:line="189" w:lineRule="exact"/>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412,132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423,065</w:t>
            </w:r>
          </w:p>
        </w:tc>
        <w:tc>
          <w:tcPr>
            <w:tcW w:w="0" w:type="dxa"/>
            <w:vAlign w:val="bottom"/>
          </w:tcPr>
          <w:p>
            <w:pPr>
              <w:spacing w:after="0"/>
              <w:rPr>
                <w:sz w:val="1"/>
                <w:szCs w:val="1"/>
                <w:color w:val="auto"/>
              </w:rPr>
            </w:pPr>
          </w:p>
        </w:tc>
      </w:tr>
      <w:tr>
        <w:trPr>
          <w:trHeight w:val="202"/>
        </w:trPr>
        <w:tc>
          <w:tcPr>
            <w:tcW w:w="7320" w:type="dxa"/>
            <w:vAlign w:val="bottom"/>
          </w:tcPr>
          <w:p>
            <w:pPr>
              <w:ind w:left="640"/>
              <w:spacing w:after="0" w:line="189" w:lineRule="exact"/>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875,771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888,093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14" w:right="3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(In thousands)</w: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10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800" w:type="dxa"/>
            <w:vAlign w:val="bottom"/>
          </w:tcPr>
          <w:p>
            <w:pPr>
              <w:jc w:val="center"/>
              <w:ind w:right="22"/>
              <w:spacing w:after="0"/>
              <w:rPr>
                <w:sz w:val="20"/>
                <w:szCs w:val="20"/>
                <w:color w:val="auto"/>
              </w:rPr>
            </w:pPr>
            <w:r>
              <w:rPr>
                <w:rFonts w:ascii="Arial" w:cs="Arial" w:eastAsia="Arial" w:hAnsi="Arial"/>
                <w:sz w:val="16"/>
                <w:szCs w:val="16"/>
                <w:b w:val="1"/>
                <w:bCs w:val="1"/>
                <w:color w:val="auto"/>
                <w:w w:val="89"/>
              </w:rPr>
              <w:t>Common</w:t>
            </w: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Additional</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Accumulated Other</w:t>
            </w:r>
          </w:p>
        </w:tc>
        <w:tc>
          <w:tcPr>
            <w:tcW w:w="200" w:type="dxa"/>
            <w:vAlign w:val="bottom"/>
          </w:tcPr>
          <w:p>
            <w:pPr>
              <w:spacing w:after="0"/>
              <w:rPr>
                <w:sz w:val="16"/>
                <w:szCs w:val="16"/>
                <w:color w:val="auto"/>
              </w:rPr>
            </w:pPr>
          </w:p>
        </w:tc>
        <w:tc>
          <w:tcPr>
            <w:tcW w:w="1000" w:type="dxa"/>
            <w:vAlign w:val="bottom"/>
            <w:vMerge w:val="restart"/>
          </w:tcPr>
          <w:p>
            <w:pPr>
              <w:jc w:val="right"/>
              <w:ind w:right="221"/>
              <w:spacing w:after="0"/>
              <w:rPr>
                <w:sz w:val="20"/>
                <w:szCs w:val="20"/>
                <w:color w:val="auto"/>
              </w:rPr>
            </w:pPr>
            <w:r>
              <w:rPr>
                <w:rFonts w:ascii="Arial" w:cs="Arial" w:eastAsia="Arial" w:hAnsi="Arial"/>
                <w:sz w:val="16"/>
                <w:szCs w:val="16"/>
                <w:b w:val="1"/>
                <w:bCs w:val="1"/>
                <w:color w:val="auto"/>
              </w:rPr>
              <w:t>Retained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22"/>
              <w:spacing w:after="0" w:line="157"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3"/>
                <w:szCs w:val="13"/>
                <w:color w:val="auto"/>
              </w:rPr>
            </w:pPr>
          </w:p>
        </w:tc>
        <w:tc>
          <w:tcPr>
            <w:tcW w:w="98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3"/>
                <w:szCs w:val="13"/>
                <w:color w:val="auto"/>
              </w:rPr>
            </w:pPr>
          </w:p>
        </w:tc>
        <w:tc>
          <w:tcPr>
            <w:tcW w:w="130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6"/>
              </w:rPr>
              <w:t>Comprehensive</w:t>
            </w: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6"/>
              </w:rPr>
              <w:t>Income (Loss)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Deficit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January 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1,674,669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2,096,566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(1,670,724)</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423,065</w:t>
            </w:r>
          </w:p>
        </w:tc>
        <w:tc>
          <w:tcPr>
            <w:tcW w:w="0" w:type="dxa"/>
            <w:vAlign w:val="bottom"/>
          </w:tcPr>
          <w:p>
            <w:pPr>
              <w:spacing w:after="0"/>
              <w:rPr>
                <w:sz w:val="1"/>
                <w:szCs w:val="1"/>
                <w:color w:val="auto"/>
              </w:rPr>
            </w:pPr>
          </w:p>
        </w:tc>
      </w:tr>
      <w:tr>
        <w:trPr>
          <w:trHeight w:val="160"/>
        </w:trPr>
        <w:tc>
          <w:tcPr>
            <w:tcW w:w="4280" w:type="dxa"/>
            <w:vAlign w:val="bottom"/>
          </w:tcPr>
          <w:p>
            <w:pPr>
              <w:ind w:left="220"/>
              <w:spacing w:after="0" w:line="160" w:lineRule="exact"/>
              <w:rPr>
                <w:sz w:val="20"/>
                <w:szCs w:val="20"/>
                <w:color w:val="auto"/>
              </w:rPr>
            </w:pPr>
            <w:r>
              <w:rPr>
                <w:rFonts w:ascii="Arial" w:cs="Arial" w:eastAsia="Arial" w:hAnsi="Arial"/>
                <w:sz w:val="16"/>
                <w:szCs w:val="16"/>
                <w:color w:val="auto"/>
                <w:w w:val="98"/>
              </w:rPr>
              <w:t>Net issuance of restricted stock awards and recognition of</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1,915</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1,875</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0"/>
        </w:trPr>
        <w:tc>
          <w:tcPr>
            <w:tcW w:w="4280" w:type="dxa"/>
            <w:vAlign w:val="bottom"/>
          </w:tcPr>
          <w:p>
            <w:pPr>
              <w:ind w:left="220"/>
              <w:spacing w:after="0" w:line="160" w:lineRule="exact"/>
              <w:rPr>
                <w:sz w:val="20"/>
                <w:szCs w:val="20"/>
                <w:color w:val="auto"/>
              </w:rPr>
            </w:pPr>
            <w:r>
              <w:rPr>
                <w:rFonts w:ascii="Arial" w:cs="Arial" w:eastAsia="Arial" w:hAnsi="Arial"/>
                <w:sz w:val="16"/>
                <w:szCs w:val="16"/>
                <w:color w:val="auto"/>
                <w:w w:val="93"/>
              </w:rPr>
              <w:t>Recognition of stock-based compensation of employee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stock for employee stock option exercises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6"/>
        </w:trPr>
        <w:tc>
          <w:tcPr>
            <w:tcW w:w="4280" w:type="dxa"/>
            <w:vAlign w:val="bottom"/>
          </w:tcPr>
          <w:p>
            <w:pPr>
              <w:ind w:left="220"/>
              <w:spacing w:after="0"/>
              <w:rPr>
                <w:sz w:val="20"/>
                <w:szCs w:val="20"/>
                <w:color w:val="auto"/>
              </w:rPr>
            </w:pPr>
            <w:r>
              <w:rPr>
                <w:rFonts w:ascii="Arial" w:cs="Arial" w:eastAsia="Arial" w:hAnsi="Arial"/>
                <w:sz w:val="16"/>
                <w:szCs w:val="16"/>
                <w:color w:val="auto"/>
              </w:rPr>
              <w:t>Issuance of stock for warrant exercises</w:t>
            </w:r>
          </w:p>
        </w:tc>
        <w:tc>
          <w:tcPr>
            <w:tcW w:w="1100" w:type="dxa"/>
            <w:vAlign w:val="bottom"/>
          </w:tcPr>
          <w:p>
            <w:pPr>
              <w:jc w:val="right"/>
              <w:spacing w:after="0"/>
              <w:rPr>
                <w:sz w:val="20"/>
                <w:szCs w:val="20"/>
                <w:color w:val="auto"/>
              </w:rPr>
            </w:pPr>
            <w:r>
              <w:rPr>
                <w:rFonts w:ascii="Arial" w:cs="Arial" w:eastAsia="Arial" w:hAnsi="Arial"/>
                <w:sz w:val="16"/>
                <w:szCs w:val="16"/>
                <w:color w:val="auto"/>
              </w:rPr>
              <w:t>115,036</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43,666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43,678</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(36,333)</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(36,333)</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March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1,791,703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2,142,290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(1,707,057)</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435,710</w:t>
            </w:r>
          </w:p>
        </w:tc>
        <w:tc>
          <w:tcPr>
            <w:tcW w:w="0" w:type="dxa"/>
            <w:vAlign w:val="bottom"/>
          </w:tcPr>
          <w:p>
            <w:pPr>
              <w:spacing w:after="0"/>
              <w:rPr>
                <w:sz w:val="1"/>
                <w:szCs w:val="1"/>
                <w:color w:val="auto"/>
              </w:rPr>
            </w:pPr>
          </w:p>
        </w:tc>
      </w:tr>
      <w:tr>
        <w:trPr>
          <w:trHeight w:val="140"/>
        </w:trPr>
        <w:tc>
          <w:tcPr>
            <w:tcW w:w="4280" w:type="dxa"/>
            <w:vAlign w:val="bottom"/>
          </w:tcPr>
          <w:p>
            <w:pPr>
              <w:ind w:left="220"/>
              <w:spacing w:after="0" w:line="140" w:lineRule="exact"/>
              <w:rPr>
                <w:sz w:val="20"/>
                <w:szCs w:val="20"/>
                <w:color w:val="auto"/>
              </w:rPr>
            </w:pPr>
            <w:r>
              <w:rPr>
                <w:rFonts w:ascii="Arial" w:cs="Arial" w:eastAsia="Arial" w:hAnsi="Arial"/>
                <w:sz w:val="16"/>
                <w:szCs w:val="16"/>
                <w:color w:val="auto"/>
                <w:w w:val="90"/>
              </w:rPr>
              <w:t>Net issuance of restricted stock awards and stock for employee</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576</w:t>
            </w: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w w:val="96"/>
              </w:rPr>
              <w:t>stock options and recognition of 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0"/>
        </w:trPr>
        <w:tc>
          <w:tcPr>
            <w:tcW w:w="4280" w:type="dxa"/>
            <w:vAlign w:val="bottom"/>
          </w:tcPr>
          <w:p>
            <w:pPr>
              <w:ind w:left="220"/>
              <w:spacing w:after="0" w:line="160" w:lineRule="exact"/>
              <w:rPr>
                <w:sz w:val="20"/>
                <w:szCs w:val="20"/>
                <w:color w:val="auto"/>
              </w:rPr>
            </w:pPr>
            <w:r>
              <w:rPr>
                <w:rFonts w:ascii="Arial" w:cs="Arial" w:eastAsia="Arial" w:hAnsi="Arial"/>
                <w:sz w:val="16"/>
                <w:szCs w:val="16"/>
                <w:color w:val="auto"/>
                <w:w w:val="93"/>
              </w:rPr>
              <w:t>Net issuance of stock through employee stock purchase plan</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1,187</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406</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and recognition of 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(21,449)</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(21,449)</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1,793,063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2,143,319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(1,728,506)</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1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820" w:type="dxa"/>
            <w:vAlign w:val="bottom"/>
          </w:tcPr>
          <w:p>
            <w:pPr>
              <w:jc w:val="center"/>
              <w:ind w:right="42"/>
              <w:spacing w:after="0"/>
              <w:rPr>
                <w:sz w:val="20"/>
                <w:szCs w:val="20"/>
                <w:color w:val="auto"/>
              </w:rPr>
            </w:pPr>
            <w:r>
              <w:rPr>
                <w:rFonts w:ascii="Arial" w:cs="Arial" w:eastAsia="Arial" w:hAnsi="Arial"/>
                <w:sz w:val="16"/>
                <w:szCs w:val="16"/>
                <w:b w:val="1"/>
                <w:bCs w:val="1"/>
                <w:color w:val="auto"/>
                <w:w w:val="89"/>
              </w:rPr>
              <w:t>Common</w:t>
            </w: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Additional</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Accumulated Other</w:t>
            </w:r>
          </w:p>
        </w:tc>
        <w:tc>
          <w:tcPr>
            <w:tcW w:w="220" w:type="dxa"/>
            <w:vAlign w:val="bottom"/>
          </w:tcPr>
          <w:p>
            <w:pPr>
              <w:spacing w:after="0"/>
              <w:rPr>
                <w:sz w:val="16"/>
                <w:szCs w:val="16"/>
                <w:color w:val="auto"/>
              </w:rPr>
            </w:pPr>
          </w:p>
        </w:tc>
        <w:tc>
          <w:tcPr>
            <w:tcW w:w="10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3"/>
                <w:szCs w:val="13"/>
                <w:color w:val="auto"/>
              </w:rPr>
            </w:pPr>
          </w:p>
        </w:tc>
        <w:tc>
          <w:tcPr>
            <w:tcW w:w="98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Paid-In</w:t>
            </w:r>
          </w:p>
        </w:tc>
        <w:tc>
          <w:tcPr>
            <w:tcW w:w="14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Capital</w:t>
            </w: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85"/>
              </w:rPr>
              <w:t>Comprehensive Loss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January 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1,464,544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1,970,047</w:t>
            </w: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(1,559,401)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407,343</w:t>
            </w:r>
          </w:p>
        </w:tc>
        <w:tc>
          <w:tcPr>
            <w:tcW w:w="0" w:type="dxa"/>
            <w:vAlign w:val="bottom"/>
          </w:tcPr>
          <w:p>
            <w:pPr>
              <w:spacing w:after="0"/>
              <w:rPr>
                <w:sz w:val="1"/>
                <w:szCs w:val="1"/>
                <w:color w:val="auto"/>
              </w:rPr>
            </w:pPr>
          </w:p>
        </w:tc>
      </w:tr>
      <w:tr>
        <w:trPr>
          <w:trHeight w:val="160"/>
        </w:trPr>
        <w:tc>
          <w:tcPr>
            <w:tcW w:w="4360" w:type="dxa"/>
            <w:vAlign w:val="bottom"/>
          </w:tcPr>
          <w:p>
            <w:pPr>
              <w:ind w:left="220"/>
              <w:spacing w:after="0" w:line="160" w:lineRule="exact"/>
              <w:rPr>
                <w:sz w:val="20"/>
                <w:szCs w:val="20"/>
                <w:color w:val="auto"/>
              </w:rPr>
            </w:pPr>
            <w:r>
              <w:rPr>
                <w:rFonts w:ascii="Arial" w:cs="Arial" w:eastAsia="Arial" w:hAnsi="Arial"/>
                <w:sz w:val="16"/>
                <w:szCs w:val="16"/>
                <w:color w:val="auto"/>
                <w:w w:val="90"/>
              </w:rPr>
              <w:t>Net issuance of restricted stock awards and recognition of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3,020</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1,729</w:t>
            </w:r>
          </w:p>
        </w:tc>
        <w:tc>
          <w:tcPr>
            <w:tcW w:w="5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1,730</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rPr>
              <w:t>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60"/>
        </w:trPr>
        <w:tc>
          <w:tcPr>
            <w:tcW w:w="4360" w:type="dxa"/>
            <w:vAlign w:val="bottom"/>
          </w:tcPr>
          <w:p>
            <w:pPr>
              <w:ind w:left="220"/>
              <w:spacing w:after="0" w:line="160" w:lineRule="exact"/>
              <w:rPr>
                <w:sz w:val="20"/>
                <w:szCs w:val="20"/>
                <w:color w:val="auto"/>
              </w:rPr>
            </w:pPr>
            <w:r>
              <w:rPr>
                <w:rFonts w:ascii="Arial" w:cs="Arial" w:eastAsia="Arial" w:hAnsi="Arial"/>
                <w:sz w:val="16"/>
                <w:szCs w:val="16"/>
                <w:color w:val="auto"/>
                <w:w w:val="95"/>
              </w:rPr>
              <w:t>Recognition of stock-based compensation of employee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5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6"/>
              </w:rPr>
              <w:t>Common stock issued in connection with conversion of Loan</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200,140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120,441</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120,461</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Agreement with Thermo</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Impact of adoption of Credit Loss Standard</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(38,223)</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(38,223)</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March 31,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1,667,704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2,092,410</w:t>
            </w: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(1,599,308)</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495,123</w:t>
            </w:r>
          </w:p>
        </w:tc>
        <w:tc>
          <w:tcPr>
            <w:tcW w:w="0" w:type="dxa"/>
            <w:vAlign w:val="bottom"/>
          </w:tcPr>
          <w:p>
            <w:pPr>
              <w:spacing w:after="0"/>
              <w:rPr>
                <w:sz w:val="1"/>
                <w:szCs w:val="1"/>
                <w:color w:val="auto"/>
              </w:rPr>
            </w:pPr>
          </w:p>
        </w:tc>
      </w:tr>
      <w:tr>
        <w:trPr>
          <w:trHeight w:val="140"/>
        </w:trPr>
        <w:tc>
          <w:tcPr>
            <w:tcW w:w="4360" w:type="dxa"/>
            <w:vAlign w:val="bottom"/>
          </w:tcPr>
          <w:p>
            <w:pPr>
              <w:ind w:left="220"/>
              <w:spacing w:after="0" w:line="140" w:lineRule="exact"/>
              <w:rPr>
                <w:sz w:val="20"/>
                <w:szCs w:val="20"/>
                <w:color w:val="auto"/>
              </w:rPr>
            </w:pPr>
            <w:r>
              <w:rPr>
                <w:rFonts w:ascii="Arial" w:cs="Arial" w:eastAsia="Arial" w:hAnsi="Arial"/>
                <w:sz w:val="16"/>
                <w:szCs w:val="16"/>
                <w:color w:val="auto"/>
                <w:w w:val="90"/>
              </w:rPr>
              <w:t>Net issuance of restricted stock awards and recognition of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1,354</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922</w:t>
            </w:r>
          </w:p>
        </w:tc>
        <w:tc>
          <w:tcPr>
            <w:tcW w:w="5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rPr>
              <w:t>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0"/>
        </w:trPr>
        <w:tc>
          <w:tcPr>
            <w:tcW w:w="4360" w:type="dxa"/>
            <w:vAlign w:val="bottom"/>
          </w:tcPr>
          <w:p>
            <w:pPr>
              <w:ind w:left="220"/>
              <w:spacing w:after="0" w:line="160" w:lineRule="exact"/>
              <w:rPr>
                <w:sz w:val="20"/>
                <w:szCs w:val="20"/>
                <w:color w:val="auto"/>
              </w:rPr>
            </w:pPr>
            <w:r>
              <w:rPr>
                <w:rFonts w:ascii="Arial" w:cs="Arial" w:eastAsia="Arial" w:hAnsi="Arial"/>
                <w:sz w:val="16"/>
                <w:szCs w:val="16"/>
                <w:color w:val="auto"/>
                <w:w w:val="89"/>
              </w:rPr>
              <w:t>Net issuance of stock through employee stock purchase plan and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1,188</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482</w:t>
            </w:r>
          </w:p>
        </w:tc>
        <w:tc>
          <w:tcPr>
            <w:tcW w:w="5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rPr>
              <w:t>recognition of 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6"/>
              </w:rPr>
              <w:t>Common stock issued in connection with conversion of 2013</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8.00% Notes</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(24,736)</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(24,736)</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rPr>
                <w:sz w:val="20"/>
                <w:szCs w:val="20"/>
                <w:color w:val="auto"/>
              </w:rPr>
            </w:pPr>
            <w:r>
              <w:rPr>
                <w:rFonts w:ascii="Arial" w:cs="Arial" w:eastAsia="Arial" w:hAnsi="Arial"/>
                <w:sz w:val="16"/>
                <w:szCs w:val="16"/>
                <w:color w:val="auto"/>
              </w:rPr>
              <w:t>Balances – June 30,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1,670,290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2,093,877</w:t>
            </w: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(1,624,044)</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470,486</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6"/>
          <w:szCs w:val="16"/>
          <w:b w:val="1"/>
          <w:bCs w:val="1"/>
          <w:color w:val="auto"/>
        </w:rPr>
        <w:t>GLOBALSTAR, INC.</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9019"/>
          </w:cols>
          <w:pgMar w:left="1440" w:top="92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7"/>
                <w:szCs w:val="17"/>
                <w:b w:val="1"/>
                <w:bCs w:val="1"/>
                <w:color w:val="auto"/>
              </w:rPr>
              <w:t>Six Months Ended</w:t>
            </w:r>
          </w:p>
        </w:tc>
      </w:tr>
      <w:tr>
        <w:trPr>
          <w:trHeight w:val="152"/>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line="152" w:lineRule="exact"/>
              <w:rPr>
                <w:sz w:val="20"/>
                <w:szCs w:val="20"/>
                <w:color w:val="auto"/>
              </w:rPr>
            </w:pPr>
            <w:r>
              <w:rPr>
                <w:rFonts w:ascii="Arial" w:cs="Arial" w:eastAsia="Arial" w:hAnsi="Arial"/>
                <w:sz w:val="17"/>
                <w:szCs w:val="17"/>
                <w:b w:val="1"/>
                <w:bCs w:val="1"/>
                <w:color w:val="auto"/>
              </w:rPr>
              <w:t>June 30,</w:t>
            </w:r>
          </w:p>
        </w:tc>
        <w:tc>
          <w:tcPr>
            <w:tcW w:w="300" w:type="dxa"/>
            <w:vAlign w:val="bottom"/>
          </w:tcPr>
          <w:p>
            <w:pPr>
              <w:spacing w:after="0"/>
              <w:rPr>
                <w:sz w:val="13"/>
                <w:szCs w:val="13"/>
                <w:color w:val="auto"/>
              </w:rPr>
            </w:pPr>
          </w:p>
        </w:tc>
        <w:tc>
          <w:tcPr>
            <w:tcW w:w="1300" w:type="dxa"/>
            <w:vAlign w:val="bottom"/>
          </w:tcPr>
          <w:p>
            <w:pPr>
              <w:jc w:val="right"/>
              <w:ind w:right="437"/>
              <w:spacing w:after="0" w:line="152" w:lineRule="exact"/>
              <w:rPr>
                <w:sz w:val="20"/>
                <w:szCs w:val="20"/>
                <w:color w:val="auto"/>
              </w:rPr>
            </w:pPr>
            <w:r>
              <w:rPr>
                <w:rFonts w:ascii="Arial" w:cs="Arial" w:eastAsia="Arial" w:hAnsi="Arial"/>
                <w:sz w:val="17"/>
                <w:szCs w:val="17"/>
                <w:b w:val="1"/>
                <w:bCs w:val="1"/>
                <w:color w:val="auto"/>
              </w:rPr>
              <w:t>June 30,</w:t>
            </w:r>
          </w:p>
        </w:tc>
      </w:tr>
      <w:tr>
        <w:trPr>
          <w:trHeight w:val="209"/>
        </w:trPr>
        <w:tc>
          <w:tcPr>
            <w:tcW w:w="7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2020</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flows provided by operating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(62,959)</w:t>
            </w:r>
          </w:p>
        </w:tc>
      </w:tr>
      <w:tr>
        <w:trPr>
          <w:trHeight w:val="202"/>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Depreciation, amortization and accretion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47,720</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 in fair value of derivatives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Stock-based compensation expense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2,508</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Amortization of deferred financing costs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3,822</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Provision for credit losses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1,419</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Reduction in value of inventory</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Noncash interest and accretion expense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16,029</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Gain on extinguishment of debt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Unrealized foreign currency (gain)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7,619</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Noncash reversal of tariff accrual</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Other,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9"/>
        </w:trPr>
        <w:tc>
          <w:tcPr>
            <w:tcW w:w="7920" w:type="dxa"/>
            <w:vAlign w:val="bottom"/>
          </w:tcPr>
          <w:p>
            <w:pPr>
              <w:ind w:left="62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(1,445)</w:t>
            </w: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Inventory</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r>
      <w:tr>
        <w:trPr>
          <w:trHeight w:val="209"/>
        </w:trPr>
        <w:tc>
          <w:tcPr>
            <w:tcW w:w="7920" w:type="dxa"/>
            <w:vAlign w:val="bottom"/>
          </w:tcPr>
          <w:p>
            <w:pPr>
              <w:ind w:left="62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2,541</w:t>
            </w: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Other 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w:t>
            </w:r>
          </w:p>
        </w:tc>
      </w:tr>
      <w:tr>
        <w:trPr>
          <w:trHeight w:val="209"/>
        </w:trPr>
        <w:tc>
          <w:tcPr>
            <w:tcW w:w="7920" w:type="dxa"/>
            <w:vAlign w:val="bottom"/>
          </w:tcPr>
          <w:p>
            <w:pPr>
              <w:ind w:left="62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(3,844)</w:t>
            </w: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Payables to affiliates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9"/>
        </w:trPr>
        <w:tc>
          <w:tcPr>
            <w:tcW w:w="7920" w:type="dxa"/>
            <w:vAlign w:val="bottom"/>
          </w:tcPr>
          <w:p>
            <w:pPr>
              <w:ind w:left="620"/>
              <w:spacing w:after="0"/>
              <w:rPr>
                <w:sz w:val="20"/>
                <w:szCs w:val="20"/>
                <w:color w:val="auto"/>
              </w:rPr>
            </w:pPr>
            <w:r>
              <w:rPr>
                <w:rFonts w:ascii="Arial" w:cs="Arial" w:eastAsia="Arial" w:hAnsi="Arial"/>
                <w:sz w:val="17"/>
                <w:szCs w:val="17"/>
                <w:color w:val="auto"/>
              </w:rPr>
              <w:t>Other non-current liabilities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(3,032)</w:t>
            </w:r>
          </w:p>
        </w:tc>
      </w:tr>
      <w:tr>
        <w:trPr>
          <w:trHeight w:val="202"/>
        </w:trPr>
        <w:tc>
          <w:tcPr>
            <w:tcW w:w="792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8,859</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flows used in investing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Network upgrades (including capitalized interest)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(8,832)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(1,600)</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 additions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(2,237)</w:t>
            </w: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Sale of property and equipment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of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w:t>
            </w:r>
          </w:p>
        </w:tc>
      </w:tr>
      <w:tr>
        <w:trPr>
          <w:trHeight w:val="202"/>
        </w:trPr>
        <w:tc>
          <w:tcPr>
            <w:tcW w:w="792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(4,879)</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flows (used in ) provided by financing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Principal payments of the First Lien Facility Agreement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(89,164)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(276)</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exercise of warrants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Payments for debt and equity issuance costs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(1,074)</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PPP Loan</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4,973</w:t>
            </w:r>
          </w:p>
        </w:tc>
      </w:tr>
      <w:tr>
        <w:trPr>
          <w:trHeight w:val="209"/>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Proceeds from issuance of common stock and exercise of options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r>
      <w:tr>
        <w:trPr>
          <w:trHeight w:val="202"/>
        </w:trPr>
        <w:tc>
          <w:tcPr>
            <w:tcW w:w="79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3,969</w:t>
            </w:r>
          </w:p>
        </w:tc>
      </w:tr>
      <w:tr>
        <w:trPr>
          <w:trHeight w:val="202"/>
        </w:trPr>
        <w:tc>
          <w:tcPr>
            <w:tcW w:w="7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7,801</w:t>
            </w:r>
          </w:p>
        </w:tc>
      </w:tr>
      <w:tr>
        <w:trPr>
          <w:trHeight w:val="209"/>
        </w:trPr>
        <w:tc>
          <w:tcPr>
            <w:tcW w:w="7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59,128</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360" w:type="dxa"/>
            <w:vAlign w:val="bottom"/>
            <w:tcBorders>
              <w:bottom w:val="single" w:sz="8" w:color="auto"/>
            </w:tcBorders>
          </w:tcPr>
          <w:p>
            <w:pPr>
              <w:spacing w:after="0"/>
              <w:rPr>
                <w:sz w:val="18"/>
                <w:szCs w:val="18"/>
                <w:color w:val="auto"/>
              </w:rPr>
            </w:pPr>
          </w:p>
        </w:tc>
      </w:tr>
      <w:tr>
        <w:trPr>
          <w:trHeight w:val="152"/>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line="152" w:lineRule="exact"/>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3"/>
                <w:szCs w:val="13"/>
                <w:color w:val="auto"/>
              </w:rPr>
            </w:pPr>
          </w:p>
        </w:tc>
        <w:tc>
          <w:tcPr>
            <w:tcW w:w="1360" w:type="dxa"/>
            <w:vAlign w:val="bottom"/>
          </w:tcPr>
          <w:p>
            <w:pPr>
              <w:jc w:val="right"/>
              <w:ind w:right="237"/>
              <w:spacing w:after="0" w:line="152" w:lineRule="exact"/>
              <w:rPr>
                <w:sz w:val="20"/>
                <w:szCs w:val="20"/>
                <w:color w:val="auto"/>
              </w:rPr>
            </w:pPr>
            <w:r>
              <w:rPr>
                <w:rFonts w:ascii="Arial" w:cs="Arial" w:eastAsia="Arial" w:hAnsi="Arial"/>
                <w:sz w:val="17"/>
                <w:szCs w:val="17"/>
                <w:b w:val="1"/>
                <w:bCs w:val="1"/>
                <w:color w:val="auto"/>
                <w:w w:val="92"/>
              </w:rPr>
              <w:t>December 31,</w:t>
            </w:r>
          </w:p>
        </w:tc>
      </w:tr>
      <w:tr>
        <w:trPr>
          <w:trHeight w:val="209"/>
        </w:trPr>
        <w:tc>
          <w:tcPr>
            <w:tcW w:w="7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2020</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Reconciliation of cash, cash equivalents and restricted cash</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09"/>
        </w:trPr>
        <w:tc>
          <w:tcPr>
            <w:tcW w:w="79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15,724</w:t>
            </w:r>
          </w:p>
        </w:tc>
        <w:tc>
          <w:tcPr>
            <w:tcW w:w="10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13,330</w:t>
            </w:r>
          </w:p>
        </w:tc>
      </w:tr>
      <w:tr>
        <w:trPr>
          <w:trHeight w:val="209"/>
        </w:trPr>
        <w:tc>
          <w:tcPr>
            <w:tcW w:w="7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Restricted cash (See Note 5 for further discussion on restrictions)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54,693</w:t>
            </w:r>
          </w:p>
        </w:tc>
      </w:tr>
      <w:tr>
        <w:trPr>
          <w:trHeight w:val="202"/>
        </w:trPr>
        <w:tc>
          <w:tcPr>
            <w:tcW w:w="7920" w:type="dxa"/>
            <w:vAlign w:val="bottom"/>
          </w:tcPr>
          <w:p>
            <w:pPr>
              <w:spacing w:after="0"/>
              <w:rPr>
                <w:sz w:val="20"/>
                <w:szCs w:val="20"/>
                <w:color w:val="auto"/>
              </w:rPr>
            </w:pPr>
            <w:r>
              <w:rPr>
                <w:rFonts w:ascii="Arial" w:cs="Arial" w:eastAsia="Arial" w:hAnsi="Arial"/>
                <w:sz w:val="17"/>
                <w:szCs w:val="17"/>
                <w:color w:val="auto"/>
              </w:rPr>
              <w:t>Total cash, cash equivalents and restricted cash shown in the statement of cash flows</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66,708</w:t>
            </w:r>
          </w:p>
        </w:tc>
        <w:tc>
          <w:tcPr>
            <w:tcW w:w="100" w:type="dxa"/>
            <w:vAlign w:val="bottom"/>
          </w:tcPr>
          <w:p>
            <w:pPr>
              <w:spacing w:after="0"/>
              <w:rPr>
                <w:sz w:val="17"/>
                <w:szCs w:val="17"/>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68,023</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8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7"/>
                <w:szCs w:val="17"/>
                <w:b w:val="1"/>
                <w:bCs w:val="1"/>
                <w:color w:val="auto"/>
              </w:rPr>
              <w:t>Six Months Ended</w:t>
            </w:r>
          </w:p>
        </w:tc>
      </w:tr>
      <w:tr>
        <w:trPr>
          <w:trHeight w:val="152"/>
        </w:trPr>
        <w:tc>
          <w:tcPr>
            <w:tcW w:w="7920" w:type="dxa"/>
            <w:vAlign w:val="bottom"/>
          </w:tcPr>
          <w:p>
            <w:pPr>
              <w:spacing w:after="0"/>
              <w:rPr>
                <w:sz w:val="13"/>
                <w:szCs w:val="13"/>
                <w:color w:val="auto"/>
              </w:rPr>
            </w:pPr>
          </w:p>
        </w:tc>
        <w:tc>
          <w:tcPr>
            <w:tcW w:w="1120" w:type="dxa"/>
            <w:vAlign w:val="bottom"/>
          </w:tcPr>
          <w:p>
            <w:pPr>
              <w:jc w:val="right"/>
              <w:spacing w:after="0" w:line="152" w:lineRule="exact"/>
              <w:rPr>
                <w:sz w:val="20"/>
                <w:szCs w:val="20"/>
                <w:color w:val="auto"/>
              </w:rPr>
            </w:pPr>
            <w:r>
              <w:rPr>
                <w:rFonts w:ascii="Arial" w:cs="Arial" w:eastAsia="Arial" w:hAnsi="Arial"/>
                <w:sz w:val="17"/>
                <w:szCs w:val="17"/>
                <w:b w:val="1"/>
                <w:bCs w:val="1"/>
                <w:color w:val="auto"/>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7"/>
              <w:spacing w:after="0" w:line="152" w:lineRule="exact"/>
              <w:rPr>
                <w:sz w:val="20"/>
                <w:szCs w:val="20"/>
                <w:color w:val="auto"/>
              </w:rPr>
            </w:pPr>
            <w:r>
              <w:rPr>
                <w:rFonts w:ascii="Arial" w:cs="Arial" w:eastAsia="Arial" w:hAnsi="Arial"/>
                <w:sz w:val="17"/>
                <w:szCs w:val="17"/>
                <w:b w:val="1"/>
                <w:bCs w:val="1"/>
                <w:color w:val="auto"/>
              </w:rPr>
              <w:t>June 30,</w:t>
            </w:r>
          </w:p>
        </w:tc>
      </w:tr>
      <w:tr>
        <w:trPr>
          <w:trHeight w:val="209"/>
        </w:trPr>
        <w:tc>
          <w:tcPr>
            <w:tcW w:w="79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2020</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 of cash flow information:</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Cash paid for interest</w:t>
            </w:r>
          </w:p>
        </w:tc>
        <w:tc>
          <w:tcPr>
            <w:tcW w:w="1120" w:type="dxa"/>
            <w:vAlign w:val="bottom"/>
          </w:tcPr>
          <w:p>
            <w:pPr>
              <w:jc w:val="right"/>
              <w:ind w:right="937"/>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3,977</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5,971</w:t>
            </w:r>
          </w:p>
        </w:tc>
      </w:tr>
      <w:tr>
        <w:trPr>
          <w:trHeight w:val="248"/>
        </w:trPr>
        <w:tc>
          <w:tcPr>
            <w:tcW w:w="79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7"/>
                <w:szCs w:val="17"/>
                <w:color w:val="auto"/>
              </w:rPr>
              <w:t>Supplemental disclosure of non-cash financing and investing activities: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Increase in capitalized accrued interest for network upgrades</w:t>
            </w: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Capitalized accretion of debt discount and amortization of prepaid financing costs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223</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Forgiveness of principal and interest of Paycheck Protection Program loan</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5,030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Principal amount of Loan Agreement with Thermo converted into common stock</w:t>
            </w:r>
          </w:p>
        </w:tc>
        <w:tc>
          <w:tcPr>
            <w:tcW w:w="1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137,366</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Reduction of debt discount and issuance costs due to conversion of Loan Agreement with Thermo</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17,963</w:t>
            </w: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Fair value of common stock issued upon conversion of Loan Agreement with Thermo</w:t>
            </w:r>
          </w:p>
        </w:tc>
        <w:tc>
          <w:tcPr>
            <w:tcW w:w="1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84,059</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Reduction in derivative liability due to conversion of Loan Agreement with Thermo</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w:t>
            </w:r>
          </w:p>
        </w:tc>
      </w:tr>
    </w:tbl>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ectPr>
          <w:pgSz w:w="11900" w:h="16838" w:orient="portrait"/>
          <w:cols w:equalWidth="0" w:num="1">
            <w:col w:w="11200"/>
          </w:cols>
          <w:pgMar w:left="360" w:top="157" w:right="339" w:bottom="60" w:gutter="0" w:footer="0" w:header="0"/>
        </w:sectPr>
      </w:pPr>
    </w:p>
    <w:bookmarkStart w:id="8" w:name="page9"/>
    <w:bookmarkEnd w:id="8"/>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92075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INTERIM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Globalstar, Inc. (“Globalstar” or the “Company”) provides Mobile Satellite Services (“MSS”) including voice and data communications services through its global satellite network. The Company’s only reportable segment is its MSS business. Thermo Companies, through commonly controlled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75"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not misleading. These financial statements and notes should be read in conjunction with the consolidated financial statements and notes thereto included in the Globalstar Annual Report on Form 10-K for the year ended December 31, 2020, as filed with the SEC on March 4, 2021 (the “2020 Annual Report”).</w:t>
      </w:r>
    </w:p>
    <w:p>
      <w:pPr>
        <w:spacing w:after="0" w:line="193"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The Company has made certain reclassifications to prior period condensed consolidated financial statements to conform to current period presentation.</w:t>
      </w:r>
    </w:p>
    <w:p>
      <w:pPr>
        <w:spacing w:after="0" w:line="172"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These unaudited interim condensed consolidated financial statements include the accounts of Globalstar and all its subsidiaries. All significant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condensed consolidated balance sheets, condensed consolidated statements of stockholders' equity and condensed consolidated statements of cash flows for the periods presented. The results of operations for the three and six months ended June 30, 2021 are not necessarily indicative of the results that may be expected for the full year or any future period.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COVID-19-Risks and Uncertainties</w:t>
      </w:r>
    </w:p>
    <w:p>
      <w:pPr>
        <w:spacing w:after="0" w:line="249"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There are a number of uncertainties that could impact the Company's future results of operations, including the effectiveness of COVID-19 mitigation measures; the duration of the pandemic; global economic conditions; changes to the Company's operations; changes in consumer confidence, behaviors and spending; work from home trends; and the sustainability of supply chains. The Company has pursued various opportunities to mitigate the risks and uncertainties resulting from COVID-19, including, but not limited to, the receipt of a $5.0 million loan under the Paycheck Protection Program ("PPP") and the evaluation of its eligibility for the Employee Retention Tax Credit program and relief under the American Rescue Plan Act. In June 2021, the Small Business Administration ("SBA") fully approved the Company's request for forgiveness of all amounts outstanding, including accrued interest, under its PPP loan.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49"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No. 2020-06: </w:t>
      </w:r>
      <w:r>
        <w:rPr>
          <w:rFonts w:ascii="Arial" w:cs="Arial" w:eastAsia="Arial" w:hAnsi="Arial"/>
          <w:sz w:val="16"/>
          <w:szCs w:val="16"/>
          <w:i w:val="1"/>
          <w:iCs w:val="1"/>
          <w:color w:val="auto"/>
        </w:rPr>
        <w:t>Debt—Debt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 (Subtopic 470-20) and Derivatives and Hedging—Contracts in Entity’s Own Equity (Subtopic 815-40): Accounting for Convertible Instruments and Contracts in an Entity’s Own Equity</w:t>
      </w:r>
      <w:r>
        <w:rPr>
          <w:rFonts w:ascii="Arial" w:cs="Arial" w:eastAsia="Arial" w:hAnsi="Arial"/>
          <w:sz w:val="16"/>
          <w:szCs w:val="16"/>
          <w:color w:val="auto"/>
        </w:rPr>
        <w:t>. Among other things, ASU No. 2020-06 simplifies the guidance in ASC 470 by eliminating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two of the three models that require separating embedded conversion features from convertible instruments. This ASU is effective for public entities for annual and interim periods beginning after December 15, 2021. Early adoption is permitted as of the beginning of any interim or annual reporting period, but no earlier than fiscal years beginning after December 15, 2020, including interim periods within those fiscal years. For existing debt instruments, the Company does not expect this standard will have a material impact to its condensed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49" w:lineRule="exact"/>
        <w:rPr>
          <w:sz w:val="20"/>
          <w:szCs w:val="20"/>
          <w:color w:val="auto"/>
        </w:rPr>
      </w:pPr>
    </w:p>
    <w:p>
      <w:pPr>
        <w:jc w:val="both"/>
        <w:ind w:firstLine="235"/>
        <w:spacing w:after="0" w:line="247"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 - Retirement Benefits - Defined Benefit Plans - General Disclosure Framework -</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Defined Benefit Plans</w:t>
      </w:r>
      <w:r>
        <w:rPr>
          <w:rFonts w:ascii="Arial" w:cs="Arial" w:eastAsia="Arial" w:hAnsi="Arial"/>
          <w:sz w:val="17"/>
          <w:szCs w:val="17"/>
          <w:color w:val="auto"/>
        </w:rPr>
        <w:t>. As part of the FASB's disclosure framework project, it has changed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defined pension and other post-retirement benefit plans as outlined in ASU No. 2018-14. This ASU, which became effective for public entities for annual periods beginning after December 15, 2020, adds certain narrative disclosures and removes other disclosures related to defined benefit plans. The Company adopted this standard when it became effective on January 1, 2021. The adoption of this standard did not have a material effect on the Company's disclosures.</w:t>
      </w:r>
    </w:p>
    <w:p>
      <w:pPr>
        <w:spacing w:after="0" w:line="204" w:lineRule="exact"/>
        <w:rPr>
          <w:sz w:val="20"/>
          <w:szCs w:val="20"/>
          <w:color w:val="auto"/>
        </w:rPr>
      </w:pPr>
    </w:p>
    <w:p>
      <w:pPr>
        <w:jc w:val="both"/>
        <w:ind w:firstLine="235"/>
        <w:spacing w:after="0" w:line="27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No. 2019-12 amends the accounting treatment for income taxes by simplifying and clarifying certain aspects of the existing guidance. This ASU became effective for public entities for annual and interim periods beginning after December 15, 2020. The Company adopted this standard when it became effective on January 1, 2021. The adoption of this standard did not have a material effect on the Company's financial statements or related disclosures.</w:t>
      </w:r>
    </w:p>
    <w:p>
      <w:pPr>
        <w:spacing w:after="0" w:line="182" w:lineRule="exact"/>
        <w:rPr>
          <w:sz w:val="20"/>
          <w:szCs w:val="20"/>
          <w:color w:val="auto"/>
        </w:rPr>
      </w:pPr>
    </w:p>
    <w:p>
      <w:pPr>
        <w:ind w:right="9240" w:firstLine="5"/>
        <w:spacing w:after="0" w:line="622" w:lineRule="auto"/>
        <w:tabs>
          <w:tab w:leader="none" w:pos="17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revenue disaggregated by type of product and service (amounts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34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6"/>
                <w:szCs w:val="16"/>
                <w:color w:val="auto"/>
              </w:rPr>
              <w:t>Three Months Ended</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4"/>
          </w:tcPr>
          <w:p>
            <w:pPr>
              <w:jc w:val="right"/>
              <w:ind w:right="1302"/>
              <w:spacing w:after="0"/>
              <w:rPr>
                <w:sz w:val="20"/>
                <w:szCs w:val="20"/>
                <w:color w:val="auto"/>
              </w:rPr>
            </w:pPr>
            <w:r>
              <w:rPr>
                <w:rFonts w:ascii="Arial" w:cs="Arial" w:eastAsia="Arial" w:hAnsi="Arial"/>
                <w:sz w:val="16"/>
                <w:szCs w:val="16"/>
                <w:color w:val="auto"/>
              </w:rPr>
              <w:t>Six Months Ended</w:t>
            </w:r>
          </w:p>
        </w:tc>
      </w:tr>
      <w:tr>
        <w:trPr>
          <w:trHeight w:val="202"/>
        </w:trPr>
        <w:tc>
          <w:tcPr>
            <w:tcW w:w="3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June 30, 2021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June 30, 2020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June 30, 2021</w:t>
            </w:r>
          </w:p>
        </w:tc>
        <w:tc>
          <w:tcPr>
            <w:tcW w:w="320" w:type="dxa"/>
            <w:vAlign w:val="bottom"/>
          </w:tcPr>
          <w:p>
            <w:pPr>
              <w:spacing w:after="0"/>
              <w:rPr>
                <w:sz w:val="17"/>
                <w:szCs w:val="17"/>
                <w:color w:val="auto"/>
              </w:rPr>
            </w:pPr>
          </w:p>
        </w:tc>
        <w:tc>
          <w:tcPr>
            <w:tcW w:w="1600" w:type="dxa"/>
            <w:vAlign w:val="bottom"/>
          </w:tcPr>
          <w:p>
            <w:pPr>
              <w:jc w:val="right"/>
              <w:ind w:right="442"/>
              <w:spacing w:after="0"/>
              <w:rPr>
                <w:sz w:val="20"/>
                <w:szCs w:val="20"/>
                <w:color w:val="auto"/>
              </w:rPr>
            </w:pPr>
            <w:r>
              <w:rPr>
                <w:rFonts w:ascii="Arial" w:cs="Arial" w:eastAsia="Arial" w:hAnsi="Arial"/>
                <w:sz w:val="16"/>
                <w:szCs w:val="16"/>
                <w:color w:val="auto"/>
              </w:rPr>
              <w:t>June 30, 2020</w:t>
            </w:r>
          </w:p>
        </w:tc>
      </w:tr>
      <w:tr>
        <w:trPr>
          <w:trHeight w:val="192"/>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Duplex</w:t>
            </w: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7"/>
                <w:szCs w:val="17"/>
                <w:color w:val="auto"/>
              </w:rPr>
            </w:pP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8,556</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13,898</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16,219</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SPOT</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5"/>
              </w:rPr>
              <w:t>11,139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11,579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23,702</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Commercial IoT</w:t>
            </w: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4,504</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8,608</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Engineering and other</w:t>
            </w:r>
          </w:p>
        </w:tc>
        <w:tc>
          <w:tcPr>
            <w:tcW w:w="1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2,731</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7,496</w:t>
            </w:r>
          </w:p>
        </w:tc>
      </w:tr>
      <w:tr>
        <w:trPr>
          <w:trHeight w:val="199"/>
        </w:trPr>
        <w:tc>
          <w:tcPr>
            <w:tcW w:w="3280" w:type="dxa"/>
            <w:vAlign w:val="bottom"/>
          </w:tcPr>
          <w:p>
            <w:pPr>
              <w:ind w:left="220"/>
              <w:spacing w:after="0"/>
              <w:rPr>
                <w:sz w:val="20"/>
                <w:szCs w:val="20"/>
                <w:color w:val="auto"/>
              </w:rPr>
            </w:pPr>
            <w:r>
              <w:rPr>
                <w:rFonts w:ascii="Arial" w:cs="Arial" w:eastAsia="Arial" w:hAnsi="Arial"/>
                <w:sz w:val="16"/>
                <w:szCs w:val="16"/>
                <w:color w:val="auto"/>
              </w:rPr>
              <w:t>Total service revenue</w:t>
            </w: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w w:val="85"/>
              </w:rPr>
              <w:t>25,617</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5"/>
              </w:rPr>
              <w:t>27,090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48,703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56,025</w:t>
            </w:r>
          </w:p>
        </w:tc>
      </w:tr>
      <w:tr>
        <w:trPr>
          <w:trHeight w:val="108"/>
        </w:trPr>
        <w:tc>
          <w:tcPr>
            <w:tcW w:w="32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r>
      <w:tr>
        <w:trPr>
          <w:trHeight w:val="206"/>
        </w:trPr>
        <w:tc>
          <w:tcPr>
            <w:tcW w:w="3280" w:type="dxa"/>
            <w:vAlign w:val="bottom"/>
          </w:tcPr>
          <w:p>
            <w:pPr>
              <w:ind w:left="20"/>
              <w:spacing w:after="0"/>
              <w:rPr>
                <w:sz w:val="20"/>
                <w:szCs w:val="20"/>
                <w:color w:val="auto"/>
              </w:rPr>
            </w:pPr>
            <w:r>
              <w:rPr>
                <w:rFonts w:ascii="Arial" w:cs="Arial" w:eastAsia="Arial" w:hAnsi="Arial"/>
                <w:sz w:val="16"/>
                <w:szCs w:val="16"/>
                <w:color w:val="auto"/>
              </w:rPr>
              <w:t>Subscriber equipment sales:</w:t>
            </w: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Duplex</w:t>
            </w:r>
          </w:p>
        </w:tc>
        <w:tc>
          <w:tcPr>
            <w:tcW w:w="1400" w:type="dxa"/>
            <w:vAlign w:val="bottom"/>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SPOT</w:t>
            </w: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3,102</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IoT</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r>
      <w:tr>
        <w:trPr>
          <w:trHeight w:val="206"/>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05"/>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subscriber equipment sales</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4,662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6,533</w:t>
            </w:r>
          </w:p>
        </w:tc>
      </w:tr>
      <w:tr>
        <w:trPr>
          <w:trHeight w:val="105"/>
        </w:trPr>
        <w:tc>
          <w:tcPr>
            <w:tcW w:w="3280" w:type="dxa"/>
            <w:vAlign w:val="bottom"/>
            <w:tcBorders>
              <w:bottom w:val="single" w:sz="8" w:color="CCEEFF"/>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22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0" w:type="dxa"/>
            <w:vAlign w:val="bottom"/>
            <w:tcBorders>
              <w:bottom w:val="single" w:sz="8" w:color="auto"/>
            </w:tcBorders>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5"/>
              </w:rPr>
              <w:t>30,279</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30,364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62,558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 w:name="page12"/>
    <w:bookmarkEnd w:id="11"/>
    <w:p>
      <w:pPr>
        <w:jc w:val="both"/>
        <w:ind w:firstLine="235"/>
        <w:spacing w:after="0" w:line="272" w:lineRule="auto"/>
        <w:rPr>
          <w:sz w:val="20"/>
          <w:szCs w:val="20"/>
          <w:color w:val="auto"/>
        </w:rPr>
      </w:pPr>
      <w:r>
        <w:rPr>
          <w:rFonts w:ascii="Arial" w:cs="Arial" w:eastAsia="Arial" w:hAnsi="Arial"/>
          <w:sz w:val="17"/>
          <w:szCs w:val="17"/>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34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6"/>
                <w:szCs w:val="16"/>
                <w:color w:val="auto"/>
              </w:rPr>
              <w:t>Three Months Ended</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4"/>
          </w:tcPr>
          <w:p>
            <w:pPr>
              <w:jc w:val="right"/>
              <w:ind w:right="1302"/>
              <w:spacing w:after="0"/>
              <w:rPr>
                <w:sz w:val="20"/>
                <w:szCs w:val="20"/>
                <w:color w:val="auto"/>
              </w:rPr>
            </w:pPr>
            <w:r>
              <w:rPr>
                <w:rFonts w:ascii="Arial" w:cs="Arial" w:eastAsia="Arial" w:hAnsi="Arial"/>
                <w:sz w:val="16"/>
                <w:szCs w:val="16"/>
                <w:color w:val="auto"/>
              </w:rPr>
              <w:t>Six Months Ended</w:t>
            </w:r>
          </w:p>
        </w:tc>
      </w:tr>
      <w:tr>
        <w:trPr>
          <w:trHeight w:val="202"/>
        </w:trPr>
        <w:tc>
          <w:tcPr>
            <w:tcW w:w="3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June 30, 2021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June 30, 2020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June 30, 2021</w:t>
            </w:r>
          </w:p>
        </w:tc>
        <w:tc>
          <w:tcPr>
            <w:tcW w:w="320" w:type="dxa"/>
            <w:vAlign w:val="bottom"/>
          </w:tcPr>
          <w:p>
            <w:pPr>
              <w:spacing w:after="0"/>
              <w:rPr>
                <w:sz w:val="17"/>
                <w:szCs w:val="17"/>
                <w:color w:val="auto"/>
              </w:rPr>
            </w:pPr>
          </w:p>
        </w:tc>
        <w:tc>
          <w:tcPr>
            <w:tcW w:w="1600" w:type="dxa"/>
            <w:vAlign w:val="bottom"/>
          </w:tcPr>
          <w:p>
            <w:pPr>
              <w:jc w:val="right"/>
              <w:ind w:right="442"/>
              <w:spacing w:after="0"/>
              <w:rPr>
                <w:sz w:val="20"/>
                <w:szCs w:val="20"/>
                <w:color w:val="auto"/>
              </w:rPr>
            </w:pPr>
            <w:r>
              <w:rPr>
                <w:rFonts w:ascii="Arial" w:cs="Arial" w:eastAsia="Arial" w:hAnsi="Arial"/>
                <w:sz w:val="16"/>
                <w:szCs w:val="16"/>
                <w:color w:val="auto"/>
              </w:rPr>
              <w:t>June 30, 2020</w:t>
            </w:r>
          </w:p>
        </w:tc>
      </w:tr>
      <w:tr>
        <w:trPr>
          <w:trHeight w:val="192"/>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w w:val="85"/>
              </w:rPr>
              <w:t>18,228</w:t>
            </w:r>
          </w:p>
        </w:tc>
        <w:tc>
          <w:tcPr>
            <w:tcW w:w="100" w:type="dxa"/>
            <w:vAlign w:val="bottom"/>
          </w:tcPr>
          <w:p>
            <w:pPr>
              <w:spacing w:after="0"/>
              <w:rPr>
                <w:sz w:val="17"/>
                <w:szCs w:val="17"/>
                <w:color w:val="auto"/>
              </w:rPr>
            </w:pP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5"/>
              </w:rPr>
              <w:t>20,016</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34,671</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42,705</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4,376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Europe</w:t>
            </w: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3,152</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Central and South America</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r>
      <w:tr>
        <w:trPr>
          <w:trHeight w:val="206"/>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Others</w:t>
            </w: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205"/>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service revenue</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5"/>
              </w:rPr>
              <w:t>25,617</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27,090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56,025</w:t>
            </w:r>
          </w:p>
        </w:tc>
      </w:tr>
      <w:tr>
        <w:trPr>
          <w:trHeight w:val="105"/>
        </w:trPr>
        <w:tc>
          <w:tcPr>
            <w:tcW w:w="3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Subscriber equipment sales:</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17"/>
                <w:szCs w:val="17"/>
                <w:color w:val="auto"/>
              </w:rPr>
            </w:pP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3,164</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Europe</w:t>
            </w: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Central and South America</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06"/>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Others</w:t>
            </w: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5"/>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subscriber equipment sales</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4,662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6,533</w:t>
            </w:r>
          </w:p>
        </w:tc>
      </w:tr>
      <w:tr>
        <w:trPr>
          <w:trHeight w:val="105"/>
        </w:trPr>
        <w:tc>
          <w:tcPr>
            <w:tcW w:w="3280" w:type="dxa"/>
            <w:vAlign w:val="bottom"/>
            <w:tcBorders>
              <w:bottom w:val="single" w:sz="8" w:color="CCEEFF"/>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22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0" w:type="dxa"/>
            <w:vAlign w:val="bottom"/>
            <w:tcBorders>
              <w:bottom w:val="single" w:sz="8" w:color="auto"/>
            </w:tcBorders>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5"/>
              </w:rPr>
              <w:t>30,279</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30,364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62,558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5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The Company has agreements with certain customers whereby the parties net settle outstanding payables and receivables between the respective entities on a periodic basis. As of June 30, 2021 and December 31, 2020, $1.8 million and $1.9 million, respectively, related to these agreements was included in accounts receivable on the Company’s condensed consolidated balance sheet. The Company also has agreements whereby it acts as an agent to procure goods and perform services on behalf of the customer. As of June 30, 2021 and December 31, 2020, the Company recorded $10.3 million and $4.7 million, respectively, in accounts receivable related to these arrangements.</w:t>
      </w:r>
    </w:p>
    <w:p>
      <w:pPr>
        <w:spacing w:after="0" w:line="206"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During 2020, one of the Company's customers filed for Chapter 11 of the United States Bankruptcy Code resulting in the Company reserving all open receivables due from the customer. This customer's plan of reorganization was confirmed by the bankruptcy court and the order was issued in January 2021. The cure payment, totaling $0.3 million, was received in March 2021.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Liabilities</w:t>
      </w:r>
    </w:p>
    <w:p>
      <w:pPr>
        <w:spacing w:after="0" w:line="25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Contract liabilities, which are included in deferred revenue on the Company’s condensed consolidated balance sheet, represent the Company’s obligation to transfer service or equipment to a customer from whom it has previously received consideration. The amount of revenue recognized during the six months ended June 30, 2021 and 2020 from performance obligations included in the contract liability balance at the beginning of each of the periods was $18.8 million and $24.4 million, respectively.</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In general, the duration of the Company’s subscriber service contracts is one year or less. As of June 30, 2021, the Company expects to recognize $26.8 million, or approximately 33%, of its remaining performance obligations during the next twelve months.</w:t>
      </w:r>
    </w:p>
    <w:p>
      <w:pPr>
        <w:spacing w:after="0" w:line="184"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June 2021, the Company received an advance payment of $37.5 million from a customer pursuant to an agreement related to the Terms Agreement described in its 2020 Annual Report. The advance payment is expected to be repaid from services provided by the Company under the Terms Agreement. Accordingly, the Company recorded the advance payment as long-term deferred revenue on its condensed consolidated balance sheet as of June 30, 2021. The Company has also recorded $14.1 million as long-term deferred revenue on its condensed consolidated balance sheet as of June 30, 2021 related to additional advance payments received under this agreement.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3. LEASES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disclose the components of the Company’s finance and operating leases (amounts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4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As of:</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As of:</w:t>
            </w:r>
          </w:p>
        </w:tc>
      </w:tr>
      <w:tr>
        <w:trPr>
          <w:trHeight w:val="202"/>
        </w:trPr>
        <w:tc>
          <w:tcPr>
            <w:tcW w:w="73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95"/>
              </w:rPr>
              <w:t>December 31, 2020</w:t>
            </w:r>
          </w:p>
        </w:tc>
      </w:tr>
      <w:tr>
        <w:trPr>
          <w:trHeight w:val="192"/>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Right-of-use asset, net</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w w:val="85"/>
              </w:rPr>
              <w:t>27,542</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14,400</w:t>
            </w:r>
          </w:p>
        </w:tc>
      </w:tr>
      <w:tr>
        <w:trPr>
          <w:trHeight w:val="265"/>
        </w:trPr>
        <w:tc>
          <w:tcPr>
            <w:tcW w:w="7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Short-term lease liability (recorded in accrued expenses)</w:t>
            </w:r>
          </w:p>
        </w:tc>
        <w:tc>
          <w:tcPr>
            <w:tcW w:w="14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2,490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1,330</w:t>
            </w:r>
          </w:p>
        </w:tc>
      </w:tr>
      <w:tr>
        <w:trPr>
          <w:trHeight w:val="20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liability</w:t>
            </w:r>
          </w:p>
        </w:tc>
        <w:tc>
          <w:tcPr>
            <w:tcW w:w="1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5"/>
              </w:rPr>
              <w:t>25,492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13,726</w:t>
            </w:r>
          </w:p>
        </w:tc>
      </w:tr>
      <w:tr>
        <w:trPr>
          <w:trHeight w:val="205"/>
        </w:trPr>
        <w:tc>
          <w:tcPr>
            <w:tcW w:w="7300" w:type="dxa"/>
            <w:vAlign w:val="bottom"/>
          </w:tcPr>
          <w:p>
            <w:pPr>
              <w:ind w:left="220"/>
              <w:spacing w:after="0"/>
              <w:rPr>
                <w:sz w:val="20"/>
                <w:szCs w:val="20"/>
                <w:color w:val="auto"/>
              </w:rPr>
            </w:pPr>
            <w:r>
              <w:rPr>
                <w:rFonts w:ascii="Arial" w:cs="Arial" w:eastAsia="Arial" w:hAnsi="Arial"/>
                <w:sz w:val="16"/>
                <w:szCs w:val="16"/>
                <w:color w:val="auto"/>
              </w:rPr>
              <w:t>Total operating lease liabilities</w:t>
            </w:r>
          </w:p>
        </w:tc>
        <w:tc>
          <w:tcPr>
            <w:tcW w:w="1420" w:type="dxa"/>
            <w:vAlign w:val="bottom"/>
            <w:tcBorders>
              <w:bottom w:val="single" w:sz="8" w:color="auto"/>
            </w:tcBorders>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5"/>
              </w:rPr>
              <w:t>27,982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15,056</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7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06"/>
        </w:trPr>
        <w:tc>
          <w:tcPr>
            <w:tcW w:w="730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 net (recorded in intangible and other current assets, net)</w:t>
            </w:r>
          </w:p>
        </w:tc>
        <w:tc>
          <w:tcPr>
            <w:tcW w:w="1420" w:type="dxa"/>
            <w:vAlign w:val="bottom"/>
            <w:shd w:val="clear" w:color="auto" w:fill="CCEEFF"/>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61"/>
        </w:trPr>
        <w:tc>
          <w:tcPr>
            <w:tcW w:w="7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lease liability (recorded in accrued expenses)</w:t>
            </w:r>
          </w:p>
        </w:tc>
        <w:tc>
          <w:tcPr>
            <w:tcW w:w="1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lease liability (recorded in non-current liabilities)</w:t>
            </w:r>
          </w:p>
        </w:tc>
        <w:tc>
          <w:tcPr>
            <w:tcW w:w="1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finance lease liabilities</w:t>
            </w:r>
          </w:p>
        </w:tc>
        <w:tc>
          <w:tcPr>
            <w:tcW w:w="1420" w:type="dxa"/>
            <w:vAlign w:val="bottom"/>
            <w:tcBorders>
              <w:bottom w:val="single" w:sz="8" w:color="auto"/>
            </w:tcBorders>
            <w:shd w:val="clear" w:color="auto" w:fill="CCEEFF"/>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2021, the Company entered into various operating leases predominately for new gateway sites totaling $13.6 million.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Cost</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cost are reflected in the table below (amounts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6"/>
                <w:szCs w:val="16"/>
                <w:color w:val="auto"/>
              </w:rPr>
              <w:t>Three Months Ended</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122"/>
              <w:spacing w:after="0"/>
              <w:rPr>
                <w:sz w:val="20"/>
                <w:szCs w:val="20"/>
                <w:color w:val="auto"/>
              </w:rPr>
            </w:pPr>
            <w:r>
              <w:rPr>
                <w:rFonts w:ascii="Arial" w:cs="Arial" w:eastAsia="Arial" w:hAnsi="Arial"/>
                <w:sz w:val="16"/>
                <w:szCs w:val="16"/>
                <w:color w:val="auto"/>
              </w:rPr>
              <w:t>Six Months Ended</w:t>
            </w:r>
          </w:p>
        </w:tc>
      </w:tr>
      <w:tr>
        <w:trPr>
          <w:trHeight w:val="202"/>
        </w:trPr>
        <w:tc>
          <w:tcPr>
            <w:tcW w:w="39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June 30, 2021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June 30, 2020</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color w:val="auto"/>
              </w:rPr>
              <w:t>June 30, 2021</w:t>
            </w:r>
          </w:p>
        </w:tc>
        <w:tc>
          <w:tcPr>
            <w:tcW w:w="260" w:type="dxa"/>
            <w:vAlign w:val="bottom"/>
          </w:tcPr>
          <w:p>
            <w:pPr>
              <w:spacing w:after="0"/>
              <w:rPr>
                <w:sz w:val="17"/>
                <w:szCs w:val="17"/>
                <w:color w:val="auto"/>
              </w:rPr>
            </w:pPr>
          </w:p>
        </w:tc>
        <w:tc>
          <w:tcPr>
            <w:tcW w:w="1480" w:type="dxa"/>
            <w:vAlign w:val="bottom"/>
          </w:tcPr>
          <w:p>
            <w:pPr>
              <w:jc w:val="right"/>
              <w:ind w:right="362"/>
              <w:spacing w:after="0"/>
              <w:rPr>
                <w:sz w:val="20"/>
                <w:szCs w:val="20"/>
                <w:color w:val="auto"/>
              </w:rPr>
            </w:pPr>
            <w:r>
              <w:rPr>
                <w:rFonts w:ascii="Arial" w:cs="Arial" w:eastAsia="Arial" w:hAnsi="Arial"/>
                <w:sz w:val="16"/>
                <w:szCs w:val="16"/>
                <w:color w:val="auto"/>
              </w:rPr>
              <w:t>June 30, 2020</w:t>
            </w:r>
          </w:p>
        </w:tc>
      </w:tr>
      <w:tr>
        <w:trPr>
          <w:trHeight w:val="192"/>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3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r>
      <w:tr>
        <w:trPr>
          <w:trHeight w:val="206"/>
        </w:trPr>
        <w:tc>
          <w:tcPr>
            <w:tcW w:w="3980" w:type="dxa"/>
            <w:vAlign w:val="bottom"/>
          </w:tcPr>
          <w:p>
            <w:pPr>
              <w:ind w:left="220"/>
              <w:spacing w:after="0"/>
              <w:rPr>
                <w:sz w:val="20"/>
                <w:szCs w:val="20"/>
                <w:color w:val="auto"/>
              </w:rPr>
            </w:pPr>
            <w:r>
              <w:rPr>
                <w:rFonts w:ascii="Arial" w:cs="Arial" w:eastAsia="Arial" w:hAnsi="Arial"/>
                <w:sz w:val="16"/>
                <w:szCs w:val="16"/>
                <w:color w:val="auto"/>
              </w:rPr>
              <w:t>Amortization of right-of-use assets</w:t>
            </w:r>
          </w:p>
        </w:tc>
        <w:tc>
          <w:tcPr>
            <w:tcW w:w="1320" w:type="dxa"/>
            <w:vAlign w:val="bottom"/>
          </w:tcPr>
          <w:p>
            <w:pPr>
              <w:jc w:val="right"/>
              <w:ind w:right="11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663</w:t>
            </w:r>
          </w:p>
        </w:tc>
        <w:tc>
          <w:tcPr>
            <w:tcW w:w="80" w:type="dxa"/>
            <w:vAlign w:val="bottom"/>
          </w:tcPr>
          <w:p>
            <w:pPr>
              <w:spacing w:after="0"/>
              <w:rPr>
                <w:sz w:val="17"/>
                <w:szCs w:val="17"/>
                <w:color w:val="auto"/>
              </w:rPr>
            </w:pP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12"/>
        </w:trPr>
        <w:tc>
          <w:tcPr>
            <w:tcW w:w="3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on lease liabilities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r>
      <w:tr>
        <w:trPr>
          <w:trHeight w:val="206"/>
        </w:trPr>
        <w:tc>
          <w:tcPr>
            <w:tcW w:w="398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2"/>
        </w:trPr>
        <w:tc>
          <w:tcPr>
            <w:tcW w:w="3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right-of-use assets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6"/>
        </w:trPr>
        <w:tc>
          <w:tcPr>
            <w:tcW w:w="3980" w:type="dxa"/>
            <w:vAlign w:val="bottom"/>
          </w:tcPr>
          <w:p>
            <w:pPr>
              <w:ind w:left="220"/>
              <w:spacing w:after="0"/>
              <w:rPr>
                <w:sz w:val="20"/>
                <w:szCs w:val="20"/>
                <w:color w:val="auto"/>
              </w:rPr>
            </w:pPr>
            <w:r>
              <w:rPr>
                <w:rFonts w:ascii="Arial" w:cs="Arial" w:eastAsia="Arial" w:hAnsi="Arial"/>
                <w:sz w:val="16"/>
                <w:szCs w:val="16"/>
                <w:color w:val="auto"/>
              </w:rPr>
              <w:t>Interest on lease liabilities</w:t>
            </w:r>
          </w:p>
        </w:tc>
        <w:tc>
          <w:tcPr>
            <w:tcW w:w="132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1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color w:val="auto"/>
              </w:rPr>
              <w:t>Total lease cost</w:t>
            </w:r>
          </w:p>
        </w:tc>
        <w:tc>
          <w:tcPr>
            <w:tcW w:w="132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1,098</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2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r>
      <w:tr>
        <w:trPr>
          <w:trHeight w:val="20"/>
        </w:trPr>
        <w:tc>
          <w:tcPr>
            <w:tcW w:w="3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Weighted-Average Remaining Lease Term and Discount Rate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2880" w:type="dxa"/>
            <w:vAlign w:val="bottom"/>
          </w:tcPr>
          <w:p>
            <w:pPr>
              <w:ind w:left="320"/>
              <w:spacing w:after="0"/>
              <w:rPr>
                <w:sz w:val="20"/>
                <w:szCs w:val="20"/>
                <w:color w:val="auto"/>
              </w:rPr>
            </w:pPr>
            <w:r>
              <w:rPr>
                <w:rFonts w:ascii="Arial" w:cs="Arial" w:eastAsia="Arial" w:hAnsi="Arial"/>
                <w:sz w:val="17"/>
                <w:szCs w:val="17"/>
                <w:color w:val="auto"/>
              </w:rPr>
              <w:t>The  following  table  discloses</w:t>
            </w:r>
          </w:p>
        </w:tc>
        <w:tc>
          <w:tcPr>
            <w:tcW w:w="5780" w:type="dxa"/>
            <w:vAlign w:val="bottom"/>
            <w:gridSpan w:val="2"/>
          </w:tcPr>
          <w:p>
            <w:pPr>
              <w:jc w:val="right"/>
              <w:spacing w:after="0"/>
              <w:rPr>
                <w:sz w:val="20"/>
                <w:szCs w:val="20"/>
                <w:color w:val="auto"/>
              </w:rPr>
            </w:pPr>
            <w:r>
              <w:rPr>
                <w:rFonts w:ascii="Arial" w:cs="Arial" w:eastAsia="Arial" w:hAnsi="Arial"/>
                <w:sz w:val="17"/>
                <w:szCs w:val="17"/>
                <w:color w:val="auto"/>
              </w:rPr>
              <w:t>the  weighted-average  remaining  lease  term  and  discount  rate  for</w:t>
            </w:r>
          </w:p>
        </w:tc>
        <w:tc>
          <w:tcPr>
            <w:tcW w:w="740" w:type="dxa"/>
            <w:vAlign w:val="bottom"/>
            <w:gridSpan w:val="3"/>
          </w:tcPr>
          <w:p>
            <w:pPr>
              <w:ind w:left="140"/>
              <w:spacing w:after="0"/>
              <w:rPr>
                <w:sz w:val="20"/>
                <w:szCs w:val="20"/>
                <w:color w:val="auto"/>
              </w:rPr>
            </w:pPr>
            <w:r>
              <w:rPr>
                <w:rFonts w:ascii="Arial" w:cs="Arial" w:eastAsia="Arial" w:hAnsi="Arial"/>
                <w:sz w:val="17"/>
                <w:szCs w:val="17"/>
                <w:color w:val="auto"/>
              </w:rPr>
              <w:t>finance</w:t>
            </w:r>
          </w:p>
        </w:tc>
        <w:tc>
          <w:tcPr>
            <w:tcW w:w="1360" w:type="dxa"/>
            <w:vAlign w:val="bottom"/>
          </w:tcPr>
          <w:p>
            <w:pPr>
              <w:jc w:val="right"/>
              <w:ind w:right="80"/>
              <w:spacing w:after="0"/>
              <w:rPr>
                <w:sz w:val="20"/>
                <w:szCs w:val="20"/>
                <w:color w:val="auto"/>
              </w:rPr>
            </w:pPr>
            <w:r>
              <w:rPr>
                <w:rFonts w:ascii="Arial" w:cs="Arial" w:eastAsia="Arial" w:hAnsi="Arial"/>
                <w:sz w:val="17"/>
                <w:szCs w:val="17"/>
                <w:color w:val="auto"/>
              </w:rPr>
              <w:t>and  operating</w:t>
            </w:r>
          </w:p>
        </w:tc>
        <w:tc>
          <w:tcPr>
            <w:tcW w:w="480" w:type="dxa"/>
            <w:vAlign w:val="bottom"/>
          </w:tcPr>
          <w:p>
            <w:pPr>
              <w:jc w:val="right"/>
              <w:spacing w:after="0"/>
              <w:rPr>
                <w:sz w:val="20"/>
                <w:szCs w:val="20"/>
                <w:color w:val="auto"/>
              </w:rPr>
            </w:pPr>
            <w:r>
              <w:rPr>
                <w:rFonts w:ascii="Arial" w:cs="Arial" w:eastAsia="Arial" w:hAnsi="Arial"/>
                <w:sz w:val="17"/>
                <w:szCs w:val="17"/>
                <w:color w:val="auto"/>
                <w:w w:val="85"/>
              </w:rPr>
              <w:t>leases.</w:t>
            </w:r>
          </w:p>
        </w:tc>
      </w:tr>
      <w:tr>
        <w:trPr>
          <w:trHeight w:val="232"/>
        </w:trPr>
        <w:tc>
          <w:tcPr>
            <w:tcW w:w="2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As of:</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As of:</w:t>
            </w:r>
          </w:p>
        </w:tc>
        <w:tc>
          <w:tcPr>
            <w:tcW w:w="480" w:type="dxa"/>
            <w:vAlign w:val="bottom"/>
            <w:tcBorders>
              <w:bottom w:val="single" w:sz="8" w:color="auto"/>
            </w:tcBorders>
          </w:tcPr>
          <w:p>
            <w:pPr>
              <w:spacing w:after="0"/>
              <w:rPr>
                <w:sz w:val="20"/>
                <w:szCs w:val="20"/>
                <w:color w:val="auto"/>
              </w:rPr>
            </w:pPr>
          </w:p>
        </w:tc>
      </w:tr>
      <w:tr>
        <w:trPr>
          <w:trHeight w:val="202"/>
        </w:trPr>
        <w:tc>
          <w:tcPr>
            <w:tcW w:w="288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June 30, 2021</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December 31, 2020</w:t>
            </w:r>
          </w:p>
        </w:tc>
      </w:tr>
      <w:tr>
        <w:trPr>
          <w:trHeight w:val="245"/>
        </w:trPr>
        <w:tc>
          <w:tcPr>
            <w:tcW w:w="2880" w:type="dxa"/>
            <w:vAlign w:val="bottom"/>
            <w:shd w:val="clear" w:color="auto" w:fill="CCEEFF"/>
          </w:tcPr>
          <w:p>
            <w:pPr>
              <w:spacing w:after="0"/>
              <w:rPr>
                <w:sz w:val="21"/>
                <w:szCs w:val="21"/>
                <w:color w:val="auto"/>
              </w:rPr>
            </w:pPr>
          </w:p>
        </w:tc>
        <w:tc>
          <w:tcPr>
            <w:tcW w:w="37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Weighted-average lease term</w:t>
            </w: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2"/>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Finance leases</w:t>
            </w:r>
          </w:p>
        </w:tc>
        <w:tc>
          <w:tcPr>
            <w:tcW w:w="3720" w:type="dxa"/>
            <w:vAlign w:val="bottom"/>
            <w:shd w:val="clear" w:color="auto" w:fill="CCEEFF"/>
          </w:tcPr>
          <w:p>
            <w:pPr>
              <w:spacing w:after="0"/>
              <w:rPr>
                <w:sz w:val="18"/>
                <w:szCs w:val="18"/>
                <w:color w:val="auto"/>
              </w:rPr>
            </w:pPr>
          </w:p>
        </w:tc>
        <w:tc>
          <w:tcPr>
            <w:tcW w:w="2800" w:type="dxa"/>
            <w:vAlign w:val="bottom"/>
            <w:gridSpan w:val="4"/>
            <w:shd w:val="clear" w:color="auto" w:fill="CCEEFF"/>
          </w:tcPr>
          <w:p>
            <w:pPr>
              <w:jc w:val="right"/>
              <w:ind w:right="560"/>
              <w:spacing w:after="0"/>
              <w:rPr>
                <w:sz w:val="20"/>
                <w:szCs w:val="20"/>
                <w:color w:val="auto"/>
              </w:rPr>
            </w:pPr>
            <w:r>
              <w:rPr>
                <w:rFonts w:ascii="Arial" w:cs="Arial" w:eastAsia="Arial" w:hAnsi="Arial"/>
                <w:sz w:val="16"/>
                <w:szCs w:val="16"/>
                <w:color w:val="auto"/>
              </w:rPr>
              <w:t>2.0 years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years</w:t>
            </w:r>
          </w:p>
        </w:tc>
      </w:tr>
      <w:tr>
        <w:trPr>
          <w:trHeight w:val="206"/>
        </w:trPr>
        <w:tc>
          <w:tcPr>
            <w:tcW w:w="2880" w:type="dxa"/>
            <w:vAlign w:val="bottom"/>
          </w:tcPr>
          <w:p>
            <w:pPr>
              <w:ind w:left="540"/>
              <w:spacing w:after="0"/>
              <w:rPr>
                <w:sz w:val="20"/>
                <w:szCs w:val="20"/>
                <w:color w:val="auto"/>
              </w:rPr>
            </w:pPr>
            <w:r>
              <w:rPr>
                <w:rFonts w:ascii="Arial" w:cs="Arial" w:eastAsia="Arial" w:hAnsi="Arial"/>
                <w:sz w:val="16"/>
                <w:szCs w:val="16"/>
                <w:color w:val="auto"/>
              </w:rPr>
              <w:t>Operating Leases</w:t>
            </w:r>
          </w:p>
        </w:tc>
        <w:tc>
          <w:tcPr>
            <w:tcW w:w="3720" w:type="dxa"/>
            <w:vAlign w:val="bottom"/>
          </w:tcPr>
          <w:p>
            <w:pPr>
              <w:spacing w:after="0"/>
              <w:rPr>
                <w:sz w:val="17"/>
                <w:szCs w:val="17"/>
                <w:color w:val="auto"/>
              </w:rPr>
            </w:pPr>
          </w:p>
        </w:tc>
        <w:tc>
          <w:tcPr>
            <w:tcW w:w="2800" w:type="dxa"/>
            <w:vAlign w:val="bottom"/>
            <w:gridSpan w:val="4"/>
          </w:tcPr>
          <w:p>
            <w:pPr>
              <w:jc w:val="right"/>
              <w:ind w:right="560"/>
              <w:spacing w:after="0"/>
              <w:rPr>
                <w:sz w:val="20"/>
                <w:szCs w:val="20"/>
                <w:color w:val="auto"/>
              </w:rPr>
            </w:pPr>
            <w:r>
              <w:rPr>
                <w:rFonts w:ascii="Arial" w:cs="Arial" w:eastAsia="Arial" w:hAnsi="Arial"/>
                <w:sz w:val="16"/>
                <w:szCs w:val="16"/>
                <w:color w:val="auto"/>
              </w:rPr>
              <w:t>10.2 years</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8.3 years</w:t>
            </w:r>
          </w:p>
        </w:tc>
      </w:tr>
      <w:tr>
        <w:trPr>
          <w:trHeight w:val="265"/>
        </w:trPr>
        <w:tc>
          <w:tcPr>
            <w:tcW w:w="288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Weighted-average discount rate</w:t>
            </w: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2"/>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Finance leases</w:t>
            </w:r>
          </w:p>
        </w:tc>
        <w:tc>
          <w:tcPr>
            <w:tcW w:w="5780" w:type="dxa"/>
            <w:vAlign w:val="bottom"/>
            <w:gridSpan w:val="2"/>
            <w:shd w:val="clear" w:color="auto" w:fill="CCEEFF"/>
          </w:tcPr>
          <w:p>
            <w:pPr>
              <w:jc w:val="right"/>
              <w:ind w:right="222"/>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880" w:type="dxa"/>
            <w:vAlign w:val="bottom"/>
          </w:tcPr>
          <w:p>
            <w:pPr>
              <w:ind w:left="540"/>
              <w:spacing w:after="0"/>
              <w:rPr>
                <w:sz w:val="20"/>
                <w:szCs w:val="20"/>
                <w:color w:val="auto"/>
              </w:rPr>
            </w:pPr>
            <w:r>
              <w:rPr>
                <w:rFonts w:ascii="Arial" w:cs="Arial" w:eastAsia="Arial" w:hAnsi="Arial"/>
                <w:sz w:val="16"/>
                <w:szCs w:val="16"/>
                <w:color w:val="auto"/>
              </w:rPr>
              <w:t>Operating leases</w:t>
            </w:r>
          </w:p>
        </w:tc>
        <w:tc>
          <w:tcPr>
            <w:tcW w:w="5780" w:type="dxa"/>
            <w:vAlign w:val="bottom"/>
            <w:gridSpan w:val="2"/>
          </w:tcPr>
          <w:p>
            <w:pPr>
              <w:jc w:val="right"/>
              <w:ind w:right="222"/>
              <w:spacing w:after="0"/>
              <w:rPr>
                <w:sz w:val="20"/>
                <w:szCs w:val="20"/>
                <w:color w:val="auto"/>
              </w:rPr>
            </w:pPr>
            <w:r>
              <w:rPr>
                <w:rFonts w:ascii="Arial" w:cs="Arial" w:eastAsia="Arial" w:hAnsi="Arial"/>
                <w:sz w:val="16"/>
                <w:szCs w:val="16"/>
                <w:color w:val="auto"/>
              </w:rPr>
              <w:t>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Cash Flow Information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below table discloses supplemental cash flow information for finance and operating leases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2"/>
              </w:rPr>
              <w:t>Six Months Ended</w:t>
            </w:r>
          </w:p>
        </w:tc>
        <w:tc>
          <w:tcPr>
            <w:tcW w:w="1560" w:type="dxa"/>
            <w:vAlign w:val="bottom"/>
            <w:tcBorders>
              <w:bottom w:val="single" w:sz="8" w:color="auto"/>
            </w:tcBorders>
          </w:tcPr>
          <w:p>
            <w:pPr>
              <w:spacing w:after="0"/>
              <w:rPr>
                <w:sz w:val="17"/>
                <w:szCs w:val="17"/>
                <w:color w:val="auto"/>
              </w:rPr>
            </w:pPr>
          </w:p>
        </w:tc>
      </w:tr>
      <w:tr>
        <w:trPr>
          <w:trHeight w:val="202"/>
        </w:trPr>
        <w:tc>
          <w:tcPr>
            <w:tcW w:w="684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color w:val="auto"/>
                <w:w w:val="88"/>
              </w:rPr>
              <w:t>June 30, 2020</w:t>
            </w:r>
          </w:p>
        </w:tc>
      </w:tr>
      <w:tr>
        <w:trPr>
          <w:trHeight w:val="245"/>
        </w:trPr>
        <w:tc>
          <w:tcPr>
            <w:tcW w:w="6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1"/>
        </w:trPr>
        <w:tc>
          <w:tcPr>
            <w:tcW w:w="68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2"/>
        </w:trPr>
        <w:tc>
          <w:tcPr>
            <w:tcW w:w="684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1560" w:type="dxa"/>
            <w:vAlign w:val="bottom"/>
            <w:shd w:val="clear" w:color="auto" w:fill="CCEEFF"/>
          </w:tcPr>
          <w:p>
            <w:pPr>
              <w:jc w:val="right"/>
              <w:ind w:right="1377"/>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w:t>
            </w:r>
          </w:p>
        </w:tc>
      </w:tr>
      <w:tr>
        <w:trPr>
          <w:trHeight w:val="222"/>
        </w:trPr>
        <w:tc>
          <w:tcPr>
            <w:tcW w:w="6840" w:type="dxa"/>
            <w:vAlign w:val="bottom"/>
          </w:tcPr>
          <w:p>
            <w:pPr>
              <w:ind w:left="220"/>
              <w:spacing w:after="0"/>
              <w:rPr>
                <w:sz w:val="20"/>
                <w:szCs w:val="20"/>
                <w:color w:val="auto"/>
              </w:rPr>
            </w:pPr>
            <w:r>
              <w:rPr>
                <w:rFonts w:ascii="Arial" w:cs="Arial" w:eastAsia="Arial" w:hAnsi="Arial"/>
                <w:sz w:val="17"/>
                <w:szCs w:val="17"/>
                <w:color w:val="auto"/>
              </w:rPr>
              <w:t>Operating cash flows from finance leases</w:t>
            </w:r>
          </w:p>
        </w:tc>
        <w:tc>
          <w:tcPr>
            <w:tcW w:w="15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cash flows from finance leases</w:t>
            </w:r>
          </w:p>
        </w:tc>
        <w:tc>
          <w:tcPr>
            <w:tcW w:w="1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Maturity Analysis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reflects undiscounted cash flows on an annual basis for the Company’s lease liabilities as of June 30, 2021 (amounts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7"/>
                <w:szCs w:val="17"/>
                <w:color w:val="auto"/>
              </w:rPr>
              <w:t>Operating Leases</w:t>
            </w:r>
          </w:p>
        </w:tc>
        <w:tc>
          <w:tcPr>
            <w:tcW w:w="260" w:type="dxa"/>
            <w:vAlign w:val="bottom"/>
          </w:tcPr>
          <w:p>
            <w:pPr>
              <w:spacing w:after="0"/>
              <w:rPr>
                <w:sz w:val="19"/>
                <w:szCs w:val="19"/>
                <w:color w:val="auto"/>
              </w:rPr>
            </w:pPr>
          </w:p>
        </w:tc>
        <w:tc>
          <w:tcPr>
            <w:tcW w:w="1700" w:type="dxa"/>
            <w:vAlign w:val="bottom"/>
          </w:tcPr>
          <w:p>
            <w:pPr>
              <w:jc w:val="right"/>
              <w:ind w:right="353"/>
              <w:spacing w:after="0"/>
              <w:rPr>
                <w:sz w:val="20"/>
                <w:szCs w:val="20"/>
                <w:color w:val="auto"/>
              </w:rPr>
            </w:pPr>
            <w:r>
              <w:rPr>
                <w:rFonts w:ascii="Arial" w:cs="Arial" w:eastAsia="Arial" w:hAnsi="Arial"/>
                <w:sz w:val="17"/>
                <w:szCs w:val="17"/>
                <w:color w:val="auto"/>
              </w:rPr>
              <w:t>Finance Leases</w:t>
            </w:r>
          </w:p>
        </w:tc>
      </w:tr>
      <w:tr>
        <w:trPr>
          <w:trHeight w:val="242"/>
        </w:trPr>
        <w:tc>
          <w:tcPr>
            <w:tcW w:w="7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(remaining)</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716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4,261</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716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4,055</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Imputed interest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Discounted lease liability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As of June 30, 2021, the Company executed additional operating leases, primarily for new gateway locations. These leases had not yet commenced as of June 30, 2021 since the lessors are continuing to ready the sites for use. Accordingly, these leases are not included on the balance sheet as of June 30, 2021 or in the maturity table above. The Company is in the process of evaluating these lease obligations and expects them to be approximately $8.0 million.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7"/>
        </w:trPr>
        <w:tc>
          <w:tcPr>
            <w:tcW w:w="8140" w:type="dxa"/>
            <w:vAlign w:val="bottom"/>
          </w:tcPr>
          <w:p>
            <w:pPr>
              <w:spacing w:after="0"/>
              <w:rPr>
                <w:sz w:val="20"/>
                <w:szCs w:val="20"/>
                <w:color w:val="auto"/>
              </w:rPr>
            </w:pPr>
            <w:r>
              <w:rPr>
                <w:rFonts w:ascii="Arial" w:cs="Arial" w:eastAsia="Arial" w:hAnsi="Arial"/>
                <w:sz w:val="17"/>
                <w:szCs w:val="17"/>
                <w:b w:val="1"/>
                <w:bCs w:val="1"/>
                <w:color w:val="auto"/>
              </w:rPr>
              <w:t>4. PROPERTY AND EQUIPMENT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4"/>
        </w:trPr>
        <w:tc>
          <w:tcPr>
            <w:tcW w:w="8140" w:type="dxa"/>
            <w:vAlign w:val="bottom"/>
          </w:tcPr>
          <w:p>
            <w:pPr>
              <w:ind w:left="240"/>
              <w:spacing w:after="0"/>
              <w:rPr>
                <w:sz w:val="20"/>
                <w:szCs w:val="20"/>
                <w:color w:val="auto"/>
              </w:rPr>
            </w:pPr>
            <w:r>
              <w:rPr>
                <w:rFonts w:ascii="Arial" w:cs="Arial" w:eastAsia="Arial" w:hAnsi="Arial"/>
                <w:sz w:val="17"/>
                <w:szCs w:val="17"/>
                <w:color w:val="auto"/>
              </w:rPr>
              <w:t>Property and equipment consists of the following (in thousands):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rPr>
              <w:t>June 30,</w:t>
            </w:r>
          </w:p>
        </w:tc>
        <w:tc>
          <w:tcPr>
            <w:tcW w:w="1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w w:val="95"/>
              </w:rPr>
              <w:t>December 31,</w:t>
            </w:r>
          </w:p>
        </w:tc>
      </w:tr>
      <w:tr>
        <w:trPr>
          <w:trHeight w:val="221"/>
        </w:trPr>
        <w:tc>
          <w:tcPr>
            <w:tcW w:w="8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2020</w:t>
            </w:r>
          </w:p>
        </w:tc>
      </w:tr>
      <w:tr>
        <w:trPr>
          <w:trHeight w:val="215"/>
        </w:trPr>
        <w:tc>
          <w:tcPr>
            <w:tcW w:w="8140" w:type="dxa"/>
            <w:vAlign w:val="bottom"/>
          </w:tcPr>
          <w:p>
            <w:pPr>
              <w:ind w:left="20"/>
              <w:spacing w:after="0"/>
              <w:rPr>
                <w:sz w:val="20"/>
                <w:szCs w:val="20"/>
                <w:color w:val="auto"/>
              </w:rPr>
            </w:pPr>
            <w:r>
              <w:rPr>
                <w:rFonts w:ascii="Arial" w:cs="Arial" w:eastAsia="Arial" w:hAnsi="Arial"/>
                <w:sz w:val="17"/>
                <w:szCs w:val="17"/>
                <w:color w:val="auto"/>
              </w:rPr>
              <w:t>Globalstar System:</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8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Space component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Arial" w:cs="Arial" w:eastAsia="Arial" w:hAnsi="Arial"/>
                <w:sz w:val="17"/>
                <w:szCs w:val="17"/>
                <w:color w:val="auto"/>
              </w:rPr>
              <w:t>First and second-generation satellites in service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1,195,509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1,195,509</w:t>
            </w:r>
          </w:p>
        </w:tc>
      </w:tr>
      <w:tr>
        <w:trPr>
          <w:trHeight w:val="22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Second-generation satellite, on-ground spare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32,443</w:t>
            </w:r>
          </w:p>
        </w:tc>
      </w:tr>
      <w:tr>
        <w:trPr>
          <w:trHeight w:val="222"/>
        </w:trPr>
        <w:tc>
          <w:tcPr>
            <w:tcW w:w="8140" w:type="dxa"/>
            <w:vAlign w:val="bottom"/>
          </w:tcPr>
          <w:p>
            <w:pPr>
              <w:ind w:left="220"/>
              <w:spacing w:after="0"/>
              <w:rPr>
                <w:sz w:val="20"/>
                <w:szCs w:val="20"/>
                <w:color w:val="auto"/>
              </w:rPr>
            </w:pPr>
            <w:r>
              <w:rPr>
                <w:rFonts w:ascii="Arial" w:cs="Arial" w:eastAsia="Arial" w:hAnsi="Arial"/>
                <w:sz w:val="17"/>
                <w:szCs w:val="17"/>
                <w:color w:val="auto"/>
              </w:rPr>
              <w:t>Ground component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280,267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272,492</w:t>
            </w:r>
          </w:p>
        </w:tc>
      </w:tr>
      <w:tr>
        <w:trPr>
          <w:trHeight w:val="222"/>
        </w:trPr>
        <w:tc>
          <w:tcPr>
            <w:tcW w:w="8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Construction in progress: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Arial" w:cs="Arial" w:eastAsia="Arial" w:hAnsi="Arial"/>
                <w:sz w:val="17"/>
                <w:szCs w:val="17"/>
                <w:color w:val="auto"/>
              </w:rPr>
              <w:t>Ground component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19,327</w:t>
            </w:r>
          </w:p>
        </w:tc>
      </w:tr>
      <w:tr>
        <w:trPr>
          <w:trHeight w:val="22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w:t>
            </w:r>
          </w:p>
        </w:tc>
      </w:tr>
      <w:tr>
        <w:trPr>
          <w:trHeight w:val="215"/>
        </w:trPr>
        <w:tc>
          <w:tcPr>
            <w:tcW w:w="8140" w:type="dxa"/>
            <w:vAlign w:val="bottom"/>
          </w:tcPr>
          <w:p>
            <w:pPr>
              <w:ind w:left="20"/>
              <w:spacing w:after="0"/>
              <w:rPr>
                <w:sz w:val="20"/>
                <w:szCs w:val="20"/>
                <w:color w:val="auto"/>
              </w:rPr>
            </w:pPr>
            <w:r>
              <w:rPr>
                <w:rFonts w:ascii="Arial" w:cs="Arial" w:eastAsia="Arial" w:hAnsi="Arial"/>
                <w:sz w:val="17"/>
                <w:szCs w:val="17"/>
                <w:color w:val="auto"/>
              </w:rPr>
              <w:t>Total Globalstar System</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1,531,078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1,523,069</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 and purchased software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23,984</w:t>
            </w:r>
          </w:p>
        </w:tc>
      </w:tr>
      <w:tr>
        <w:trPr>
          <w:trHeight w:val="222"/>
        </w:trPr>
        <w:tc>
          <w:tcPr>
            <w:tcW w:w="8140" w:type="dxa"/>
            <w:vAlign w:val="bottom"/>
          </w:tcPr>
          <w:p>
            <w:pPr>
              <w:ind w:left="20"/>
              <w:spacing w:after="0"/>
              <w:rPr>
                <w:sz w:val="20"/>
                <w:szCs w:val="20"/>
                <w:color w:val="auto"/>
              </w:rPr>
            </w:pPr>
            <w:r>
              <w:rPr>
                <w:rFonts w:ascii="Arial" w:cs="Arial" w:eastAsia="Arial" w:hAnsi="Arial"/>
                <w:sz w:val="17"/>
                <w:szCs w:val="17"/>
                <w:color w:val="auto"/>
              </w:rPr>
              <w:t>Equipment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9,679</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buildings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3,110</w:t>
            </w:r>
          </w:p>
        </w:tc>
      </w:tr>
      <w:tr>
        <w:trPr>
          <w:trHeight w:val="22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Leasehold improvements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w:t>
            </w:r>
          </w:p>
        </w:tc>
      </w:tr>
      <w:tr>
        <w:trPr>
          <w:trHeight w:val="21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and equipment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1,570,496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1,561,497</w:t>
            </w:r>
          </w:p>
        </w:tc>
      </w:tr>
      <w:tr>
        <w:trPr>
          <w:trHeight w:val="22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(889,171)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(845,588)</w:t>
            </w:r>
          </w:p>
        </w:tc>
      </w:tr>
      <w:tr>
        <w:trPr>
          <w:trHeight w:val="24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681,325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715,909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ground component of construction in progress includes costs (including capitalized interest) incurred for assets to upgrade the Company's ground infrastructure in certain regions around the world. We expect to deploy these gateway assets based on coverage optimization. The ground component of construction in progress also includes costs associated with the procurement and production of new gateway antennas. During the six months ended June 30, 2021, the Company placed $9.7 million of costs into service associated with these antennas.</w:t>
      </w:r>
    </w:p>
    <w:p>
      <w:pPr>
        <w:spacing w:after="0" w:line="202"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Amounts included in the Company’s second-generation satellite, on-ground spare balance as of June 30, 2021, and December 31, 2020, consist primarily of costs related to a spare second-generation satellite that has not been placed in orbit, but is capable of being included in a future launch. This satellite has not been placed into service; therefore, the Company has not started to record depreciation expense.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5" w:name="page16"/>
    <w:bookmarkEnd w:id="15"/>
    <w:p>
      <w:pPr>
        <w:ind w:left="240" w:right="5760" w:hanging="235"/>
        <w:spacing w:after="0" w:line="359" w:lineRule="auto"/>
        <w:tabs>
          <w:tab w:leader="none" w:pos="179"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AND OTHER FINANCING ARRANGEMENTS </w:t>
      </w:r>
      <w:r>
        <w:rPr>
          <w:rFonts w:ascii="Arial" w:cs="Arial" w:eastAsia="Arial" w:hAnsi="Arial"/>
          <w:sz w:val="17"/>
          <w:szCs w:val="17"/>
          <w:color w:val="auto"/>
        </w:rPr>
        <w:t>Long-term debt consists of the following (in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86"/>
              </w:rPr>
              <w:t>June 30, 2021</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w w:val="89"/>
              </w:rPr>
              <w:t>December 31, 2020</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6" w:lineRule="exact"/>
              <w:rPr>
                <w:sz w:val="20"/>
                <w:szCs w:val="20"/>
                <w:color w:val="auto"/>
              </w:rPr>
            </w:pPr>
            <w:r>
              <w:rPr>
                <w:rFonts w:ascii="Arial" w:cs="Arial" w:eastAsia="Arial" w:hAnsi="Arial"/>
                <w:sz w:val="16"/>
                <w:szCs w:val="16"/>
                <w:color w:val="auto"/>
                <w:w w:val="90"/>
              </w:rPr>
              <w:t>Unamortized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6" w:lineRule="exact"/>
              <w:rPr>
                <w:sz w:val="20"/>
                <w:szCs w:val="20"/>
                <w:color w:val="auto"/>
              </w:rPr>
            </w:pPr>
            <w:r>
              <w:rPr>
                <w:rFonts w:ascii="Arial" w:cs="Arial" w:eastAsia="Arial" w:hAnsi="Arial"/>
                <w:sz w:val="16"/>
                <w:szCs w:val="16"/>
                <w:color w:val="auto"/>
                <w:w w:val="90"/>
              </w:rPr>
              <w:t>Unamortized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94"/>
              </w:rPr>
              <w:t>Principal</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7" w:lineRule="exact"/>
              <w:rPr>
                <w:sz w:val="20"/>
                <w:szCs w:val="20"/>
                <w:color w:val="auto"/>
              </w:rPr>
            </w:pPr>
            <w:r>
              <w:rPr>
                <w:rFonts w:ascii="Arial" w:cs="Arial" w:eastAsia="Arial" w:hAnsi="Arial"/>
                <w:sz w:val="16"/>
                <w:szCs w:val="16"/>
                <w:color w:val="auto"/>
                <w:w w:val="87"/>
              </w:rPr>
              <w:t>Discount and</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92"/>
              </w:rPr>
              <w:t>Carrying</w:t>
            </w:r>
          </w:p>
        </w:tc>
        <w:tc>
          <w:tcPr>
            <w:tcW w:w="20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91"/>
              </w:rPr>
              <w:t>Principal</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6"/>
                <w:szCs w:val="16"/>
                <w:color w:val="auto"/>
                <w:w w:val="89"/>
              </w:rPr>
              <w:t>Discount and</w:t>
            </w:r>
          </w:p>
        </w:tc>
        <w:tc>
          <w:tcPr>
            <w:tcW w:w="220" w:type="dxa"/>
            <w:vAlign w:val="bottom"/>
          </w:tcPr>
          <w:p>
            <w:pPr>
              <w:spacing w:after="0"/>
              <w:rPr>
                <w:sz w:val="13"/>
                <w:szCs w:val="13"/>
                <w:color w:val="auto"/>
              </w:rPr>
            </w:pPr>
          </w:p>
        </w:tc>
        <w:tc>
          <w:tcPr>
            <w:tcW w:w="1040" w:type="dxa"/>
            <w:vAlign w:val="bottom"/>
            <w:vMerge w:val="restart"/>
          </w:tcPr>
          <w:p>
            <w:pPr>
              <w:jc w:val="right"/>
              <w:ind w:right="282"/>
              <w:spacing w:after="0"/>
              <w:rPr>
                <w:sz w:val="20"/>
                <w:szCs w:val="20"/>
                <w:color w:val="auto"/>
              </w:rPr>
            </w:pPr>
            <w:r>
              <w:rPr>
                <w:rFonts w:ascii="Arial" w:cs="Arial" w:eastAsia="Arial" w:hAnsi="Arial"/>
                <w:sz w:val="16"/>
                <w:szCs w:val="16"/>
                <w:color w:val="auto"/>
              </w:rPr>
              <w:t>Carrying</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7" w:lineRule="exact"/>
              <w:rPr>
                <w:sz w:val="20"/>
                <w:szCs w:val="20"/>
                <w:color w:val="auto"/>
              </w:rPr>
            </w:pPr>
            <w:r>
              <w:rPr>
                <w:rFonts w:ascii="Arial" w:cs="Arial" w:eastAsia="Arial" w:hAnsi="Arial"/>
                <w:sz w:val="16"/>
                <w:szCs w:val="16"/>
                <w:color w:val="auto"/>
                <w:w w:val="86"/>
              </w:rPr>
              <w:t>Deferred</w:t>
            </w: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6"/>
                <w:szCs w:val="16"/>
                <w:color w:val="auto"/>
                <w:w w:val="89"/>
              </w:rPr>
              <w:t>Deferred</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Amount</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Financing Costs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color w:val="auto"/>
                <w:w w:val="87"/>
              </w:rPr>
              <w:t>Value</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Amount</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color w:val="auto"/>
                <w:w w:val="88"/>
              </w:rPr>
              <w:t>Financing Costs</w:t>
            </w:r>
          </w:p>
        </w:tc>
        <w:tc>
          <w:tcPr>
            <w:tcW w:w="22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5"/>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 Lien Facility Agreement</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2,437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95,387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6,373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180,615</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Second Lien Facility Agreement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246,511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29,867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216,644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230,597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32,125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198,472</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8.00% Convertible Senior Notes Issued in 2013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Paycheck Protection Program Loan</w:t>
            </w:r>
          </w:p>
        </w:tc>
        <w:tc>
          <w:tcPr>
            <w:tcW w:w="2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4,947</w:t>
            </w:r>
          </w:p>
        </w:tc>
        <w:tc>
          <w:tcPr>
            <w:tcW w:w="0" w:type="dxa"/>
            <w:vAlign w:val="bottom"/>
          </w:tcPr>
          <w:p>
            <w:pPr>
              <w:spacing w:after="0"/>
              <w:rPr>
                <w:sz w:val="1"/>
                <w:szCs w:val="1"/>
                <w:color w:val="auto"/>
              </w:rPr>
            </w:pPr>
          </w:p>
        </w:tc>
      </w:tr>
      <w:tr>
        <w:trPr>
          <w:trHeight w:val="205"/>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Debt</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345,727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32,304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313,423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423,934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38,524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385,410</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Less: Current Portion</w:t>
            </w:r>
          </w:p>
        </w:tc>
        <w:tc>
          <w:tcPr>
            <w:tcW w:w="2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58,824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58,824</w:t>
            </w:r>
          </w:p>
        </w:tc>
        <w:tc>
          <w:tcPr>
            <w:tcW w:w="0" w:type="dxa"/>
            <w:vAlign w:val="bottom"/>
          </w:tcPr>
          <w:p>
            <w:pPr>
              <w:spacing w:after="0"/>
              <w:rPr>
                <w:sz w:val="1"/>
                <w:szCs w:val="1"/>
                <w:color w:val="auto"/>
              </w:rPr>
            </w:pPr>
          </w:p>
        </w:tc>
      </w:tr>
      <w:tr>
        <w:trPr>
          <w:trHeight w:val="230"/>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313,423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326,586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principal amounts shown above include payment of in-kind interest, as applicable. The carrying value is net of deferred financing costs and any discounts to the loan amounts at issuance, including accretion.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Lien Facility Agreement</w:t>
      </w:r>
    </w:p>
    <w:p>
      <w:pPr>
        <w:spacing w:after="0" w:line="249"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In 2009, the Company entered into the First Lien Facility Agreement (as amended) with a syndicate of bank lenders, including BNP Paribas, Société Générale, Natixis, Crédit Agricole Corporate and Investment Bank and Crédit Industriel et Commercial, as arrangers, and BNP Paribas, as the security agent.</w:t>
      </w:r>
    </w:p>
    <w:p>
      <w:pPr>
        <w:spacing w:after="0" w:line="161"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First Lien Facility Agreement is scheduled to mature in December 2022. Indebtedness under the First Lien Facility Agreement bears interest at a floating rate of LIBOR plus a margin that increases by 0.5% each year to a maximum rate of LIBOR plus 5.75%. The current interest rate is LIBOR plus 5.25%. Interest on the Facility Agreement is payable semi-annually in arrears on June 30 and December 31 of each calendar year.</w:t>
      </w:r>
    </w:p>
    <w:p>
      <w:pPr>
        <w:spacing w:after="0" w:line="198"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In calculating compliance with the financial covenants of the First Lien Facility Agreement, the Company may include certain cash funds contributed to the Company from the issuance of the Company's common stock and/or subordinated indebtedness. These funds are referred to as “Equity Cure Contributions” and may be used to achieve compliance with financial covenants through maturity. If the Company violates any financial covenants and is unable to obtain a sufficient Equity Cure Contribution or obtain a waiver, it would be in default under the First Lien Facility Agreement and payment of the indebtedness could be accelerated. In anticipation of projected capital expenditures, in August 2021, the Company received a waiver from its senior lenders, increasing permitted capital expenditure limits under the First Lien Facility Agreement. As of June 30, 2021, the Company was in compliance with the covenants of the First Lien Facility Agreement.</w:t>
      </w:r>
    </w:p>
    <w:p>
      <w:pPr>
        <w:spacing w:after="0" w:line="211"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The First Lien Facility Agreement requires mandatory prepayments of principal with any Excess Cash Flow (as defined and calculated in the First Lien Facility Agreement) on a semi-annual basis. During 2021, the Company was required to pay $4.4 million to its first lien lenders resulting from the Excess Cash Flow calculation as of December 31, 2020. This payment reduced future principal payment obligations (see table below).</w:t>
      </w:r>
    </w:p>
    <w:p>
      <w:pPr>
        <w:spacing w:after="0" w:line="198" w:lineRule="exact"/>
        <w:rPr>
          <w:sz w:val="20"/>
          <w:szCs w:val="20"/>
          <w:color w:val="auto"/>
        </w:rPr>
      </w:pPr>
    </w:p>
    <w:p>
      <w:pPr>
        <w:jc w:val="both"/>
        <w:ind w:firstLine="235"/>
        <w:spacing w:after="0" w:line="248" w:lineRule="auto"/>
        <w:rPr>
          <w:sz w:val="20"/>
          <w:szCs w:val="20"/>
          <w:color w:val="auto"/>
        </w:rPr>
      </w:pPr>
      <w:r>
        <w:rPr>
          <w:rFonts w:ascii="Arial" w:cs="Arial" w:eastAsia="Arial" w:hAnsi="Arial"/>
          <w:sz w:val="17"/>
          <w:szCs w:val="17"/>
          <w:color w:val="auto"/>
        </w:rPr>
        <w:t>The amended and restated First Lien Facility Agreement includes a requirement that the Company raise no less than $45.0 million from the sale of equity prior to March 30, 2021. The Company fulfilled this requirement in March 2021 with proceeds from the exercise of all the warrants issued to the Second Lien Facility Agreement lenders in November 2019. The Company received proceeds totaling $47.3 million, of which $3.6 million was received in December 2019 and the remaining $43.7 million was received during the first quarter of 2021. In April 2021, these proceeds were used to pay the remaining principal payments due in each of June 2021 and December 2021 (see table below).</w:t>
      </w:r>
    </w:p>
    <w:p>
      <w:pPr>
        <w:spacing w:after="0" w:line="205"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In June 2021, the Company received an advance payment of $37.5 million from a customer, which was recorded to deferred revenue as of June 30, 2021 (see further discussion in Note 2: Revenue). The Company used these proceeds to pay a portion of the remaining amount due under the First Lien Facility Agreement. This voluntary prepayment was applied to the payments due in each of December 2021, June 2022 and December 2022, respectively (see table below). Additionally, the Company wrote off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7"/>
          <w:szCs w:val="17"/>
          <w:color w:val="auto"/>
        </w:rPr>
        <w:t>$2.3 million in deferred financing costs, which represents the portion of debt prepaid by the Company in the second quarter of 2021. Subject to certain conditions, the customer may make additional advances to the Company in the future on the same terms, the proceeds of which would be used by the Company to pay a portion of the remaining principal outstanding.</w:t>
      </w:r>
    </w:p>
    <w:p>
      <w:pPr>
        <w:spacing w:after="0" w:line="198"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The First Lien Facility Agreement also requires the Company to maintain a debt service reserve account, which is pledged to secure all of the Company's obligations under the First Lien Facility Agreement. The required balance in the debt service reserve account must equal at least $50.9 million. As of June 30, 2021, the balance in the debt service reserve account was $51.0 million and is classified as non-current restricted cash on the Company's condensed consolidated balance sheet as it will be used towards the final scheduled payment due upon maturity of the First Lien Facility Agreement in December 2022 of $97.8 million.</w:t>
      </w:r>
    </w:p>
    <w:p>
      <w:pPr>
        <w:spacing w:after="0" w:line="172"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The following table sets forth the scheduled principal payments for the First Lien Facility Agreement, reflecting the application of prepayments made during 2021 (amounts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6"/>
                <w:szCs w:val="16"/>
                <w:color w:val="auto"/>
              </w:rPr>
              <w:t>Principal Payment Activity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8"/>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Scheduled Payment Date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94"/>
              </w:rPr>
              <w:t>June 30, 2021</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91"/>
              </w:rPr>
              <w:t>December 31, 2021</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94"/>
              </w:rPr>
              <w:t>June 30, 2022</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December 31, 2022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Total</w:t>
            </w:r>
          </w:p>
        </w:tc>
      </w:tr>
      <w:tr>
        <w:trPr>
          <w:trHeight w:val="205"/>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Scheduled Principal Payments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109,520</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186,988</w:t>
            </w:r>
          </w:p>
        </w:tc>
      </w:tr>
      <w:tr>
        <w:trPr>
          <w:trHeight w:val="206"/>
        </w:trPr>
        <w:tc>
          <w:tcPr>
            <w:tcW w:w="3840" w:type="dxa"/>
            <w:vAlign w:val="bottom"/>
          </w:tcPr>
          <w:p>
            <w:pPr>
              <w:ind w:left="20"/>
              <w:spacing w:after="0"/>
              <w:rPr>
                <w:sz w:val="20"/>
                <w:szCs w:val="20"/>
                <w:color w:val="auto"/>
              </w:rPr>
            </w:pPr>
            <w:r>
              <w:rPr>
                <w:rFonts w:ascii="Arial" w:cs="Arial" w:eastAsia="Arial" w:hAnsi="Arial"/>
                <w:sz w:val="16"/>
                <w:szCs w:val="16"/>
                <w:color w:val="auto"/>
              </w:rPr>
              <w:t>Less: Excess Cash Flow Payment, March 2021</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(4,357)</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(4,357)</w:t>
            </w: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Mandatory Prepayment, April 2021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(33,111)</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(47,302)</w:t>
            </w:r>
          </w:p>
        </w:tc>
      </w:tr>
      <w:tr>
        <w:trPr>
          <w:trHeight w:val="20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Voluntary Prepayment, June 2021</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(11,696)</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(37,505)</w:t>
            </w: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Scheduled Payments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74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 $</w:t>
            </w:r>
          </w:p>
        </w:tc>
        <w:tc>
          <w:tcPr>
            <w:tcW w:w="146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97,824</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97,824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Lien Facility Agreement</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November 2019, the Company entered into a $199.0 million Second Lien Facility Agreement with Thermo, EchoStar Corporation and certain other unaffiliated lenders. The Second Lien Facility Agreement is scheduled to mature in November 2025. The loans under the Second Lien Facility Agreement bear interest at a blended rate of 13.5% per annum to be paid in kind (or in cash at the option of the Company, subject to restrictions in the First Lien Facility Agreement).</w:t>
      </w:r>
    </w:p>
    <w:p>
      <w:pPr>
        <w:spacing w:after="0" w:line="202"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additional consideration for the loan, the Company issued the lenders warrants to purchase 124.5 million shares of voting common stock at an exercise price of $0.38 per share. All of these warrants were exercised before their expiration date on March 31, 2021, resulting in proceeds to the Company totaling $47.3 million.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2021, the Company was in compliance with the covenants of the Second Lien Facility Agreement.</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 to Note 6: Derivatives and Note 7: Fair Value Measurements for further discussion on the compound embedded derivative bifurcated from the Second Lien Facility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Thermo Loan Agreement</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connection with the amendment and restatement of the First Lien Facility Agreement in July 2013, the Company amended and restated its loan agreement with Thermo (the “Loan Agreement”). The Loan Agreement was convertible into shares of common stock at a conversion price of $0.69 (as adjusted) per share of common stock. The Loan Agreement accrued interest at 12% per annum, which was capitalized and added to the outstanding principal in lieu of cash payments.</w:t>
      </w:r>
    </w:p>
    <w:p>
      <w:pPr>
        <w:spacing w:after="0" w:line="202"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On February 19, 2020, Thermo converted the entire principal balance outstanding under the Loan Agreement, which totaled $137.4 million and included accrued interest since inception of $93.9 million. This conversion resulted in the issuance of 200.1 million shares of common stock. In accordance with applicable accounting guidance for debt extinguishment with related parties, upon conversion, the remaining debt discount was written off and recorded as a contribution to capital though equity and the associated derivative liability was marked to market at the conversion date and then extinguished through equity as a contribution to capital.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7" w:name="page18"/>
    <w:bookmarkEnd w:id="17"/>
    <w:p>
      <w:pPr>
        <w:jc w:val="both"/>
        <w:ind w:firstLine="235"/>
        <w:spacing w:after="0" w:line="288" w:lineRule="auto"/>
        <w:rPr>
          <w:sz w:val="20"/>
          <w:szCs w:val="20"/>
          <w:color w:val="auto"/>
        </w:rPr>
      </w:pPr>
      <w:r>
        <w:rPr>
          <w:rFonts w:ascii="Arial" w:cs="Arial" w:eastAsia="Arial" w:hAnsi="Arial"/>
          <w:sz w:val="17"/>
          <w:szCs w:val="17"/>
          <w:color w:val="auto"/>
        </w:rPr>
        <w:t>Refer to Note 6: Derivatives and Note 7: Fair Value Measurements for further discussion on the compound embedded derivative bifurcated from the Loan Agreement with Thermo.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8.00% Convertible Senior Notes Issued in 2013</w:t>
      </w:r>
    </w:p>
    <w:p>
      <w:pPr>
        <w:spacing w:after="0" w:line="223"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In May 2013, the Company issued $54.6 million aggregate principal amount of its 2013 8.00% Notes. The 2013 8.00% Notes are convertible into shares of common stock at a conversion price of $0.69 per share of common stock, as adjusted pursuant to the terms of the Fourth Supplemental Indenture between the Company and U.S. Bank National Association, as Trustee (the “Indenture”). The 2013 8.00% Notes are senior unsecured debt obligations that mature on April 1, 2028, subject to various call and put features, and bear interest at a rate of 8.00% per annum. Interest is paid in cash at a rate of 5.75% and in additional notes at a rate of 2.25%. Since issuance, $55.5 million of principal amount of the 2013 8.00% Notes have been converted resulting in the issuance of 98.6 million shares of Globalstar common stock.</w:t>
      </w:r>
    </w:p>
    <w:p>
      <w:pPr>
        <w:spacing w:after="0" w:line="205"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The Company may redeem the 2013 8.00% Notes, with the prior approval of the majority lenders under the First Lien Facility Agreement and the Second Lien Facility Agreement. A holder may convert its 2013 8.00% Notes at its option at any time prior to April 1, 2028 into shares of common stock.</w:t>
      </w:r>
    </w:p>
    <w:p>
      <w:pPr>
        <w:spacing w:after="0" w:line="16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Indenture provides for customary events of default. As of June 30, 2021, the Company was in compliance with respect to the terms of the 2013 8.00% Notes and the Indenture.</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amount by which the if-converted value of the 2013 8.00% Notes exceeded the principal amount at June 30, 2021, assuming conversion at the closing price of the Company's common stock on that date of $1.78 per share, is approximately $2.8 million.</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 to Note 6: Derivatives and Note 7: Fair Value Measurements for further discussion on the compound embedded derivative bifurcated from the 2013 8.00% Notes.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Paycheck Protection Program Loan</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In April 2020, the Company sought relief under the Coronavirus Aid, Relief and Economic Security (“CARES”) Act and received a $5.0 million loan (the "PPP Loan") under the PPP. In June 2021, the Small Business Administration ("SBA") approved the Company's request for forgiveness of all amounts outstanding under the PPP Loan, including accrued interest. Prior to forgiveness, the PPP Loan was an unsecured debt obligation and was scheduled to mature in April 2022. Any amount not forgiven by the SBA was subject to an interest rate of 1.00% per annum commencing on the date of the PPP Loan.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evaluated the applicable accounting guidance relative to the PPP Loan and accounted for the proceeds of the PPP Loan as debt under ASC</w:t>
      </w:r>
    </w:p>
    <w:p>
      <w:pPr>
        <w:spacing w:after="0" w:line="37" w:lineRule="exact"/>
        <w:rPr>
          <w:sz w:val="20"/>
          <w:szCs w:val="20"/>
          <w:color w:val="auto"/>
        </w:rPr>
      </w:pPr>
    </w:p>
    <w:p>
      <w:pPr>
        <w:ind w:firstLine="5"/>
        <w:spacing w:after="0" w:line="273" w:lineRule="auto"/>
        <w:tabs>
          <w:tab w:leader="none" w:pos="364"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the entire principal balance, including accrued interest, was forgiven in June 2021, the Company recorded a gain on extinguishment of debt totaling $5.0 million on its condensed consolidated statements of operations for the period ended June 30, 2021.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6. DERIVATIVES</w:t>
      </w:r>
    </w:p>
    <w:p>
      <w:pPr>
        <w:spacing w:after="0" w:line="255"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The Company has identified various embedded derivatives resulting from certain features in the Company’s existing borrowing arrangements, requiring recognition on its condensed consolidated balance sheets. None of these derivative instruments are designated as a hedge. The following table discloses the fair values of the derivative instruments on the Company’s condensed consolidated balance sheets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ind w:left="200"/>
              <w:spacing w:after="0"/>
              <w:rPr>
                <w:sz w:val="20"/>
                <w:szCs w:val="20"/>
                <w:color w:val="auto"/>
              </w:rPr>
            </w:pPr>
            <w:r>
              <w:rPr>
                <w:rFonts w:ascii="Arial" w:cs="Arial" w:eastAsia="Arial" w:hAnsi="Arial"/>
                <w:sz w:val="17"/>
                <w:szCs w:val="17"/>
                <w:color w:val="auto"/>
              </w:rPr>
              <w:t>June 30, 2021</w:t>
            </w:r>
          </w:p>
        </w:tc>
        <w:tc>
          <w:tcPr>
            <w:tcW w:w="20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7"/>
                <w:szCs w:val="17"/>
                <w:color w:val="auto"/>
              </w:rPr>
              <w:t>December 31, 2020</w:t>
            </w:r>
          </w:p>
        </w:tc>
      </w:tr>
      <w:tr>
        <w:trPr>
          <w:trHeight w:val="215"/>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assets:</w:t>
            </w:r>
          </w:p>
        </w:tc>
        <w:tc>
          <w:tcPr>
            <w:tcW w:w="3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2"/>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Compound embedded derivative with the Second Lien Facility Agreement</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center"/>
              <w:ind w:left="1313"/>
              <w:spacing w:after="0"/>
              <w:rPr>
                <w:sz w:val="20"/>
                <w:szCs w:val="20"/>
                <w:color w:val="auto"/>
              </w:rPr>
            </w:pPr>
            <w:r>
              <w:rPr>
                <w:rFonts w:ascii="Arial" w:cs="Arial" w:eastAsia="Arial" w:hAnsi="Arial"/>
                <w:sz w:val="17"/>
                <w:szCs w:val="17"/>
                <w:color w:val="auto"/>
                <w:w w:val="91"/>
              </w:rPr>
              <w:t>286</w:t>
            </w:r>
          </w:p>
        </w:tc>
      </w:tr>
      <w:tr>
        <w:trPr>
          <w:trHeight w:val="24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derivative assets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7"/>
                <w:szCs w:val="17"/>
                <w:color w:val="auto"/>
                <w:w w:val="91"/>
              </w:rPr>
              <w:t>286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liabilities:</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2"/>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Compound embedded derivative with the 2013 8.00% Notes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center"/>
              <w:ind w:left="1313"/>
              <w:spacing w:after="0"/>
              <w:rPr>
                <w:sz w:val="20"/>
                <w:szCs w:val="20"/>
                <w:color w:val="auto"/>
              </w:rPr>
            </w:pPr>
            <w:r>
              <w:rPr>
                <w:rFonts w:ascii="Arial" w:cs="Arial" w:eastAsia="Arial" w:hAnsi="Arial"/>
                <w:sz w:val="17"/>
                <w:szCs w:val="17"/>
                <w:color w:val="auto"/>
                <w:w w:val="95"/>
              </w:rPr>
              <w:t>(123)</w:t>
            </w:r>
          </w:p>
        </w:tc>
      </w:tr>
      <w:tr>
        <w:trPr>
          <w:trHeight w:val="24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derivative liabilities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7"/>
                <w:szCs w:val="17"/>
                <w:color w:val="auto"/>
                <w:w w:val="95"/>
              </w:rPr>
              <w:t>(123)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derivative asset recorded for the Compound embedded derivative with the Second Lien Facility Agreement is included in Intangible and other assets, net on the Company's consolidated balance sheets.</w:t>
      </w:r>
    </w:p>
    <w:p>
      <w:pPr>
        <w:spacing w:after="0" w:line="184" w:lineRule="exact"/>
        <w:rPr>
          <w:sz w:val="20"/>
          <w:szCs w:val="20"/>
          <w:color w:val="auto"/>
        </w:rPr>
      </w:pPr>
    </w:p>
    <w:p>
      <w:pPr>
        <w:jc w:val="both"/>
        <w:ind w:firstLine="285"/>
        <w:spacing w:after="0" w:line="288" w:lineRule="auto"/>
        <w:rPr>
          <w:sz w:val="20"/>
          <w:szCs w:val="20"/>
          <w:color w:val="auto"/>
        </w:rPr>
      </w:pPr>
      <w:r>
        <w:rPr>
          <w:rFonts w:ascii="Arial" w:cs="Arial" w:eastAsia="Arial" w:hAnsi="Arial"/>
          <w:sz w:val="17"/>
          <w:szCs w:val="17"/>
          <w:color w:val="auto"/>
        </w:rPr>
        <w:t>The following table discloses the changes in value recorded as derivative gain (loss) in the Company’s condensed consolidated statement of operations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ind w:left="10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7"/>
                <w:szCs w:val="17"/>
                <w:color w:val="auto"/>
              </w:rPr>
              <w:t>June 30, 2021</w:t>
            </w:r>
          </w:p>
        </w:tc>
        <w:tc>
          <w:tcPr>
            <w:tcW w:w="28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7"/>
                <w:szCs w:val="17"/>
                <w:color w:val="auto"/>
              </w:rPr>
              <w:t>June 30, 2020</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7"/>
                <w:szCs w:val="17"/>
                <w:color w:val="auto"/>
              </w:rPr>
              <w:t>June 30, 2021</w:t>
            </w:r>
          </w:p>
        </w:tc>
        <w:tc>
          <w:tcPr>
            <w:tcW w:w="280" w:type="dxa"/>
            <w:vAlign w:val="bottom"/>
          </w:tcPr>
          <w:p>
            <w:pPr>
              <w:spacing w:after="0"/>
              <w:rPr>
                <w:sz w:val="18"/>
                <w:szCs w:val="18"/>
                <w:color w:val="auto"/>
              </w:rPr>
            </w:pPr>
          </w:p>
        </w:tc>
        <w:tc>
          <w:tcPr>
            <w:tcW w:w="1600" w:type="dxa"/>
            <w:vAlign w:val="bottom"/>
          </w:tcPr>
          <w:p>
            <w:pPr>
              <w:ind w:left="180"/>
              <w:spacing w:after="0"/>
              <w:rPr>
                <w:sz w:val="20"/>
                <w:szCs w:val="20"/>
                <w:color w:val="auto"/>
              </w:rPr>
            </w:pPr>
            <w:r>
              <w:rPr>
                <w:rFonts w:ascii="Arial" w:cs="Arial" w:eastAsia="Arial" w:hAnsi="Arial"/>
                <w:sz w:val="17"/>
                <w:szCs w:val="17"/>
                <w:color w:val="auto"/>
              </w:rPr>
              <w:t>June 30, 2020</w:t>
            </w:r>
          </w:p>
        </w:tc>
        <w:tc>
          <w:tcPr>
            <w:tcW w:w="0" w:type="dxa"/>
            <w:vAlign w:val="bottom"/>
          </w:tcPr>
          <w:p>
            <w:pPr>
              <w:spacing w:after="0"/>
              <w:rPr>
                <w:sz w:val="1"/>
                <w:szCs w:val="1"/>
                <w:color w:val="auto"/>
              </w:rPr>
            </w:pPr>
          </w:p>
        </w:tc>
      </w:tr>
      <w:tr>
        <w:trPr>
          <w:trHeight w:val="151"/>
        </w:trPr>
        <w:tc>
          <w:tcPr>
            <w:tcW w:w="340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w w:val="95"/>
              </w:rPr>
              <w:t>Compound embedded derivative with the 2013</w:t>
            </w:r>
          </w:p>
        </w:tc>
        <w:tc>
          <w:tcPr>
            <w:tcW w:w="280" w:type="dxa"/>
            <w:vAlign w:val="bottom"/>
            <w:tcBorders>
              <w:top w:val="single" w:sz="8" w:color="auto"/>
            </w:tcBorders>
            <w:vMerge w:val="restart"/>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vMerge w:val="restart"/>
            <w:shd w:val="clear" w:color="auto" w:fill="CCEEFF"/>
          </w:tcPr>
          <w:p>
            <w:pPr>
              <w:jc w:val="center"/>
              <w:ind w:left="1133"/>
              <w:spacing w:after="0"/>
              <w:rPr>
                <w:sz w:val="20"/>
                <w:szCs w:val="20"/>
                <w:color w:val="auto"/>
              </w:rPr>
            </w:pPr>
            <w:r>
              <w:rPr>
                <w:rFonts w:ascii="Arial" w:cs="Arial" w:eastAsia="Arial" w:hAnsi="Arial"/>
                <w:sz w:val="17"/>
                <w:szCs w:val="17"/>
                <w:color w:val="auto"/>
                <w:w w:val="91"/>
              </w:rPr>
              <w:t>267</w:t>
            </w:r>
          </w:p>
        </w:tc>
        <w:tc>
          <w:tcPr>
            <w:tcW w:w="0" w:type="dxa"/>
            <w:vAlign w:val="bottom"/>
          </w:tcPr>
          <w:p>
            <w:pPr>
              <w:spacing w:after="0"/>
              <w:rPr>
                <w:sz w:val="1"/>
                <w:szCs w:val="1"/>
                <w:color w:val="auto"/>
              </w:rPr>
            </w:pPr>
          </w:p>
        </w:tc>
      </w:tr>
      <w:tr>
        <w:trPr>
          <w:trHeight w:val="221"/>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8.00% Notes</w:t>
            </w:r>
          </w:p>
        </w:tc>
        <w:tc>
          <w:tcPr>
            <w:tcW w:w="28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20"/>
              <w:spacing w:after="0" w:line="171" w:lineRule="exact"/>
              <w:rPr>
                <w:sz w:val="20"/>
                <w:szCs w:val="20"/>
                <w:color w:val="auto"/>
              </w:rPr>
            </w:pPr>
            <w:r>
              <w:rPr>
                <w:rFonts w:ascii="Arial" w:cs="Arial" w:eastAsia="Arial" w:hAnsi="Arial"/>
                <w:sz w:val="17"/>
                <w:szCs w:val="17"/>
                <w:color w:val="auto"/>
                <w:w w:val="95"/>
              </w:rPr>
              <w:t>Compound embedded derivative with the Loan</w:t>
            </w:r>
          </w:p>
        </w:tc>
        <w:tc>
          <w:tcPr>
            <w:tcW w:w="280" w:type="dxa"/>
            <w:vAlign w:val="bottom"/>
          </w:tcPr>
          <w:p>
            <w:pPr>
              <w:spacing w:after="0"/>
              <w:rPr>
                <w:sz w:val="14"/>
                <w:szCs w:val="14"/>
                <w:color w:val="auto"/>
              </w:rPr>
            </w:pPr>
          </w:p>
        </w:tc>
        <w:tc>
          <w:tcPr>
            <w:tcW w:w="1700" w:type="dxa"/>
            <w:vAlign w:val="bottom"/>
            <w:gridSpan w:val="2"/>
            <w:vMerge w:val="restart"/>
          </w:tcPr>
          <w:p>
            <w:pPr>
              <w:ind w:left="13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600" w:type="dxa"/>
            <w:vAlign w:val="bottom"/>
            <w:vMerge w:val="restart"/>
          </w:tcPr>
          <w:p>
            <w:pPr>
              <w:jc w:val="center"/>
              <w:ind w:left="1133"/>
              <w:spacing w:after="0"/>
              <w:rPr>
                <w:sz w:val="20"/>
                <w:szCs w:val="20"/>
                <w:color w:val="auto"/>
              </w:rPr>
            </w:pPr>
            <w:r>
              <w:rPr>
                <w:rFonts w:ascii="Arial" w:cs="Arial" w:eastAsia="Arial" w:hAnsi="Arial"/>
                <w:sz w:val="17"/>
                <w:szCs w:val="17"/>
                <w:color w:val="auto"/>
                <w:w w:val="91"/>
              </w:rPr>
              <w:t>212</w:t>
            </w:r>
          </w:p>
        </w:tc>
        <w:tc>
          <w:tcPr>
            <w:tcW w:w="0" w:type="dxa"/>
            <w:vAlign w:val="bottom"/>
          </w:tcPr>
          <w:p>
            <w:pPr>
              <w:spacing w:after="0"/>
              <w:rPr>
                <w:sz w:val="1"/>
                <w:szCs w:val="1"/>
                <w:color w:val="auto"/>
              </w:rPr>
            </w:pPr>
          </w:p>
        </w:tc>
      </w:tr>
      <w:tr>
        <w:trPr>
          <w:trHeight w:val="221"/>
        </w:trPr>
        <w:tc>
          <w:tcPr>
            <w:tcW w:w="3400" w:type="dxa"/>
            <w:vAlign w:val="bottom"/>
          </w:tcPr>
          <w:p>
            <w:pPr>
              <w:ind w:left="20"/>
              <w:spacing w:after="0"/>
              <w:rPr>
                <w:sz w:val="20"/>
                <w:szCs w:val="20"/>
                <w:color w:val="auto"/>
              </w:rPr>
            </w:pPr>
            <w:r>
              <w:rPr>
                <w:rFonts w:ascii="Arial" w:cs="Arial" w:eastAsia="Arial" w:hAnsi="Arial"/>
                <w:sz w:val="17"/>
                <w:szCs w:val="17"/>
                <w:color w:val="auto"/>
              </w:rPr>
              <w:t>Agreement with Thermo</w:t>
            </w:r>
          </w:p>
        </w:tc>
        <w:tc>
          <w:tcPr>
            <w:tcW w:w="28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Compound embedded derivative with the</w:t>
            </w: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center"/>
              <w:ind w:left="1093"/>
              <w:spacing w:after="0"/>
              <w:rPr>
                <w:sz w:val="20"/>
                <w:szCs w:val="20"/>
                <w:color w:val="auto"/>
              </w:rPr>
            </w:pPr>
            <w:r>
              <w:rPr>
                <w:rFonts w:ascii="Arial" w:cs="Arial" w:eastAsia="Arial" w:hAnsi="Arial"/>
                <w:sz w:val="17"/>
                <w:szCs w:val="17"/>
                <w:color w:val="auto"/>
                <w:w w:val="95"/>
              </w:rPr>
              <w:t>(140)</w:t>
            </w:r>
          </w:p>
        </w:tc>
        <w:tc>
          <w:tcPr>
            <w:tcW w:w="0" w:type="dxa"/>
            <w:vAlign w:val="bottom"/>
          </w:tcPr>
          <w:p>
            <w:pPr>
              <w:spacing w:after="0"/>
              <w:rPr>
                <w:sz w:val="1"/>
                <w:szCs w:val="1"/>
                <w:color w:val="auto"/>
              </w:rPr>
            </w:pPr>
          </w:p>
        </w:tc>
      </w:tr>
      <w:tr>
        <w:trPr>
          <w:trHeight w:val="221"/>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Second Lien Facility Agreement</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7"/>
                <w:szCs w:val="17"/>
                <w:color w:val="auto"/>
              </w:rPr>
              <w:t>Total derivative loss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center"/>
              <w:ind w:left="1133"/>
              <w:spacing w:after="0"/>
              <w:rPr>
                <w:sz w:val="20"/>
                <w:szCs w:val="20"/>
                <w:color w:val="auto"/>
              </w:rPr>
            </w:pPr>
            <w:r>
              <w:rPr>
                <w:rFonts w:ascii="Arial" w:cs="Arial" w:eastAsia="Arial" w:hAnsi="Arial"/>
                <w:sz w:val="17"/>
                <w:szCs w:val="17"/>
                <w:color w:val="auto"/>
                <w:w w:val="91"/>
              </w:rPr>
              <w:t>339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274"/>
        <w:spacing w:after="0" w:line="251" w:lineRule="auto"/>
        <w:rPr>
          <w:sz w:val="20"/>
          <w:szCs w:val="20"/>
          <w:color w:val="auto"/>
        </w:rPr>
      </w:pPr>
      <w:r>
        <w:rPr>
          <w:rFonts w:ascii="Arial" w:cs="Arial" w:eastAsia="Arial" w:hAnsi="Arial"/>
          <w:sz w:val="17"/>
          <w:szCs w:val="17"/>
          <w:color w:val="auto"/>
        </w:rPr>
        <w:t>The fair value of each embedded derivative liability is marked-to-market at the end of each reporting period, or more frequently as deemed necessary, with any changes in value reported in its condensed consolidated statements of operations and its condensed consolidated statements of cash flows as an operating activity. The Company classifies its derivatives consistent with the classification of the underlying debt on the Company's condensed consolidated balance sheet. See Note 7: Fair Value Measurements for further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FAIR VALUE MEASUREMENTS</w:t>
      </w:r>
    </w:p>
    <w:p>
      <w:pPr>
        <w:spacing w:after="0" w:line="25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Unadjusted quoted prices in active markets that are accessible at the measurement date for identical assets or liabilities.</w:t>
      </w:r>
    </w:p>
    <w:p>
      <w:pPr>
        <w:spacing w:after="0" w:line="249"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Quoted prices in markets that are not active or inputs which are observable, either directly or indirectly, for substantially the full term of the asset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w:t>
      </w:r>
    </w:p>
    <w:p>
      <w:pPr>
        <w:spacing w:after="0" w:line="184"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Prices or valuation techniques that require inputs that are both significant to the fair value measurement and unobservable (i.e., supported by little</w:t>
      </w:r>
      <w:r>
        <w:rPr>
          <w:rFonts w:ascii="Arial" w:cs="Arial" w:eastAsia="Arial" w:hAnsi="Arial"/>
          <w:sz w:val="17"/>
          <w:szCs w:val="17"/>
          <w:i w:val="1"/>
          <w:iCs w:val="1"/>
          <w:color w:val="auto"/>
        </w:rPr>
        <w:t xml:space="preserve"> </w:t>
      </w:r>
      <w:r>
        <w:rPr>
          <w:rFonts w:ascii="Arial" w:cs="Arial" w:eastAsia="Arial" w:hAnsi="Arial"/>
          <w:sz w:val="17"/>
          <w:szCs w:val="17"/>
          <w:color w:val="auto"/>
        </w:rPr>
        <w:t>or no market activity).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9" w:name="page20"/>
    <w:bookmarkEnd w:id="19"/>
    <w:p>
      <w:pPr>
        <w:ind w:firstLine="314"/>
        <w:spacing w:after="0" w:line="321" w:lineRule="auto"/>
        <w:rPr>
          <w:sz w:val="20"/>
          <w:szCs w:val="20"/>
          <w:color w:val="auto"/>
        </w:rPr>
      </w:pPr>
      <w:r>
        <w:rPr>
          <w:rFonts w:ascii="Arial" w:cs="Arial" w:eastAsia="Arial" w:hAnsi="Arial"/>
          <w:sz w:val="16"/>
          <w:szCs w:val="16"/>
          <w:color w:val="auto"/>
        </w:rPr>
        <w:t>All of the Company's derivative assets and liabilities are classified as Level 3. The Company marks-to-market these assets and liabilities at each reporting date, or more frequently as deemed necessary, with the changes in fair value recognized in the Company’s condensed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provide a summary of the assets and liabilities measured at fair value on a recurring basis (in thousands):</w:t>
      </w:r>
    </w:p>
    <w:p>
      <w:pPr>
        <w:spacing w:after="0" w:line="53"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7"/>
                <w:szCs w:val="17"/>
                <w:color w:val="auto"/>
              </w:rPr>
              <w:t>(Level 1)</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7"/>
                <w:szCs w:val="17"/>
                <w:color w:val="auto"/>
              </w:rPr>
              <w:t>(Level 2)</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4"/>
            <w:vMerge w:val="restart"/>
          </w:tcPr>
          <w:p>
            <w:pPr>
              <w:ind w:left="280"/>
              <w:spacing w:after="0"/>
              <w:rPr>
                <w:sz w:val="20"/>
                <w:szCs w:val="20"/>
                <w:color w:val="auto"/>
              </w:rPr>
            </w:pPr>
            <w:r>
              <w:rPr>
                <w:rFonts w:ascii="Arial" w:cs="Arial" w:eastAsia="Arial" w:hAnsi="Arial"/>
                <w:sz w:val="17"/>
                <w:szCs w:val="17"/>
                <w:color w:val="auto"/>
              </w:rPr>
              <w:t>(Level 3)</w:t>
            </w: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120"/>
              <w:spacing w:after="0" w:line="164" w:lineRule="exact"/>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Balance</w:t>
            </w: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80" w:type="dxa"/>
            <w:vAlign w:val="bottom"/>
            <w:gridSpan w:val="8"/>
          </w:tcPr>
          <w:p>
            <w:pPr>
              <w:ind w:left="120"/>
              <w:spacing w:after="0" w:line="171" w:lineRule="exact"/>
              <w:rPr>
                <w:sz w:val="20"/>
                <w:szCs w:val="20"/>
                <w:color w:val="auto"/>
              </w:rPr>
            </w:pPr>
            <w:r>
              <w:rPr>
                <w:rFonts w:ascii="Arial" w:cs="Arial" w:eastAsia="Arial" w:hAnsi="Arial"/>
                <w:sz w:val="17"/>
                <w:szCs w:val="17"/>
                <w:color w:val="auto"/>
              </w:rPr>
              <w:t>Compound embedded derivative with the Second Lien Facility</w:t>
            </w:r>
          </w:p>
        </w:tc>
        <w:tc>
          <w:tcPr>
            <w:tcW w:w="1180" w:type="dxa"/>
            <w:vAlign w:val="bottom"/>
            <w:vMerge w:val="restart"/>
          </w:tcPr>
          <w:p>
            <w:pPr>
              <w:ind w:left="94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restart"/>
          </w:tcPr>
          <w:p>
            <w:pPr>
              <w:jc w:val="center"/>
              <w:ind w:left="793"/>
              <w:spacing w:after="0"/>
              <w:rPr>
                <w:sz w:val="20"/>
                <w:szCs w:val="20"/>
                <w:color w:val="auto"/>
              </w:rPr>
            </w:pPr>
            <w:r>
              <w:rPr>
                <w:rFonts w:ascii="Arial" w:cs="Arial" w:eastAsia="Arial" w:hAnsi="Arial"/>
                <w:sz w:val="17"/>
                <w:szCs w:val="17"/>
                <w:color w:val="auto"/>
              </w:rPr>
              <w:t>—</w:t>
            </w:r>
          </w:p>
        </w:tc>
        <w:tc>
          <w:tcPr>
            <w:tcW w:w="100" w:type="dxa"/>
            <w:vAlign w:val="bottom"/>
            <w:gridSpan w:val="2"/>
            <w:vMerge w:val="restart"/>
          </w:tcPr>
          <w:p>
            <w:pPr>
              <w:spacing w:after="0"/>
              <w:rPr>
                <w:sz w:val="14"/>
                <w:szCs w:val="14"/>
                <w:color w:val="auto"/>
              </w:rPr>
            </w:pPr>
          </w:p>
        </w:tc>
        <w:tc>
          <w:tcPr>
            <w:tcW w:w="12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320" w:type="dxa"/>
            <w:vAlign w:val="bottom"/>
            <w:vMerge w:val="restart"/>
          </w:tcPr>
          <w:p>
            <w:pPr>
              <w:ind w:left="980"/>
              <w:spacing w:after="0"/>
              <w:rPr>
                <w:sz w:val="20"/>
                <w:szCs w:val="20"/>
                <w:color w:val="auto"/>
              </w:rPr>
            </w:pPr>
            <w:r>
              <w:rPr>
                <w:rFonts w:ascii="Arial" w:cs="Arial" w:eastAsia="Arial" w:hAnsi="Arial"/>
                <w:sz w:val="17"/>
                <w:szCs w:val="17"/>
                <w:color w:val="auto"/>
              </w:rPr>
              <w:t>668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668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3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Agreement</w:t>
            </w: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auto"/>
            </w:tcBorders>
            <w:gridSpan w:val="3"/>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assets measured at fair value</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left="693"/>
              <w:spacing w:after="0"/>
              <w:rPr>
                <w:sz w:val="20"/>
                <w:szCs w:val="20"/>
                <w:color w:val="auto"/>
              </w:rPr>
            </w:pPr>
            <w:r>
              <w:rPr>
                <w:rFonts w:ascii="Arial" w:cs="Arial" w:eastAsia="Arial" w:hAnsi="Arial"/>
                <w:sz w:val="17"/>
                <w:szCs w:val="17"/>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668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w w:val="92"/>
              </w:rPr>
              <w:t>Compound embedded derivative with the 2013 8.00% Notes</w:t>
            </w: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9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(2,944)</w:t>
            </w:r>
          </w:p>
        </w:tc>
        <w:tc>
          <w:tcPr>
            <w:tcW w:w="0" w:type="dxa"/>
            <w:vAlign w:val="bottom"/>
          </w:tcPr>
          <w:p>
            <w:pPr>
              <w:spacing w:after="0"/>
              <w:rPr>
                <w:sz w:val="1"/>
                <w:szCs w:val="1"/>
                <w:color w:val="auto"/>
              </w:rPr>
            </w:pPr>
          </w:p>
        </w:tc>
      </w:tr>
      <w:tr>
        <w:trPr>
          <w:trHeight w:val="235"/>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left="79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(2,944)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ind w:left="560"/>
              <w:spacing w:after="0"/>
              <w:rPr>
                <w:sz w:val="20"/>
                <w:szCs w:val="20"/>
                <w:color w:val="auto"/>
              </w:rPr>
            </w:pPr>
            <w:r>
              <w:rPr>
                <w:rFonts w:ascii="Arial" w:cs="Arial" w:eastAsia="Arial" w:hAnsi="Arial"/>
                <w:sz w:val="17"/>
                <w:szCs w:val="17"/>
                <w:color w:val="auto"/>
              </w:rPr>
              <w:t>December 31, 2020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color w:val="auto"/>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restart"/>
          </w:tcPr>
          <w:p>
            <w:pPr>
              <w:ind w:left="160"/>
              <w:spacing w:after="0"/>
              <w:rPr>
                <w:sz w:val="20"/>
                <w:szCs w:val="20"/>
                <w:color w:val="auto"/>
              </w:rPr>
            </w:pPr>
            <w:r>
              <w:rPr>
                <w:rFonts w:ascii="Arial" w:cs="Arial" w:eastAsia="Arial" w:hAnsi="Arial"/>
                <w:sz w:val="17"/>
                <w:szCs w:val="17"/>
                <w:color w:val="auto"/>
              </w:rPr>
              <w:t>(Level 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vMerge w:val="restart"/>
          </w:tcPr>
          <w:p>
            <w:pPr>
              <w:ind w:left="280"/>
              <w:spacing w:after="0"/>
              <w:rPr>
                <w:sz w:val="20"/>
                <w:szCs w:val="20"/>
                <w:color w:val="auto"/>
              </w:rPr>
            </w:pPr>
            <w:r>
              <w:rPr>
                <w:rFonts w:ascii="Arial" w:cs="Arial" w:eastAsia="Arial" w:hAnsi="Arial"/>
                <w:sz w:val="17"/>
                <w:szCs w:val="17"/>
                <w:color w:val="auto"/>
              </w:rPr>
              <w:t>(Level 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Balance</w:t>
            </w:r>
          </w:p>
        </w:tc>
        <w:tc>
          <w:tcPr>
            <w:tcW w:w="0" w:type="dxa"/>
            <w:vAlign w:val="bottom"/>
          </w:tcPr>
          <w:p>
            <w:pPr>
              <w:spacing w:after="0"/>
              <w:rPr>
                <w:sz w:val="1"/>
                <w:szCs w:val="1"/>
                <w:color w:val="auto"/>
              </w:rPr>
            </w:pPr>
          </w:p>
        </w:tc>
      </w:tr>
      <w:tr>
        <w:trPr>
          <w:trHeight w:val="215"/>
        </w:trPr>
        <w:tc>
          <w:tcPr>
            <w:tcW w:w="4340" w:type="dxa"/>
            <w:vAlign w:val="bottom"/>
            <w:gridSpan w:val="3"/>
          </w:tcPr>
          <w:p>
            <w:pPr>
              <w:ind w:left="20"/>
              <w:spacing w:after="0"/>
              <w:rPr>
                <w:sz w:val="20"/>
                <w:szCs w:val="20"/>
                <w:color w:val="auto"/>
              </w:rPr>
            </w:pPr>
            <w:r>
              <w:rPr>
                <w:rFonts w:ascii="Arial" w:cs="Arial" w:eastAsia="Arial" w:hAnsi="Arial"/>
                <w:sz w:val="17"/>
                <w:szCs w:val="17"/>
                <w:color w:val="auto"/>
              </w:rPr>
              <w:t>Assets:</w:t>
            </w:r>
          </w:p>
        </w:tc>
        <w:tc>
          <w:tcPr>
            <w:tcW w:w="9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80" w:type="dxa"/>
            <w:vAlign w:val="bottom"/>
            <w:gridSpan w:val="8"/>
          </w:tcPr>
          <w:p>
            <w:pPr>
              <w:ind w:left="120"/>
              <w:spacing w:after="0" w:line="171" w:lineRule="exact"/>
              <w:rPr>
                <w:sz w:val="20"/>
                <w:szCs w:val="20"/>
                <w:color w:val="auto"/>
              </w:rPr>
            </w:pPr>
            <w:r>
              <w:rPr>
                <w:rFonts w:ascii="Arial" w:cs="Arial" w:eastAsia="Arial" w:hAnsi="Arial"/>
                <w:sz w:val="17"/>
                <w:szCs w:val="17"/>
                <w:color w:val="auto"/>
              </w:rPr>
              <w:t>Compound embedded derivative with the Second Lien Facility</w:t>
            </w:r>
          </w:p>
        </w:tc>
        <w:tc>
          <w:tcPr>
            <w:tcW w:w="1180" w:type="dxa"/>
            <w:vAlign w:val="bottom"/>
            <w:vMerge w:val="restart"/>
          </w:tcPr>
          <w:p>
            <w:pPr>
              <w:ind w:left="94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restart"/>
          </w:tcPr>
          <w:p>
            <w:pPr>
              <w:jc w:val="center"/>
              <w:ind w:left="793"/>
              <w:spacing w:after="0"/>
              <w:rPr>
                <w:sz w:val="20"/>
                <w:szCs w:val="20"/>
                <w:color w:val="auto"/>
              </w:rPr>
            </w:pPr>
            <w:r>
              <w:rPr>
                <w:rFonts w:ascii="Arial" w:cs="Arial" w:eastAsia="Arial" w:hAnsi="Arial"/>
                <w:sz w:val="17"/>
                <w:szCs w:val="17"/>
                <w:color w:val="auto"/>
              </w:rPr>
              <w:t>—</w:t>
            </w:r>
          </w:p>
        </w:tc>
        <w:tc>
          <w:tcPr>
            <w:tcW w:w="100" w:type="dxa"/>
            <w:vAlign w:val="bottom"/>
            <w:gridSpan w:val="2"/>
            <w:vMerge w:val="restart"/>
          </w:tcPr>
          <w:p>
            <w:pPr>
              <w:spacing w:after="0"/>
              <w:rPr>
                <w:sz w:val="14"/>
                <w:szCs w:val="14"/>
                <w:color w:val="auto"/>
              </w:rPr>
            </w:pPr>
          </w:p>
        </w:tc>
        <w:tc>
          <w:tcPr>
            <w:tcW w:w="12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320" w:type="dxa"/>
            <w:vAlign w:val="bottom"/>
            <w:vMerge w:val="restart"/>
          </w:tcPr>
          <w:p>
            <w:pPr>
              <w:ind w:left="980"/>
              <w:spacing w:after="0"/>
              <w:rPr>
                <w:sz w:val="20"/>
                <w:szCs w:val="20"/>
                <w:color w:val="auto"/>
              </w:rPr>
            </w:pPr>
            <w:r>
              <w:rPr>
                <w:rFonts w:ascii="Arial" w:cs="Arial" w:eastAsia="Arial" w:hAnsi="Arial"/>
                <w:sz w:val="17"/>
                <w:szCs w:val="17"/>
                <w:color w:val="auto"/>
              </w:rPr>
              <w:t>286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286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3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Agreement</w:t>
            </w: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auto"/>
            </w:tcBorders>
            <w:gridSpan w:val="3"/>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assets measured at fair value</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left="693"/>
              <w:spacing w:after="0"/>
              <w:rPr>
                <w:sz w:val="20"/>
                <w:szCs w:val="20"/>
                <w:color w:val="auto"/>
              </w:rPr>
            </w:pPr>
            <w:r>
              <w:rPr>
                <w:rFonts w:ascii="Arial" w:cs="Arial" w:eastAsia="Arial" w:hAnsi="Arial"/>
                <w:sz w:val="17"/>
                <w:szCs w:val="17"/>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286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w w:val="92"/>
              </w:rPr>
              <w:t>Compound embedded derivative with the 2013 8.00% Notes</w:t>
            </w: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9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35"/>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left="693"/>
              <w:spacing w:after="0"/>
              <w:rPr>
                <w:sz w:val="20"/>
                <w:szCs w:val="20"/>
                <w:color w:val="auto"/>
              </w:rPr>
            </w:pPr>
            <w:r>
              <w:rPr>
                <w:rFonts w:ascii="Arial" w:cs="Arial" w:eastAsia="Arial" w:hAnsi="Arial"/>
                <w:sz w:val="17"/>
                <w:szCs w:val="17"/>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i w:val="1"/>
                <w:iCs w:val="1"/>
                <w:color w:val="auto"/>
              </w:rPr>
              <w:t>2013 8.00% Notes</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34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8280" w:type="dxa"/>
            <w:vAlign w:val="bottom"/>
            <w:gridSpan w:val="17"/>
          </w:tcPr>
          <w:p>
            <w:pPr>
              <w:ind w:left="320"/>
              <w:spacing w:after="0"/>
              <w:rPr>
                <w:sz w:val="20"/>
                <w:szCs w:val="20"/>
                <w:color w:val="auto"/>
              </w:rPr>
            </w:pPr>
            <w:r>
              <w:rPr>
                <w:rFonts w:ascii="Arial" w:cs="Arial" w:eastAsia="Arial" w:hAnsi="Arial"/>
                <w:sz w:val="17"/>
                <w:szCs w:val="17"/>
                <w:color w:val="auto"/>
              </w:rPr>
              <w:t>The significant quantitative Level 3 inputs utilized in the valuation models are shown in the tables below:</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9"/>
              </w:rPr>
              <w:t>June 30, 2021</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6"/>
            <w:vMerge w:val="restart"/>
          </w:tcPr>
          <w:p>
            <w:pPr>
              <w:ind w:left="260"/>
              <w:spacing w:after="0"/>
              <w:rPr>
                <w:sz w:val="20"/>
                <w:szCs w:val="20"/>
                <w:color w:val="auto"/>
              </w:rPr>
            </w:pPr>
            <w:r>
              <w:rPr>
                <w:rFonts w:ascii="Arial" w:cs="Arial" w:eastAsia="Arial" w:hAnsi="Arial"/>
                <w:sz w:val="17"/>
                <w:szCs w:val="17"/>
                <w:color w:val="auto"/>
              </w:rPr>
              <w:t>Stock Price</w:t>
            </w:r>
          </w:p>
        </w:tc>
        <w:tc>
          <w:tcPr>
            <w:tcW w:w="1280" w:type="dxa"/>
            <w:vAlign w:val="bottom"/>
            <w:gridSpan w:val="2"/>
          </w:tcPr>
          <w:p>
            <w:pPr>
              <w:jc w:val="center"/>
              <w:ind w:left="53"/>
              <w:spacing w:after="0" w:line="164" w:lineRule="exact"/>
              <w:rPr>
                <w:sz w:val="20"/>
                <w:szCs w:val="20"/>
                <w:color w:val="auto"/>
              </w:rPr>
            </w:pPr>
            <w:r>
              <w:rPr>
                <w:rFonts w:ascii="Arial" w:cs="Arial" w:eastAsia="Arial" w:hAnsi="Arial"/>
                <w:sz w:val="17"/>
                <w:szCs w:val="17"/>
                <w:color w:val="auto"/>
                <w:w w:val="94"/>
              </w:rPr>
              <w:t>Risk-Free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spacing w:after="0" w:line="164" w:lineRule="exact"/>
              <w:rPr>
                <w:sz w:val="20"/>
                <w:szCs w:val="20"/>
                <w:color w:val="auto"/>
              </w:rPr>
            </w:pPr>
            <w:r>
              <w:rPr>
                <w:rFonts w:ascii="Arial" w:cs="Arial" w:eastAsia="Arial" w:hAnsi="Arial"/>
                <w:sz w:val="17"/>
                <w:szCs w:val="17"/>
                <w:color w:val="auto"/>
                <w:w w:val="94"/>
              </w:rPr>
              <w:t>Note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Market Price of</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6"/>
            <w:vMerge w:val="continue"/>
          </w:tcPr>
          <w:p>
            <w:pPr>
              <w:spacing w:after="0"/>
              <w:rPr>
                <w:sz w:val="14"/>
                <w:szCs w:val="14"/>
                <w:color w:val="auto"/>
              </w:rPr>
            </w:pPr>
          </w:p>
        </w:tc>
        <w:tc>
          <w:tcPr>
            <w:tcW w:w="1280" w:type="dxa"/>
            <w:vAlign w:val="bottom"/>
            <w:gridSpan w:val="2"/>
          </w:tcPr>
          <w:p>
            <w:pPr>
              <w:jc w:val="center"/>
              <w:ind w:left="73"/>
              <w:spacing w:after="0" w:line="170" w:lineRule="exact"/>
              <w:rPr>
                <w:sz w:val="20"/>
                <w:szCs w:val="20"/>
                <w:color w:val="auto"/>
              </w:rPr>
            </w:pPr>
            <w:r>
              <w:rPr>
                <w:rFonts w:ascii="Arial" w:cs="Arial" w:eastAsia="Arial" w:hAnsi="Arial"/>
                <w:sz w:val="17"/>
                <w:szCs w:val="17"/>
                <w:color w:val="auto"/>
                <w:w w:val="91"/>
              </w:rPr>
              <w:t>Interest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spacing w:after="0" w:line="170" w:lineRule="exact"/>
              <w:rPr>
                <w:sz w:val="20"/>
                <w:szCs w:val="20"/>
                <w:color w:val="auto"/>
              </w:rPr>
            </w:pPr>
            <w:r>
              <w:rPr>
                <w:rFonts w:ascii="Arial" w:cs="Arial" w:eastAsia="Arial" w:hAnsi="Arial"/>
                <w:sz w:val="17"/>
                <w:szCs w:val="17"/>
                <w:color w:val="auto"/>
                <w:w w:val="93"/>
              </w:rPr>
              <w:t>Conversion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vMerge w:val="restart"/>
          </w:tcPr>
          <w:p>
            <w:pPr>
              <w:ind w:left="240"/>
              <w:spacing w:after="0"/>
              <w:rPr>
                <w:sz w:val="20"/>
                <w:szCs w:val="20"/>
                <w:color w:val="auto"/>
              </w:rPr>
            </w:pPr>
            <w:r>
              <w:rPr>
                <w:rFonts w:ascii="Arial" w:cs="Arial" w:eastAsia="Arial" w:hAnsi="Arial"/>
                <w:sz w:val="17"/>
                <w:szCs w:val="17"/>
                <w:color w:val="auto"/>
              </w:rPr>
              <w:t>Discount Rate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Volatility</w:t>
            </w:r>
          </w:p>
        </w:tc>
        <w:tc>
          <w:tcPr>
            <w:tcW w:w="100" w:type="dxa"/>
            <w:vAlign w:val="bottom"/>
            <w:tcBorders>
              <w:bottom w:val="single" w:sz="8" w:color="CCEEFF"/>
            </w:tcBorders>
            <w:gridSpan w:val="2"/>
          </w:tcPr>
          <w:p>
            <w:pPr>
              <w:spacing w:after="0"/>
              <w:rPr>
                <w:sz w:val="19"/>
                <w:szCs w:val="19"/>
                <w:color w:val="auto"/>
              </w:rPr>
            </w:pPr>
          </w:p>
        </w:tc>
        <w:tc>
          <w:tcPr>
            <w:tcW w:w="1280" w:type="dxa"/>
            <w:vAlign w:val="bottom"/>
            <w:tcBorders>
              <w:bottom w:val="single" w:sz="8" w:color="auto"/>
            </w:tcBorders>
            <w:gridSpan w:val="2"/>
          </w:tcPr>
          <w:p>
            <w:pPr>
              <w:jc w:val="center"/>
              <w:ind w:left="73"/>
              <w:spacing w:after="0"/>
              <w:rPr>
                <w:sz w:val="20"/>
                <w:szCs w:val="20"/>
                <w:color w:val="auto"/>
              </w:rPr>
            </w:pPr>
            <w:r>
              <w:rPr>
                <w:rFonts w:ascii="Arial" w:cs="Arial" w:eastAsia="Arial" w:hAnsi="Arial"/>
                <w:sz w:val="17"/>
                <w:szCs w:val="17"/>
                <w:color w:val="auto"/>
                <w:w w:val="88"/>
              </w:rPr>
              <w:t>Rate</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2"/>
              </w:rPr>
              <w:t>Price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Common Stock</w:t>
            </w:r>
          </w:p>
        </w:tc>
        <w:tc>
          <w:tcPr>
            <w:tcW w:w="0" w:type="dxa"/>
            <w:vAlign w:val="bottom"/>
          </w:tcPr>
          <w:p>
            <w:pPr>
              <w:spacing w:after="0"/>
              <w:rPr>
                <w:sz w:val="1"/>
                <w:szCs w:val="1"/>
                <w:color w:val="auto"/>
              </w:rPr>
            </w:pPr>
          </w:p>
        </w:tc>
      </w:tr>
      <w:tr>
        <w:trPr>
          <w:trHeight w:val="151"/>
        </w:trPr>
        <w:tc>
          <w:tcPr>
            <w:tcW w:w="40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7"/>
                <w:szCs w:val="17"/>
                <w:color w:val="auto"/>
                <w:w w:val="99"/>
              </w:rPr>
              <w:t>Compound embedded derivative with the 2013 8.00%</w:t>
            </w:r>
          </w:p>
        </w:tc>
        <w:tc>
          <w:tcPr>
            <w:tcW w:w="280" w:type="dxa"/>
            <w:vAlign w:val="bottom"/>
            <w:shd w:val="clear" w:color="auto" w:fill="CCEEFF"/>
          </w:tcPr>
          <w:p>
            <w:pPr>
              <w:spacing w:after="0"/>
              <w:rPr>
                <w:sz w:val="13"/>
                <w:szCs w:val="13"/>
                <w:color w:val="auto"/>
              </w:rPr>
            </w:pPr>
          </w:p>
        </w:tc>
        <w:tc>
          <w:tcPr>
            <w:tcW w:w="10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7"/>
                <w:szCs w:val="17"/>
                <w:color w:val="auto"/>
                <w:w w:val="97"/>
              </w:rPr>
              <w:t>110% - 134%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0.2 %</w:t>
            </w:r>
          </w:p>
        </w:tc>
        <w:tc>
          <w:tcPr>
            <w:tcW w:w="1380" w:type="dxa"/>
            <w:vAlign w:val="bottom"/>
            <w:gridSpan w:val="5"/>
            <w:vMerge w:val="restart"/>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16 %</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21"/>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104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gridSpan w:val="4"/>
            <w:vMerge w:val="continue"/>
            <w:shd w:val="clear" w:color="auto" w:fill="CCEEFF"/>
          </w:tcPr>
          <w:p>
            <w:pPr>
              <w:spacing w:after="0"/>
              <w:rPr>
                <w:sz w:val="19"/>
                <w:szCs w:val="19"/>
                <w:color w:val="auto"/>
              </w:rPr>
            </w:pPr>
          </w:p>
        </w:tc>
        <w:tc>
          <w:tcPr>
            <w:tcW w:w="1380" w:type="dxa"/>
            <w:vAlign w:val="bottom"/>
            <w:gridSpan w:val="5"/>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gridSpan w:val="4"/>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4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color w:val="auto"/>
                <w:w w:val="91"/>
              </w:rPr>
              <w:t>December 31, 2020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6"/>
            <w:vMerge w:val="restart"/>
          </w:tcPr>
          <w:p>
            <w:pPr>
              <w:jc w:val="center"/>
              <w:ind w:right="200"/>
              <w:spacing w:after="0"/>
              <w:rPr>
                <w:sz w:val="20"/>
                <w:szCs w:val="20"/>
                <w:color w:val="auto"/>
              </w:rPr>
            </w:pPr>
            <w:r>
              <w:rPr>
                <w:rFonts w:ascii="Arial" w:cs="Arial" w:eastAsia="Arial" w:hAnsi="Arial"/>
                <w:sz w:val="17"/>
                <w:szCs w:val="17"/>
                <w:color w:val="auto"/>
                <w:w w:val="90"/>
              </w:rPr>
              <w:t>Stock Price</w:t>
            </w:r>
          </w:p>
        </w:tc>
        <w:tc>
          <w:tcPr>
            <w:tcW w:w="1280" w:type="dxa"/>
            <w:vAlign w:val="bottom"/>
            <w:gridSpan w:val="2"/>
          </w:tcPr>
          <w:p>
            <w:pPr>
              <w:jc w:val="center"/>
              <w:spacing w:after="0" w:line="164" w:lineRule="exact"/>
              <w:rPr>
                <w:sz w:val="20"/>
                <w:szCs w:val="20"/>
                <w:color w:val="auto"/>
              </w:rPr>
            </w:pPr>
            <w:r>
              <w:rPr>
                <w:rFonts w:ascii="Arial" w:cs="Arial" w:eastAsia="Arial" w:hAnsi="Arial"/>
                <w:sz w:val="17"/>
                <w:szCs w:val="17"/>
                <w:color w:val="auto"/>
                <w:w w:val="92"/>
              </w:rPr>
              <w:t>Risk-Free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ind w:right="60"/>
              <w:spacing w:after="0" w:line="164" w:lineRule="exact"/>
              <w:rPr>
                <w:sz w:val="20"/>
                <w:szCs w:val="20"/>
                <w:color w:val="auto"/>
              </w:rPr>
            </w:pPr>
            <w:r>
              <w:rPr>
                <w:rFonts w:ascii="Arial" w:cs="Arial" w:eastAsia="Arial" w:hAnsi="Arial"/>
                <w:sz w:val="17"/>
                <w:szCs w:val="17"/>
                <w:color w:val="auto"/>
                <w:w w:val="94"/>
              </w:rPr>
              <w:t>Note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6"/>
              </w:rPr>
              <w:t>Market Price of</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6"/>
            <w:vMerge w:val="continue"/>
          </w:tcPr>
          <w:p>
            <w:pPr>
              <w:spacing w:after="0"/>
              <w:rPr>
                <w:sz w:val="14"/>
                <w:szCs w:val="14"/>
                <w:color w:val="auto"/>
              </w:rPr>
            </w:pPr>
          </w:p>
        </w:tc>
        <w:tc>
          <w:tcPr>
            <w:tcW w:w="1280" w:type="dxa"/>
            <w:vAlign w:val="bottom"/>
            <w:gridSpan w:val="2"/>
          </w:tcPr>
          <w:p>
            <w:pPr>
              <w:jc w:val="center"/>
              <w:spacing w:after="0" w:line="170" w:lineRule="exact"/>
              <w:rPr>
                <w:sz w:val="20"/>
                <w:szCs w:val="20"/>
                <w:color w:val="auto"/>
              </w:rPr>
            </w:pPr>
            <w:r>
              <w:rPr>
                <w:rFonts w:ascii="Arial" w:cs="Arial" w:eastAsia="Arial" w:hAnsi="Arial"/>
                <w:sz w:val="17"/>
                <w:szCs w:val="17"/>
                <w:color w:val="auto"/>
                <w:w w:val="91"/>
              </w:rPr>
              <w:t>Interest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ind w:right="80"/>
              <w:spacing w:after="0" w:line="170" w:lineRule="exact"/>
              <w:rPr>
                <w:sz w:val="20"/>
                <w:szCs w:val="20"/>
                <w:color w:val="auto"/>
              </w:rPr>
            </w:pPr>
            <w:r>
              <w:rPr>
                <w:rFonts w:ascii="Arial" w:cs="Arial" w:eastAsia="Arial" w:hAnsi="Arial"/>
                <w:sz w:val="17"/>
                <w:szCs w:val="17"/>
                <w:color w:val="auto"/>
                <w:w w:val="93"/>
              </w:rPr>
              <w:t>Conversion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7"/>
                <w:szCs w:val="17"/>
                <w:color w:val="auto"/>
              </w:rPr>
              <w:t>Discount Rate</w:t>
            </w:r>
          </w:p>
        </w:tc>
        <w:tc>
          <w:tcPr>
            <w:tcW w:w="4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33"/>
              <w:spacing w:after="0"/>
              <w:rPr>
                <w:sz w:val="20"/>
                <w:szCs w:val="20"/>
                <w:color w:val="auto"/>
              </w:rPr>
            </w:pPr>
            <w:r>
              <w:rPr>
                <w:rFonts w:ascii="Arial" w:cs="Arial" w:eastAsia="Arial" w:hAnsi="Arial"/>
                <w:sz w:val="17"/>
                <w:szCs w:val="17"/>
                <w:color w:val="auto"/>
              </w:rPr>
              <w:t>Volatility</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88"/>
              </w:rPr>
              <w:t>Rate</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7"/>
                <w:szCs w:val="17"/>
                <w:color w:val="auto"/>
                <w:w w:val="92"/>
              </w:rPr>
              <w:t>Price</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CCEEFF"/>
            </w:tcBorders>
            <w:gridSpan w:val="2"/>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Common Stock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02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w w:val="98"/>
              </w:rPr>
              <w:t>Compound embedded derivative with the 2013 8.00%</w:t>
            </w:r>
          </w:p>
        </w:tc>
        <w:tc>
          <w:tcPr>
            <w:tcW w:w="320" w:type="dxa"/>
            <w:vAlign w:val="bottom"/>
            <w:gridSpan w:val="2"/>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40% - 85%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gridSpan w:val="3"/>
            <w:vMerge w:val="restart"/>
            <w:shd w:val="clear" w:color="auto" w:fill="CCEEFF"/>
          </w:tcPr>
          <w:p>
            <w:pPr>
              <w:ind w:left="940"/>
              <w:spacing w:after="0"/>
              <w:rPr>
                <w:sz w:val="20"/>
                <w:szCs w:val="20"/>
                <w:color w:val="auto"/>
              </w:rPr>
            </w:pPr>
            <w:r>
              <w:rPr>
                <w:rFonts w:ascii="Arial" w:cs="Arial" w:eastAsia="Arial" w:hAnsi="Arial"/>
                <w:sz w:val="17"/>
                <w:szCs w:val="17"/>
                <w:color w:val="auto"/>
                <w:w w:val="96"/>
              </w:rPr>
              <w:t>0.1 %</w:t>
            </w:r>
          </w:p>
        </w:tc>
        <w:tc>
          <w:tcPr>
            <w:tcW w:w="40" w:type="dxa"/>
            <w:vAlign w:val="bottom"/>
            <w:shd w:val="clear" w:color="auto" w:fill="CCEEFF"/>
          </w:tcPr>
          <w:p>
            <w:pPr>
              <w:spacing w:after="0"/>
              <w:rPr>
                <w:sz w:val="13"/>
                <w:szCs w:val="13"/>
                <w:color w:val="auto"/>
              </w:rPr>
            </w:pPr>
          </w:p>
        </w:tc>
        <w:tc>
          <w:tcPr>
            <w:tcW w:w="1360" w:type="dxa"/>
            <w:vAlign w:val="bottom"/>
            <w:gridSpan w:val="4"/>
            <w:vMerge w:val="restart"/>
            <w:shd w:val="clear" w:color="auto" w:fill="CCEEFF"/>
          </w:tcPr>
          <w:p>
            <w:pPr>
              <w:jc w:val="center"/>
              <w:ind w:left="833"/>
              <w:spacing w:after="0"/>
              <w:rPr>
                <w:sz w:val="20"/>
                <w:szCs w:val="20"/>
                <w:color w:val="auto"/>
              </w:rPr>
            </w:pPr>
            <w:r>
              <w:rPr>
                <w:rFonts w:ascii="Arial" w:cs="Arial" w:eastAsia="Arial" w:hAnsi="Arial"/>
                <w:sz w:val="17"/>
                <w:szCs w:val="17"/>
                <w:color w:val="auto"/>
                <w:w w:val="93"/>
              </w:rPr>
              <w:t>$0.69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7"/>
                <w:szCs w:val="17"/>
                <w:color w:val="auto"/>
                <w:w w:val="97"/>
              </w:rPr>
              <w:t>19 %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9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2013 8.00% Notes</w:t>
      </w:r>
    </w:p>
    <w:p>
      <w:pPr>
        <w:spacing w:after="0" w:line="24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Fluctuation in the Company’s stock price is a significant driver of the changes in the compound embedded derivative with the 2013 8.00% Notes during each reporting period. As the stock price increases, the value to the holder of the instrument generally increases, thereby increasing the liability on the Company’s condensed consolidated balance sheet. The Company's stock price increased over 400% from December 31, 2020 to June 30, 2021, driving a significant increase in the liability at June 30, 2021. Stock price volatility is also a significant input used in the fair value measurement of the compound embedded derivative with the 2013 8.00% Notes. The simulated fair value of this liability is sensitive to changes in the expected volatility of the Company's stock price. Increases in expected volatility generally result in a higher fair value measurement.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Lien Facility Agreement</w:t>
      </w:r>
    </w:p>
    <w:p>
      <w:pPr>
        <w:spacing w:after="0" w:line="249" w:lineRule="exact"/>
        <w:rPr>
          <w:sz w:val="20"/>
          <w:szCs w:val="20"/>
          <w:color w:val="auto"/>
        </w:rPr>
      </w:pPr>
    </w:p>
    <w:p>
      <w:pPr>
        <w:jc w:val="both"/>
        <w:ind w:firstLine="278"/>
        <w:spacing w:after="0" w:line="261" w:lineRule="auto"/>
        <w:rPr>
          <w:sz w:val="20"/>
          <w:szCs w:val="20"/>
          <w:color w:val="auto"/>
        </w:rPr>
      </w:pPr>
      <w:r>
        <w:rPr>
          <w:rFonts w:ascii="Arial" w:cs="Arial" w:eastAsia="Arial" w:hAnsi="Arial"/>
          <w:sz w:val="17"/>
          <w:szCs w:val="17"/>
          <w:color w:val="auto"/>
        </w:rPr>
        <w:t>The compound embedded derivative with the Second Lien Facility Agreement is valued using a probability weighted discounted cash flow model. The most significant observable input used in the fair value measurement is the discount yield, which was 11% and 13% at June 30, 2021 and December 31, 2020, respectively. As of June 30, 2021 and December 31, 2020, the discount yield utilized in the valuation was lower than the blended interest rate of the underlying debt. As a result, the features embedded in the underlying debt resulted in an asset for the Company. When the discount yield decreases and is lower than the blended interest rate of the underlying debt, the fair value of the derivative asset increases. The unobservable inputs used in the fair value measurement include the probability of change of control and the estimated timing and amounts of cash flows associated with certain mandatory prepayments within the debt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Rollforward of Recurring Level 3 Assets and Liabilities</w:t>
      </w:r>
    </w:p>
    <w:p>
      <w:pPr>
        <w:spacing w:after="0" w:line="24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presents a rollforward for all assets and liabilities measured at fair value on a recurring basis using significant unobservable inputs (Level 3)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 January 1, 2021 and 2020, respectively</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w:t>
            </w:r>
          </w:p>
        </w:tc>
      </w:tr>
      <w:tr>
        <w:trPr>
          <w:trHeight w:val="222"/>
        </w:trPr>
        <w:tc>
          <w:tcPr>
            <w:tcW w:w="8420" w:type="dxa"/>
            <w:vAlign w:val="bottom"/>
          </w:tcPr>
          <w:p>
            <w:pPr>
              <w:ind w:left="20"/>
              <w:spacing w:after="0"/>
              <w:rPr>
                <w:sz w:val="20"/>
                <w:szCs w:val="20"/>
                <w:color w:val="auto"/>
              </w:rPr>
            </w:pPr>
            <w:r>
              <w:rPr>
                <w:rFonts w:ascii="Arial" w:cs="Arial" w:eastAsia="Arial" w:hAnsi="Arial"/>
                <w:sz w:val="17"/>
                <w:szCs w:val="17"/>
                <w:color w:val="auto"/>
              </w:rPr>
              <w:t>Derivative adjustment related to conversions and exercises</w:t>
            </w:r>
          </w:p>
        </w:tc>
        <w:tc>
          <w:tcPr>
            <w:tcW w:w="4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1,058</w:t>
            </w:r>
          </w:p>
        </w:tc>
      </w:t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(loss) gain, included in derivative loss</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w:t>
            </w:r>
          </w:p>
        </w:tc>
      </w:tr>
      <w:tr>
        <w:trPr>
          <w:trHeight w:val="215"/>
        </w:trPr>
        <w:tc>
          <w:tcPr>
            <w:tcW w:w="8420" w:type="dxa"/>
            <w:vAlign w:val="bottom"/>
          </w:tcPr>
          <w:p>
            <w:pPr>
              <w:ind w:left="20"/>
              <w:spacing w:after="0"/>
              <w:rPr>
                <w:sz w:val="20"/>
                <w:szCs w:val="20"/>
                <w:color w:val="auto"/>
              </w:rPr>
            </w:pPr>
            <w:r>
              <w:rPr>
                <w:rFonts w:ascii="Arial" w:cs="Arial" w:eastAsia="Arial" w:hAnsi="Arial"/>
                <w:sz w:val="17"/>
                <w:szCs w:val="17"/>
                <w:color w:val="auto"/>
              </w:rPr>
              <w:t>Balance at end of period, June 30, 2021 and December 31, 2020, respectively</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r>
      <w:tr>
        <w:trPr>
          <w:trHeight w:val="20"/>
        </w:trPr>
        <w:tc>
          <w:tcPr>
            <w:tcW w:w="8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 Instruments</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Company believes it is not practicable to determine the fair value of the First Lien Facility Agreement, the Second Lien Facility Agreement and the PPP Loan without incurring significant additional costs. Unlike typical long-term debt, interest rates and other terms for these instruments are not readily available and generally involve a variety of factors, including due diligence by the debt holders. The following table sets forth the carrying values and estimated fair values of the Company's other debt instrument classified as a Level 3 financial instrument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ind w:left="900"/>
              <w:spacing w:after="0"/>
              <w:rPr>
                <w:sz w:val="20"/>
                <w:szCs w:val="20"/>
                <w:color w:val="auto"/>
              </w:rPr>
            </w:pPr>
            <w:r>
              <w:rPr>
                <w:rFonts w:ascii="Arial" w:cs="Arial" w:eastAsia="Arial" w:hAnsi="Arial"/>
                <w:sz w:val="17"/>
                <w:szCs w:val="17"/>
                <w:color w:val="auto"/>
              </w:rPr>
              <w:t>June 30, 2021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color w:val="auto"/>
              </w:rPr>
              <w:t>December 31, 2020</w:t>
            </w:r>
          </w:p>
        </w:tc>
        <w:tc>
          <w:tcPr>
            <w:tcW w:w="660" w:type="dxa"/>
            <w:vAlign w:val="bottom"/>
            <w:tcBorders>
              <w:bottom w:val="single" w:sz="8" w:color="auto"/>
            </w:tcBorders>
          </w:tcPr>
          <w:p>
            <w:pPr>
              <w:spacing w:after="0"/>
              <w:rPr>
                <w:sz w:val="19"/>
                <w:szCs w:val="19"/>
                <w:color w:val="auto"/>
              </w:rPr>
            </w:pPr>
          </w:p>
        </w:tc>
      </w:tr>
      <w:tr>
        <w:trPr>
          <w:trHeight w:val="215"/>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7"/>
                <w:szCs w:val="17"/>
                <w:color w:val="auto"/>
              </w:rPr>
              <w:t>Carrying Value</w:t>
            </w:r>
          </w:p>
        </w:tc>
        <w:tc>
          <w:tcPr>
            <w:tcW w:w="1620" w:type="dxa"/>
            <w:vAlign w:val="bottom"/>
            <w:gridSpan w:val="3"/>
          </w:tcPr>
          <w:p>
            <w:pPr>
              <w:ind w:left="40"/>
              <w:spacing w:after="0"/>
              <w:rPr>
                <w:sz w:val="20"/>
                <w:szCs w:val="20"/>
                <w:color w:val="auto"/>
              </w:rPr>
            </w:pPr>
            <w:r>
              <w:rPr>
                <w:rFonts w:ascii="Arial" w:cs="Arial" w:eastAsia="Arial" w:hAnsi="Arial"/>
                <w:sz w:val="17"/>
                <w:szCs w:val="17"/>
                <w:color w:val="auto"/>
                <w:w w:val="98"/>
              </w:rPr>
              <w:t>Estimated Fair Value</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auto"/>
              </w:rPr>
              <w:t>Carrying Value</w:t>
            </w:r>
          </w:p>
        </w:tc>
        <w:tc>
          <w:tcPr>
            <w:tcW w:w="1520" w:type="dxa"/>
            <w:vAlign w:val="bottom"/>
            <w:gridSpan w:val="2"/>
          </w:tcPr>
          <w:p>
            <w:pPr>
              <w:ind w:left="40"/>
              <w:spacing w:after="0"/>
              <w:rPr>
                <w:sz w:val="20"/>
                <w:szCs w:val="20"/>
                <w:color w:val="auto"/>
              </w:rPr>
            </w:pPr>
            <w:r>
              <w:rPr>
                <w:rFonts w:ascii="Arial" w:cs="Arial" w:eastAsia="Arial" w:hAnsi="Arial"/>
                <w:sz w:val="17"/>
                <w:szCs w:val="17"/>
                <w:color w:val="auto"/>
                <w:w w:val="92"/>
              </w:rPr>
              <w:t>Estimated Fair Value</w:t>
            </w:r>
          </w:p>
        </w:tc>
      </w:tr>
      <w:tr>
        <w:trPr>
          <w:trHeight w:val="215"/>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 8.00%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8. RELATED PARTY TRANSACTIONS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Payables to Thermo and other affiliates related to normal purchase transactions were $0.4 million and $0.6 million as of June 30,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Thermo</w:t>
      </w:r>
    </w:p>
    <w:p>
      <w:pPr>
        <w:spacing w:after="0" w:line="24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expenses incurred by Thermo on behalf of the Company that are charged to the Company. The expenses charged are based on actual amounts (with no mark-up) incurred by Thermo or upon allocated employee time. During the three months ended June 30, 2021 and 2020, these expenses charged to the Company were $0.2 million and $0.1 million, respectively. During the six months ended June 30, 2021 and 2020, these expenses charged to the Company were $0.4 million and $0.3 million, respectively. Additionally, during the first quarter of 2021, Thermo invoiced us for certain legal fees incurred totaling approximately $0.1 million relating to Thermo's participation in the Second Lien Facility Agreement; these costs were recorded as debt issuance costs included in long-term debt on the Company's condensed consolidated balance sheet as of June 30, 2021.</w:t>
      </w:r>
    </w:p>
    <w:p>
      <w:pPr>
        <w:spacing w:after="0" w:line="207"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February 2019, the Company entered into a lease agreement with Thermo Covington, LLC for the Company's headquarters office. Annual lease payments started at $1.4 million per year, increasing at a rate of 2.5% per year, for a lease term of ten years. During each of the three months ended June 30, 2021 and 2020, the Company incurred lease expense of $0.4 million, respectively, in each period under this lease agreement. During each of the six months ended June 30, 2021 and 2020, the Company incurred lease expense of $0.8 million, respectively, under this lease agreement.</w:t>
      </w:r>
    </w:p>
    <w:p>
      <w:pPr>
        <w:spacing w:after="0" w:line="202"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In November 2019, the Company entered into the Second Lien Facility Agreement. Thermo's participation in the Second Lien Facility Agreement was $95.1 million. This principal balance earns paid-in-kind interest at a rate of 13% per annum. Interest accrued since inception with respect to Thermo's portion of the debt outstanding on the Second Lien Facility Agreement was approximately $21.8 million, of which $7.3 million was accrued during the six months ended June 30, 2021. In connection with the issuance of the Second Lien Facility Agreement, the holders received warrants to purchase shares of voting common stock, of which Thermo received 59.5 million warrants with an exercise price of $0.38 per share. Thermo exercised 9.5 million warrants in 2019 and the remaining warrants, totaling 50.0 million, during the first quarter of 2021 and, accordingly, no warrants were outstanding as of June 30, 2021.</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See Note 5: Long-Term Debt and Other Financing Arrangements for further discussion of the Company's debt and financing transactions with Thermo.</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LOSS PER SHARE</w:t>
      </w:r>
    </w:p>
    <w:p>
      <w:pPr>
        <w:spacing w:after="0" w:line="255"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Loss per share is computed by dividing loss available to common stockholders by the weighted average number of shares of common stock outstanding during the period. In periods of net income, the numerator used to calculate diluted EPS includes the effect of dilutive securities, including interest expense, net, and derivative gains or losses reflected in net loss. Common stock equivalents are included in the calculation of diluted earnings per share only when the effect of their inclusion would be dilutive. The effect of potentially dilutive common shares for the Company's convertible notes is calculated using the if-converted method. Generally, for all other potentially dilutive common shares, the effect is calculated using the treasury stock method.</w:t>
      </w:r>
    </w:p>
    <w:p>
      <w:pPr>
        <w:spacing w:after="0" w:line="192"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The following table sets forth the computation of basic and diluted loss per common share during each of the three and six months ended June 30, 2021 and 2020 (amounts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6"/>
                <w:szCs w:val="16"/>
                <w:color w:val="auto"/>
              </w:rPr>
              <w:t>Six Months Ended</w:t>
            </w:r>
          </w:p>
        </w:tc>
      </w:tr>
      <w:tr>
        <w:trPr>
          <w:trHeight w:val="202"/>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color w:val="auto"/>
              </w:rPr>
              <w:t>June 30, 2021</w:t>
            </w:r>
          </w:p>
        </w:tc>
        <w:tc>
          <w:tcPr>
            <w:tcW w:w="2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June 30, 2020</w:t>
            </w: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June 30, 2021</w:t>
            </w:r>
          </w:p>
        </w:tc>
        <w:tc>
          <w:tcPr>
            <w:tcW w:w="240" w:type="dxa"/>
            <w:vAlign w:val="bottom"/>
          </w:tcPr>
          <w:p>
            <w:pPr>
              <w:spacing w:after="0"/>
              <w:rPr>
                <w:sz w:val="17"/>
                <w:szCs w:val="17"/>
                <w:color w:val="auto"/>
              </w:rPr>
            </w:pPr>
          </w:p>
        </w:tc>
        <w:tc>
          <w:tcPr>
            <w:tcW w:w="1360" w:type="dxa"/>
            <w:vAlign w:val="bottom"/>
          </w:tcPr>
          <w:p>
            <w:pPr>
              <w:jc w:val="right"/>
              <w:ind w:right="275"/>
              <w:spacing w:after="0"/>
              <w:rPr>
                <w:sz w:val="20"/>
                <w:szCs w:val="20"/>
                <w:color w:val="auto"/>
              </w:rPr>
            </w:pPr>
            <w:r>
              <w:rPr>
                <w:rFonts w:ascii="Arial" w:cs="Arial" w:eastAsia="Arial" w:hAnsi="Arial"/>
                <w:sz w:val="16"/>
                <w:szCs w:val="16"/>
                <w:color w:val="auto"/>
                <w:w w:val="96"/>
              </w:rPr>
              <w:t>June 30, 2020</w:t>
            </w:r>
          </w:p>
        </w:tc>
      </w:tr>
      <w:tr>
        <w:trPr>
          <w:trHeight w:val="218"/>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(62,959)</w:t>
            </w:r>
          </w:p>
        </w:tc>
      </w:tr>
      <w:tr>
        <w:trPr>
          <w:trHeight w:val="222"/>
        </w:trPr>
        <w:tc>
          <w:tcPr>
            <w:tcW w:w="4500" w:type="dxa"/>
            <w:vAlign w:val="bottom"/>
          </w:tcPr>
          <w:p>
            <w:pPr>
              <w:ind w:left="20"/>
              <w:spacing w:after="0"/>
              <w:rPr>
                <w:sz w:val="20"/>
                <w:szCs w:val="20"/>
                <w:color w:val="auto"/>
              </w:rPr>
            </w:pPr>
            <w:r>
              <w:rPr>
                <w:rFonts w:ascii="Arial" w:cs="Arial" w:eastAsia="Arial" w:hAnsi="Arial"/>
                <w:sz w:val="17"/>
                <w:szCs w:val="17"/>
                <w:color w:val="auto"/>
              </w:rPr>
              <w:t>Weighted average shares outstanding</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1,791,943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1,668,974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1,736,158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1,613,467</w:t>
            </w:r>
          </w:p>
        </w:tc>
      </w:tr>
      <w:tr>
        <w:trPr>
          <w:trHeight w:val="222"/>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 - basic and diluted</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2" w:name="page23"/>
    <w:bookmarkEnd w:id="22"/>
    <w:p>
      <w:pPr>
        <w:jc w:val="both"/>
        <w:ind w:firstLine="235"/>
        <w:spacing w:after="0" w:line="263" w:lineRule="auto"/>
        <w:rPr>
          <w:sz w:val="20"/>
          <w:szCs w:val="20"/>
          <w:color w:val="auto"/>
        </w:rPr>
      </w:pPr>
      <w:r>
        <w:rPr>
          <w:rFonts w:ascii="Arial" w:cs="Arial" w:eastAsia="Arial" w:hAnsi="Arial"/>
          <w:sz w:val="17"/>
          <w:szCs w:val="17"/>
          <w:color w:val="auto"/>
        </w:rPr>
        <w:t>For the three months ended June 30, 2021 and 2020, 7.3 million and 4.4 million shares, respectively, of common stock related to the Company's 2013 8.00% Notes and Equity Incentive Plan were excluded from diluted shares outstanding because the effects of potentially dilutive securities would be anti-dilutive. For the six months ended June 30, 2021 and 2020, 7.1 million and 4.4 million shares, respectively, of common stock related to the Company's 2013 8.00% Notes and 2006 Equity Incentive Plan were excluded from diluted shares outstanding because the effects of potentially dilutive securities would be anti-dilutive. Additionally, at June 30, 2020, 115.0 million warrants issued to the lenders of the Second Lien Facility Agreement were outstanding. These warrants were exercised in March 2021.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Forward-Looking Statements.</w:t>
      </w:r>
    </w:p>
    <w:p>
      <w:pPr>
        <w:spacing w:after="0" w:line="255" w:lineRule="exact"/>
        <w:rPr>
          <w:sz w:val="20"/>
          <w:szCs w:val="20"/>
          <w:color w:val="auto"/>
        </w:rPr>
      </w:pPr>
    </w:p>
    <w:p>
      <w:pPr>
        <w:jc w:val="both"/>
        <w:ind w:firstLine="314"/>
        <w:spacing w:after="0" w:line="275" w:lineRule="auto"/>
        <w:rPr>
          <w:sz w:val="20"/>
          <w:szCs w:val="20"/>
          <w:color w:val="auto"/>
        </w:rPr>
      </w:pPr>
      <w:r>
        <w:rPr>
          <w:rFonts w:ascii="Arial" w:cs="Arial" w:eastAsia="Arial" w:hAnsi="Arial"/>
          <w:sz w:val="16"/>
          <w:szCs w:val="16"/>
          <w:color w:val="auto"/>
        </w:rPr>
        <w:t>Certain statements contained in or incorporated by reference into this Quarterly Report on Form 10-Q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Report regarding matters that are not historical facts, involve predictions. Risks and uncertainties that could cause or contribute to such differences include, without limitation, those in Item 1A. Risk Factors in our Annual Report on Form 10-K for the fiscal year ended December 31, 2020, as filed with the Securities and Exchange Commission (the "SEC") on March 4, 2021 (the "2020 Annual Report"). We do not intend, and undertake no obligation, to update any of our forward-looking statements after the date of this Report to reflect actual results or future events or circumstances.</w:t>
      </w:r>
    </w:p>
    <w:p>
      <w:pPr>
        <w:spacing w:after="0" w:line="203" w:lineRule="exact"/>
        <w:rPr>
          <w:sz w:val="20"/>
          <w:szCs w:val="20"/>
          <w:color w:val="auto"/>
        </w:rPr>
      </w:pPr>
    </w:p>
    <w:p>
      <w:pPr>
        <w:jc w:val="both"/>
        <w:ind w:firstLine="353"/>
        <w:spacing w:after="0" w:line="284" w:lineRule="auto"/>
        <w:rPr>
          <w:sz w:val="20"/>
          <w:szCs w:val="20"/>
          <w:color w:val="auto"/>
        </w:rPr>
      </w:pPr>
      <w:r>
        <w:rPr>
          <w:rFonts w:ascii="Arial" w:cs="Arial" w:eastAsia="Arial" w:hAnsi="Arial"/>
          <w:sz w:val="16"/>
          <w:szCs w:val="16"/>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We undertake no obligation to update publicly or revise any forward-looking statements. You should not rely upon forward-looking statements as predictions of future events or performance. We cannot assure you that the events and circumstances reflected in the forward-looking statements will be achieved or occur. These cautionary statements qualify all forward-looking statements attributable to us or persons acting on our behalf.</w:t>
      </w:r>
    </w:p>
    <w:p>
      <w:pPr>
        <w:spacing w:after="0" w:line="19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This "Management's Discussion and Analysis of Financial Condition" should be read in conjunction with the "Management's Discussion and Analysis of Financial Condition" and information included in our 2020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Mobile Satellite Services Business</w:t>
      </w:r>
    </w:p>
    <w:p>
      <w:pPr>
        <w:spacing w:after="0" w:line="249"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meet our customers' increasing desire for connectivity.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3" w:name="page24"/>
    <w:bookmarkEnd w:id="23"/>
    <w:p>
      <w:pPr>
        <w:ind w:left="240"/>
        <w:spacing w:after="0"/>
        <w:rPr>
          <w:sz w:val="20"/>
          <w:szCs w:val="20"/>
          <w:color w:val="auto"/>
        </w:rPr>
      </w:pPr>
      <w:r>
        <w:rPr>
          <w:rFonts w:ascii="Arial" w:cs="Arial" w:eastAsia="Arial" w:hAnsi="Arial"/>
          <w:sz w:val="17"/>
          <w:szCs w:val="17"/>
          <w:color w:val="auto"/>
        </w:rPr>
        <w:t>We currently provide the following communications services:</w:t>
      </w:r>
    </w:p>
    <w:p>
      <w:pPr>
        <w:spacing w:after="0" w:line="249" w:lineRule="exact"/>
        <w:rPr>
          <w:sz w:val="20"/>
          <w:szCs w:val="20"/>
          <w:color w:val="auto"/>
        </w:rPr>
      </w:pPr>
    </w:p>
    <w:p>
      <w:pPr>
        <w:ind w:left="640" w:hanging="322"/>
        <w:spacing w:after="0" w:line="264"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two-way voice communication and data transmissions using mobile or fixed devices, including our GSP-1600 and GSP-1700 phones and other fixed and data-only devices ("Duplex");</w:t>
      </w:r>
    </w:p>
    <w:p>
      <w:pPr>
        <w:ind w:left="640" w:hanging="322"/>
        <w:spacing w:after="0" w:line="199"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one-way or two-way communication and data transmissions using mobile devices, including our SPOT family of products, such as SPOT X</w:t>
      </w:r>
      <w:r>
        <w:rPr>
          <w:rFonts w:ascii="Arial" w:cs="Arial" w:eastAsia="Arial" w:hAnsi="Arial"/>
          <w:sz w:val="22"/>
          <w:szCs w:val="22"/>
          <w:color w:val="auto"/>
          <w:vertAlign w:val="superscript"/>
        </w:rPr>
        <w:t>®</w:t>
      </w:r>
      <w:r>
        <w:rPr>
          <w:rFonts w:ascii="Arial" w:cs="Arial" w:eastAsia="Arial" w:hAnsi="Arial"/>
          <w:sz w:val="17"/>
          <w:szCs w:val="17"/>
          <w:color w:val="auto"/>
        </w:rPr>
        <w:t>, SPOT Gen4</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SPOT Trace</w:t>
      </w:r>
      <w:r>
        <w:rPr>
          <w:rFonts w:ascii="Arial" w:cs="Arial" w:eastAsia="Arial" w:hAnsi="Arial"/>
          <w:sz w:val="22"/>
          <w:szCs w:val="22"/>
          <w:color w:val="auto"/>
          <w:vertAlign w:val="superscript"/>
        </w:rPr>
        <w:t>®</w:t>
      </w:r>
      <w:r>
        <w:rPr>
          <w:rFonts w:ascii="Arial" w:cs="Arial" w:eastAsia="Arial" w:hAnsi="Arial"/>
          <w:sz w:val="17"/>
          <w:szCs w:val="17"/>
          <w:color w:val="auto"/>
        </w:rPr>
        <w:t>, that transmit messages and the location of the device ("SPOT");</w:t>
      </w:r>
    </w:p>
    <w:p>
      <w:pPr>
        <w:ind w:left="640" w:hanging="322"/>
        <w:spacing w:after="0" w:line="255"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one-way data transmissions using a mobile or fixed device that transmits its location and other information to a central monitoring station, including our commercial IoT products, such as our battery- and solar-powered SmartOne, STX-3 and ST100 ("Commercial IoT"); and</w:t>
      </w:r>
    </w:p>
    <w:p>
      <w:pPr>
        <w:ind w:left="640" w:hanging="322"/>
        <w:spacing w:after="0" w:line="273"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engineering services to assist certain customers in developing new applications to operate on our network, enhancements to our ground network and other communication services using our MSS and terrestrial spectrum licenses ("Engineering and Other").</w:t>
      </w:r>
    </w:p>
    <w:p>
      <w:pPr>
        <w:spacing w:after="0" w:line="197"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6"/>
          <w:szCs w:val="16"/>
          <w:color w:val="auto"/>
        </w:rPr>
        <w:t>Our constellation of Low Earth Orbit ("LEO") satellites includes second-generation satellites and certain first-generation satellites, which are currently being used as in-orbit spares. We also have one on-ground spare second-generation satellite that we may include in a future launch. We designed our satellite network to maximize the probability that at least one satellite is visible from any point on the Earth's surface between the latitudes 70° north and 70° south.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195"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goal is to provide service levels and call or message success rates equal to or better than our MSS competitors so our products and services are attractive to potential customers. We believe that our system outperforms geostationary (“GEO”) satellites used by some of our competitors. GEO satellite signals must travel approximately 42,000 additional miles on average, which introduces considerable delay and signal degradation to GEO calls.</w:t>
      </w:r>
    </w:p>
    <w:p>
      <w:pPr>
        <w:spacing w:after="0" w:line="17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Our ground network includes our ground equipment, which uses patented CDMA technology to permit communication to multiple satellites. Patented receivers in our handsets track the pilot channel and signaling channel as well as three additional communications channels simultaneously. Compared to other satellite and network architectures, we offer superior call clarity with virtually no discernible delay. Our system architecture provides full frequency re-use. This maximizes satellite diversity (which maximizes quality) and network capacity as we can reuse the assigned spectrum in every satellite beam in every satellite. In addition, our SPOT and Commercial IoT services employ a proprietary technology developed by us. In 2019, we began the process to expand and enhance our gateway coverage and performance, including the deployment of new gateway antennas to our gateways around the world. In connection with these efforts, during 2021, we purchased gateway assets, including operating licenses, from two former Independent Gateway Operators ("IGOs") in Australia and South Korea.</w:t>
      </w:r>
    </w:p>
    <w:p>
      <w:pPr>
        <w:spacing w:after="0" w:line="207"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84" w:lineRule="exact"/>
        <w:rPr>
          <w:sz w:val="20"/>
          <w:szCs w:val="20"/>
          <w:color w:val="auto"/>
        </w:rPr>
      </w:pPr>
    </w:p>
    <w:p>
      <w:pPr>
        <w:jc w:val="both"/>
        <w:ind w:firstLine="314"/>
        <w:spacing w:after="0" w:line="302" w:lineRule="auto"/>
        <w:rPr>
          <w:sz w:val="20"/>
          <w:szCs w:val="20"/>
          <w:color w:val="auto"/>
        </w:rPr>
      </w:pPr>
      <w:r>
        <w:rPr>
          <w:rFonts w:ascii="Arial" w:cs="Arial" w:eastAsia="Arial" w:hAnsi="Arial"/>
          <w:sz w:val="15"/>
          <w:szCs w:val="15"/>
          <w:color w:val="auto"/>
        </w:rPr>
        <w:t>As technological advancements are made, we continue to explore opportunities to develop new products and provide new services over our network to meet the needs of our existing and prospective customers. We are currently pursuing initiatives that we expect to expand our satellite communications business and to more effectively utilize the capacity of our network assets. These initiatives include evaluating our product and service offerings in light of the shift in demand across the MSS industry from full Duplex voice and data services to IoT-enabled devices. To align our business model with this evolution, we have temporarily ceased sales of and services to subscribers for certain Duplex devices, such as Sat-Fi2®. We are currently evaluating the profitability of these devices relative to other product and service offerings as well as the capacity required to support these devices relative to other possible uses for the capacity. Integrated with this assessment is the development of a two-way reference design module to expand our Commercial IoT offerings, which is among our other current initiatives.</w:t>
      </w:r>
    </w:p>
    <w:p>
      <w:pPr>
        <w:spacing w:after="0" w:line="18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Commercial IoT use cases continue to expand, including deployments that support environmentally friendly initiatives. Recent deployments include remote monitoring of fluid levels and tanks, which replaces the need for motor vehicles to access these assets, as well as asset monitoring solutions for solar lighting.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Customers</w:t>
      </w:r>
    </w:p>
    <w:p>
      <w:pPr>
        <w:spacing w:after="0" w:line="236"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The specialized needs of our global customers span many industries. As of June 30, 2021, we had approximately 749,000 subscribers worldwide, principally within the following markets: recreation and personal; government; public safety and disaster relief; oil and gas; maritime and fishing; natural resources, mining and forestry; construction; utilities; and transportation. Our system is able to offer our customers cost-effective communications solutions completely independent of cellular coverage. Although traditional users of wireless telephony and broadband data services have access to these services in developed locations, our customers often operate, travel or live in remote regions or regions with under-developed telecommunications infrastructure where these services are not readily available or are not provided on a reliable basis.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Spectrum and Regulatory Structure</w:t>
      </w:r>
    </w:p>
    <w:p>
      <w:pPr>
        <w:spacing w:after="0" w:line="24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Terrestrial Authority for Globalstar's Licensed 2.4GHz Spectrum</w:t>
      </w:r>
    </w:p>
    <w:p>
      <w:pPr>
        <w:spacing w:after="0" w:line="223"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In December 2016, the FCC unanimously adopted a Report and Order permitting us to seek modification of our existing MSS licenses to provide terrestrial broadband services over 11.5 MHz of our licensed Mobile Satellite Services spectrum at 2483.5 to 2495 MHz, throughout the United States of America and its Territories. In August 2017, the FCC modified Globalstar's MSS licenses, granting us authority to provide terrestrial broadband services over that 11.5 MHz portion of our satellite spectrum. Specifically, the FCC modified our space station authorization and our blanket mobile earth station license to permit a terrestrial network using 11.5 MHz of our licensed mobile-satellite service spectrum. We need to comply with certain conditions in order to provide terrestrial broadband service over this spectrum.</w:t>
      </w:r>
    </w:p>
    <w:p>
      <w:pPr>
        <w:spacing w:after="0" w:line="192" w:lineRule="exact"/>
        <w:rPr>
          <w:sz w:val="20"/>
          <w:szCs w:val="20"/>
          <w:color w:val="auto"/>
        </w:rPr>
      </w:pPr>
    </w:p>
    <w:p>
      <w:pPr>
        <w:jc w:val="both"/>
        <w:ind w:firstLine="235"/>
        <w:spacing w:after="0" w:line="230" w:lineRule="auto"/>
        <w:rPr>
          <w:sz w:val="20"/>
          <w:szCs w:val="20"/>
          <w:color w:val="auto"/>
        </w:rPr>
      </w:pPr>
      <w:r>
        <w:rPr>
          <w:rFonts w:ascii="Arial" w:cs="Arial" w:eastAsia="Arial" w:hAnsi="Arial"/>
          <w:sz w:val="17"/>
          <w:szCs w:val="17"/>
          <w:color w:val="auto"/>
        </w:rPr>
        <w:t>In December 2018, we successfully completed the Third Generation Partnership Project (“3GPP”) standardization process for the 11.5 MHz of spectrum terrestrially authorized by the FCC. The 3GPP designated the band as Band 53. Additionally, in March 2020, we announced that the 3GPP approved the 5G variant of our Band 53, which is known as n53. This new band class provides a pathway for our terrestrial spectrum to be integrated into handset and infrastructure ecosystems. Additional follow-on 3GPP specifications and approvals are expected in the future. During 2019, we executed a spectrum managers lease with Nokia in order to permit Nokia to utilize Band 53 within its equipment domestically and have such equipment type-certified for sale and deployment. In February 2021, Qualcomm Technologies announced its new Snapdragon X65 modem-RF System, which includes support for Band n53. By having global 5G band support for n53 in Qualcomm Technologies’ 5G solutions, our potential device ecosystem expands significantly to include the most popular smartphones, laptops, tablets, automated equipment and other IoT modules.</w:t>
      </w:r>
    </w:p>
    <w:p>
      <w:pPr>
        <w:spacing w:after="0" w:line="200" w:lineRule="exact"/>
        <w:rPr>
          <w:sz w:val="20"/>
          <w:szCs w:val="20"/>
          <w:color w:val="auto"/>
        </w:rPr>
      </w:pPr>
    </w:p>
    <w:p>
      <w:pPr>
        <w:jc w:val="both"/>
        <w:ind w:firstLine="314"/>
        <w:spacing w:after="0" w:line="236" w:lineRule="auto"/>
        <w:rPr>
          <w:sz w:val="20"/>
          <w:szCs w:val="20"/>
          <w:color w:val="auto"/>
        </w:rPr>
      </w:pPr>
      <w:r>
        <w:rPr>
          <w:rFonts w:ascii="Arial" w:cs="Arial" w:eastAsia="Arial" w:hAnsi="Arial"/>
          <w:sz w:val="17"/>
          <w:szCs w:val="17"/>
          <w:color w:val="auto"/>
        </w:rPr>
        <w:t>We believe our MSS spectrum position provides potential for harmonized terrestrial authority across many international regulatory domains and have been seeking approvals in various international jurisdictions. To date, we have received terrestrial authorizations in various countries, including Brazil, Canada, and South Africa, among others.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211"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We expect our terrestrial authority will allow future partners to develop high-density dedicated networks using the TD-LTE protocol for private LTE networks as well as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distinguishes it from other current and anticipated allocations, and that it is well positioned to balance favorable range, capacity and attenuation characteristics.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255" w:lineRule="exact"/>
        <w:rPr>
          <w:sz w:val="20"/>
          <w:szCs w:val="20"/>
          <w:color w:val="auto"/>
        </w:rPr>
      </w:pPr>
    </w:p>
    <w:p>
      <w:pPr>
        <w:jc w:val="both"/>
        <w:ind w:firstLine="314"/>
        <w:spacing w:after="0" w:line="324" w:lineRule="auto"/>
        <w:rPr>
          <w:sz w:val="20"/>
          <w:szCs w:val="20"/>
          <w:color w:val="auto"/>
        </w:rPr>
      </w:pPr>
      <w:r>
        <w:rPr>
          <w:rFonts w:ascii="Arial" w:cs="Arial" w:eastAsia="Arial" w:hAnsi="Arial"/>
          <w:sz w:val="15"/>
          <w:szCs w:val="15"/>
          <w:color w:val="auto"/>
        </w:rPr>
        <w:t>As a result of COVID-19, we experienced a reduction in the volume of sales of our subscriber equipment, received requests for service pricing concessions from certain customers, and were impacted by certain of our customers not being able to pay outstanding balances. Our results of operations for the three and six months ended June 30, 2021 partially reflect this impact; however, we expect that this trend may continue and the full extent of the impact is unknown.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Performance Indicators</w:t>
      </w:r>
    </w:p>
    <w:p>
      <w:pPr>
        <w:spacing w:after="0" w:line="255"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84" w:lineRule="exact"/>
        <w:rPr>
          <w:sz w:val="20"/>
          <w:szCs w:val="20"/>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revenue, which is an indicator of our overall business growth;</w:t>
      </w:r>
    </w:p>
    <w:p>
      <w:pPr>
        <w:spacing w:after="0" w:line="25" w:lineRule="exact"/>
        <w:rPr>
          <w:rFonts w:ascii="Arial" w:cs="Arial" w:eastAsia="Arial" w:hAnsi="Arial"/>
          <w:sz w:val="17"/>
          <w:szCs w:val="17"/>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subscriber growth and churn rate, which are both indicators of the satisfaction of our customers;</w:t>
      </w:r>
    </w:p>
    <w:p>
      <w:pPr>
        <w:spacing w:after="0" w:line="13" w:lineRule="exact"/>
        <w:rPr>
          <w:rFonts w:ascii="Arial" w:cs="Arial" w:eastAsia="Arial" w:hAnsi="Arial"/>
          <w:sz w:val="17"/>
          <w:szCs w:val="17"/>
          <w:color w:val="auto"/>
        </w:rPr>
      </w:pPr>
    </w:p>
    <w:p>
      <w:pPr>
        <w:ind w:left="480" w:hanging="319"/>
        <w:spacing w:after="0" w:line="256" w:lineRule="auto"/>
        <w:tabs>
          <w:tab w:leader="none" w:pos="476" w:val="left"/>
        </w:tabs>
        <w:numPr>
          <w:ilvl w:val="0"/>
          <w:numId w:val="7"/>
        </w:numPr>
        <w:rPr>
          <w:rFonts w:ascii="Arial" w:cs="Arial" w:eastAsia="Arial" w:hAnsi="Arial"/>
          <w:sz w:val="17"/>
          <w:szCs w:val="17"/>
          <w:color w:val="auto"/>
        </w:rPr>
      </w:pPr>
      <w:r>
        <w:rPr>
          <w:rFonts w:ascii="Arial" w:cs="Arial" w:eastAsia="Arial" w:hAnsi="Arial"/>
          <w:sz w:val="17"/>
          <w:szCs w:val="17"/>
          <w:color w:val="auto"/>
        </w:rPr>
        <w:t>average monthly revenue per user, or ARPU, which is an indicator of our pricing and ability to obtain effectively long-term, high-value customers. We calculate ARPU separately for each type of our subscriber-driven revenue, including Duplex, Commercial IoT and SPOT;</w:t>
      </w:r>
    </w:p>
    <w:p>
      <w:pPr>
        <w:spacing w:after="0" w:line="1" w:lineRule="exact"/>
        <w:rPr>
          <w:rFonts w:ascii="Arial" w:cs="Arial" w:eastAsia="Arial" w:hAnsi="Arial"/>
          <w:sz w:val="17"/>
          <w:szCs w:val="17"/>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operating income and adjusted EBITDA, both of which are indicators of our financial performance; and</w:t>
      </w:r>
    </w:p>
    <w:p>
      <w:pPr>
        <w:spacing w:after="0" w:line="13" w:lineRule="exact"/>
        <w:rPr>
          <w:rFonts w:ascii="Arial" w:cs="Arial" w:eastAsia="Arial" w:hAnsi="Arial"/>
          <w:sz w:val="17"/>
          <w:szCs w:val="17"/>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which are an indicator of future revenue growth potential and cash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Results of Operations for the three and six months ended June 30, 2021 and 2020</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w:t>
      </w:r>
    </w:p>
    <w:p>
      <w:pPr>
        <w:spacing w:after="0" w:line="255"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Our revenue is categorized as service revenue and equipment revenue. We provide services to customers using technology from our satellite and ground network. Equipment revenue is generated from the sale of devices that work over our network. Total revenue decreased slightly to $30.3 million for the three months ended June 30, 2021 from $30.4 million for the same period in 2020 and decreased 9% to $57.2 million for the six months ended June 30, 2021 from $62.6 million for the same period in 2020. See below for a further discussion of the fluctuations in revenue.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amounts and percentages of our revenue by type of service (dollars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2260" w:type="dxa"/>
            <w:vAlign w:val="bottom"/>
            <w:gridSpan w:val="4"/>
          </w:tcPr>
          <w:p>
            <w:pPr>
              <w:ind w:left="400"/>
              <w:spacing w:after="0"/>
              <w:rPr>
                <w:sz w:val="20"/>
                <w:szCs w:val="20"/>
                <w:color w:val="auto"/>
              </w:rPr>
            </w:pPr>
            <w:r>
              <w:rPr>
                <w:rFonts w:ascii="Arial" w:cs="Arial" w:eastAsia="Arial" w:hAnsi="Arial"/>
                <w:sz w:val="16"/>
                <w:szCs w:val="16"/>
                <w:color w:val="auto"/>
              </w:rPr>
              <w:t>Six Months Ended</w:t>
            </w:r>
          </w:p>
        </w:tc>
        <w:tc>
          <w:tcPr>
            <w:tcW w:w="160" w:type="dxa"/>
            <w:vAlign w:val="bottom"/>
          </w:tcPr>
          <w:p>
            <w:pPr>
              <w:spacing w:after="0"/>
              <w:rPr>
                <w:sz w:val="16"/>
                <w:szCs w:val="16"/>
                <w:color w:val="auto"/>
              </w:rPr>
            </w:pPr>
          </w:p>
        </w:tc>
        <w:tc>
          <w:tcPr>
            <w:tcW w:w="2160" w:type="dxa"/>
            <w:vAlign w:val="bottom"/>
            <w:gridSpan w:val="3"/>
          </w:tcPr>
          <w:p>
            <w:pPr>
              <w:jc w:val="center"/>
              <w:ind w:right="122"/>
              <w:spacing w:after="0"/>
              <w:rPr>
                <w:sz w:val="20"/>
                <w:szCs w:val="20"/>
                <w:color w:val="auto"/>
              </w:rPr>
            </w:pPr>
            <w:r>
              <w:rPr>
                <w:rFonts w:ascii="Arial" w:cs="Arial" w:eastAsia="Arial" w:hAnsi="Arial"/>
                <w:sz w:val="16"/>
                <w:szCs w:val="16"/>
                <w:color w:val="auto"/>
                <w:w w:val="89"/>
              </w:rPr>
              <w:t>Six Months Ended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6"/>
                <w:szCs w:val="16"/>
                <w:color w:val="auto"/>
              </w:rPr>
              <w:t>June 30,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6"/>
                <w:szCs w:val="16"/>
                <w:color w:val="auto"/>
              </w:rPr>
              <w:t>June 30,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6"/>
                <w:szCs w:val="16"/>
                <w:color w:val="auto"/>
              </w:rPr>
              <w:t>June 30,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center"/>
              <w:ind w:right="82"/>
              <w:spacing w:after="0"/>
              <w:rPr>
                <w:sz w:val="20"/>
                <w:szCs w:val="20"/>
                <w:color w:val="auto"/>
              </w:rPr>
            </w:pPr>
            <w:r>
              <w:rPr>
                <w:rFonts w:ascii="Arial" w:cs="Arial" w:eastAsia="Arial" w:hAnsi="Arial"/>
                <w:sz w:val="16"/>
                <w:szCs w:val="16"/>
                <w:color w:val="auto"/>
                <w:w w:val="86"/>
              </w:rPr>
              <w:t>June 30, 2020</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180" w:type="dxa"/>
            <w:vAlign w:val="bottom"/>
          </w:tcPr>
          <w:p>
            <w:pPr>
              <w:ind w:left="260"/>
              <w:spacing w:after="0" w:line="156" w:lineRule="exact"/>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Revenue</w:t>
            </w: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Revenue</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Revenue</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180" w:type="dxa"/>
            <w:vAlign w:val="bottom"/>
          </w:tcPr>
          <w:p>
            <w:pPr>
              <w:ind w:left="32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05"/>
        </w:trPr>
        <w:tc>
          <w:tcPr>
            <w:tcW w:w="170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Duplex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13,898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6"/>
                <w:szCs w:val="16"/>
                <w:color w:val="auto"/>
                <w:w w:val="87"/>
              </w:rPr>
              <w:t>26 %</w:t>
            </w:r>
          </w:p>
        </w:tc>
        <w:tc>
          <w:tcPr>
            <w:tcW w:w="0" w:type="dxa"/>
            <w:vAlign w:val="bottom"/>
          </w:tcPr>
          <w:p>
            <w:pPr>
              <w:spacing w:after="0"/>
              <w:rPr>
                <w:sz w:val="1"/>
                <w:szCs w:val="1"/>
                <w:color w:val="auto"/>
              </w:rPr>
            </w:pPr>
          </w:p>
        </w:tc>
      </w:tr>
      <w:tr>
        <w:trPr>
          <w:trHeight w:val="206"/>
        </w:trPr>
        <w:tc>
          <w:tcPr>
            <w:tcW w:w="1700" w:type="dxa"/>
            <w:vAlign w:val="bottom"/>
          </w:tcPr>
          <w:p>
            <w:pPr>
              <w:ind w:left="220"/>
              <w:spacing w:after="0"/>
              <w:rPr>
                <w:sz w:val="20"/>
                <w:szCs w:val="20"/>
                <w:color w:val="auto"/>
              </w:rPr>
            </w:pPr>
            <w:r>
              <w:rPr>
                <w:rFonts w:ascii="Arial" w:cs="Arial" w:eastAsia="Arial" w:hAnsi="Arial"/>
                <w:sz w:val="16"/>
                <w:szCs w:val="16"/>
                <w:color w:val="auto"/>
              </w:rPr>
              <w:t>SPOT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11,139</w:t>
            </w:r>
          </w:p>
        </w:tc>
        <w:tc>
          <w:tcPr>
            <w:tcW w:w="12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11,579</w:t>
            </w:r>
          </w:p>
        </w:tc>
        <w:tc>
          <w:tcPr>
            <w:tcW w:w="10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22,123</w:t>
            </w:r>
          </w:p>
        </w:tc>
        <w:tc>
          <w:tcPr>
            <w:tcW w:w="10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23,702</w:t>
            </w:r>
          </w:p>
        </w:tc>
        <w:tc>
          <w:tcPr>
            <w:tcW w:w="120" w:type="dxa"/>
            <w:vAlign w:val="bottom"/>
          </w:tcPr>
          <w:p>
            <w:pPr>
              <w:spacing w:after="0"/>
              <w:rPr>
                <w:sz w:val="17"/>
                <w:szCs w:val="17"/>
                <w:color w:val="auto"/>
              </w:rPr>
            </w:pPr>
          </w:p>
        </w:tc>
        <w:tc>
          <w:tcPr>
            <w:tcW w:w="1180" w:type="dxa"/>
            <w:vAlign w:val="bottom"/>
          </w:tcPr>
          <w:p>
            <w:pPr>
              <w:ind w:left="8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 IoT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4,298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8,985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1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w w:val="92"/>
              </w:rPr>
              <w:t>Engineering and other</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2,657</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3,697</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7,496</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25,617</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27,090</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48,703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56,025</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w w:val="87"/>
              </w:rPr>
              <w:t>90 %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amounts and percentages of our revenue generated from equipment sales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ind w:left="280"/>
              <w:spacing w:after="0"/>
              <w:rPr>
                <w:sz w:val="20"/>
                <w:szCs w:val="20"/>
                <w:color w:val="auto"/>
              </w:rPr>
            </w:pPr>
            <w:r>
              <w:rPr>
                <w:rFonts w:ascii="Arial" w:cs="Arial" w:eastAsia="Arial" w:hAnsi="Arial"/>
                <w:sz w:val="16"/>
                <w:szCs w:val="16"/>
                <w:color w:val="auto"/>
              </w:rPr>
              <w:t>Three Months Ended</w:t>
            </w:r>
          </w:p>
        </w:tc>
        <w:tc>
          <w:tcPr>
            <w:tcW w:w="140" w:type="dxa"/>
            <w:vAlign w:val="bottom"/>
          </w:tcPr>
          <w:p>
            <w:pPr>
              <w:spacing w:after="0"/>
              <w:rPr>
                <w:sz w:val="16"/>
                <w:szCs w:val="16"/>
                <w:color w:val="auto"/>
              </w:rPr>
            </w:pPr>
          </w:p>
        </w:tc>
        <w:tc>
          <w:tcPr>
            <w:tcW w:w="2180" w:type="dxa"/>
            <w:vAlign w:val="bottom"/>
            <w:gridSpan w:val="4"/>
          </w:tcPr>
          <w:p>
            <w:pPr>
              <w:ind w:left="28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2180" w:type="dxa"/>
            <w:vAlign w:val="bottom"/>
            <w:gridSpan w:val="4"/>
          </w:tcPr>
          <w:p>
            <w:pPr>
              <w:ind w:left="360"/>
              <w:spacing w:after="0"/>
              <w:rPr>
                <w:sz w:val="20"/>
                <w:szCs w:val="20"/>
                <w:color w:val="auto"/>
              </w:rPr>
            </w:pPr>
            <w:r>
              <w:rPr>
                <w:rFonts w:ascii="Arial" w:cs="Arial" w:eastAsia="Arial" w:hAnsi="Arial"/>
                <w:sz w:val="16"/>
                <w:szCs w:val="16"/>
                <w:color w:val="auto"/>
              </w:rPr>
              <w:t>Six Months Ended</w:t>
            </w:r>
          </w:p>
        </w:tc>
        <w:tc>
          <w:tcPr>
            <w:tcW w:w="160" w:type="dxa"/>
            <w:vAlign w:val="bottom"/>
          </w:tcPr>
          <w:p>
            <w:pPr>
              <w:spacing w:after="0"/>
              <w:rPr>
                <w:sz w:val="16"/>
                <w:szCs w:val="16"/>
                <w:color w:val="auto"/>
              </w:rPr>
            </w:pPr>
          </w:p>
        </w:tc>
        <w:tc>
          <w:tcPr>
            <w:tcW w:w="2080" w:type="dxa"/>
            <w:vAlign w:val="bottom"/>
            <w:gridSpan w:val="3"/>
          </w:tcPr>
          <w:p>
            <w:pPr>
              <w:jc w:val="right"/>
              <w:ind w:right="462"/>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6"/>
                <w:szCs w:val="16"/>
                <w:color w:val="auto"/>
              </w:rPr>
              <w:t>June 30, 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color w:val="auto"/>
              </w:rPr>
              <w:t>June 30,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color w:val="auto"/>
              </w:rPr>
              <w:t>June 30,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color w:val="auto"/>
              </w:rPr>
              <w:t>June 30, 2020</w:t>
            </w: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260" w:type="dxa"/>
            <w:vAlign w:val="bottom"/>
            <w:gridSpan w:val="2"/>
          </w:tcPr>
          <w:p>
            <w:pPr>
              <w:jc w:val="center"/>
              <w:ind w:right="120"/>
              <w:spacing w:after="0" w:line="156" w:lineRule="exact"/>
              <w:rPr>
                <w:sz w:val="20"/>
                <w:szCs w:val="20"/>
                <w:color w:val="auto"/>
              </w:rPr>
            </w:pPr>
            <w:r>
              <w:rPr>
                <w:rFonts w:ascii="Arial" w:cs="Arial" w:eastAsia="Arial" w:hAnsi="Arial"/>
                <w:sz w:val="16"/>
                <w:szCs w:val="16"/>
                <w:color w:val="auto"/>
                <w:w w:val="91"/>
              </w:rPr>
              <w:t>% of Total</w:t>
            </w:r>
          </w:p>
        </w:tc>
        <w:tc>
          <w:tcPr>
            <w:tcW w:w="14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4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4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140" w:type="dxa"/>
            <w:vAlign w:val="bottom"/>
          </w:tcPr>
          <w:p>
            <w:pPr>
              <w:jc w:val="right"/>
              <w:ind w:right="162"/>
              <w:spacing w:after="0" w:line="156" w:lineRule="exact"/>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0"/>
        </w:trPr>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Revenue</w:t>
            </w: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Revenue</w:t>
            </w: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Revenue</w:t>
            </w: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140" w:type="dxa"/>
            <w:vAlign w:val="bottom"/>
          </w:tcPr>
          <w:p>
            <w:pPr>
              <w:jc w:val="right"/>
              <w:ind w:right="222"/>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05"/>
        </w:trPr>
        <w:tc>
          <w:tcPr>
            <w:tcW w:w="2000" w:type="dxa"/>
            <w:vAlign w:val="bottom"/>
          </w:tcPr>
          <w:p>
            <w:pPr>
              <w:ind w:left="20"/>
              <w:spacing w:after="0"/>
              <w:rPr>
                <w:sz w:val="20"/>
                <w:szCs w:val="20"/>
                <w:color w:val="auto"/>
              </w:rPr>
            </w:pPr>
            <w:r>
              <w:rPr>
                <w:rFonts w:ascii="Arial" w:cs="Arial" w:eastAsia="Arial" w:hAnsi="Arial"/>
                <w:sz w:val="16"/>
                <w:szCs w:val="16"/>
                <w:color w:val="auto"/>
                <w:w w:val="97"/>
              </w:rPr>
              <w:t>Subscriber equipment sales: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Duplex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6"/>
        </w:trPr>
        <w:tc>
          <w:tcPr>
            <w:tcW w:w="2000" w:type="dxa"/>
            <w:vAlign w:val="bottom"/>
          </w:tcPr>
          <w:p>
            <w:pPr>
              <w:ind w:left="220"/>
              <w:spacing w:after="0"/>
              <w:rPr>
                <w:sz w:val="20"/>
                <w:szCs w:val="20"/>
                <w:color w:val="auto"/>
              </w:rPr>
            </w:pPr>
            <w:r>
              <w:rPr>
                <w:rFonts w:ascii="Arial" w:cs="Arial" w:eastAsia="Arial" w:hAnsi="Arial"/>
                <w:sz w:val="16"/>
                <w:szCs w:val="16"/>
                <w:color w:val="auto"/>
              </w:rPr>
              <w:t>SPOT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2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 IoT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2000" w:type="dxa"/>
            <w:vAlign w:val="bottom"/>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6" w:name="page27"/>
    <w:bookmarkEnd w:id="26"/>
    <w:p>
      <w:pPr>
        <w:ind w:left="240"/>
        <w:spacing w:after="0"/>
        <w:rPr>
          <w:sz w:val="20"/>
          <w:szCs w:val="20"/>
          <w:color w:val="auto"/>
        </w:rPr>
      </w:pPr>
      <w:r>
        <w:rPr>
          <w:rFonts w:ascii="Arial" w:cs="Arial" w:eastAsia="Arial" w:hAnsi="Arial"/>
          <w:sz w:val="17"/>
          <w:szCs w:val="17"/>
          <w:color w:val="auto"/>
        </w:rPr>
        <w:t>The following table sets forth our average number of subscribers and ARPU by type of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320" w:type="dxa"/>
            <w:vAlign w:val="bottom"/>
            <w:gridSpan w:val="6"/>
          </w:tcPr>
          <w:p>
            <w:pPr>
              <w:ind w:left="60"/>
              <w:spacing w:after="0"/>
              <w:rPr>
                <w:sz w:val="20"/>
                <w:szCs w:val="20"/>
                <w:color w:val="auto"/>
              </w:rPr>
            </w:pPr>
            <w:r>
              <w:rPr>
                <w:rFonts w:ascii="Arial" w:cs="Arial" w:eastAsia="Arial" w:hAnsi="Arial"/>
                <w:sz w:val="17"/>
                <w:szCs w:val="17"/>
                <w:color w:val="auto"/>
                <w:w w:val="97"/>
              </w:rPr>
              <w:t>Three Months Ended June 30,</w:t>
            </w:r>
          </w:p>
        </w:tc>
        <w:tc>
          <w:tcPr>
            <w:tcW w:w="120" w:type="dxa"/>
            <w:vAlign w:val="bottom"/>
          </w:tcPr>
          <w:p>
            <w:pPr>
              <w:spacing w:after="0"/>
              <w:rPr>
                <w:sz w:val="19"/>
                <w:szCs w:val="19"/>
                <w:color w:val="auto"/>
              </w:rPr>
            </w:pPr>
          </w:p>
        </w:tc>
        <w:tc>
          <w:tcPr>
            <w:tcW w:w="2100" w:type="dxa"/>
            <w:vAlign w:val="bottom"/>
            <w:gridSpan w:val="4"/>
          </w:tcPr>
          <w:p>
            <w:pPr>
              <w:jc w:val="right"/>
              <w:ind w:right="53"/>
              <w:spacing w:after="0"/>
              <w:rPr>
                <w:sz w:val="20"/>
                <w:szCs w:val="20"/>
                <w:color w:val="auto"/>
              </w:rPr>
            </w:pPr>
            <w:r>
              <w:rPr>
                <w:rFonts w:ascii="Arial" w:cs="Arial" w:eastAsia="Arial" w:hAnsi="Arial"/>
                <w:sz w:val="17"/>
                <w:szCs w:val="17"/>
                <w:color w:val="auto"/>
                <w:w w:val="93"/>
              </w:rPr>
              <w:t>Six Months Ended June 30,</w:t>
            </w:r>
          </w:p>
        </w:tc>
      </w:tr>
      <w:tr>
        <w:trPr>
          <w:trHeight w:val="215"/>
        </w:trPr>
        <w:tc>
          <w:tcPr>
            <w:tcW w:w="6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2020</w:t>
            </w:r>
          </w:p>
        </w:tc>
      </w:tr>
      <w:tr>
        <w:trPr>
          <w:trHeight w:val="215"/>
        </w:trPr>
        <w:tc>
          <w:tcPr>
            <w:tcW w:w="6700" w:type="dxa"/>
            <w:vAlign w:val="bottom"/>
          </w:tcPr>
          <w:p>
            <w:pPr>
              <w:ind w:left="20"/>
              <w:spacing w:after="0"/>
              <w:rPr>
                <w:sz w:val="20"/>
                <w:szCs w:val="20"/>
                <w:color w:val="auto"/>
              </w:rPr>
            </w:pPr>
            <w:r>
              <w:rPr>
                <w:rFonts w:ascii="Arial" w:cs="Arial" w:eastAsia="Arial" w:hAnsi="Arial"/>
                <w:sz w:val="17"/>
                <w:szCs w:val="17"/>
                <w:color w:val="auto"/>
              </w:rPr>
              <w:t>Average number of subscribers for the period: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Duplex</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51,230</w:t>
            </w:r>
          </w:p>
        </w:tc>
      </w:tr>
      <w:tr>
        <w:trPr>
          <w:trHeight w:val="222"/>
        </w:trPr>
        <w:tc>
          <w:tcPr>
            <w:tcW w:w="6700" w:type="dxa"/>
            <w:vAlign w:val="bottom"/>
          </w:tcPr>
          <w:p>
            <w:pPr>
              <w:ind w:left="220"/>
              <w:spacing w:after="0"/>
              <w:rPr>
                <w:sz w:val="20"/>
                <w:szCs w:val="20"/>
                <w:color w:val="auto"/>
              </w:rPr>
            </w:pPr>
            <w:r>
              <w:rPr>
                <w:rFonts w:ascii="Arial" w:cs="Arial" w:eastAsia="Arial" w:hAnsi="Arial"/>
                <w:sz w:val="17"/>
                <w:szCs w:val="17"/>
                <w:color w:val="auto"/>
              </w:rPr>
              <w:t>SPOT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264,508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264,395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265,127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266,961</w:t>
            </w:r>
          </w:p>
        </w:tc>
      </w:tr>
      <w:tr>
        <w:trPr>
          <w:trHeight w:val="222"/>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 IoT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417,698</w:t>
            </w:r>
          </w:p>
        </w:tc>
      </w:tr>
      <w:tr>
        <w:trPr>
          <w:trHeight w:val="222"/>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IGO and 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27,252</w:t>
            </w:r>
          </w:p>
        </w:tc>
      </w:tr>
      <w:tr>
        <w:trPr>
          <w:trHeight w:val="240"/>
        </w:trPr>
        <w:tc>
          <w:tcPr>
            <w:tcW w:w="6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745,617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757,232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746,678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763,141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 (monthly):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2"/>
        </w:trPr>
        <w:tc>
          <w:tcPr>
            <w:tcW w:w="6700" w:type="dxa"/>
            <w:vAlign w:val="bottom"/>
          </w:tcPr>
          <w:p>
            <w:pPr>
              <w:ind w:left="220"/>
              <w:spacing w:after="0"/>
              <w:rPr>
                <w:sz w:val="20"/>
                <w:szCs w:val="20"/>
                <w:color w:val="auto"/>
              </w:rPr>
            </w:pPr>
            <w:r>
              <w:rPr>
                <w:rFonts w:ascii="Arial" w:cs="Arial" w:eastAsia="Arial" w:hAnsi="Arial"/>
                <w:sz w:val="17"/>
                <w:szCs w:val="17"/>
                <w:color w:val="auto"/>
              </w:rPr>
              <w:t>Duplex</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54.67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50.45</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52.77</w:t>
            </w:r>
          </w:p>
        </w:tc>
      </w:tr>
      <w:tr>
        <w:trPr>
          <w:trHeight w:val="222"/>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SPOT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22"/>
        </w:trPr>
        <w:tc>
          <w:tcPr>
            <w:tcW w:w="6700" w:type="dxa"/>
            <w:vAlign w:val="bottom"/>
          </w:tcPr>
          <w:p>
            <w:pPr>
              <w:ind w:left="220"/>
              <w:spacing w:after="0"/>
              <w:rPr>
                <w:sz w:val="20"/>
                <w:szCs w:val="20"/>
                <w:color w:val="auto"/>
              </w:rPr>
            </w:pPr>
            <w:r>
              <w:rPr>
                <w:rFonts w:ascii="Arial" w:cs="Arial" w:eastAsia="Arial" w:hAnsi="Arial"/>
                <w:sz w:val="17"/>
                <w:szCs w:val="17"/>
                <w:color w:val="auto"/>
              </w:rPr>
              <w:t>Commercial IoT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3.43</w:t>
            </w:r>
          </w:p>
        </w:tc>
      </w:tr>
    </w:tbl>
    <w:p>
      <w:pPr>
        <w:spacing w:after="0" w:line="3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numbers reported in the above table are subject to immaterial rounding inherent in calculating averages.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Engineering and other service revenue includes revenue generated primarily from certain governmental and engineering service contracts which are not subscriber driven. Accordingly, we do not present ARPU for engineering and other service revenue in the table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Revenue</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Duplex service revenue decreased 15% and 14%, respectively, for the three and six months ended June 30, 2021 due primarily to a decrease in average subscribers of 13% and 10%, respectively. The decrease in average subscribers was driven by churn in the subscriber base exceeding gross activations over the last twelve months, including the deactivation of all Sat-Fi2® subscribers in the first quarter of 2021.</w:t>
      </w:r>
    </w:p>
    <w:p>
      <w:pPr>
        <w:spacing w:after="0" w:line="198"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SPOT service revenue decreased 4% and 7%, respectively, for the three and six months ended June 30, 2021 due primarily to lower ARPU of 4% and 6%, respectively. ARPU decreased due to the introduction of lower-priced service plans in mid-2019. The portion of our subscriber base on these lower-priced plans has increased over the past two years and is expected to continue to increase over time. As the number of subscribers on rate plans lower than our blended ARPU level increases, ARPU will continue to decrease. These lower-priced plans contributed meaningfully to a 24% increase in gross activations from the first six months of 2020 to the first six months of 2021 and a 33% increase in gross activations from the second quarter of 2020 to the second quarter of 2021. However, average subscribers were relatively flat for both of the three and six month periods ended June 30, 2021 compared to the same periods in 2020 due to elevated churn experienced during 2020, particularly in the months following the start of the COVID-19 pandemic. Churn has recently stabilized in our SPOT subscriber base.</w:t>
      </w:r>
    </w:p>
    <w:p>
      <w:pPr>
        <w:spacing w:after="0" w:line="207"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Commercial IoT service revenue increased 5% and 4%, respectively, for the three and six months ended June 30, 2021 due to a 6% and 7% increase, respectively, in ARPU offset partially by a 1% and 3% decrease, respectively, in average subscribers. The increase in ARPU for both periods was due to higher usage and the mix of our subscribers on higher rate plans compared to the prior year periods. The decrease in average subscribers is due to higher churn and fewer activations during most of 2020 resulting from the impact of COVID-19. This customer behavior has changed in 2021, indicating a recovery in Commercial IoT demand. Gross activations have increased each consecutive quarter since the fourth fiscal quarter of 2020 and churn was 20% lower during the first six months of 2021 compared to 2020.</w:t>
      </w:r>
    </w:p>
    <w:p>
      <w:pPr>
        <w:spacing w:after="0" w:line="205"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Engineering and other service revenue increased $0.1 million and decreased $3.8 million, respectively, for the three and six months ended June 30, 2021 compared to the same periods in 2020. These fluctuations in engineering and other service revenue are due primarily to the timing and amount of revenue recognized associated with the completion of certain milestones for a specific contract.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auto"/>
        </w:rPr>
        <w:t>Subscriber Equipment Sales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Revenue from Duplex equipment sales decreased $0.3 million and $0.4 million, respectively, for the three and six months ended June 30, 2021 compared to the same periods in 2020. This decrease was driven primarily by a lower volume of Sat-Fi2® device sales.</w:t>
      </w:r>
    </w:p>
    <w:p>
      <w:pPr>
        <w:spacing w:after="0" w:line="184" w:lineRule="exact"/>
        <w:rPr>
          <w:sz w:val="20"/>
          <w:szCs w:val="20"/>
          <w:color w:val="auto"/>
        </w:rPr>
      </w:pPr>
    </w:p>
    <w:p>
      <w:pPr>
        <w:jc w:val="both"/>
        <w:ind w:firstLine="235"/>
        <w:spacing w:after="0" w:line="273" w:lineRule="auto"/>
        <w:rPr>
          <w:sz w:val="20"/>
          <w:szCs w:val="20"/>
          <w:color w:val="auto"/>
        </w:rPr>
      </w:pPr>
      <w:r>
        <w:rPr>
          <w:rFonts w:ascii="Arial" w:cs="Arial" w:eastAsia="Arial" w:hAnsi="Arial"/>
          <w:sz w:val="17"/>
          <w:szCs w:val="17"/>
          <w:color w:val="auto"/>
        </w:rPr>
        <w:t>Revenue from SPOT equipment sales increased $0.5 million and $1.0 million, respectively, for the three and six months ended June 30, 2021 compared to the same periods in 2020. This increase in revenue was due to a higher sales volume of all of our SPOT devices, led by our two-way SPOT device and also impacted by the SPOT Gen4</w:t>
      </w:r>
      <w:r>
        <w:rPr>
          <w:rFonts w:ascii="Arial" w:cs="Arial" w:eastAsia="Arial" w:hAnsi="Arial"/>
          <w:sz w:val="22"/>
          <w:szCs w:val="22"/>
          <w:color w:val="auto"/>
          <w:vertAlign w:val="superscript"/>
        </w:rPr>
        <w:t>TM</w:t>
      </w:r>
      <w:r>
        <w:rPr>
          <w:rFonts w:ascii="Arial" w:cs="Arial" w:eastAsia="Arial" w:hAnsi="Arial"/>
          <w:sz w:val="17"/>
          <w:szCs w:val="17"/>
          <w:color w:val="auto"/>
        </w:rPr>
        <w:t>, our latest SPOT Satellite GPS Messenger launched in 2020.</w:t>
      </w:r>
    </w:p>
    <w:p>
      <w:pPr>
        <w:spacing w:after="0" w:line="130"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Revenue from Commercial IoT equipment sales increased $1.2 million and $1.3 million, respectively, for the three and six months ended June 30, 2021 compared to the same periods in 2020. This increase resulted from a higher sales volume of all of our IoT devices, primarily driven by our SmartOne devices. We believe that the increase in demand during 2021 is an indication of a recovery in Commercial IoT.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Expenses</w:t>
      </w:r>
    </w:p>
    <w:p>
      <w:pPr>
        <w:spacing w:after="0" w:line="25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Total operating expenses increased 1% to $46.3 million from $45.7 million and increased 1% to $92.5 million from $92.0 million, respectively, for the three and six months ended June 30, 2021 compared to the same periods in 2020. Reductions in the value of inventory and an increase in cost of services drove the increase in operating expenses during 2021; these increases were offset by lower management, general and administrative ("MG&amp;A") costs. The main contributors to the variance in operating expenses are explained in further detail below.</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Services</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Cost of services increased $0.5 million and $0.8 million, respectively, for the three and six months ended June 30, 2021 compared to the same periods in 2020. The increase in cost of services for both periods was driven primarily by higher professional fees and licensing costs related to our implementation of a new enterprise resource planning ("ERP") system. lease expense associated with new teleport leases that started in the second quarter of 2021 and personnel costs. The increase in costs associated with our ERP was offset primarily by lower maintenance costs resulting from revisions to contract terms with certain vendors for gateway and software maintenance.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Subscriber Equipment Sales</w:t>
      </w:r>
    </w:p>
    <w:p>
      <w:pPr>
        <w:spacing w:after="0" w:line="24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Cost of subscriber equipment sales decreased $0.1 million and increased $0.2 million, respectively, for the three and six months ended June 30, 2021 from the same periods in 2020. During the second quarter of 2021, pursuant to regulatory developments, we reversed an accrual for potential tariffs owed on imports from China made prior to a ruling by the U.S Customs and Border Protection in September 2019 that we no longer believe will be due, resulting in an expense reduction of $0.9 million recognized during the quarter. Excluding this reversal, cost of subscriber equipment sales increased for both periods, which is generally consistent with the increase in total revenue from subscriber equipment sales. The improved margin during the three and six months ended June 30, 2021 was impacted by the mix of equipment sold during the respective periods, particularly higher sales of SPOT devices. During 2021, our primary manufacturer's labor costs were reduced, offsetting the impact from higher component part prices; therefore, there was no net impact on the margin generated from SPOT and Commercial IoT product sales.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i w:val="1"/>
          <w:iCs w:val="1"/>
          <w:color w:val="auto"/>
        </w:rPr>
        <w:t>Cost of Subscriber Equipment Sales - Reduction in the Value of Inventory</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During the second quarter of 2021, we recorded a reduction in the value of inventory totaling $0.8 million. We wrote off certain Sat-Fi2 materials that are not likely to be used in production as well as defective inventory units that are not saleable. Similar activity did not occur in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General and Administrative</w:t>
      </w:r>
    </w:p>
    <w:p>
      <w:pPr>
        <w:spacing w:after="0" w:line="24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MG&amp;A expenses decreased $0.6 million and $1.6 million, respectively, for the three and six months ended June 30, 2021, compared to the same periods in 2020. The most significant driver for the decrease in MG&amp;A during 2021 was bad debt expense. During the first half of 2020, we recorded reserves related to certain customer receivable balances that were not expected to be collectible due to financial difficulties resulting from the impact of COVID-19. During the first and second quarters of 2021, we recovered a portion of these previously reserved customer balances. Offsetting the favorable fluctuations in bad debt expense were higher subscriber acquisition costs for both the three and six months ended June 30, 2021, including increases in customer appeasement credits and commissions. Other smaller items impacted MG&amp;A expense in both periods, such as lower travel costs offset by higher professional and legal fees related to strategic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(Expense) Income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Extinguishment of Debt</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Gain on extinguishment of debt for the three and six months ended June 30, 2021 was $2.7 million. In June 2021, the Small Business Administration ("SBA") approved our request for forgiveness of amounts outstanding under the Paycheck Protection Program ("PPP") loan. Accordingly, we recorded a gain on extinguishment of debt totaling $5.0 million during the second quarter of 2021. Offsetting this gain was a $2.3 million write-off of a portion of remaining deferred financing costs resulting from unscheduled principal repayments of the First Lien Facility Agreement during the second quarter of 2021. Similar activity did not occur in 2020.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 and Expense</w:t>
      </w:r>
    </w:p>
    <w:p>
      <w:pPr>
        <w:spacing w:after="0" w:line="249"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Interest income and expense, net, decreased $0.7 million and $3.2 million, respectively, during the three and six months ended June 30, 2021, compared to the same periods in 2020 due to lower gross interest costs and higher capitalized interest. Gross interest costs decreased $0.4 million and $2.9 million, respectively, and capitalized interest increased $0.3 million in both periods, which decreased interest expense. Gross interest costs were impacted by lower interest associated with the First Lien Facility Agreement and the Loan Agreement with Thermo; these items were offset by higher interest on the Second Lien Facility Agreement. Interest costs for the First Lien Facility Agreement were favorably impacted by reductions in the principal balance over the last twelve months as well as a decrease in the interest rate driven by a reduction in LIBOR. As previously discussed, we have made principal payments of the First Lien Facility Agreement totaling $92.3 million in the last twelve months, which reduced the principal amount outstanding and lowered interest costs. Lower interest costs for the Loan Agreement with Thermo were driven by Thermo's conversion of the entire principal balance outstanding under the Loan Agreement in February 2020.</w:t>
      </w:r>
    </w:p>
    <w:p>
      <w:pPr>
        <w:spacing w:after="0" w:line="211"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For the three and six months ended June 30, 2021, interest costs associated with the First Lien Facility Agreement decreased $1.6 million and $2.3 million (including $0.4 million and $0.3 million of amortization of deferred financing costs), respectively, and interest costs associated with the Loan Agreement with Thermo decreased $2.9 million (including $0.7 million of accretion of debt discount) for the six month period. These decreases were offset by $1.1 million and $2.2 million of interest (including $0.1 million and $0.3 million of accretion of debt discount and amortization of deferred financing costs), respectively, associated with the Second Lien Facility Agreement.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color w:val="auto"/>
        </w:rPr>
        <w:t>Derivative (Loss) Gain</w:t>
      </w:r>
    </w:p>
    <w:p>
      <w:pPr>
        <w:spacing w:after="0" w:line="249"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We recorded derivative losses of $1.3 million and gains of $1.2 million for the three months ended June 30, 2021 and 2020, respectively, and losses of $2.4 million and gains of $0.3 million for the six months ended June 30, 2021 and 2020, respectively. We recognize gains or losses due to the change in the value of certain embedded features within our debt instruments that require standalone derivative accounting. The losses recorded during the three and six months ended June 30, 2021 were primarily impacted by increases in our stock price and stock price volatility, which are significant inputs used in the valuation of the embedded derivative associated with our 2013 8.00% Notes. The gains recorded during the three and six months ended June 30, 2020 were impacted by fluctuations in the discount yield used in the valuation of the embedded derivative associated with our Second Lien Term Loan Facility Agreement. For the first quarter of 2020, the assumed high probability of conversion of the Loan Agreement with Thermo, which occurred in February 2020, also decreased the value of our derivative liabilities. See Note 7: Fair Value Measurements to our condensed consolidated financial statements for further discussion of the computation of the fair value of our derivatives.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Gain (Loss)</w:t>
      </w:r>
    </w:p>
    <w:p>
      <w:pPr>
        <w:spacing w:after="0" w:line="249" w:lineRule="exact"/>
        <w:rPr>
          <w:sz w:val="20"/>
          <w:szCs w:val="20"/>
          <w:color w:val="auto"/>
        </w:rPr>
      </w:pPr>
    </w:p>
    <w:p>
      <w:pPr>
        <w:jc w:val="both"/>
        <w:ind w:firstLine="235"/>
        <w:spacing w:after="0" w:line="300" w:lineRule="auto"/>
        <w:rPr>
          <w:sz w:val="20"/>
          <w:szCs w:val="20"/>
          <w:color w:val="auto"/>
        </w:rPr>
      </w:pPr>
      <w:r>
        <w:rPr>
          <w:rFonts w:ascii="Arial" w:cs="Arial" w:eastAsia="Arial" w:hAnsi="Arial"/>
          <w:sz w:val="15"/>
          <w:szCs w:val="15"/>
          <w:color w:val="auto"/>
        </w:rPr>
        <w:t>Foreign currency gain (loss) fluctuated by $3.1 million to a gain of $4.4 million for the three months ended June 30, 2021 from a gain of $1.3 million for the same period in 2020. Foreign currency gain (loss) fluctuated by $7.7 million to a gain of $0.1 million for the six months ended June 30, 2021 from a loss of $7.6 million for the same period in 2020. Changes in foreign currency gains and losses are driven by the remeasurement of financial statement items, which are denominated in various currencies, at the end of each reporting period. For the three months ended June 30, 2021, the foreign currency gain was due to the strengthening of the Euro, Canadian dollar and Brazilian real relative to the U.S. dollar. For the six months ended June 30, 2021, the foreign currency gain was due to the strengthening of the Brazilian real and the Canadian dollar offset by weakening of the Euro relative to the U.S. dollar. For the same periods in 2020, the strengthening of the Canadian dollar relative to the U.S. dollar contributed to the foreign currency gain for the three months ended June 30, 2020 and the weakening of the Canadian dollar and Brazilian real relative to the U.S. dollar contributed to the foreign currency losses for the six months ended June 30, 2020.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49" w:lineRule="exact"/>
        <w:rPr>
          <w:sz w:val="20"/>
          <w:szCs w:val="20"/>
          <w:color w:val="auto"/>
        </w:rPr>
      </w:pPr>
    </w:p>
    <w:p>
      <w:pPr>
        <w:jc w:val="both"/>
        <w:ind w:firstLine="235"/>
        <w:spacing w:after="0" w:line="248" w:lineRule="auto"/>
        <w:rPr>
          <w:sz w:val="20"/>
          <w:szCs w:val="20"/>
          <w:color w:val="auto"/>
        </w:rPr>
      </w:pPr>
      <w:r>
        <w:rPr>
          <w:rFonts w:ascii="Arial" w:cs="Arial" w:eastAsia="Arial" w:hAnsi="Arial"/>
          <w:sz w:val="17"/>
          <w:szCs w:val="17"/>
          <w:color w:val="auto"/>
        </w:rPr>
        <w:t>Our principal near-term liquidity requirements include funding our operating costs and capital expenditures. Our principal sources of liquidity include cash on hand and cash flows from operations. Beyond the next twelve months, our liquidity requirements also include paying our debt service obligations. A longer-term source of liquidity also includes restricted cash held in our debt service reserve account. We currently expect that sources of liquidity over the next twelve months will be sufficient for us to cover our obligations. We may also access equity and debt capital markets from time to time or refinance our debt obligations to improve the terms of our debt instruments and lower principal and interest payments.</w:t>
      </w:r>
    </w:p>
    <w:p>
      <w:pPr>
        <w:spacing w:after="0" w:line="205"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During the first quarter of 2021, we received proceeds totaling $43.7 million from the exercise of the remaining outstanding warrants issued to the lenders of our Second Lien Facility Agreement in 2019. As of March 31, 2021, all of the warrants issued to our lenders have been exercised resulting in total proceeds since issuance of $47.3 million. These proceeds were used to meet our obligation to raise no less than $45.0 million of equity prior to March 30, 2021. In April 2021, these proceeds were used to pay principal due under the Facility Agreement.</w:t>
      </w:r>
    </w:p>
    <w:p>
      <w:pPr>
        <w:spacing w:after="0" w:line="202"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In June 2021, we received an advance payment of $37.5 million from a customer pursuant to an agreement related to the Terms Agreement described in our 2020 Annual Report. The advance payment is expected to be repaid from services provided by us under the Terms Agreement. Any portion of the advance payment not repaid in services will be repaid in cash over time. Upon receipt of the advance payment in June 2021, we used the proceeds to repay a portion of the amount outstanding under our First Lien Facility Agreement.</w:t>
      </w:r>
    </w:p>
    <w:p>
      <w:pPr>
        <w:spacing w:after="0" w:line="202"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As of June 30, 2021, we held cash and cash equivalents of $15.7 million and restricted cash of $51.0 million on our condensed consolidated balance sheet. Restricted cash will generally be used towards the final scheduled payment due upon maturity of the First Lien Facility Agreement in December 2022. As of December 31, 2020, we held cash and cash equivalents of $13.3 million and restricted cash of $54.7 million.</w:t>
      </w:r>
    </w:p>
    <w:p>
      <w:pPr>
        <w:spacing w:after="0" w:line="19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total carrying amount of our debt outstanding was $313.4 million at June 30, 2021, compared to $385.4 million at December 31, 2020. At June 30, 2021, there was no current portion of debt outstanding. At December 31, 2020, the current portion of our debt outstanding was $58.8 million, which represented the scheduled payments under the First Lien Facility Agreement and the PPP Loan.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0" w:name="page31"/>
    <w:bookmarkEnd w:id="30"/>
    <w:p>
      <w:pPr>
        <w:jc w:val="both"/>
        <w:ind w:firstLine="235"/>
        <w:spacing w:after="0" w:line="264" w:lineRule="auto"/>
        <w:rPr>
          <w:sz w:val="20"/>
          <w:szCs w:val="20"/>
          <w:color w:val="auto"/>
        </w:rPr>
      </w:pPr>
      <w:r>
        <w:rPr>
          <w:rFonts w:ascii="Arial" w:cs="Arial" w:eastAsia="Arial" w:hAnsi="Arial"/>
          <w:sz w:val="17"/>
          <w:szCs w:val="17"/>
          <w:color w:val="auto"/>
        </w:rPr>
        <w:t>The $72.0 million decrease in carrying value of our debt was due primarily to principal payments of the First Lien Facility Agreement totaling $89.2 million during the first six months of 2021 (discussed below) as well as the forgiveness of the PPP Loan, totaling $4.9 million (net of less than $0.1 million of deferred financing costs prior to forgiveness). Offsetting these debt reductions was a higher carrying value of the Second Lien Facility Agreement of $18.2 million due to the accrual of PIK interest and the accretion of debt discount as well as $3.9 million related to the amortization of deferred financing costs and write-off of deferred financing costs for the First Lien Facility Agreement.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for the six months ended June 30, 2021 and 2020</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shows our cash flows from operating, investing and financing activities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7"/>
                <w:szCs w:val="17"/>
                <w:color w:val="auto"/>
              </w:rPr>
              <w:t>Six Months Ended</w:t>
            </w:r>
          </w:p>
        </w:tc>
      </w:tr>
      <w:tr>
        <w:trPr>
          <w:trHeight w:val="164"/>
        </w:trPr>
        <w:tc>
          <w:tcPr>
            <w:tcW w:w="7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line="164" w:lineRule="exact"/>
              <w:rPr>
                <w:sz w:val="20"/>
                <w:szCs w:val="20"/>
                <w:color w:val="auto"/>
              </w:rPr>
            </w:pPr>
            <w:r>
              <w:rPr>
                <w:rFonts w:ascii="Arial" w:cs="Arial" w:eastAsia="Arial" w:hAnsi="Arial"/>
                <w:sz w:val="17"/>
                <w:szCs w:val="17"/>
                <w:color w:val="auto"/>
              </w:rPr>
              <w:t>June 30,</w:t>
            </w:r>
          </w:p>
        </w:tc>
        <w:tc>
          <w:tcPr>
            <w:tcW w:w="320" w:type="dxa"/>
            <w:vAlign w:val="bottom"/>
          </w:tcPr>
          <w:p>
            <w:pPr>
              <w:spacing w:after="0"/>
              <w:rPr>
                <w:sz w:val="14"/>
                <w:szCs w:val="14"/>
                <w:color w:val="auto"/>
              </w:rPr>
            </w:pPr>
          </w:p>
        </w:tc>
        <w:tc>
          <w:tcPr>
            <w:tcW w:w="1340" w:type="dxa"/>
            <w:vAlign w:val="bottom"/>
          </w:tcPr>
          <w:p>
            <w:pPr>
              <w:jc w:val="right"/>
              <w:ind w:right="453"/>
              <w:spacing w:after="0" w:line="164" w:lineRule="exact"/>
              <w:rPr>
                <w:sz w:val="20"/>
                <w:szCs w:val="20"/>
                <w:color w:val="auto"/>
              </w:rPr>
            </w:pPr>
            <w:r>
              <w:rPr>
                <w:rFonts w:ascii="Arial" w:cs="Arial" w:eastAsia="Arial" w:hAnsi="Arial"/>
                <w:sz w:val="17"/>
                <w:szCs w:val="17"/>
                <w:color w:val="auto"/>
              </w:rPr>
              <w:t>June 30,</w:t>
            </w:r>
          </w:p>
        </w:tc>
      </w:tr>
      <w:tr>
        <w:trPr>
          <w:trHeight w:val="221"/>
        </w:trPr>
        <w:tc>
          <w:tcPr>
            <w:tcW w:w="7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2020</w:t>
            </w:r>
          </w:p>
        </w:tc>
      </w:tr>
      <w:tr>
        <w:trPr>
          <w:trHeight w:val="215"/>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8,859</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(4,879)</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3,969</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Operating Activities</w:t>
      </w:r>
    </w:p>
    <w:p>
      <w:pPr>
        <w:spacing w:after="0" w:line="249" w:lineRule="exact"/>
        <w:rPr>
          <w:sz w:val="20"/>
          <w:szCs w:val="20"/>
          <w:color w:val="auto"/>
        </w:rPr>
      </w:pPr>
    </w:p>
    <w:p>
      <w:pPr>
        <w:jc w:val="both"/>
        <w:ind w:firstLine="235"/>
        <w:spacing w:after="0" w:line="302" w:lineRule="auto"/>
        <w:rPr>
          <w:sz w:val="20"/>
          <w:szCs w:val="20"/>
          <w:color w:val="auto"/>
        </w:rPr>
      </w:pPr>
      <w:r>
        <w:rPr>
          <w:rFonts w:ascii="Arial" w:cs="Arial" w:eastAsia="Arial" w:hAnsi="Arial"/>
          <w:sz w:val="15"/>
          <w:szCs w:val="15"/>
          <w:color w:val="auto"/>
        </w:rPr>
        <w:t>Net cash provided by operations includes primarily cash receipts from subscribers related to the purchase of equipment and satellite voice and data services as well as cash received from the performance of engineering and other service contracts. We use cash in operating activities primarily for personnel costs, inventory purchases and other general corporate expenditures. Net cash provided by operating activities during the six months ended June 30, 2021 was $55.9 million compared to $8.9 million during the same period in 2020. The primary driver for the increase was prepayments made during 2021 by a customer totaling $51.6 million, which were recorded as deferred revenue (see Note 2: Revenue to our condensed consolidated financial statements for further discussion). The timing of vendor payments and receipts from customers also impacted the change in working capital. Partially offsetting these favorable working capital changes was lower net income (after adjusting for non-cash items) due primarily to lower revenue, particularly driven by the timing of engineering services revenue.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Investing Activities</w:t>
      </w:r>
    </w:p>
    <w:p>
      <w:pPr>
        <w:spacing w:after="0" w:line="24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Net cash used in investing activities was $12.0 million for the six months ended June 30, 2021 compared to $4.9 million for the same period in 2020. During both 2021 and 2020, the nature of our capital expenditures was related to network upgrades, including the procurement and deployment of new antennas for our gateways, as well as the purchase of intangible assets related to our MSS and terrestrial spectrum licensing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Provided by Financing Activities</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Net cash used in financing activities was $45.2 million and net cash provided by financing activities was $4.0 million, respectively, during each of the six month periods ended June 30, 2021 and 2020. As previously disclosed, during the first six months of 2021, we made principal payments of the First Lien Facility Agreement totaling $89.2 million (see further discussion below). In March 2021, we received $43.7 million in proceeds from the exercise of the warrants issued with our Second Lien Facility Agreement.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 and Available Credit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Lien Facility Agreement</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 2009, we entered into the First Lien Facility Agreement, which was amended and restated in July 2013, August 2015, June 2017 and November 2019. The First Lien Facility Agreement is scheduled to mature in December 2022. As of June 30, 2021, the principal amount outstanding under the Facility Agreement was $97.8 million.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jc w:val="both"/>
        <w:ind w:firstLine="235"/>
        <w:spacing w:after="0" w:line="261" w:lineRule="auto"/>
        <w:rPr>
          <w:sz w:val="20"/>
          <w:szCs w:val="20"/>
          <w:color w:val="auto"/>
        </w:rPr>
      </w:pPr>
      <w:r>
        <w:rPr>
          <w:rFonts w:ascii="Arial" w:cs="Arial" w:eastAsia="Arial" w:hAnsi="Arial"/>
          <w:sz w:val="17"/>
          <w:szCs w:val="17"/>
          <w:color w:val="auto"/>
        </w:rPr>
        <w:t>The First Lien Facility Agreement contains customary events of default and requires that we satisfy various financial and non-financial covenants. The compliance calculations of the financial covenants of the First Lien Facility Agreement permit us to include certain cash funds we receive from the issuance of our common stock and/or subordinated indebtedness. We refer to these funds as "Equity Cure Contributions". If we violate any covenants and are unable to obtain a sufficient Equity Cure Contribution or obtain a waiver, we would be in default under the First Lien Facility Agreement, and the lenders could accelerate payment of the indebtedness. In anticipation of projected capital expenditures, in August 2021, we received a waiver from our senior lenders, increasing permitted capital expenditure limits under the First Lien Facility Agreement. As of June 30, 2021, we were in compliance with the covenants of the First Lien Facility Agreement.</w:t>
      </w:r>
    </w:p>
    <w:p>
      <w:pPr>
        <w:spacing w:after="0" w:line="211"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The First Lien Facility Agreement requires mandatory prepayments of principal with any Excess Cash Flow (as defined and calculated in the Facility Agreement) on a semi-annual basis. During 2021, we were required to pay $4.4 million to our first lien lenders resulting from our Excess Cash Flow calculation as of December 31, 2020. This payment reduced future principal payment obligations.</w:t>
      </w:r>
    </w:p>
    <w:p>
      <w:pPr>
        <w:spacing w:after="0" w:line="198" w:lineRule="exact"/>
        <w:rPr>
          <w:sz w:val="20"/>
          <w:szCs w:val="20"/>
          <w:color w:val="auto"/>
        </w:rPr>
      </w:pPr>
    </w:p>
    <w:p>
      <w:pPr>
        <w:jc w:val="both"/>
        <w:ind w:firstLine="235"/>
        <w:spacing w:after="0" w:line="248" w:lineRule="auto"/>
        <w:rPr>
          <w:sz w:val="20"/>
          <w:szCs w:val="20"/>
          <w:color w:val="auto"/>
        </w:rPr>
      </w:pPr>
      <w:r>
        <w:rPr>
          <w:rFonts w:ascii="Arial" w:cs="Arial" w:eastAsia="Arial" w:hAnsi="Arial"/>
          <w:sz w:val="17"/>
          <w:szCs w:val="17"/>
          <w:color w:val="auto"/>
        </w:rPr>
        <w:t>The amended and restated First Lien Facility Agreement includes a requirement that we raise no less than $45.0 million from the sale of equity prior to March 31, 2021. We fulfilled this requirement with proceeds from the exercise of all the warrants issued to the Second Lien Facility Agreement lenders in November 2019. We received proceeds totaling $47.3 million, of which $3.6 million was received in December 2019 and the remaining $43.7 million was received during the first quarter of 2021. In April 2021, the proceeds were used towards the principal payment due in June 2021 and then the remaining proceeds were applied to the principal payment due in December 2021.</w:t>
      </w:r>
    </w:p>
    <w:p>
      <w:pPr>
        <w:spacing w:after="0" w:line="205" w:lineRule="exact"/>
        <w:rPr>
          <w:sz w:val="20"/>
          <w:szCs w:val="20"/>
          <w:color w:val="auto"/>
        </w:rPr>
      </w:pPr>
    </w:p>
    <w:p>
      <w:pPr>
        <w:jc w:val="both"/>
        <w:ind w:firstLine="274"/>
        <w:spacing w:after="0" w:line="272" w:lineRule="auto"/>
        <w:rPr>
          <w:sz w:val="20"/>
          <w:szCs w:val="20"/>
          <w:color w:val="auto"/>
        </w:rPr>
      </w:pPr>
      <w:r>
        <w:rPr>
          <w:rFonts w:ascii="Arial" w:cs="Arial" w:eastAsia="Arial" w:hAnsi="Arial"/>
          <w:sz w:val="17"/>
          <w:szCs w:val="17"/>
          <w:color w:val="auto"/>
        </w:rPr>
        <w:t>Additionally, as previously disclosed, in June 2021, we received an advance payment of $37.5 million from a customer. We used these proceeds to pay a portion of the remaining amount due under the First Lien Facility Agreement. This payment was applied to the scheduled principal payments due in December 2021 and June 2022 and then the remaining proceeds were applied to the December 2022 principal payment.</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The First Lien Facility Agreement requires that we maintain a debt service reserve account, which is pledged to secure our obligations under the First Lien Facility Agreement. The required balance in the debt service reserve account is fixed and must equal at least $50.9 million. As of June 30, 2021, the balance in the debt service reserve account was $51.0 million and is classified as non-current restricted cash on our condensed consolidated balance sheet as it will be used towards the final scheduled payment due upon maturity of the First Lien Facility Agreement in December 2022.</w:t>
      </w:r>
    </w:p>
    <w:p>
      <w:pPr>
        <w:spacing w:after="0" w:line="18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See Note 5: Long-Term Debt and Other Financing Arrangements to our condensed consolidated financial statements for further discussion of the First Lien Facility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Lien Facility Agreement</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In 2019, we entered into a $199.0 million Second Lien Facility Agreement with Thermo, EchoStar Corporation and certain other unaffiliated lenders. The Second Lien Facility Agreement is scheduled to mature in November 2025. The loans under the Second Lien Facility Agreement bear interest at a blended rate of 13.5% per annum to be paid-in-kind (or in cash at our option, subject to restrictions in the Facility Agreement). The cash proceeds from this loan were net of a 3% original issue discount. As of June 30, 2021, the principal amount outstanding under the Second Lien Facility Agreement was $246.5 million.</w:t>
      </w:r>
    </w:p>
    <w:p>
      <w:pPr>
        <w:spacing w:after="0" w:line="18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As additional consideration for the loan, we issued the lenders warrants to purchase 124.5 million shares of common stock at an exercise price of $0.38 per share. All of these warrants were exercised prior to their expiration on March 31, 2021, resulting in proceeds of $47.3 million.</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Second Lien Facility Agreement contains customary events of default and requires us to satisfy various financial and non-financial covenants. As of June 30, 2021, we were in compliance with all the covenants of the Second Lien Facility Agreement.</w:t>
      </w:r>
    </w:p>
    <w:p>
      <w:pPr>
        <w:spacing w:after="0" w:line="184"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7"/>
          <w:szCs w:val="17"/>
          <w:color w:val="auto"/>
        </w:rPr>
        <w:t>See Note 5: Long-Term Debt and Other Financing Arrangements to our condensed consolidated financial statements for further discussion of the Second Lien Facility Agreement.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8.00% Convertible Senior Notes Issued in 2013</w:t>
      </w:r>
    </w:p>
    <w:p>
      <w:pPr>
        <w:spacing w:after="0" w:line="249" w:lineRule="exact"/>
        <w:rPr>
          <w:sz w:val="20"/>
          <w:szCs w:val="20"/>
          <w:color w:val="auto"/>
        </w:rPr>
      </w:pPr>
    </w:p>
    <w:p>
      <w:pPr>
        <w:jc w:val="both"/>
        <w:ind w:firstLine="274"/>
        <w:spacing w:after="0" w:line="284" w:lineRule="auto"/>
        <w:rPr>
          <w:sz w:val="20"/>
          <w:szCs w:val="20"/>
          <w:color w:val="auto"/>
        </w:rPr>
      </w:pPr>
      <w:r>
        <w:rPr>
          <w:rFonts w:ascii="Arial" w:cs="Arial" w:eastAsia="Arial" w:hAnsi="Arial"/>
          <w:sz w:val="16"/>
          <w:szCs w:val="16"/>
          <w:color w:val="auto"/>
        </w:rPr>
        <w:t>Our 2013 8.00% Notes are convertible into shares of our common stock at a conversion price of $0.69 (as adjusted) per share of common stock. As of June 30, 2021, the principal amount outstanding of the 2013 8.00% Notes was $1.4 million. The 2013 8.00% Notes will mature on April 1, 2028, subject to various call and put features. Interest on the 2013 8.00% Notes is payable semi-annually in arrears on April 1 and October 1 of each year. We pay interest in cash at a rate of 5.75% per annum and by issuing additional 2013 8.00% Notes at a rate of 2.25% per annum. The indenture governing the 2013 8.00% Notes provides for customary events of default. As of June 30, 2021, we were in compliance with the terms of the 2013 8.00% Notes and the Indenture.</w:t>
      </w:r>
    </w:p>
    <w:p>
      <w:pPr>
        <w:spacing w:after="0" w:line="192"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7"/>
          <w:szCs w:val="17"/>
          <w:color w:val="auto"/>
        </w:rPr>
        <w:t>See Note 5: Long-Term Debt and Other Financing Arrangements to our condensed consolidated financial statements for further discussion of the 2013 8.00% Notes.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Paycheck Protection Program Loan</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previously discussed, we sought relief under the CARES Act, including receiving a $5.0 million loan under the PPP in April 2020 (the "PPP Loan"). In June 2021, the SBA approved our request for forgiveness of all amounts outstanding, including accrued interest. As of June 30, 2021, there was no principal amount or interest outstanding under the PPP Loan.</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Note 5: Long-Term Debt and Other Financing Arrangements to our condensed consolidated financial statements for further discussion of the PPP Loan.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There have been no significant changes to our contractual obligations and commitments since December 31, 2020.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Transactions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have no material off-balance sheet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55"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 xml:space="preserve">For a discussion of recently issued accounting guidance and the expected impact that the guidance could have on our condensed consolidated financial statements, see </w:t>
      </w:r>
      <w:r>
        <w:rPr>
          <w:rFonts w:ascii="Arial" w:cs="Arial" w:eastAsia="Arial" w:hAnsi="Arial"/>
          <w:sz w:val="17"/>
          <w:szCs w:val="17"/>
          <w:i w:val="1"/>
          <w:iCs w:val="1"/>
          <w:color w:val="auto"/>
        </w:rPr>
        <w:t>Recently Issued Accounting Pronouncements</w:t>
      </w:r>
      <w:r>
        <w:rPr>
          <w:rFonts w:ascii="Arial" w:cs="Arial" w:eastAsia="Arial" w:hAnsi="Arial"/>
          <w:sz w:val="17"/>
          <w:szCs w:val="17"/>
          <w:color w:val="auto"/>
        </w:rPr>
        <w:t xml:space="preserve"> in Note 1: Basis of Presentation to our condensed consolidated financial statements in Part 1,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Facility Agreement.</w:t>
      </w:r>
    </w:p>
    <w:p>
      <w:pPr>
        <w:spacing w:after="0" w:line="207"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We also have operations in Argentina, which is considered to have a highly inflationary economy. We continue to monitor the significant uncertainty surrounding current Argentinian exchange mechanisms. Operations in this country are not considered significant to our consolidated operations.</w:t>
      </w:r>
    </w:p>
    <w:p>
      <w:pPr>
        <w:spacing w:after="0" w:line="161"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Our interest rate risk arises from our variable rate debt under our Facility Agreement, under which loans bear interest at a floating rate based on the LIBOR. We have $97.8 million in principal outstanding under the Facility Agreement. A 1.0% change in interest rates would result in a change to interest expense of approximately $1.0 million annually.</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See Note 7: Fair Value Measurements in our condensed consolidated financial statements for discussion of our financial assets and liabilities measured at fair market value and the market factors affecting changes in fair market value of each.</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Evaluation of disclosure controls and procedures.</w:t>
      </w:r>
    </w:p>
    <w:p>
      <w:pPr>
        <w:spacing w:after="0" w:line="223"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June 30, 2021, the end of the period covered by this Report. This evaluation was based on the guidelines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6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Based on this evaluation, each of our Principal Executive Officer and Principal Financial Officer concluded that as of June 30, 2021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believe that the condensed consolidated financial statements included in this Report fairly present, in all material respects, our condensed consolidated financial position and results of operations for the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 Changes in internal control over financial reporting.</w:t>
      </w:r>
    </w:p>
    <w:p>
      <w:pPr>
        <w:spacing w:after="0" w:line="249"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As of June 30, 2021, our management, with the participation of our Principal Executive Officer and Principal Financial Officer, evaluated our internal control over financial reporting. Although our employees continue to follow remote work arrangements caused by COVID-19, these circumstances have not adversely affected the Company's ability to maintain operations, including adequate financial reporting systems, internal control over financial reporting and disclosure controls and procedures. Based on this evaluation, our Principal Executive Officer and Principal Financial Officer concluded that no changes in our internal control over financial reporting occurred during the quarter ended June 30, 2021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You should carefully consider the risks described in this Report and all of the other reports that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 There have been no material changes to our risk factors disclosed in Part I. Item 1A. "Risk Factors" of our 2020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40" w:type="dxa"/>
            <w:vAlign w:val="bottom"/>
            <w:gridSpan w:val="2"/>
          </w:tcPr>
          <w:p>
            <w:pPr>
              <w:spacing w:after="0"/>
              <w:rPr>
                <w:sz w:val="20"/>
                <w:szCs w:val="20"/>
                <w:color w:val="auto"/>
              </w:rPr>
            </w:pPr>
            <w:r>
              <w:rPr>
                <w:rFonts w:ascii="Arial" w:cs="Arial" w:eastAsia="Arial" w:hAnsi="Arial"/>
                <w:sz w:val="17"/>
                <w:szCs w:val="17"/>
                <w:color w:val="auto"/>
              </w:rPr>
              <w:t>Not Applicable</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w w:val="97"/>
              </w:rPr>
              <w:t>Item 5. Other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040" w:type="dxa"/>
            <w:vAlign w:val="bottom"/>
            <w:gridSpan w:val="2"/>
          </w:tcPr>
          <w:p>
            <w:pPr>
              <w:spacing w:after="0"/>
              <w:rPr>
                <w:sz w:val="20"/>
                <w:szCs w:val="20"/>
                <w:color w:val="auto"/>
              </w:rPr>
            </w:pPr>
            <w:r>
              <w:rPr>
                <w:rFonts w:ascii="Arial" w:cs="Arial" w:eastAsia="Arial" w:hAnsi="Arial"/>
                <w:sz w:val="17"/>
                <w:szCs w:val="17"/>
                <w:color w:val="auto"/>
              </w:rPr>
              <w:t>None.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rPr>
              <w:t>Item 6. Exhibits.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480" w:type="dxa"/>
            <w:vAlign w:val="bottom"/>
          </w:tcPr>
          <w:p>
            <w:pPr>
              <w:spacing w:after="0"/>
              <w:rPr>
                <w:sz w:val="24"/>
                <w:szCs w:val="24"/>
                <w:color w:val="auto"/>
              </w:rPr>
            </w:pPr>
          </w:p>
        </w:tc>
        <w:tc>
          <w:tcPr>
            <w:tcW w:w="1560" w:type="dxa"/>
            <w:vAlign w:val="bottom"/>
          </w:tcPr>
          <w:p>
            <w:pPr>
              <w:ind w:left="480"/>
              <w:spacing w:after="0"/>
              <w:rPr>
                <w:sz w:val="20"/>
                <w:szCs w:val="20"/>
                <w:color w:val="auto"/>
              </w:rPr>
            </w:pPr>
            <w:r>
              <w:rPr>
                <w:rFonts w:ascii="Arial" w:cs="Arial" w:eastAsia="Arial" w:hAnsi="Arial"/>
                <w:sz w:val="17"/>
                <w:szCs w:val="17"/>
                <w:b w:val="1"/>
                <w:bCs w:val="1"/>
                <w:color w:val="auto"/>
              </w:rPr>
              <w:t>Exhibit</w:t>
            </w:r>
          </w:p>
        </w:tc>
        <w:tc>
          <w:tcPr>
            <w:tcW w:w="480" w:type="dxa"/>
            <w:vAlign w:val="bottom"/>
          </w:tcPr>
          <w:p>
            <w:pPr>
              <w:spacing w:after="0"/>
              <w:rPr>
                <w:sz w:val="24"/>
                <w:szCs w:val="24"/>
                <w:color w:val="auto"/>
              </w:rPr>
            </w:pPr>
          </w:p>
        </w:tc>
        <w:tc>
          <w:tcPr>
            <w:tcW w:w="864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Number</w:t>
            </w:r>
          </w:p>
        </w:tc>
        <w:tc>
          <w:tcPr>
            <w:tcW w:w="480" w:type="dxa"/>
            <w:vAlign w:val="bottom"/>
          </w:tcPr>
          <w:p>
            <w:pPr>
              <w:spacing w:after="0"/>
              <w:rPr>
                <w:sz w:val="19"/>
                <w:szCs w:val="19"/>
                <w:color w:val="auto"/>
              </w:rPr>
            </w:pPr>
          </w:p>
        </w:tc>
        <w:tc>
          <w:tcPr>
            <w:tcW w:w="864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40" w:type="dxa"/>
            <w:vAlign w:val="bottom"/>
            <w:gridSpan w:val="2"/>
          </w:tcPr>
          <w:p>
            <w:pPr>
              <w:ind w:left="960"/>
              <w:spacing w:after="0" w:line="176" w:lineRule="exact"/>
              <w:rPr>
                <w:sz w:val="20"/>
                <w:szCs w:val="20"/>
                <w:color w:val="auto"/>
              </w:rPr>
            </w:pPr>
            <w:r>
              <w:rPr>
                <w:rFonts w:ascii="Arial" w:cs="Arial" w:eastAsia="Arial" w:hAnsi="Arial"/>
                <w:sz w:val="17"/>
                <w:szCs w:val="17"/>
                <w:color w:val="auto"/>
              </w:rPr>
              <w:t>3.1*</w:t>
            </w:r>
          </w:p>
        </w:tc>
        <w:tc>
          <w:tcPr>
            <w:tcW w:w="480" w:type="dxa"/>
            <w:vAlign w:val="bottom"/>
          </w:tcPr>
          <w:p>
            <w:pPr>
              <w:spacing w:after="0"/>
              <w:rPr>
                <w:sz w:val="15"/>
                <w:szCs w:val="15"/>
                <w:color w:val="auto"/>
              </w:rPr>
            </w:pPr>
          </w:p>
        </w:tc>
        <w:tc>
          <w:tcPr>
            <w:tcW w:w="8640" w:type="dxa"/>
            <w:vAlign w:val="bottom"/>
            <w:tcBorders>
              <w:bottom w:val="single" w:sz="8" w:color="0000FF"/>
            </w:tcBorders>
            <w:gridSpan w:val="7"/>
          </w:tcPr>
          <w:p>
            <w:pPr>
              <w:spacing w:after="0" w:line="176" w:lineRule="exact"/>
              <w:rPr>
                <w:rFonts w:ascii="Arial" w:cs="Arial" w:eastAsia="Arial" w:hAnsi="Arial"/>
                <w:sz w:val="17"/>
                <w:szCs w:val="17"/>
                <w:color w:val="0000FF"/>
                <w:w w:val="95"/>
              </w:rPr>
            </w:pPr>
            <w:hyperlink r:id="rId41">
              <w:r>
                <w:rPr>
                  <w:rFonts w:ascii="Arial" w:cs="Arial" w:eastAsia="Arial" w:hAnsi="Arial"/>
                  <w:sz w:val="17"/>
                  <w:szCs w:val="17"/>
                  <w:color w:val="0000FF"/>
                  <w:w w:val="95"/>
                </w:rPr>
                <w:t>Third Amended and Restated Certificate of Incorporation of Globalstar, Inc. (Appendix A to DEF 14A filed April 12, 2021)</w:t>
              </w:r>
            </w:hyperlink>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3.2*</w:t>
            </w:r>
          </w:p>
        </w:tc>
        <w:tc>
          <w:tcPr>
            <w:tcW w:w="480" w:type="dxa"/>
            <w:vAlign w:val="bottom"/>
          </w:tcPr>
          <w:p>
            <w:pPr>
              <w:spacing w:after="0"/>
              <w:rPr>
                <w:sz w:val="17"/>
                <w:szCs w:val="17"/>
                <w:color w:val="auto"/>
              </w:rPr>
            </w:pPr>
          </w:p>
        </w:tc>
        <w:tc>
          <w:tcPr>
            <w:tcW w:w="8640" w:type="dxa"/>
            <w:vAlign w:val="bottom"/>
            <w:gridSpan w:val="7"/>
          </w:tcPr>
          <w:p>
            <w:pPr>
              <w:spacing w:after="0"/>
              <w:rPr>
                <w:rFonts w:ascii="Arial" w:cs="Arial" w:eastAsia="Arial" w:hAnsi="Arial"/>
                <w:sz w:val="17"/>
                <w:szCs w:val="17"/>
                <w:color w:val="0000FF"/>
              </w:rPr>
            </w:pPr>
            <w:hyperlink r:id="rId42">
              <w:r>
                <w:rPr>
                  <w:rFonts w:ascii="Arial" w:cs="Arial" w:eastAsia="Arial" w:hAnsi="Arial"/>
                  <w:sz w:val="17"/>
                  <w:szCs w:val="17"/>
                  <w:color w:val="0000FF"/>
                </w:rPr>
                <w:t>Fourth Amended and Restated Bylaws of Globalstar, Inc. (Exhibit 3.1 to Form 8-K filed on April 15, 2019)</w:t>
              </w:r>
            </w:hyperlink>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w:t>
            </w:r>
          </w:p>
        </w:tc>
        <w:tc>
          <w:tcPr>
            <w:tcW w:w="480" w:type="dxa"/>
            <w:vAlign w:val="bottom"/>
          </w:tcPr>
          <w:p>
            <w:pPr>
              <w:spacing w:after="0"/>
              <w:rPr>
                <w:sz w:val="17"/>
                <w:szCs w:val="17"/>
                <w:color w:val="auto"/>
              </w:rPr>
            </w:pPr>
          </w:p>
        </w:tc>
        <w:tc>
          <w:tcPr>
            <w:tcW w:w="7480" w:type="dxa"/>
            <w:vAlign w:val="bottom"/>
            <w:tcBorders>
              <w:top w:val="single" w:sz="8" w:color="0000FF"/>
            </w:tcBorders>
            <w:gridSpan w:val="6"/>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Amended and Restated Prepayment Agreement dated May 19, 2021</w:t>
              </w:r>
            </w:hyperlink>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31.1</w:t>
            </w:r>
          </w:p>
        </w:tc>
        <w:tc>
          <w:tcPr>
            <w:tcW w:w="480" w:type="dxa"/>
            <w:vAlign w:val="bottom"/>
          </w:tcPr>
          <w:p>
            <w:pPr>
              <w:spacing w:after="0"/>
              <w:rPr>
                <w:sz w:val="17"/>
                <w:szCs w:val="17"/>
                <w:color w:val="auto"/>
              </w:rPr>
            </w:pPr>
          </w:p>
        </w:tc>
        <w:tc>
          <w:tcPr>
            <w:tcW w:w="840" w:type="dxa"/>
            <w:vAlign w:val="bottom"/>
            <w:tcBorders>
              <w:top w:val="single" w:sz="8" w:color="0000FF"/>
            </w:tcBorders>
          </w:tcPr>
          <w:p>
            <w:pPr>
              <w:spacing w:after="0"/>
              <w:rPr>
                <w:rFonts w:ascii="Arial" w:cs="Arial" w:eastAsia="Arial" w:hAnsi="Arial"/>
                <w:sz w:val="17"/>
                <w:szCs w:val="17"/>
                <w:color w:val="0000FF"/>
                <w:w w:val="91"/>
              </w:rPr>
            </w:pPr>
            <w:hyperlink w:anchor="page41">
              <w:r>
                <w:rPr>
                  <w:rFonts w:ascii="Arial" w:cs="Arial" w:eastAsia="Arial" w:hAnsi="Arial"/>
                  <w:sz w:val="17"/>
                  <w:szCs w:val="17"/>
                  <w:color w:val="0000FF"/>
                  <w:w w:val="91"/>
                </w:rPr>
                <w:t>Section 302</w:t>
              </w:r>
            </w:hyperlink>
          </w:p>
        </w:tc>
        <w:tc>
          <w:tcPr>
            <w:tcW w:w="3900" w:type="dxa"/>
            <w:vAlign w:val="bottom"/>
            <w:tcBorders>
              <w:top w:val="single" w:sz="8" w:color="0000FF"/>
            </w:tcBorders>
            <w:gridSpan w:val="4"/>
          </w:tcPr>
          <w:p>
            <w:pPr>
              <w:ind w:left="20"/>
              <w:spacing w:after="0"/>
              <w:rPr>
                <w:rFonts w:ascii="Arial" w:cs="Arial" w:eastAsia="Arial" w:hAnsi="Arial"/>
                <w:sz w:val="17"/>
                <w:szCs w:val="17"/>
                <w:color w:val="0000FF"/>
              </w:rPr>
            </w:pPr>
            <w:hyperlink w:anchor="page41">
              <w:r>
                <w:rPr>
                  <w:rFonts w:ascii="Arial" w:cs="Arial" w:eastAsia="Arial" w:hAnsi="Arial"/>
                  <w:sz w:val="17"/>
                  <w:szCs w:val="17"/>
                  <w:color w:val="0000FF"/>
                </w:rPr>
                <w:t>Certification of the Principal Executive Officer</w:t>
              </w:r>
            </w:hyperlink>
          </w:p>
        </w:tc>
        <w:tc>
          <w:tcPr>
            <w:tcW w:w="3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31.2</w:t>
            </w:r>
          </w:p>
        </w:tc>
        <w:tc>
          <w:tcPr>
            <w:tcW w:w="48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rPr>
                <w:rFonts w:ascii="Arial" w:cs="Arial" w:eastAsia="Arial" w:hAnsi="Arial"/>
                <w:sz w:val="17"/>
                <w:szCs w:val="17"/>
                <w:color w:val="0000FF"/>
                <w:w w:val="91"/>
              </w:rPr>
            </w:pPr>
            <w:hyperlink w:anchor="page42">
              <w:r>
                <w:rPr>
                  <w:rFonts w:ascii="Arial" w:cs="Arial" w:eastAsia="Arial" w:hAnsi="Arial"/>
                  <w:sz w:val="17"/>
                  <w:szCs w:val="17"/>
                  <w:color w:val="0000FF"/>
                  <w:w w:val="91"/>
                </w:rPr>
                <w:t>Section 302</w:t>
              </w:r>
            </w:hyperlink>
          </w:p>
        </w:tc>
        <w:tc>
          <w:tcPr>
            <w:tcW w:w="3280" w:type="dxa"/>
            <w:vAlign w:val="bottom"/>
            <w:tcBorders>
              <w:top w:val="single" w:sz="8" w:color="0000FF"/>
              <w:bottom w:val="single" w:sz="8" w:color="0000FF"/>
            </w:tcBorders>
            <w:gridSpan w:val="2"/>
          </w:tcPr>
          <w:p>
            <w:pPr>
              <w:ind w:left="20"/>
              <w:spacing w:after="0"/>
              <w:rPr>
                <w:rFonts w:ascii="Arial" w:cs="Arial" w:eastAsia="Arial" w:hAnsi="Arial"/>
                <w:sz w:val="17"/>
                <w:szCs w:val="17"/>
                <w:color w:val="0000FF"/>
                <w:w w:val="96"/>
              </w:rPr>
            </w:pPr>
            <w:hyperlink w:anchor="page42">
              <w:r>
                <w:rPr>
                  <w:rFonts w:ascii="Arial" w:cs="Arial" w:eastAsia="Arial" w:hAnsi="Arial"/>
                  <w:sz w:val="17"/>
                  <w:szCs w:val="17"/>
                  <w:color w:val="0000FF"/>
                  <w:w w:val="96"/>
                </w:rPr>
                <w:t>Certification of the Principal Financial Officer</w:t>
              </w:r>
            </w:hyperlink>
          </w:p>
        </w:tc>
        <w:tc>
          <w:tcPr>
            <w:tcW w:w="20" w:type="dxa"/>
            <w:vAlign w:val="bottom"/>
            <w:tcBorders>
              <w:top w:val="single" w:sz="8" w:color="0000FF"/>
            </w:tcBorders>
          </w:tcPr>
          <w:p>
            <w:pPr>
              <w:spacing w:after="0"/>
              <w:rPr>
                <w:sz w:val="17"/>
                <w:szCs w:val="17"/>
                <w:color w:val="auto"/>
              </w:rPr>
            </w:pPr>
          </w:p>
        </w:tc>
        <w:tc>
          <w:tcPr>
            <w:tcW w:w="4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32.1</w:t>
            </w:r>
          </w:p>
        </w:tc>
        <w:tc>
          <w:tcPr>
            <w:tcW w:w="480" w:type="dxa"/>
            <w:vAlign w:val="bottom"/>
          </w:tcPr>
          <w:p>
            <w:pPr>
              <w:spacing w:after="0"/>
              <w:rPr>
                <w:sz w:val="17"/>
                <w:szCs w:val="17"/>
                <w:color w:val="auto"/>
              </w:rPr>
            </w:pPr>
          </w:p>
        </w:tc>
        <w:tc>
          <w:tcPr>
            <w:tcW w:w="840" w:type="dxa"/>
            <w:vAlign w:val="bottom"/>
          </w:tcPr>
          <w:p>
            <w:pPr>
              <w:spacing w:after="0"/>
              <w:rPr>
                <w:rFonts w:ascii="Arial" w:cs="Arial" w:eastAsia="Arial" w:hAnsi="Arial"/>
                <w:sz w:val="17"/>
                <w:szCs w:val="17"/>
                <w:color w:val="0000FF"/>
                <w:w w:val="91"/>
              </w:rPr>
            </w:pPr>
            <w:hyperlink w:anchor="page43">
              <w:r>
                <w:rPr>
                  <w:rFonts w:ascii="Arial" w:cs="Arial" w:eastAsia="Arial" w:hAnsi="Arial"/>
                  <w:sz w:val="17"/>
                  <w:szCs w:val="17"/>
                  <w:color w:val="0000FF"/>
                  <w:w w:val="91"/>
                </w:rPr>
                <w:t>Section 906</w:t>
              </w:r>
            </w:hyperlink>
          </w:p>
        </w:tc>
        <w:tc>
          <w:tcPr>
            <w:tcW w:w="7800" w:type="dxa"/>
            <w:vAlign w:val="bottom"/>
            <w:gridSpan w:val="6"/>
          </w:tcPr>
          <w:p>
            <w:pPr>
              <w:ind w:left="20"/>
              <w:spacing w:after="0"/>
              <w:rPr>
                <w:rFonts w:ascii="Arial" w:cs="Arial" w:eastAsia="Arial" w:hAnsi="Arial"/>
                <w:sz w:val="17"/>
                <w:szCs w:val="17"/>
                <w:color w:val="0000FF"/>
              </w:rPr>
            </w:pPr>
            <w:hyperlink w:anchor="page43">
              <w:r>
                <w:rPr>
                  <w:rFonts w:ascii="Arial" w:cs="Arial" w:eastAsia="Arial" w:hAnsi="Arial"/>
                  <w:sz w:val="17"/>
                  <w:szCs w:val="17"/>
                  <w:color w:val="0000FF"/>
                </w:rPr>
                <w:t>Certification of the Principal Executive Officer</w:t>
              </w:r>
            </w:hyperlink>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32.2</w:t>
            </w:r>
          </w:p>
        </w:tc>
        <w:tc>
          <w:tcPr>
            <w:tcW w:w="480" w:type="dxa"/>
            <w:vAlign w:val="bottom"/>
          </w:tcPr>
          <w:p>
            <w:pPr>
              <w:spacing w:after="0"/>
              <w:rPr>
                <w:sz w:val="17"/>
                <w:szCs w:val="17"/>
                <w:color w:val="auto"/>
              </w:rPr>
            </w:pPr>
          </w:p>
        </w:tc>
        <w:tc>
          <w:tcPr>
            <w:tcW w:w="840" w:type="dxa"/>
            <w:vAlign w:val="bottom"/>
            <w:tcBorders>
              <w:top w:val="single" w:sz="8" w:color="0000FF"/>
            </w:tcBorders>
          </w:tcPr>
          <w:p>
            <w:pPr>
              <w:spacing w:after="0"/>
              <w:rPr>
                <w:rFonts w:ascii="Arial" w:cs="Arial" w:eastAsia="Arial" w:hAnsi="Arial"/>
                <w:sz w:val="17"/>
                <w:szCs w:val="17"/>
                <w:color w:val="0000FF"/>
                <w:w w:val="91"/>
              </w:rPr>
            </w:pPr>
            <w:hyperlink w:anchor="page44">
              <w:r>
                <w:rPr>
                  <w:rFonts w:ascii="Arial" w:cs="Arial" w:eastAsia="Arial" w:hAnsi="Arial"/>
                  <w:sz w:val="17"/>
                  <w:szCs w:val="17"/>
                  <w:color w:val="0000FF"/>
                  <w:w w:val="91"/>
                </w:rPr>
                <w:t>Section 906</w:t>
              </w:r>
            </w:hyperlink>
          </w:p>
        </w:tc>
        <w:tc>
          <w:tcPr>
            <w:tcW w:w="3300" w:type="dxa"/>
            <w:vAlign w:val="bottom"/>
            <w:tcBorders>
              <w:top w:val="single" w:sz="8" w:color="0000FF"/>
            </w:tcBorders>
            <w:gridSpan w:val="3"/>
          </w:tcPr>
          <w:p>
            <w:pPr>
              <w:ind w:left="20"/>
              <w:spacing w:after="0"/>
              <w:rPr>
                <w:rFonts w:ascii="Arial" w:cs="Arial" w:eastAsia="Arial" w:hAnsi="Arial"/>
                <w:sz w:val="17"/>
                <w:szCs w:val="17"/>
                <w:color w:val="0000FF"/>
                <w:w w:val="97"/>
              </w:rPr>
            </w:pPr>
            <w:hyperlink w:anchor="page44">
              <w:r>
                <w:rPr>
                  <w:rFonts w:ascii="Arial" w:cs="Arial" w:eastAsia="Arial" w:hAnsi="Arial"/>
                  <w:sz w:val="17"/>
                  <w:szCs w:val="17"/>
                  <w:color w:val="0000FF"/>
                  <w:w w:val="97"/>
                </w:rPr>
                <w:t>Certification of the Principal Financial Officer</w:t>
              </w:r>
            </w:hyperlink>
          </w:p>
        </w:tc>
        <w:tc>
          <w:tcPr>
            <w:tcW w:w="4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101.INS</w:t>
            </w:r>
          </w:p>
        </w:tc>
        <w:tc>
          <w:tcPr>
            <w:tcW w:w="480" w:type="dxa"/>
            <w:vAlign w:val="bottom"/>
          </w:tcPr>
          <w:p>
            <w:pPr>
              <w:spacing w:after="0"/>
              <w:rPr>
                <w:sz w:val="20"/>
                <w:szCs w:val="20"/>
                <w:color w:val="auto"/>
              </w:rPr>
            </w:pPr>
          </w:p>
        </w:tc>
        <w:tc>
          <w:tcPr>
            <w:tcW w:w="41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auto"/>
              </w:rPr>
              <w:t>XBRL Instance Document</w:t>
            </w:r>
          </w:p>
        </w:tc>
        <w:tc>
          <w:tcPr>
            <w:tcW w:w="45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101.CAL</w:t>
            </w:r>
          </w:p>
        </w:tc>
        <w:tc>
          <w:tcPr>
            <w:tcW w:w="480" w:type="dxa"/>
            <w:vAlign w:val="bottom"/>
          </w:tcPr>
          <w:p>
            <w:pPr>
              <w:spacing w:after="0"/>
              <w:rPr>
                <w:sz w:val="19"/>
                <w:szCs w:val="19"/>
                <w:color w:val="auto"/>
              </w:rPr>
            </w:pPr>
          </w:p>
        </w:tc>
        <w:tc>
          <w:tcPr>
            <w:tcW w:w="8640" w:type="dxa"/>
            <w:vAlign w:val="bottom"/>
            <w:gridSpan w:val="7"/>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101.DEF</w:t>
            </w:r>
          </w:p>
        </w:tc>
        <w:tc>
          <w:tcPr>
            <w:tcW w:w="480" w:type="dxa"/>
            <w:vAlign w:val="bottom"/>
          </w:tcPr>
          <w:p>
            <w:pPr>
              <w:spacing w:after="0"/>
              <w:rPr>
                <w:sz w:val="19"/>
                <w:szCs w:val="19"/>
                <w:color w:val="auto"/>
              </w:rPr>
            </w:pPr>
          </w:p>
        </w:tc>
        <w:tc>
          <w:tcPr>
            <w:tcW w:w="8640" w:type="dxa"/>
            <w:vAlign w:val="bottom"/>
            <w:gridSpan w:val="7"/>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101.PRE</w:t>
            </w:r>
          </w:p>
        </w:tc>
        <w:tc>
          <w:tcPr>
            <w:tcW w:w="480" w:type="dxa"/>
            <w:vAlign w:val="bottom"/>
          </w:tcPr>
          <w:p>
            <w:pPr>
              <w:spacing w:after="0"/>
              <w:rPr>
                <w:sz w:val="19"/>
                <w:szCs w:val="19"/>
                <w:color w:val="auto"/>
              </w:rPr>
            </w:pPr>
          </w:p>
        </w:tc>
        <w:tc>
          <w:tcPr>
            <w:tcW w:w="8640" w:type="dxa"/>
            <w:vAlign w:val="bottom"/>
            <w:gridSpan w:val="7"/>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101.LAB</w:t>
            </w:r>
          </w:p>
        </w:tc>
        <w:tc>
          <w:tcPr>
            <w:tcW w:w="480" w:type="dxa"/>
            <w:vAlign w:val="bottom"/>
          </w:tcPr>
          <w:p>
            <w:pPr>
              <w:spacing w:after="0"/>
              <w:rPr>
                <w:sz w:val="19"/>
                <w:szCs w:val="19"/>
                <w:color w:val="auto"/>
              </w:rPr>
            </w:pPr>
          </w:p>
        </w:tc>
        <w:tc>
          <w:tcPr>
            <w:tcW w:w="8640" w:type="dxa"/>
            <w:vAlign w:val="bottom"/>
            <w:gridSpan w:val="7"/>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Incorporated by reference.</w:t>
      </w:r>
    </w:p>
    <w:p>
      <w:pPr>
        <w:spacing w:after="0" w:line="157" w:lineRule="exact"/>
        <w:rPr>
          <w:sz w:val="20"/>
          <w:szCs w:val="20"/>
          <w:color w:val="auto"/>
        </w:rPr>
      </w:pPr>
    </w:p>
    <w:p>
      <w:pPr>
        <w:ind w:left="140" w:hanging="135"/>
        <w:spacing w:after="0"/>
        <w:tabs>
          <w:tab w:leader="none" w:pos="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Item 601(b)(10) of Regulation S-K.</w:t>
      </w: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right="140" w:firstLine="235"/>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color w:val="auto"/>
              </w:rPr>
              <w:t>GLOBALSTAR, INC.</w:t>
            </w:r>
          </w:p>
        </w:tc>
      </w:tr>
      <w:tr>
        <w:trPr>
          <w:trHeight w:val="444"/>
        </w:trPr>
        <w:tc>
          <w:tcPr>
            <w:tcW w:w="2580" w:type="dxa"/>
            <w:vAlign w:val="bottom"/>
          </w:tcPr>
          <w:p>
            <w:pPr>
              <w:spacing w:after="0"/>
              <w:rPr>
                <w:sz w:val="20"/>
                <w:szCs w:val="20"/>
                <w:color w:val="auto"/>
              </w:rPr>
            </w:pPr>
            <w:r>
              <w:rPr>
                <w:rFonts w:ascii="Arial" w:cs="Arial" w:eastAsia="Arial" w:hAnsi="Arial"/>
                <w:sz w:val="17"/>
                <w:szCs w:val="17"/>
                <w:color w:val="auto"/>
              </w:rPr>
              <w:t>Date: August 5, 2021</w:t>
            </w:r>
          </w:p>
        </w:tc>
        <w:tc>
          <w:tcPr>
            <w:tcW w:w="8360" w:type="dxa"/>
            <w:vAlign w:val="bottom"/>
            <w:gridSpan w:val="2"/>
          </w:tcPr>
          <w:p>
            <w:pPr>
              <w:ind w:left="1100"/>
              <w:spacing w:after="0"/>
              <w:rPr>
                <w:sz w:val="20"/>
                <w:szCs w:val="20"/>
                <w:color w:val="auto"/>
              </w:rPr>
            </w:pPr>
            <w:r>
              <w:rPr>
                <w:rFonts w:ascii="Arial" w:cs="Arial" w:eastAsia="Arial" w:hAnsi="Arial"/>
                <w:sz w:val="17"/>
                <w:szCs w:val="17"/>
                <w:color w:val="auto"/>
              </w:rPr>
              <w:t>By:   /s/ David B. Kagan</w:t>
            </w:r>
          </w:p>
        </w:tc>
      </w:tr>
      <w:tr>
        <w:trPr>
          <w:trHeight w:val="215"/>
        </w:trPr>
        <w:tc>
          <w:tcPr>
            <w:tcW w:w="2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2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r>
        <w:trPr>
          <w:trHeight w:val="471"/>
        </w:trPr>
        <w:tc>
          <w:tcPr>
            <w:tcW w:w="2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Rebecca S. Clary</w:t>
            </w:r>
          </w:p>
        </w:tc>
      </w:tr>
      <w:tr>
        <w:trPr>
          <w:trHeight w:val="215"/>
        </w:trPr>
        <w:tc>
          <w:tcPr>
            <w:tcW w:w="2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20" w:type="dxa"/>
            <w:vAlign w:val="bottom"/>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2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20"/>
          </w:cols>
          <w:pgMar w:left="320" w:top="866" w:right="359" w:bottom="1440" w:gutter="0" w:footer="0" w:header="0"/>
        </w:sectPr>
      </w:pPr>
    </w:p>
    <w:bookmarkStart w:id="36" w:name="page37"/>
    <w:bookmarkEnd w:id="36"/>
    <w:p>
      <w:pPr>
        <w:ind w:left="10340"/>
        <w:spacing w:after="0"/>
        <w:rPr>
          <w:sz w:val="20"/>
          <w:szCs w:val="20"/>
          <w:color w:val="auto"/>
        </w:rPr>
      </w:pPr>
      <w:r>
        <w:rPr>
          <w:rFonts w:ascii="Arial" w:cs="Arial" w:eastAsia="Arial" w:hAnsi="Arial"/>
          <w:sz w:val="16"/>
          <w:szCs w:val="16"/>
          <w:b w:val="1"/>
          <w:bCs w:val="1"/>
          <w:color w:val="auto"/>
        </w:rPr>
        <w:t>Exhibit 10.1</w:t>
      </w:r>
    </w:p>
    <w:p>
      <w:pPr>
        <w:spacing w:after="0" w:line="23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b w:val="1"/>
          <w:bCs w:val="1"/>
          <w:color w:val="auto"/>
        </w:rPr>
        <w:t>Certain portions of this document have been omitted pursuant to Item 601(b)(10) of Regulation S</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 and, where applicable, have been marked with “[*]” to indicate where omissions have been made. The marked information has been omitted because it is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AMENDED AND RESTATED PREPAYMENT AGREEMENT</w:t>
      </w:r>
    </w:p>
    <w:p>
      <w:pPr>
        <w:spacing w:after="0" w:line="223" w:lineRule="exact"/>
        <w:rPr>
          <w:sz w:val="20"/>
          <w:szCs w:val="20"/>
          <w:color w:val="auto"/>
        </w:rPr>
      </w:pPr>
    </w:p>
    <w:p>
      <w:pPr>
        <w:jc w:val="both"/>
        <w:ind w:firstLine="627"/>
        <w:spacing w:after="0" w:line="230" w:lineRule="auto"/>
        <w:rPr>
          <w:sz w:val="20"/>
          <w:szCs w:val="20"/>
          <w:color w:val="auto"/>
        </w:rPr>
      </w:pPr>
      <w:r>
        <w:rPr>
          <w:rFonts w:ascii="Arial" w:cs="Arial" w:eastAsia="Arial" w:hAnsi="Arial"/>
          <w:sz w:val="16"/>
          <w:szCs w:val="16"/>
          <w:color w:val="auto"/>
        </w:rPr>
        <w:t>THIS AMENDED AND RESTATED PREPAYMENT AGREEMENT, is entered into as of May 10, 2021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Globalstar, Inc.</w:t>
      </w:r>
      <w:r>
        <w:rPr>
          <w:rFonts w:ascii="Arial" w:cs="Arial" w:eastAsia="Arial" w:hAnsi="Arial"/>
          <w:sz w:val="16"/>
          <w:szCs w:val="16"/>
          <w:color w:val="auto"/>
        </w:rPr>
        <w:t>, a Delaware corporation with its principal place of business at 1351 Holiday Square Blvd., Covington, Louisiana 70433, United States [*] and</w:t>
      </w:r>
    </w:p>
    <w:p>
      <w:pPr>
        <w:spacing w:after="0" w:line="1" w:lineRule="exact"/>
        <w:rPr>
          <w:sz w:val="20"/>
          <w:szCs w:val="20"/>
          <w:color w:val="auto"/>
        </w:rPr>
      </w:pPr>
    </w:p>
    <w:p>
      <w:pPr>
        <w:ind w:left="640" w:right="2440" w:hanging="635"/>
        <w:spacing w:after="0" w:line="496" w:lineRule="auto"/>
        <w:tabs>
          <w:tab w:leader="none" w:pos="259"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This Amended and Restated Prepayment Agreement amends and replaces the Prepayment Agreement between [*] and [*]. [*]</w:t>
      </w:r>
    </w:p>
    <w:p>
      <w:pPr>
        <w:spacing w:after="0" w:line="1" w:lineRule="exact"/>
        <w:rPr>
          <w:sz w:val="20"/>
          <w:szCs w:val="20"/>
          <w:color w:val="auto"/>
        </w:rPr>
      </w:pPr>
    </w:p>
    <w:p>
      <w:pPr>
        <w:ind w:firstLine="627"/>
        <w:spacing w:after="0" w:line="256" w:lineRule="auto"/>
        <w:rPr>
          <w:sz w:val="20"/>
          <w:szCs w:val="20"/>
          <w:color w:val="auto"/>
        </w:rPr>
      </w:pPr>
      <w:r>
        <w:rPr>
          <w:rFonts w:ascii="Arial" w:cs="Arial" w:eastAsia="Arial" w:hAnsi="Arial"/>
          <w:sz w:val="17"/>
          <w:szCs w:val="17"/>
          <w:color w:val="auto"/>
        </w:rPr>
        <w:t>NOW, THEREFORE, in consideration of the promises herein and for other good and valuable consideration, the receipt of which is hereby acknowledged, the parties hereto agree as follows:</w:t>
      </w:r>
    </w:p>
    <w:p>
      <w:pPr>
        <w:spacing w:after="0" w:line="184" w:lineRule="exact"/>
        <w:rPr>
          <w:sz w:val="20"/>
          <w:szCs w:val="20"/>
          <w:color w:val="auto"/>
        </w:rPr>
      </w:pPr>
    </w:p>
    <w:p>
      <w:pPr>
        <w:ind w:left="640" w:right="9780" w:hanging="322"/>
        <w:spacing w:after="0" w:line="545" w:lineRule="auto"/>
        <w:tabs>
          <w:tab w:leader="none" w:pos="62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w:t>
      </w:r>
    </w:p>
    <w:p>
      <w:pPr>
        <w:ind w:left="640" w:hanging="32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640" w:right="60"/>
        <w:spacing w:after="0"/>
        <w:rPr>
          <w:rFonts w:ascii="Arial" w:cs="Arial" w:eastAsia="Arial" w:hAnsi="Arial"/>
          <w:sz w:val="17"/>
          <w:szCs w:val="17"/>
          <w:color w:val="auto"/>
        </w:rPr>
      </w:pPr>
      <w:r>
        <w:rPr>
          <w:rFonts w:ascii="Arial" w:cs="Arial" w:eastAsia="Arial" w:hAnsi="Arial"/>
          <w:sz w:val="17"/>
          <w:szCs w:val="17"/>
          <w:color w:val="auto"/>
        </w:rPr>
        <w:t>(a) By or within 5 Business Days after May 31, 2021, [*], subject to satisfaction of the Conditions Precedent, [*] will make a prepayment of Thirty Seven Million Five Hundred Thousand United States Dollars (USD$37,500,000) to an account that will be immediately transferred to or that is held by [*] first priority lenders [*]</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640" w:right="9540" w:hanging="322"/>
        <w:spacing w:after="0" w:line="51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 [*]: [*]</w:t>
      </w:r>
    </w:p>
    <w:p>
      <w:pPr>
        <w:ind w:left="640" w:hanging="8"/>
        <w:spacing w:after="0" w:line="287" w:lineRule="auto"/>
        <w:tabs>
          <w:tab w:leader="none" w:pos="8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ensure that the Fixed Prepayment is used to pay down the first lien Existing Debt on a dollar for dollar basis within 5 days of receipt of funds (provided that such period shall be extended to no more than 30 days, if and only to the extent required by the Existing Debt agreements);</w:t>
      </w:r>
    </w:p>
    <w:p>
      <w:pPr>
        <w:spacing w:after="0" w:line="161" w:lineRule="exact"/>
        <w:rPr>
          <w:rFonts w:ascii="Arial" w:cs="Arial" w:eastAsia="Arial" w:hAnsi="Arial"/>
          <w:sz w:val="16"/>
          <w:szCs w:val="16"/>
          <w:color w:val="auto"/>
        </w:rPr>
      </w:pPr>
    </w:p>
    <w:p>
      <w:pPr>
        <w:ind w:left="880" w:hanging="248"/>
        <w:spacing w:after="0"/>
        <w:tabs>
          <w:tab w:leader="none" w:pos="8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obtain all necessary authorizations to enter into this Agreement; and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640" w:right="9700" w:hanging="322"/>
        <w:spacing w:after="0" w:line="649" w:lineRule="auto"/>
        <w:tabs>
          <w:tab w:leader="none" w:pos="501"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240"/>
          </w:cols>
          <w:pgMar w:left="320" w:top="110" w:right="339" w:bottom="1440" w:gutter="0" w:footer="0" w:header="0"/>
        </w:sectPr>
      </w:pPr>
    </w:p>
    <w:bookmarkStart w:id="37" w:name="page38"/>
    <w:bookmarkEnd w:id="37"/>
    <w:p>
      <w:pPr>
        <w:spacing w:after="0" w:line="400" w:lineRule="exact"/>
        <w:rPr>
          <w:sz w:val="20"/>
          <w:szCs w:val="20"/>
          <w:color w:val="auto"/>
        </w:rPr>
      </w:pPr>
    </w:p>
    <w:p>
      <w:pPr>
        <w:jc w:val="both"/>
        <w:ind w:left="8" w:hanging="8"/>
        <w:spacing w:after="0"/>
        <w:tabs>
          <w:tab w:leader="none" w:pos="226"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amendment or waiver of any provision of this Agreement, and no consent to any departure by [*] herefrom, shall be effective unless in writing signed by authorized representatives of [*] and [*], and each such waiver or consent shall be effective only in the specific instance and for the specific purpose for which given.</w:t>
      </w:r>
    </w:p>
    <w:p>
      <w:pPr>
        <w:spacing w:after="0" w:line="197" w:lineRule="exact"/>
        <w:rPr>
          <w:rFonts w:ascii="Arial" w:cs="Arial" w:eastAsia="Arial" w:hAnsi="Arial"/>
          <w:sz w:val="17"/>
          <w:szCs w:val="17"/>
          <w:color w:val="auto"/>
        </w:rPr>
      </w:pPr>
    </w:p>
    <w:p>
      <w:pPr>
        <w:jc w:val="both"/>
        <w:ind w:left="8" w:hanging="8"/>
        <w:spacing w:after="0" w:line="254" w:lineRule="auto"/>
        <w:tabs>
          <w:tab w:leader="none" w:pos="2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 Neither party may assign this Agreement without the written consent of the other party and an agreement by the assignee to be bound by the terms of this Agreement as if it were named originally a party hereto and any purported assignment contrary to this Agreement shall be null and void. A Change of Control shall be considered an assignment of this Agreement. [*] hereby consents to the assignment of this Agreement to one or more [*]s; provided, that no such assignment shall relieve [*] of its obligations under this Agreement if such assignee(s) do not perform such obligations.</w:t>
      </w:r>
    </w:p>
    <w:p>
      <w:pPr>
        <w:spacing w:after="0" w:line="188" w:lineRule="exact"/>
        <w:rPr>
          <w:rFonts w:ascii="Arial" w:cs="Arial" w:eastAsia="Arial" w:hAnsi="Arial"/>
          <w:sz w:val="16"/>
          <w:szCs w:val="16"/>
          <w:color w:val="auto"/>
        </w:rPr>
      </w:pPr>
    </w:p>
    <w:p>
      <w:pPr>
        <w:ind w:left="8" w:hanging="8"/>
        <w:spacing w:after="0" w:line="287"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notice or demand desired or required to be given hereunder shall be in writing and in English and deemed given when personally delivered, sent by electronic mail, received by overnight courier or received in the mail, postage prepaid, sent certified or registered, return receipt requested.</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608"/>
          </w:cols>
          <w:pgMar w:left="952"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GLOBALSTAR, INC.</w:t>
      </w:r>
    </w:p>
    <w:p>
      <w:pPr>
        <w:spacing w:after="0" w:line="2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 Monroe</w:t>
      </w:r>
    </w:p>
    <w:p>
      <w:pPr>
        <w:spacing w:after="0" w:line="2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 xml:space="preserve">Its </w:t>
      </w:r>
      <w:r>
        <w:rPr>
          <w:rFonts w:ascii="Arial" w:cs="Arial" w:eastAsia="Arial" w:hAnsi="Arial"/>
          <w:sz w:val="16"/>
          <w:szCs w:val="16"/>
          <w:u w:val="single" w:color="auto"/>
          <w:color w:val="auto"/>
        </w:rPr>
        <w:t>Executive Chairman</w:t>
      </w:r>
    </w:p>
    <w:p>
      <w:pPr>
        <w:spacing w:after="0" w:line="234"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5/17/21</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t>
      </w:r>
    </w:p>
    <w:p>
      <w:pPr>
        <w:spacing w:after="0" w:line="2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By</w:t>
      </w:r>
    </w:p>
    <w:p>
      <w:pPr>
        <w:spacing w:after="0" w:line="2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Its</w:t>
      </w:r>
    </w:p>
    <w:p>
      <w:pPr>
        <w:spacing w:after="0" w:line="2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0139"/>
          </w:cols>
          <w:pgMar w:left="320" w:top="1369" w:right="1440" w:bottom="1440" w:gutter="0" w:footer="0" w:header="0"/>
        </w:sectPr>
      </w:pPr>
    </w:p>
    <w:bookmarkStart w:id="39" w:name="page40"/>
    <w:bookmarkEnd w:id="39"/>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The schedules to this agreement are immaterial and have been omitted.]</w:t>
      </w:r>
    </w:p>
    <w:p>
      <w:pPr>
        <w:sectPr>
          <w:pgSz w:w="11900" w:h="16838" w:orient="portrait"/>
          <w:cols w:equalWidth="0" w:num="1">
            <w:col w:w="10139"/>
          </w:cols>
          <w:pgMar w:left="320" w:top="1363"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David B. Kagan, certify that:</w:t>
      </w:r>
    </w:p>
    <w:p>
      <w:pPr>
        <w:spacing w:after="0" w:line="249"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Globalstar, Inc.;</w:t>
      </w:r>
    </w:p>
    <w:p>
      <w:pPr>
        <w:spacing w:after="0" w:line="248" w:lineRule="exact"/>
        <w:rPr>
          <w:rFonts w:ascii="Arial" w:cs="Arial" w:eastAsia="Arial" w:hAnsi="Arial"/>
          <w:sz w:val="17"/>
          <w:szCs w:val="17"/>
          <w:color w:val="auto"/>
        </w:rPr>
      </w:pPr>
    </w:p>
    <w:p>
      <w:pPr>
        <w:ind w:left="320" w:right="20" w:hanging="315"/>
        <w:spacing w:after="0" w:line="321"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right="100" w:hanging="315"/>
        <w:spacing w:after="0" w:line="28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340" w:hanging="315"/>
        <w:spacing w:after="0" w:line="321"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6"/>
          <w:szCs w:val="16"/>
          <w:color w:val="auto"/>
        </w:rPr>
      </w:pPr>
    </w:p>
    <w:p>
      <w:pPr>
        <w:jc w:val="both"/>
        <w:ind w:left="940" w:right="420" w:hanging="308"/>
        <w:spacing w:after="0" w:line="272" w:lineRule="auto"/>
        <w:tabs>
          <w:tab w:leader="none" w:pos="937"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940" w:right="40" w:hanging="308"/>
        <w:spacing w:after="0" w:line="288" w:lineRule="auto"/>
        <w:tabs>
          <w:tab w:leader="none" w:pos="93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940" w:right="200" w:hanging="308"/>
        <w:spacing w:after="0" w:line="321" w:lineRule="auto"/>
        <w:tabs>
          <w:tab w:leader="none" w:pos="93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320" w:right="160" w:hanging="315"/>
        <w:spacing w:after="0" w:line="28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4" w:lineRule="exact"/>
        <w:rPr>
          <w:rFonts w:ascii="Arial" w:cs="Arial" w:eastAsia="Arial" w:hAnsi="Arial"/>
          <w:sz w:val="17"/>
          <w:szCs w:val="17"/>
          <w:color w:val="auto"/>
        </w:rPr>
      </w:pPr>
    </w:p>
    <w:p>
      <w:pPr>
        <w:ind w:left="940" w:right="320" w:hanging="308"/>
        <w:spacing w:after="0" w:line="288" w:lineRule="auto"/>
        <w:tabs>
          <w:tab w:leader="none" w:pos="93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ind w:left="20"/>
              <w:spacing w:after="0"/>
              <w:rPr>
                <w:sz w:val="20"/>
                <w:szCs w:val="20"/>
                <w:color w:val="auto"/>
              </w:rPr>
            </w:pPr>
            <w:r>
              <w:rPr>
                <w:rFonts w:ascii="Arial" w:cs="Arial" w:eastAsia="Arial" w:hAnsi="Arial"/>
                <w:sz w:val="17"/>
                <w:szCs w:val="17"/>
                <w:color w:val="auto"/>
              </w:rPr>
              <w:t>August 5, 2021</w:t>
            </w:r>
          </w:p>
        </w:tc>
      </w:tr>
      <w:tr>
        <w:trPr>
          <w:trHeight w:val="37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David B. Kagan</w:t>
            </w:r>
          </w:p>
        </w:tc>
      </w:tr>
      <w:tr>
        <w:trPr>
          <w:trHeight w:val="215"/>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bl>
    <w:p>
      <w:pPr>
        <w:sectPr>
          <w:pgSz w:w="11900" w:h="16838" w:orient="portrait"/>
          <w:cols w:equalWidth="0" w:num="1">
            <w:col w:w="11240"/>
          </w:cols>
          <w:pgMar w:left="320" w:top="86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Rebecca S. Clary certify that:</w:t>
      </w:r>
    </w:p>
    <w:p>
      <w:pPr>
        <w:spacing w:after="0" w:line="249" w:lineRule="exact"/>
        <w:rPr>
          <w:sz w:val="20"/>
          <w:szCs w:val="20"/>
          <w:color w:val="auto"/>
        </w:rPr>
      </w:pPr>
    </w:p>
    <w:p>
      <w:pPr>
        <w:ind w:left="320" w:hanging="315"/>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Globalstar, Inc.;</w:t>
      </w:r>
    </w:p>
    <w:p>
      <w:pPr>
        <w:spacing w:after="0" w:line="248" w:lineRule="exact"/>
        <w:rPr>
          <w:rFonts w:ascii="Arial" w:cs="Arial" w:eastAsia="Arial" w:hAnsi="Arial"/>
          <w:sz w:val="17"/>
          <w:szCs w:val="17"/>
          <w:color w:val="auto"/>
        </w:rPr>
      </w:pPr>
    </w:p>
    <w:p>
      <w:pPr>
        <w:ind w:left="320" w:right="20" w:hanging="315"/>
        <w:spacing w:after="0" w:line="321"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right="100" w:hanging="315"/>
        <w:spacing w:after="0" w:line="288"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340" w:hanging="315"/>
        <w:spacing w:after="0" w:line="321"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6"/>
          <w:szCs w:val="16"/>
          <w:color w:val="auto"/>
        </w:rPr>
      </w:pPr>
    </w:p>
    <w:p>
      <w:pPr>
        <w:jc w:val="both"/>
        <w:ind w:left="940" w:right="420" w:hanging="308"/>
        <w:spacing w:after="0" w:line="272" w:lineRule="auto"/>
        <w:tabs>
          <w:tab w:leader="none" w:pos="937"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940" w:right="40" w:hanging="308"/>
        <w:spacing w:after="0" w:line="288" w:lineRule="auto"/>
        <w:tabs>
          <w:tab w:leader="none" w:pos="93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940" w:right="200" w:hanging="308"/>
        <w:spacing w:after="0" w:line="321" w:lineRule="auto"/>
        <w:tabs>
          <w:tab w:leader="none" w:pos="93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320" w:right="160" w:hanging="315"/>
        <w:spacing w:after="0" w:line="288"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4" w:lineRule="exact"/>
        <w:rPr>
          <w:rFonts w:ascii="Arial" w:cs="Arial" w:eastAsia="Arial" w:hAnsi="Arial"/>
          <w:sz w:val="17"/>
          <w:szCs w:val="17"/>
          <w:color w:val="auto"/>
        </w:rPr>
      </w:pPr>
    </w:p>
    <w:p>
      <w:pPr>
        <w:ind w:left="940" w:right="320" w:hanging="308"/>
        <w:spacing w:after="0" w:line="288" w:lineRule="auto"/>
        <w:tabs>
          <w:tab w:leader="none" w:pos="93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ind w:left="20"/>
              <w:spacing w:after="0"/>
              <w:rPr>
                <w:sz w:val="20"/>
                <w:szCs w:val="20"/>
                <w:color w:val="auto"/>
              </w:rPr>
            </w:pPr>
            <w:r>
              <w:rPr>
                <w:rFonts w:ascii="Arial" w:cs="Arial" w:eastAsia="Arial" w:hAnsi="Arial"/>
                <w:sz w:val="17"/>
                <w:szCs w:val="17"/>
                <w:color w:val="auto"/>
              </w:rPr>
              <w:t>August 5, 2021</w:t>
            </w:r>
          </w:p>
        </w:tc>
      </w:tr>
      <w:tr>
        <w:trPr>
          <w:trHeight w:val="37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Rebecca S. Clary</w:t>
            </w:r>
          </w:p>
        </w:tc>
      </w:tr>
      <w:tr>
        <w:trPr>
          <w:trHeight w:val="215"/>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ectPr>
          <w:pgSz w:w="11900" w:h="16838" w:orient="portrait"/>
          <w:cols w:equalWidth="0" w:num="1">
            <w:col w:w="11240"/>
          </w:cols>
          <w:pgMar w:left="320" w:top="86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This quarterly report on Form 10-Q for the quarter ended June 30, 2021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860" w:type="dxa"/>
            <w:vAlign w:val="bottom"/>
          </w:tcPr>
          <w:p>
            <w:pPr>
              <w:ind w:left="140"/>
              <w:spacing w:after="0"/>
              <w:rPr>
                <w:sz w:val="20"/>
                <w:szCs w:val="20"/>
                <w:color w:val="auto"/>
              </w:rPr>
            </w:pPr>
            <w:r>
              <w:rPr>
                <w:rFonts w:ascii="Arial" w:cs="Arial" w:eastAsia="Arial" w:hAnsi="Arial"/>
                <w:sz w:val="17"/>
                <w:szCs w:val="17"/>
                <w:color w:val="auto"/>
              </w:rPr>
              <w:t>August 5, 2021</w:t>
            </w:r>
          </w:p>
        </w:tc>
        <w:tc>
          <w:tcPr>
            <w:tcW w:w="7620" w:type="dxa"/>
            <w:vAlign w:val="bottom"/>
            <w:gridSpan w:val="2"/>
          </w:tcPr>
          <w:p>
            <w:pPr>
              <w:ind w:left="1660"/>
              <w:spacing w:after="0"/>
              <w:rPr>
                <w:sz w:val="20"/>
                <w:szCs w:val="20"/>
                <w:color w:val="auto"/>
              </w:rPr>
            </w:pPr>
            <w:r>
              <w:rPr>
                <w:rFonts w:ascii="Arial" w:cs="Arial" w:eastAsia="Arial" w:hAnsi="Arial"/>
                <w:sz w:val="17"/>
                <w:szCs w:val="17"/>
                <w:color w:val="auto"/>
              </w:rPr>
              <w:t>By:   /s/ David B. Kagan</w:t>
            </w:r>
          </w:p>
        </w:tc>
      </w:tr>
      <w:tr>
        <w:trPr>
          <w:trHeight w:val="215"/>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bl>
    <w:p>
      <w:pPr>
        <w:sectPr>
          <w:pgSz w:w="11900" w:h="16838" w:orient="portrait"/>
          <w:cols w:equalWidth="0" w:num="1">
            <w:col w:w="11240"/>
          </w:cols>
          <w:pgMar w:left="320" w:top="86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This quarterly report on Form 10-Q for the quarter ended June 30, 2021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860" w:type="dxa"/>
            <w:vAlign w:val="bottom"/>
          </w:tcPr>
          <w:p>
            <w:pPr>
              <w:ind w:left="140"/>
              <w:spacing w:after="0"/>
              <w:rPr>
                <w:sz w:val="20"/>
                <w:szCs w:val="20"/>
                <w:color w:val="auto"/>
              </w:rPr>
            </w:pPr>
            <w:r>
              <w:rPr>
                <w:rFonts w:ascii="Arial" w:cs="Arial" w:eastAsia="Arial" w:hAnsi="Arial"/>
                <w:sz w:val="17"/>
                <w:szCs w:val="17"/>
                <w:color w:val="auto"/>
              </w:rPr>
              <w:t>August 5, 2021</w:t>
            </w:r>
          </w:p>
        </w:tc>
        <w:tc>
          <w:tcPr>
            <w:tcW w:w="7620" w:type="dxa"/>
            <w:vAlign w:val="bottom"/>
            <w:gridSpan w:val="2"/>
          </w:tcPr>
          <w:p>
            <w:pPr>
              <w:ind w:left="1660"/>
              <w:spacing w:after="0"/>
              <w:rPr>
                <w:sz w:val="20"/>
                <w:szCs w:val="20"/>
                <w:color w:val="auto"/>
              </w:rPr>
            </w:pPr>
            <w:r>
              <w:rPr>
                <w:rFonts w:ascii="Arial" w:cs="Arial" w:eastAsia="Arial" w:hAnsi="Arial"/>
                <w:sz w:val="17"/>
                <w:szCs w:val="17"/>
                <w:color w:val="auto"/>
              </w:rPr>
              <w:t>By:   /s/ Rebecca S. Clary</w:t>
            </w:r>
          </w:p>
        </w:tc>
      </w:tr>
      <w:tr>
        <w:trPr>
          <w:trHeight w:val="215"/>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470"/>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lvl w:ilvl="1">
      <w:lvlJc w:val="left"/>
      <w:lvlText w:val="(%2)"/>
      <w:numFmt w:val="lowerLetter"/>
      <w:start w:val="3"/>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6"/>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1" Type="http://schemas.openxmlformats.org/officeDocument/2006/relationships/hyperlink" Target="http://www.sec.gov/Archives/edgar/data/1366868/000136686821000032/a2021proxystmtdef14a.htm#i5b87209ad2fd4733ba287b1294d9db7c_55" TargetMode="External"/><Relationship Id="rId42" Type="http://schemas.openxmlformats.org/officeDocument/2006/relationships/hyperlink" Target="http://www.sec.gov/Archives/edgar/data/1366868/000136686819000034/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2021-08-05T16:18:03Z</dcterms:created>
  <dcterms:modified xsi:type="dcterms:W3CDTF">2021-08-05T16:18:03Z</dcterms:modified>
</cp:coreProperties>
</file>