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9479747.xml.htm"/>
      <w:bookmarkStart w:id="1" w:name="kswkform4_16994797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Monroe James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1735 NINETEENTH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1"/>
        <w:gridCol w:w="921"/>
        <w:gridCol w:w="792"/>
        <w:gridCol w:w="611"/>
        <w:gridCol w:w="335"/>
        <w:gridCol w:w="999"/>
        <w:gridCol w:w="405"/>
        <w:gridCol w:w="638"/>
        <w:gridCol w:w="1438"/>
        <w:gridCol w:w="948"/>
        <w:gridCol w:w="12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188,300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1.36</w:t>
            </w:r>
            <w:r>
              <w:rPr/>
              <w:t xml:space="preserve"> </w:t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6,304,090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Properties II,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197,139,972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Funding Company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880,621,127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Funding II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640,750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FL Investment Holdings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4,197,399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XCOM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3,000,000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Monroe Irr. Educational Trust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200,200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Limited Partnership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618,558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Globalstar Satellite L.P.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29,334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James Monroe III Grantor Trust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626,930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Arthur McMahon, III, attorney-in-fact for James Monroe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79664" TargetMode="External"/><Relationship Id="rId4" Type="http://schemas.openxmlformats.org/officeDocument/2006/relationships/hyperlink" Target="http://www.sec.gov/cgi-bin/browse-edgar?action=getcompany&amp;CIK=00013668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3506</Characters>
  <CharactersWithSpaces>4051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