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5817.xml.htm"/>
      <w:bookmarkStart w:id="1" w:name="kswkform4_17900258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Lynch James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1351 HOLIDAY SQUARE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63"/>
        <w:gridCol w:w="927"/>
        <w:gridCol w:w="796"/>
        <w:gridCol w:w="615"/>
        <w:gridCol w:w="342"/>
        <w:gridCol w:w="1013"/>
        <w:gridCol w:w="420"/>
        <w:gridCol w:w="752"/>
        <w:gridCol w:w="1117"/>
        <w:gridCol w:w="968"/>
        <w:gridCol w:w="12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361,600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82.52</w:t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351,114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Thermo Investments II LLC</w:t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57,879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James Monroe III Grantor Trust in a private transaction for estate planning purposes.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Kelly C. Simoneaux, attorney-in-fact for James F. Lynch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9816" TargetMode="External"/><Relationship Id="rId5" Type="http://schemas.openxmlformats.org/officeDocument/2006/relationships/hyperlink" Target="http://www.sec.gov/cgi-bin/browse-edgar?action=getcompany&amp;CIK=0001366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3219</Characters>
  <CharactersWithSpaces>3740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