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30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____________________</w:t>
      </w:r>
    </w:p>
    <w:p>
      <w:pPr>
        <w:spacing w:after="0" w:line="20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SCHEDULE 13G</w:t>
      </w:r>
    </w:p>
    <w:p>
      <w:pPr>
        <w:jc w:val="center"/>
        <w:ind w:right="303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303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13d-1(b)(c), AND (d) AND AMENDMENTS THERETO FILED PURSUANT TO RULE 13d-2(b)</w:t>
      </w:r>
    </w:p>
    <w:p>
      <w:pPr>
        <w:spacing w:after="0" w:line="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GLOBAL STAR INC</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ind w:left="27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COMMON STOCK</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ind w:left="20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3"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8"/>
          <w:szCs w:val="18"/>
          <w:color w:val="auto"/>
        </w:rPr>
        <w:t>378973408</w:t>
      </w:r>
    </w:p>
    <w:p>
      <w:pPr>
        <w:ind w:left="2000"/>
        <w:spacing w:after="0" w:line="238" w:lineRule="auto"/>
        <w:rPr>
          <w:sz w:val="20"/>
          <w:szCs w:val="20"/>
          <w:color w:val="auto"/>
        </w:rPr>
      </w:pPr>
      <w:r>
        <w:rPr>
          <w:rFonts w:ascii="Courier New" w:cs="Courier New" w:eastAsia="Courier New" w:hAnsi="Courier New"/>
          <w:sz w:val="18"/>
          <w:szCs w:val="18"/>
          <w:color w:val="auto"/>
        </w:rPr>
        <w:t>______________________________</w:t>
      </w:r>
    </w:p>
    <w:p>
      <w:pPr>
        <w:jc w:val="center"/>
        <w:ind w:right="303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8"/>
          <w:szCs w:val="18"/>
          <w:color w:val="auto"/>
        </w:rPr>
        <w:t>October 31, 2007</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w:t>
      </w:r>
    </w:p>
    <w:p>
      <w:pPr>
        <w:ind w:left="74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2640" w:right="5579" w:firstLine="2"/>
        <w:spacing w:after="0" w:line="279" w:lineRule="auto"/>
        <w:tabs>
          <w:tab w:leader="none" w:pos="306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 ] Rule 13d - 1(c) [ ] Rule 13d - 1(d)</w:t>
      </w:r>
    </w:p>
    <w:p>
      <w:pPr>
        <w:spacing w:after="0" w:line="178" w:lineRule="exact"/>
        <w:rPr>
          <w:rFonts w:ascii="Courier New" w:cs="Courier New" w:eastAsia="Courier New" w:hAnsi="Courier New"/>
          <w:sz w:val="16"/>
          <w:szCs w:val="16"/>
          <w:color w:val="auto"/>
        </w:rPr>
      </w:pPr>
    </w:p>
    <w:p>
      <w:pPr>
        <w:jc w:val="both"/>
        <w:ind w:right="29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w w:val="99"/>
              </w:rPr>
              <w:t>-----------------</w:t>
            </w:r>
          </w:p>
        </w:tc>
        <w:tc>
          <w:tcPr>
            <w:tcW w:w="148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w:t>
            </w:r>
          </w:p>
        </w:tc>
        <w:tc>
          <w:tcPr>
            <w:tcW w:w="126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No</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13G</w:t>
            </w:r>
          </w:p>
        </w:tc>
        <w:tc>
          <w:tcPr>
            <w:tcW w:w="2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Page 2 of 6</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378973408</w:t>
            </w: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tcPr>
          <w:p>
            <w:pPr>
              <w:spacing w:after="0"/>
              <w:rPr>
                <w:sz w:val="17"/>
                <w:szCs w:val="17"/>
                <w:color w:val="auto"/>
              </w:rPr>
            </w:pPr>
          </w:p>
        </w:tc>
        <w:tc>
          <w:tcPr>
            <w:tcW w:w="2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4" w:lineRule="exact"/>
        <w:rPr>
          <w:rFonts w:ascii="Courier New" w:cs="Courier New" w:eastAsia="Courier New" w:hAnsi="Courier New"/>
          <w:sz w:val="18"/>
          <w:szCs w:val="18"/>
          <w:color w:val="auto"/>
        </w:rPr>
      </w:pPr>
    </w:p>
    <w:p>
      <w:pPr>
        <w:ind w:left="740" w:right="4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rFonts w:ascii="Courier New" w:cs="Courier New" w:eastAsia="Courier New" w:hAnsi="Courier New"/>
          <w:sz w:val="18"/>
          <w:szCs w:val="18"/>
          <w:color w:val="auto"/>
        </w:rPr>
      </w:pPr>
    </w:p>
    <w:p>
      <w:pPr>
        <w:ind w:left="7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Columbia Wanger Asset Management, L.P.</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04-3519872</w:t>
      </w:r>
    </w:p>
    <w:p>
      <w:pPr>
        <w:spacing w:after="0" w:line="20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55" w:orient="portrait"/>
          <w:cols w:equalWidth="0" w:num="1">
            <w:col w:w="10219"/>
          </w:cols>
          <w:pgMar w:left="240" w:top="244" w:right="1440" w:bottom="0" w:gutter="0" w:footer="0" w:header="0"/>
        </w:sectPr>
      </w:pPr>
    </w:p>
    <w:bookmarkStart w:id="1" w:name="page2"/>
    <w:bookmarkEnd w:id="1"/>
    <w:p>
      <w:pPr>
        <w:ind w:left="740" w:hanging="521"/>
        <w:spacing w:after="0"/>
        <w:tabs>
          <w:tab w:leader="none" w:pos="74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160" w:hanging="415"/>
        <w:spacing w:after="0" w:line="238" w:lineRule="auto"/>
        <w:tabs>
          <w:tab w:leader="none" w:pos="1160" w:val="left"/>
        </w:tabs>
        <w:numPr>
          <w:ilvl w:val="2"/>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960" w:hanging="422"/>
        <w:spacing w:after="0" w:line="238" w:lineRule="auto"/>
        <w:tabs>
          <w:tab w:leader="none" w:pos="4960" w:val="left"/>
        </w:tabs>
        <w:numPr>
          <w:ilvl w:val="3"/>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Delaware</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8,010,000</w:t>
      </w:r>
    </w:p>
    <w:p>
      <w:pPr>
        <w:ind w:left="1900" w:hanging="312"/>
        <w:spacing w:after="0"/>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739"/>
        <w:spacing w:after="0"/>
        <w:rPr>
          <w:sz w:val="20"/>
          <w:szCs w:val="20"/>
          <w:color w:val="auto"/>
        </w:rPr>
      </w:pPr>
      <w:r>
        <w:rPr>
          <w:rFonts w:ascii="Courier New" w:cs="Courier New" w:eastAsia="Courier New" w:hAnsi="Courier New"/>
          <w:sz w:val="18"/>
          <w:szCs w:val="18"/>
          <w:color w:val="auto"/>
        </w:rPr>
        <w:t>BENEFICIALLY</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OWNED BY EACH</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REPORTING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PERSON WITH</w:t>
      </w:r>
    </w:p>
    <w:p>
      <w:pPr>
        <w:spacing w:after="0" w:line="202"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1900" w:hanging="312"/>
        <w:spacing w:after="0"/>
        <w:tabs>
          <w:tab w:leader="none" w:pos="190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2" w:lineRule="exact"/>
        <w:rPr>
          <w:sz w:val="20"/>
          <w:szCs w:val="20"/>
          <w:color w:val="auto"/>
        </w:rPr>
      </w:pPr>
    </w:p>
    <w:tbl>
      <w:tblPr>
        <w:tblLayout w:type="fixed"/>
        <w:tblInd w:w="158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7  SOLE DISPOSITIVE</w:t>
            </w:r>
          </w:p>
        </w:tc>
        <w:tc>
          <w:tcPr>
            <w:tcW w:w="1620" w:type="dxa"/>
            <w:vAlign w:val="bottom"/>
          </w:tcPr>
          <w:p>
            <w:pPr>
              <w:jc w:val="right"/>
              <w:spacing w:after="0"/>
              <w:rPr>
                <w:sz w:val="20"/>
                <w:szCs w:val="20"/>
                <w:color w:val="auto"/>
              </w:rPr>
            </w:pPr>
            <w:r>
              <w:rPr>
                <w:rFonts w:ascii="Courier New" w:cs="Courier New" w:eastAsia="Courier New" w:hAnsi="Courier New"/>
                <w:sz w:val="18"/>
                <w:szCs w:val="18"/>
                <w:color w:val="auto"/>
              </w:rPr>
              <w:t>8,010,000</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w:t>
            </w:r>
          </w:p>
        </w:tc>
        <w:tc>
          <w:tcPr>
            <w:tcW w:w="1620" w:type="dxa"/>
            <w:vAlign w:val="bottom"/>
          </w:tcPr>
          <w:p>
            <w:pPr>
              <w:spacing w:after="0"/>
              <w:rPr>
                <w:sz w:val="17"/>
                <w:szCs w:val="17"/>
                <w:color w:val="auto"/>
              </w:rPr>
            </w:pPr>
          </w:p>
        </w:tc>
      </w:tr>
    </w:tbl>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1580" w:right="6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740" w:right="43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9AGGREGATE AMOUNT BENEFICIALLY OWNED BY EACH REPORTING PERSON</w:t>
      </w:r>
    </w:p>
    <w:p>
      <w:pPr>
        <w:ind w:left="4960"/>
        <w:spacing w:after="0"/>
        <w:rPr>
          <w:sz w:val="20"/>
          <w:szCs w:val="20"/>
          <w:color w:val="auto"/>
        </w:rPr>
      </w:pPr>
      <w:r>
        <w:rPr>
          <w:rFonts w:ascii="Courier New" w:cs="Courier New" w:eastAsia="Courier New" w:hAnsi="Courier New"/>
          <w:sz w:val="18"/>
          <w:szCs w:val="18"/>
          <w:color w:val="auto"/>
        </w:rPr>
        <w:t>8,010,000</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740" w:right="4319" w:hanging="527"/>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 CHECK IF THE AGGREGATE AMOUNT IN ROW (9) EXCLUDES CERTAIN SHARES*</w:t>
      </w:r>
    </w:p>
    <w:p>
      <w:pPr>
        <w:spacing w:after="0" w:line="203" w:lineRule="exact"/>
        <w:rPr>
          <w:sz w:val="20"/>
          <w:szCs w:val="20"/>
          <w:color w:val="auto"/>
        </w:rPr>
      </w:pPr>
    </w:p>
    <w:p>
      <w:pPr>
        <w:ind w:left="5480"/>
        <w:spacing w:after="0"/>
        <w:tabs>
          <w:tab w:leader="none" w:pos="57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10.46%</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   TYPE OF REPORTING PERSON*</w:t>
      </w:r>
    </w:p>
    <w:p>
      <w:pPr>
        <w:spacing w:after="0" w:line="202" w:lineRule="exact"/>
        <w:rPr>
          <w:sz w:val="20"/>
          <w:szCs w:val="20"/>
          <w:color w:val="auto"/>
        </w:rPr>
      </w:pPr>
    </w:p>
    <w:p>
      <w:pPr>
        <w:ind w:left="5700"/>
        <w:spacing w:after="0"/>
        <w:rPr>
          <w:sz w:val="20"/>
          <w:szCs w:val="20"/>
          <w:color w:val="auto"/>
        </w:rPr>
      </w:pPr>
      <w:r>
        <w:rPr>
          <w:rFonts w:ascii="Courier New" w:cs="Courier New" w:eastAsia="Courier New" w:hAnsi="Courier New"/>
          <w:sz w:val="18"/>
          <w:szCs w:val="18"/>
          <w:color w:val="auto"/>
        </w:rPr>
        <w:t>IA</w:t>
      </w:r>
    </w:p>
    <w:p>
      <w:pPr>
        <w:ind w:left="220" w:hanging="212"/>
        <w:spacing w:after="0" w:line="238" w:lineRule="auto"/>
        <w:tabs>
          <w:tab w:leader="none" w:pos="2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GLOBALSTAR INC</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461 SOUTH MILPITAS BLVD</w:t>
      </w:r>
    </w:p>
    <w:p>
      <w:pPr>
        <w:ind w:left="960"/>
        <w:spacing w:after="0" w:line="238" w:lineRule="auto"/>
        <w:rPr>
          <w:sz w:val="20"/>
          <w:szCs w:val="20"/>
          <w:color w:val="auto"/>
        </w:rPr>
      </w:pPr>
      <w:r>
        <w:rPr>
          <w:rFonts w:ascii="Courier New" w:cs="Courier New" w:eastAsia="Courier New" w:hAnsi="Courier New"/>
          <w:sz w:val="18"/>
          <w:szCs w:val="18"/>
          <w:color w:val="auto"/>
        </w:rPr>
        <w:t>MILPITAS CA 95035</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ectPr>
          <w:pgSz w:w="11900" w:h="16838" w:orient="portrait"/>
          <w:cols w:equalWidth="0" w:num="1">
            <w:col w:w="10219"/>
          </w:cols>
          <w:pgMar w:left="240" w:top="136" w:right="1440" w:bottom="0" w:gutter="0" w:footer="0" w:header="0"/>
        </w:sectPr>
      </w:pPr>
    </w:p>
    <w:bookmarkStart w:id="2" w:name="page3"/>
    <w:bookmarkEnd w:id="2"/>
    <w:p>
      <w:pPr>
        <w:ind w:left="960"/>
        <w:spacing w:after="0"/>
        <w:rPr>
          <w:sz w:val="20"/>
          <w:szCs w:val="20"/>
          <w:color w:val="auto"/>
        </w:rPr>
      </w:pPr>
      <w:r>
        <w:rPr>
          <w:rFonts w:ascii="Courier New" w:cs="Courier New" w:eastAsia="Courier New" w:hAnsi="Courier New"/>
          <w:sz w:val="18"/>
          <w:szCs w:val="18"/>
          <w:color w:val="auto"/>
        </w:rPr>
        <w:t>Columbia Wanger Asset Management, L.P.</w:t>
      </w:r>
    </w:p>
    <w:p>
      <w:pPr>
        <w:spacing w:after="0" w:line="207" w:lineRule="exact"/>
        <w:rPr>
          <w:sz w:val="20"/>
          <w:szCs w:val="20"/>
          <w:color w:val="auto"/>
        </w:rPr>
      </w:pPr>
    </w:p>
    <w:p>
      <w:pPr>
        <w:ind w:left="960" w:right="2939" w:hanging="947"/>
        <w:spacing w:after="0" w:line="235" w:lineRule="auto"/>
        <w:rPr>
          <w:sz w:val="20"/>
          <w:szCs w:val="20"/>
          <w:color w:val="auto"/>
        </w:rPr>
      </w:pPr>
      <w:r>
        <w:rPr>
          <w:rFonts w:ascii="Courier New" w:cs="Courier New" w:eastAsia="Courier New" w:hAnsi="Courier New"/>
          <w:sz w:val="18"/>
          <w:szCs w:val="18"/>
          <w:color w:val="auto"/>
        </w:rPr>
        <w:t>Item 2(b).</w:t>
      </w:r>
      <w:r>
        <w:rPr>
          <w:sz w:val="20"/>
          <w:szCs w:val="20"/>
          <w:color w:val="auto"/>
        </w:rPr>
        <w:t xml:space="preserve"> </w:t>
      </w:r>
      <w:r>
        <w:rPr>
          <w:rFonts w:ascii="Courier New" w:cs="Courier New" w:eastAsia="Courier New" w:hAnsi="Courier New"/>
          <w:sz w:val="18"/>
          <w:szCs w:val="18"/>
          <w:color w:val="auto"/>
        </w:rPr>
        <w:t>Address of Principal Business Office or, if None, Residence:</w:t>
      </w:r>
    </w:p>
    <w:p>
      <w:pPr>
        <w:spacing w:after="0" w:line="203" w:lineRule="exact"/>
        <w:rPr>
          <w:sz w:val="20"/>
          <w:szCs w:val="20"/>
          <w:color w:val="auto"/>
        </w:rPr>
      </w:pPr>
    </w:p>
    <w:p>
      <w:pPr>
        <w:ind w:left="960"/>
        <w:spacing w:after="0"/>
        <w:tabs>
          <w:tab w:leader="none" w:pos="6100" w:val="left"/>
        </w:tabs>
        <w:rPr>
          <w:sz w:val="20"/>
          <w:szCs w:val="20"/>
          <w:color w:val="auto"/>
        </w:rPr>
      </w:pPr>
      <w:r>
        <w:rPr>
          <w:rFonts w:ascii="Courier New" w:cs="Courier New" w:eastAsia="Courier New" w:hAnsi="Courier New"/>
          <w:sz w:val="18"/>
          <w:szCs w:val="18"/>
          <w:color w:val="auto"/>
        </w:rPr>
        <w:t>227 West Monroe Street, Suite 3000, Chicago, IL</w:t>
      </w:r>
      <w:r>
        <w:rPr>
          <w:sz w:val="20"/>
          <w:szCs w:val="20"/>
          <w:color w:val="auto"/>
        </w:rPr>
        <w:tab/>
      </w:r>
      <w:r>
        <w:rPr>
          <w:rFonts w:ascii="Courier New" w:cs="Courier New" w:eastAsia="Courier New" w:hAnsi="Courier New"/>
          <w:sz w:val="16"/>
          <w:szCs w:val="16"/>
          <w:color w:val="auto"/>
        </w:rPr>
        <w:t>60606.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378973408</w:t>
      </w:r>
    </w:p>
    <w:p>
      <w:pPr>
        <w:spacing w:after="0" w:line="201" w:lineRule="exact"/>
        <w:rPr>
          <w:sz w:val="20"/>
          <w:szCs w:val="20"/>
          <w:color w:val="auto"/>
        </w:rPr>
      </w:pPr>
    </w:p>
    <w:p>
      <w:pPr>
        <w:spacing w:after="0"/>
        <w:tabs>
          <w:tab w:leader="none" w:pos="940" w:val="left"/>
          <w:tab w:leader="none" w:pos="1880" w:val="left"/>
          <w:tab w:leader="none" w:pos="4000" w:val="left"/>
          <w:tab w:leader="none" w:pos="5880" w:val="left"/>
          <w:tab w:leader="none" w:pos="7040" w:val="left"/>
        </w:tabs>
        <w:rPr>
          <w:sz w:val="20"/>
          <w:szCs w:val="20"/>
          <w:color w:val="auto"/>
        </w:rPr>
      </w:pPr>
      <w:r>
        <w:rPr>
          <w:rFonts w:ascii="Courier New" w:cs="Courier New" w:eastAsia="Courier New" w:hAnsi="Courier New"/>
          <w:sz w:val="18"/>
          <w:szCs w:val="18"/>
          <w:color w:val="auto"/>
        </w:rPr>
        <w:t>Item 3.</w:t>
        <w:tab/>
        <w:t>If This</w:t>
        <w:tab/>
        <w:t>Statement is Filed</w:t>
        <w:tab/>
        <w:t>Pursuant to Rule</w:t>
        <w:tab/>
        <w:t>13d-1(b),</w:t>
        <w:tab/>
        <w:t>or</w:t>
      </w:r>
    </w:p>
    <w:p>
      <w:pPr>
        <w:ind w:left="960"/>
        <w:spacing w:after="0" w:line="238" w:lineRule="auto"/>
        <w:rPr>
          <w:sz w:val="20"/>
          <w:szCs w:val="20"/>
          <w:color w:val="auto"/>
        </w:rPr>
      </w:pPr>
      <w:r>
        <w:rPr>
          <w:rFonts w:ascii="Courier New" w:cs="Courier New" w:eastAsia="Courier New" w:hAnsi="Courier New"/>
          <w:sz w:val="18"/>
          <w:szCs w:val="18"/>
          <w:color w:val="auto"/>
        </w:rPr>
        <w:t>13d-2(b) or (c), Check Whether the Person Filing is a:</w:t>
      </w:r>
    </w:p>
    <w:p>
      <w:pPr>
        <w:spacing w:after="0" w:line="207" w:lineRule="exact"/>
        <w:rPr>
          <w:sz w:val="20"/>
          <w:szCs w:val="20"/>
          <w:color w:val="auto"/>
        </w:rPr>
      </w:pPr>
    </w:p>
    <w:p>
      <w:pPr>
        <w:ind w:left="960" w:right="2939" w:hanging="4"/>
        <w:spacing w:after="0" w:line="235" w:lineRule="auto"/>
        <w:tabs>
          <w:tab w:leader="none" w:pos="148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5" w:lineRule="exact"/>
        <w:rPr>
          <w:rFonts w:ascii="Courier New" w:cs="Courier New" w:eastAsia="Courier New" w:hAnsi="Courier New"/>
          <w:sz w:val="18"/>
          <w:szCs w:val="18"/>
          <w:color w:val="auto"/>
        </w:rPr>
      </w:pPr>
    </w:p>
    <w:p>
      <w:pPr>
        <w:ind w:left="960" w:right="2939" w:hanging="4"/>
        <w:spacing w:after="0" w:line="235" w:lineRule="auto"/>
        <w:tabs>
          <w:tab w:leader="none" w:pos="1487"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5" w:lineRule="exact"/>
        <w:rPr>
          <w:rFonts w:ascii="Courier New" w:cs="Courier New" w:eastAsia="Courier New" w:hAnsi="Courier New"/>
          <w:sz w:val="18"/>
          <w:szCs w:val="18"/>
          <w:color w:val="auto"/>
        </w:rPr>
      </w:pPr>
    </w:p>
    <w:p>
      <w:pPr>
        <w:ind w:left="1480" w:right="2939" w:hanging="524"/>
        <w:spacing w:after="0" w:line="235" w:lineRule="auto"/>
        <w:tabs>
          <w:tab w:leader="none" w:pos="148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5"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the Investment Company Act.</w:t>
      </w:r>
    </w:p>
    <w:p>
      <w:pPr>
        <w:ind w:left="960"/>
        <w:spacing w:after="0"/>
        <w:tabs>
          <w:tab w:leader="none" w:pos="1460" w:val="left"/>
          <w:tab w:leader="none" w:pos="1980" w:val="left"/>
          <w:tab w:leader="none" w:pos="2520" w:val="left"/>
          <w:tab w:leader="none" w:pos="3880" w:val="left"/>
          <w:tab w:leader="none" w:pos="4940" w:val="left"/>
          <w:tab w:leader="none" w:pos="5460" w:val="left"/>
          <w:tab w:leader="none" w:pos="6840" w:val="left"/>
        </w:tabs>
        <w:rPr>
          <w:sz w:val="20"/>
          <w:szCs w:val="20"/>
          <w:color w:val="auto"/>
        </w:rPr>
      </w:pPr>
      <w:r>
        <w:rPr>
          <w:rFonts w:ascii="Courier New" w:cs="Courier New" w:eastAsia="Courier New" w:hAnsi="Courier New"/>
          <w:sz w:val="18"/>
          <w:szCs w:val="18"/>
          <w:color w:val="auto"/>
        </w:rPr>
        <w:t>(e)</w:t>
        <w:tab/>
        <w:t>[X]</w:t>
        <w:tab/>
        <w:t>An</w:t>
      </w:r>
      <w:r>
        <w:rPr>
          <w:sz w:val="20"/>
          <w:szCs w:val="20"/>
          <w:color w:val="auto"/>
        </w:rPr>
        <w:tab/>
      </w:r>
      <w:r>
        <w:rPr>
          <w:rFonts w:ascii="Courier New" w:cs="Courier New" w:eastAsia="Courier New" w:hAnsi="Courier New"/>
          <w:sz w:val="18"/>
          <w:szCs w:val="18"/>
          <w:color w:val="auto"/>
        </w:rPr>
        <w:t>investment</w:t>
      </w:r>
      <w:r>
        <w:rPr>
          <w:sz w:val="20"/>
          <w:szCs w:val="20"/>
          <w:color w:val="auto"/>
        </w:rPr>
        <w:tab/>
      </w:r>
      <w:r>
        <w:rPr>
          <w:rFonts w:ascii="Courier New" w:cs="Courier New" w:eastAsia="Courier New" w:hAnsi="Courier New"/>
          <w:sz w:val="18"/>
          <w:szCs w:val="18"/>
          <w:color w:val="auto"/>
        </w:rPr>
        <w:t>adviser</w:t>
      </w:r>
      <w:r>
        <w:rPr>
          <w:sz w:val="20"/>
          <w:szCs w:val="20"/>
          <w:color w:val="auto"/>
        </w:rPr>
        <w:tab/>
      </w:r>
      <w:r>
        <w:rPr>
          <w:rFonts w:ascii="Courier New" w:cs="Courier New" w:eastAsia="Courier New" w:hAnsi="Courier New"/>
          <w:sz w:val="18"/>
          <w:szCs w:val="18"/>
          <w:color w:val="auto"/>
        </w:rPr>
        <w:t>in</w:t>
      </w:r>
      <w:r>
        <w:rPr>
          <w:sz w:val="20"/>
          <w:szCs w:val="20"/>
          <w:color w:val="auto"/>
        </w:rPr>
        <w:tab/>
      </w:r>
      <w:r>
        <w:rPr>
          <w:rFonts w:ascii="Courier New" w:cs="Courier New" w:eastAsia="Courier New" w:hAnsi="Courier New"/>
          <w:sz w:val="18"/>
          <w:szCs w:val="18"/>
          <w:color w:val="auto"/>
        </w:rPr>
        <w:t>accordance</w:t>
      </w:r>
      <w:r>
        <w:rPr>
          <w:sz w:val="20"/>
          <w:szCs w:val="20"/>
          <w:color w:val="auto"/>
        </w:rPr>
        <w:tab/>
      </w:r>
      <w:r>
        <w:rPr>
          <w:rFonts w:ascii="Courier New" w:cs="Courier New" w:eastAsia="Courier New" w:hAnsi="Courier New"/>
          <w:sz w:val="16"/>
          <w:szCs w:val="16"/>
          <w:color w:val="auto"/>
        </w:rPr>
        <w:t>with</w:t>
      </w:r>
    </w:p>
    <w:p>
      <w:pPr>
        <w:ind w:left="960"/>
        <w:spacing w:after="0"/>
        <w:rPr>
          <w:sz w:val="20"/>
          <w:szCs w:val="20"/>
          <w:color w:val="auto"/>
        </w:rPr>
      </w:pPr>
      <w:r>
        <w:rPr>
          <w:rFonts w:ascii="Courier New" w:cs="Courier New" w:eastAsia="Courier New" w:hAnsi="Courier New"/>
          <w:sz w:val="18"/>
          <w:szCs w:val="18"/>
          <w:color w:val="auto"/>
        </w:rPr>
        <w:t>Rule 13d-1(b)(1)(ii)(E).</w:t>
      </w:r>
    </w:p>
    <w:p>
      <w:pPr>
        <w:spacing w:after="0" w:line="3" w:lineRule="exact"/>
        <w:rPr>
          <w:sz w:val="20"/>
          <w:szCs w:val="20"/>
          <w:color w:val="auto"/>
        </w:rPr>
      </w:pPr>
    </w:p>
    <w:p>
      <w:pPr>
        <w:ind w:left="1480" w:right="2939" w:hanging="524"/>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1480" w:right="2939" w:hanging="524"/>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13d-1(b)(1)(ii)(G).</w:t>
      </w:r>
    </w:p>
    <w:p>
      <w:pPr>
        <w:spacing w:after="0" w:line="5" w:lineRule="exact"/>
        <w:rPr>
          <w:rFonts w:ascii="Courier New" w:cs="Courier New" w:eastAsia="Courier New" w:hAnsi="Courier New"/>
          <w:sz w:val="18"/>
          <w:szCs w:val="18"/>
          <w:color w:val="auto"/>
        </w:rPr>
      </w:pPr>
    </w:p>
    <w:p>
      <w:pPr>
        <w:ind w:left="1480" w:right="2939" w:hanging="524"/>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5" w:lineRule="exact"/>
        <w:rPr>
          <w:rFonts w:ascii="Courier New" w:cs="Courier New" w:eastAsia="Courier New" w:hAnsi="Courier New"/>
          <w:sz w:val="18"/>
          <w:szCs w:val="18"/>
          <w:color w:val="auto"/>
        </w:rPr>
      </w:pPr>
    </w:p>
    <w:p>
      <w:pPr>
        <w:jc w:val="both"/>
        <w:ind w:left="1480" w:right="2939" w:hanging="524"/>
        <w:spacing w:after="0" w:line="236"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6"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Rule 13d-1(b)(1)(ii)(J).</w:t>
      </w:r>
    </w:p>
    <w:p>
      <w:pPr>
        <w:spacing w:after="0" w:line="224" w:lineRule="exact"/>
        <w:rPr>
          <w:sz w:val="20"/>
          <w:szCs w:val="20"/>
          <w:color w:val="auto"/>
        </w:rPr>
      </w:pPr>
    </w:p>
    <w:p>
      <w:pPr>
        <w:jc w:val="both"/>
        <w:ind w:left="1480" w:right="2939" w:hanging="526"/>
        <w:spacing w:after="0"/>
        <w:rPr>
          <w:sz w:val="20"/>
          <w:szCs w:val="20"/>
          <w:color w:val="auto"/>
        </w:rPr>
      </w:pPr>
      <w:r>
        <w:rPr>
          <w:rFonts w:ascii="Courier New" w:cs="Courier New" w:eastAsia="Courier New" w:hAnsi="Courier New"/>
          <w:sz w:val="18"/>
          <w:szCs w:val="18"/>
          <w:color w:val="auto"/>
        </w:rPr>
        <w:t>If this statement is filed pursuant to Rule 13d-1(c),</w:t>
      </w:r>
      <w:r>
        <w:rPr>
          <w:sz w:val="20"/>
          <w:szCs w:val="20"/>
          <w:color w:val="auto"/>
        </w:rPr>
        <w:t xml:space="preserve"> </w:t>
      </w:r>
      <w:r>
        <w:rPr>
          <w:rFonts w:ascii="Courier New" w:cs="Courier New" w:eastAsia="Courier New" w:hAnsi="Courier New"/>
          <w:sz w:val="18"/>
          <w:szCs w:val="18"/>
          <w:color w:val="auto"/>
        </w:rPr>
        <w:t>check this box. [ ]</w:t>
      </w:r>
    </w:p>
    <w:p>
      <w:pPr>
        <w:spacing w:after="0" w:line="39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left="960" w:right="2939"/>
        <w:spacing w:after="0" w:line="236" w:lineRule="auto"/>
        <w:rPr>
          <w:sz w:val="20"/>
          <w:szCs w:val="20"/>
          <w:color w:val="auto"/>
        </w:rPr>
      </w:pPr>
      <w:r>
        <w:rPr>
          <w:rFonts w:ascii="Courier New" w:cs="Courier New" w:eastAsia="Courier New" w:hAnsi="Courier New"/>
          <w:sz w:val="18"/>
          <w:szCs w:val="18"/>
          <w:color w:val="auto"/>
        </w:rPr>
        <w:t>With respect to the beneficial ownership of the reporting person, see Items 5 through 11 of the cover pages to this Schedule 13G, which are incorporated herein by reference.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gridSpan w:val="10"/>
          </w:tcPr>
          <w:p>
            <w:pPr>
              <w:spacing w:after="0"/>
              <w:rPr>
                <w:sz w:val="20"/>
                <w:szCs w:val="20"/>
                <w:color w:val="auto"/>
              </w:rPr>
            </w:pPr>
            <w:r>
              <w:rPr>
                <w:rFonts w:ascii="Courier New" w:cs="Courier New" w:eastAsia="Courier New" w:hAnsi="Courier New"/>
                <w:sz w:val="18"/>
                <w:szCs w:val="18"/>
                <w:color w:val="auto"/>
              </w:rPr>
              <w:t>Item 5.  Ownership of Five Percent or Less of a Class:</w:t>
            </w:r>
          </w:p>
        </w:tc>
        <w:tc>
          <w:tcPr>
            <w:tcW w:w="74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rPr>
              <w:t>If this</w:t>
            </w:r>
          </w:p>
        </w:tc>
        <w:tc>
          <w:tcPr>
            <w:tcW w:w="2960" w:type="dxa"/>
            <w:vAlign w:val="bottom"/>
            <w:gridSpan w:val="6"/>
          </w:tcPr>
          <w:p>
            <w:pPr>
              <w:jc w:val="center"/>
              <w:ind w:right="32"/>
              <w:spacing w:after="0"/>
              <w:rPr>
                <w:sz w:val="20"/>
                <w:szCs w:val="20"/>
                <w:color w:val="auto"/>
              </w:rPr>
            </w:pPr>
            <w:r>
              <w:rPr>
                <w:rFonts w:ascii="Courier New" w:cs="Courier New" w:eastAsia="Courier New" w:hAnsi="Courier New"/>
                <w:sz w:val="18"/>
                <w:szCs w:val="18"/>
                <w:color w:val="auto"/>
                <w:w w:val="97"/>
              </w:rPr>
              <w:t>statement is being filed to</w:t>
            </w:r>
          </w:p>
        </w:tc>
        <w:tc>
          <w:tcPr>
            <w:tcW w:w="24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report the fact that as</w:t>
            </w:r>
          </w:p>
        </w:tc>
      </w:tr>
      <w:tr>
        <w:trPr>
          <w:trHeight w:val="203"/>
        </w:trPr>
        <w:tc>
          <w:tcPr>
            <w:tcW w:w="860" w:type="dxa"/>
            <w:vAlign w:val="bottom"/>
          </w:tcPr>
          <w:p>
            <w:pPr>
              <w:spacing w:after="0"/>
              <w:rPr>
                <w:sz w:val="17"/>
                <w:szCs w:val="17"/>
                <w:color w:val="auto"/>
              </w:rPr>
            </w:pPr>
          </w:p>
        </w:tc>
        <w:tc>
          <w:tcPr>
            <w:tcW w:w="22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of the date  hereof</w:t>
            </w:r>
          </w:p>
        </w:tc>
        <w:tc>
          <w:tcPr>
            <w:tcW w:w="42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the</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220" w:type="dxa"/>
            <w:vAlign w:val="bottom"/>
          </w:tcPr>
          <w:p>
            <w:pPr>
              <w:spacing w:after="0"/>
              <w:rPr>
                <w:sz w:val="17"/>
                <w:szCs w:val="17"/>
                <w:color w:val="auto"/>
              </w:rPr>
            </w:pPr>
          </w:p>
        </w:tc>
        <w:tc>
          <w:tcPr>
            <w:tcW w:w="2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person has ceased to be</w:t>
            </w:r>
          </w:p>
        </w:tc>
      </w:tr>
      <w:tr>
        <w:trPr>
          <w:trHeight w:val="203"/>
        </w:trPr>
        <w:tc>
          <w:tcPr>
            <w:tcW w:w="860" w:type="dxa"/>
            <w:vAlign w:val="bottom"/>
          </w:tcPr>
          <w:p>
            <w:pPr>
              <w:spacing w:after="0"/>
              <w:rPr>
                <w:sz w:val="17"/>
                <w:szCs w:val="17"/>
                <w:color w:val="auto"/>
              </w:rPr>
            </w:pPr>
          </w:p>
        </w:tc>
        <w:tc>
          <w:tcPr>
            <w:tcW w:w="17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the beneficial</w:t>
            </w:r>
          </w:p>
        </w:tc>
        <w:tc>
          <w:tcPr>
            <w:tcW w:w="4700" w:type="dxa"/>
            <w:vAlign w:val="bottom"/>
            <w:gridSpan w:val="8"/>
          </w:tcPr>
          <w:p>
            <w:pPr>
              <w:jc w:val="right"/>
              <w:spacing w:after="0" w:line="203" w:lineRule="exact"/>
              <w:rPr>
                <w:sz w:val="20"/>
                <w:szCs w:val="20"/>
                <w:color w:val="auto"/>
              </w:rPr>
            </w:pPr>
            <w:r>
              <w:rPr>
                <w:rFonts w:ascii="Courier New" w:cs="Courier New" w:eastAsia="Courier New" w:hAnsi="Courier New"/>
                <w:sz w:val="18"/>
                <w:szCs w:val="18"/>
                <w:color w:val="auto"/>
                <w:w w:val="98"/>
              </w:rPr>
              <w:t>owner of more than five percent of the class</w:t>
            </w:r>
          </w:p>
        </w:tc>
      </w:tr>
      <w:tr>
        <w:trPr>
          <w:trHeight w:val="203"/>
        </w:trPr>
        <w:tc>
          <w:tcPr>
            <w:tcW w:w="860" w:type="dxa"/>
            <w:vAlign w:val="bottom"/>
          </w:tcPr>
          <w:p>
            <w:pPr>
              <w:spacing w:after="0"/>
              <w:rPr>
                <w:sz w:val="17"/>
                <w:szCs w:val="17"/>
                <w:color w:val="auto"/>
              </w:rPr>
            </w:pPr>
          </w:p>
        </w:tc>
        <w:tc>
          <w:tcPr>
            <w:tcW w:w="378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w w:val="99"/>
              </w:rPr>
              <w:t>of securities, check the following</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1040" w:type="dxa"/>
            <w:vAlign w:val="bottom"/>
          </w:tcPr>
          <w:p>
            <w:pPr>
              <w:ind w:left="100"/>
              <w:spacing w:after="0"/>
              <w:rPr>
                <w:sz w:val="20"/>
                <w:szCs w:val="20"/>
                <w:color w:val="auto"/>
              </w:rPr>
            </w:pPr>
            <w:r>
              <w:rPr>
                <w:rFonts w:ascii="Courier New" w:cs="Courier New" w:eastAsia="Courier New" w:hAnsi="Courier New"/>
                <w:sz w:val="18"/>
                <w:szCs w:val="18"/>
                <w:color w:val="auto"/>
                <w:w w:val="94"/>
              </w:rPr>
              <w:t>Ownership</w:t>
            </w:r>
          </w:p>
        </w:tc>
        <w:tc>
          <w:tcPr>
            <w:tcW w:w="2160" w:type="dxa"/>
            <w:vAlign w:val="bottom"/>
            <w:gridSpan w:val="4"/>
          </w:tcPr>
          <w:p>
            <w:pPr>
              <w:ind w:left="220"/>
              <w:spacing w:after="0"/>
              <w:rPr>
                <w:sz w:val="20"/>
                <w:szCs w:val="20"/>
                <w:color w:val="auto"/>
              </w:rPr>
            </w:pPr>
            <w:r>
              <w:rPr>
                <w:rFonts w:ascii="Courier New" w:cs="Courier New" w:eastAsia="Courier New" w:hAnsi="Courier New"/>
                <w:sz w:val="18"/>
                <w:szCs w:val="18"/>
                <w:color w:val="auto"/>
              </w:rPr>
              <w:t>of More than Five</w:t>
            </w:r>
          </w:p>
        </w:tc>
        <w:tc>
          <w:tcPr>
            <w:tcW w:w="8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Percent</w:t>
            </w:r>
          </w:p>
        </w:tc>
        <w:tc>
          <w:tcPr>
            <w:tcW w:w="1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on Behalf of</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Another</w:t>
            </w:r>
          </w:p>
        </w:tc>
      </w:tr>
      <w:tr>
        <w:trPr>
          <w:trHeight w:val="203"/>
        </w:trPr>
        <w:tc>
          <w:tcPr>
            <w:tcW w:w="860" w:type="dxa"/>
            <w:vAlign w:val="bottom"/>
          </w:tcPr>
          <w:p>
            <w:pPr>
              <w:spacing w:after="0"/>
              <w:rPr>
                <w:sz w:val="17"/>
                <w:szCs w:val="17"/>
                <w:color w:val="auto"/>
              </w:rPr>
            </w:pP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Person:</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6420" w:type="dxa"/>
            <w:vAlign w:val="bottom"/>
            <w:gridSpan w:val="10"/>
          </w:tcPr>
          <w:p>
            <w:pPr>
              <w:ind w:left="100"/>
              <w:spacing w:after="0"/>
              <w:rPr>
                <w:sz w:val="20"/>
                <w:szCs w:val="20"/>
                <w:color w:val="auto"/>
              </w:rPr>
            </w:pPr>
            <w:r>
              <w:rPr>
                <w:rFonts w:ascii="Courier New" w:cs="Courier New" w:eastAsia="Courier New" w:hAnsi="Courier New"/>
                <w:sz w:val="18"/>
                <w:szCs w:val="18"/>
                <w:color w:val="auto"/>
                <w:w w:val="97"/>
              </w:rPr>
              <w:t>The  shares  reported  herein  include  the  shares  held by</w:t>
            </w:r>
          </w:p>
        </w:tc>
      </w:tr>
      <w:tr>
        <w:trPr>
          <w:trHeight w:val="203"/>
        </w:trPr>
        <w:tc>
          <w:tcPr>
            <w:tcW w:w="860" w:type="dxa"/>
            <w:vAlign w:val="bottom"/>
          </w:tcPr>
          <w:p>
            <w:pPr>
              <w:spacing w:after="0"/>
              <w:rPr>
                <w:sz w:val="17"/>
                <w:szCs w:val="17"/>
                <w:color w:val="auto"/>
              </w:rPr>
            </w:pPr>
          </w:p>
        </w:tc>
        <w:tc>
          <w:tcPr>
            <w:tcW w:w="320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w w:val="98"/>
              </w:rPr>
              <w:t>Columbia Acorn Trust (CAT), a</w:t>
            </w:r>
          </w:p>
        </w:tc>
        <w:tc>
          <w:tcPr>
            <w:tcW w:w="15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Massachusetts</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business trust</w:t>
            </w:r>
          </w:p>
        </w:tc>
      </w:tr>
      <w:tr>
        <w:trPr>
          <w:trHeight w:val="203"/>
        </w:trPr>
        <w:tc>
          <w:tcPr>
            <w:tcW w:w="860" w:type="dxa"/>
            <w:vAlign w:val="bottom"/>
          </w:tcPr>
          <w:p>
            <w:pPr>
              <w:spacing w:after="0"/>
              <w:rPr>
                <w:sz w:val="17"/>
                <w:szCs w:val="17"/>
                <w:color w:val="auto"/>
              </w:rPr>
            </w:pPr>
          </w:p>
        </w:tc>
        <w:tc>
          <w:tcPr>
            <w:tcW w:w="262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that is advised by the</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96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CAT holds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9.51%</w:t>
            </w:r>
          </w:p>
        </w:tc>
      </w:tr>
      <w:tr>
        <w:trPr>
          <w:trHeight w:val="203"/>
        </w:trPr>
        <w:tc>
          <w:tcPr>
            <w:tcW w:w="860" w:type="dxa"/>
            <w:vAlign w:val="bottom"/>
          </w:tcPr>
          <w:p>
            <w:pPr>
              <w:spacing w:after="0"/>
              <w:rPr>
                <w:sz w:val="17"/>
                <w:szCs w:val="17"/>
                <w:color w:val="auto"/>
              </w:rPr>
            </w:pPr>
          </w:p>
        </w:tc>
        <w:tc>
          <w:tcPr>
            <w:tcW w:w="320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of the shares of the Issuer.</w:t>
            </w: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17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Identification</w:t>
            </w:r>
          </w:p>
        </w:tc>
        <w:tc>
          <w:tcPr>
            <w:tcW w:w="480" w:type="dxa"/>
            <w:vAlign w:val="bottom"/>
          </w:tcPr>
          <w:p>
            <w:pPr>
              <w:ind w:left="60"/>
              <w:spacing w:after="0"/>
              <w:rPr>
                <w:sz w:val="20"/>
                <w:szCs w:val="20"/>
                <w:color w:val="auto"/>
              </w:rPr>
            </w:pPr>
            <w:r>
              <w:rPr>
                <w:rFonts w:ascii="Courier New" w:cs="Courier New" w:eastAsia="Courier New" w:hAnsi="Courier New"/>
                <w:sz w:val="18"/>
                <w:szCs w:val="18"/>
                <w:color w:val="auto"/>
              </w:rPr>
              <w:t>and</w:t>
            </w:r>
          </w:p>
        </w:tc>
        <w:tc>
          <w:tcPr>
            <w:tcW w:w="158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Classification</w:t>
            </w:r>
          </w:p>
        </w:tc>
        <w:tc>
          <w:tcPr>
            <w:tcW w:w="220" w:type="dxa"/>
            <w:vAlign w:val="bottom"/>
          </w:tcPr>
          <w:p>
            <w:pPr>
              <w:spacing w:after="0"/>
              <w:rPr>
                <w:sz w:val="24"/>
                <w:szCs w:val="24"/>
                <w:color w:val="auto"/>
              </w:rPr>
            </w:pPr>
          </w:p>
        </w:tc>
        <w:tc>
          <w:tcPr>
            <w:tcW w:w="242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of the Subsidiary Which</w:t>
            </w:r>
          </w:p>
        </w:tc>
      </w:tr>
      <w:tr>
        <w:trPr>
          <w:trHeight w:val="203"/>
        </w:trPr>
        <w:tc>
          <w:tcPr>
            <w:tcW w:w="860" w:type="dxa"/>
            <w:vAlign w:val="bottom"/>
          </w:tcPr>
          <w:p>
            <w:pPr>
              <w:spacing w:after="0"/>
              <w:rPr>
                <w:sz w:val="17"/>
                <w:szCs w:val="17"/>
                <w:color w:val="auto"/>
              </w:rPr>
            </w:pPr>
          </w:p>
        </w:tc>
        <w:tc>
          <w:tcPr>
            <w:tcW w:w="5680" w:type="dxa"/>
            <w:vAlign w:val="bottom"/>
            <w:gridSpan w:val="9"/>
          </w:tcPr>
          <w:p>
            <w:pPr>
              <w:ind w:left="100"/>
              <w:spacing w:after="0" w:line="203" w:lineRule="exact"/>
              <w:rPr>
                <w:sz w:val="20"/>
                <w:szCs w:val="20"/>
                <w:color w:val="auto"/>
              </w:rPr>
            </w:pPr>
            <w:r>
              <w:rPr>
                <w:rFonts w:ascii="Courier New" w:cs="Courier New" w:eastAsia="Courier New" w:hAnsi="Courier New"/>
                <w:sz w:val="18"/>
                <w:szCs w:val="18"/>
                <w:color w:val="auto"/>
                <w:w w:val="98"/>
              </w:rPr>
              <w:t>Acquired  the  Security  Being  Reported  on by  the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Parent</w:t>
            </w:r>
          </w:p>
        </w:tc>
      </w:tr>
      <w:tr>
        <w:trPr>
          <w:trHeight w:val="203"/>
        </w:trPr>
        <w:tc>
          <w:tcPr>
            <w:tcW w:w="860" w:type="dxa"/>
            <w:vAlign w:val="bottom"/>
          </w:tcPr>
          <w:p>
            <w:pPr>
              <w:spacing w:after="0"/>
              <w:rPr>
                <w:sz w:val="17"/>
                <w:szCs w:val="17"/>
                <w:color w:val="auto"/>
              </w:rPr>
            </w:pPr>
          </w:p>
        </w:tc>
        <w:tc>
          <w:tcPr>
            <w:tcW w:w="3780" w:type="dxa"/>
            <w:vAlign w:val="bottom"/>
            <w:gridSpan w:val="6"/>
          </w:tcPr>
          <w:p>
            <w:pPr>
              <w:ind w:left="100"/>
              <w:spacing w:after="0" w:line="203" w:lineRule="exact"/>
              <w:rPr>
                <w:sz w:val="20"/>
                <w:szCs w:val="20"/>
                <w:color w:val="auto"/>
              </w:rPr>
            </w:pPr>
            <w:r>
              <w:rPr>
                <w:rFonts w:ascii="Courier New" w:cs="Courier New" w:eastAsia="Courier New" w:hAnsi="Courier New"/>
                <w:sz w:val="18"/>
                <w:szCs w:val="18"/>
                <w:color w:val="auto"/>
                <w:w w:val="99"/>
              </w:rPr>
              <w:t>Holding Company or Control Person:</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17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Not applicable.</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420" w:type="dxa"/>
            <w:vAlign w:val="bottom"/>
            <w:gridSpan w:val="10"/>
          </w:tcPr>
          <w:p>
            <w:pPr>
              <w:ind w:left="10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860" w:type="dxa"/>
            <w:vAlign w:val="bottom"/>
          </w:tcPr>
          <w:p>
            <w:pPr>
              <w:spacing w:after="0"/>
              <w:rPr>
                <w:sz w:val="24"/>
                <w:szCs w:val="24"/>
                <w:color w:val="auto"/>
              </w:rPr>
            </w:pPr>
          </w:p>
        </w:tc>
        <w:tc>
          <w:tcPr>
            <w:tcW w:w="17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Not applicable.</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3780" w:type="dxa"/>
            <w:vAlign w:val="bottom"/>
            <w:gridSpan w:val="6"/>
          </w:tcPr>
          <w:p>
            <w:pPr>
              <w:ind w:left="100"/>
              <w:spacing w:after="0"/>
              <w:rPr>
                <w:sz w:val="20"/>
                <w:szCs w:val="20"/>
                <w:color w:val="auto"/>
              </w:rPr>
            </w:pPr>
            <w:r>
              <w:rPr>
                <w:rFonts w:ascii="Courier New" w:cs="Courier New" w:eastAsia="Courier New" w:hAnsi="Courier New"/>
                <w:sz w:val="18"/>
                <w:szCs w:val="18"/>
                <w:color w:val="auto"/>
              </w:rPr>
              <w:t>Notice of Dissolution of Group:</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172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Not applicable.</w:t>
            </w: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jc w:val="both"/>
        <w:ind w:left="960" w:right="2939"/>
        <w:spacing w:after="0" w:line="237" w:lineRule="auto"/>
        <w:rPr>
          <w:sz w:val="20"/>
          <w:szCs w:val="20"/>
          <w:color w:val="auto"/>
        </w:rPr>
      </w:pPr>
      <w:r>
        <w:rPr>
          <w:rFonts w:ascii="Courier New" w:cs="Courier New" w:eastAsia="Courier New" w:hAnsi="Courier New"/>
          <w:sz w:val="18"/>
          <w:szCs w:val="18"/>
          <w:color w:val="auto"/>
        </w:rPr>
        <w:t>By signing below each of the undersigned certifies that, to the best of such undersigned's knowledge and belief, the securities referred to above were acquired and are held in the ordinary course of business and were not acquired and are not for the purpose of or with the effect of changing or influencing the control of the issuer of the securities and were not acquired and are not held in connection with or as a participant in any transaction having that purpose or effect.</w:t>
      </w: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29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November 7, 2007</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Columbia Wanger Asset Management, L.P.</w:t>
      </w:r>
    </w:p>
    <w:p>
      <w:pPr>
        <w:spacing w:after="0" w:line="201"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Bruce H. Lauer</w:t>
      </w:r>
    </w:p>
    <w:p>
      <w:pPr>
        <w:ind w:left="338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3160"/>
        <w:spacing w:after="0"/>
        <w:rPr>
          <w:sz w:val="20"/>
          <w:szCs w:val="20"/>
          <w:color w:val="auto"/>
        </w:rPr>
      </w:pPr>
      <w:r>
        <w:rPr>
          <w:rFonts w:ascii="Courier New" w:cs="Courier New" w:eastAsia="Courier New" w:hAnsi="Courier New"/>
          <w:sz w:val="18"/>
          <w:szCs w:val="18"/>
          <w:color w:val="auto"/>
        </w:rPr>
        <w:t>Bruce H. Lauer,</w:t>
      </w:r>
    </w:p>
    <w:p>
      <w:pPr>
        <w:ind w:left="3160"/>
        <w:spacing w:after="0" w:line="237" w:lineRule="auto"/>
        <w:rPr>
          <w:sz w:val="20"/>
          <w:szCs w:val="20"/>
          <w:color w:val="auto"/>
        </w:rPr>
      </w:pPr>
      <w:r>
        <w:rPr>
          <w:rFonts w:ascii="Courier New" w:cs="Courier New" w:eastAsia="Courier New" w:hAnsi="Courier New"/>
          <w:sz w:val="18"/>
          <w:szCs w:val="18"/>
          <w:color w:val="auto"/>
        </w:rPr>
        <w:t>Senior Vice President and Secretary,</w:t>
      </w:r>
    </w:p>
    <w:p>
      <w:pPr>
        <w:ind w:left="3160"/>
        <w:spacing w:after="0"/>
        <w:tabs>
          <w:tab w:leader="none" w:pos="3680" w:val="left"/>
          <w:tab w:leader="none" w:pos="5140" w:val="left"/>
          <w:tab w:leader="none" w:pos="5680" w:val="left"/>
          <w:tab w:leader="none" w:pos="6520" w:val="left"/>
        </w:tabs>
        <w:rPr>
          <w:sz w:val="20"/>
          <w:szCs w:val="20"/>
          <w:color w:val="auto"/>
        </w:rPr>
      </w:pPr>
      <w:r>
        <w:rPr>
          <w:rFonts w:ascii="Courier New" w:cs="Courier New" w:eastAsia="Courier New" w:hAnsi="Courier New"/>
          <w:sz w:val="18"/>
          <w:szCs w:val="18"/>
          <w:color w:val="auto"/>
        </w:rPr>
        <w:t>WAM</w:t>
        <w:tab/>
        <w:t>Acquisition</w:t>
        <w:tab/>
        <w:t>GP,</w:t>
        <w:tab/>
        <w:t>Inc.,</w:t>
      </w:r>
      <w:r>
        <w:rPr>
          <w:sz w:val="20"/>
          <w:szCs w:val="20"/>
          <w:color w:val="auto"/>
        </w:rPr>
        <w:tab/>
      </w:r>
      <w:r>
        <w:rPr>
          <w:rFonts w:ascii="Courier New" w:cs="Courier New" w:eastAsia="Courier New" w:hAnsi="Courier New"/>
          <w:sz w:val="16"/>
          <w:szCs w:val="16"/>
          <w:color w:val="auto"/>
        </w:rPr>
        <w:t>General</w:t>
      </w:r>
    </w:p>
    <w:p>
      <w:pPr>
        <w:ind w:left="3160"/>
        <w:spacing w:after="0"/>
        <w:rPr>
          <w:sz w:val="20"/>
          <w:szCs w:val="20"/>
          <w:color w:val="auto"/>
        </w:rPr>
      </w:pPr>
      <w:r>
        <w:rPr>
          <w:rFonts w:ascii="Courier New" w:cs="Courier New" w:eastAsia="Courier New" w:hAnsi="Courier New"/>
          <w:sz w:val="18"/>
          <w:szCs w:val="18"/>
          <w:color w:val="auto"/>
        </w:rPr>
        <w:t>Partner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293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EXHIBIT 99.1 - JOINT FILING AGREEMENT</w:t>
      </w:r>
    </w:p>
    <w:p>
      <w:pPr>
        <w:spacing w:after="0" w:line="207"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214" w:lineRule="exact"/>
        <w:rPr>
          <w:sz w:val="20"/>
          <w:szCs w:val="20"/>
          <w:color w:val="auto"/>
        </w:rPr>
      </w:pPr>
    </w:p>
    <w:p>
      <w:pPr>
        <w:jc w:val="both"/>
        <w:ind w:right="2939" w:firstLine="527"/>
        <w:spacing w:after="0" w:line="237" w:lineRule="auto"/>
        <w:rPr>
          <w:sz w:val="20"/>
          <w:szCs w:val="20"/>
          <w:color w:val="auto"/>
        </w:rPr>
      </w:pPr>
      <w:r>
        <w:rPr>
          <w:rFonts w:ascii="Courier New" w:cs="Courier New" w:eastAsia="Courier New" w:hAnsi="Courier New"/>
          <w:sz w:val="18"/>
          <w:szCs w:val="18"/>
          <w:color w:val="auto"/>
        </w:rPr>
        <w:t>In accordance with Rule 13d-1(k)(1) promulgated under the Securities and Exchange Act of 1934, as amended, the undersigned hereby agree to the joint filing with each other on behalf of each of them of to such a statement on Schedule 13G with respect to the common stock of beneficially owned by each of them. This Joint Filing Agreement shall be included as an exhibit to such Schedule 13G.</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November 7, 2007</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Columbia Wanger Asset Management, L.P.</w:t>
      </w:r>
    </w:p>
    <w:p>
      <w:pPr>
        <w:spacing w:after="0" w:line="201"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Bruce H. Lauer</w:t>
      </w:r>
    </w:p>
    <w:p>
      <w:pPr>
        <w:ind w:left="338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3160"/>
        <w:spacing w:after="0"/>
        <w:rPr>
          <w:sz w:val="20"/>
          <w:szCs w:val="20"/>
          <w:color w:val="auto"/>
        </w:rPr>
      </w:pPr>
      <w:r>
        <w:rPr>
          <w:rFonts w:ascii="Courier New" w:cs="Courier New" w:eastAsia="Courier New" w:hAnsi="Courier New"/>
          <w:sz w:val="18"/>
          <w:szCs w:val="18"/>
          <w:color w:val="auto"/>
        </w:rPr>
        <w:t>Bruce H. Lauer,</w:t>
      </w:r>
    </w:p>
    <w:p>
      <w:pPr>
        <w:ind w:left="3160"/>
        <w:spacing w:after="0" w:line="237" w:lineRule="auto"/>
        <w:rPr>
          <w:sz w:val="20"/>
          <w:szCs w:val="20"/>
          <w:color w:val="auto"/>
        </w:rPr>
      </w:pPr>
      <w:r>
        <w:rPr>
          <w:rFonts w:ascii="Courier New" w:cs="Courier New" w:eastAsia="Courier New" w:hAnsi="Courier New"/>
          <w:sz w:val="18"/>
          <w:szCs w:val="18"/>
          <w:color w:val="auto"/>
        </w:rPr>
        <w:t>Senior Vice President and Secretary,</w:t>
      </w:r>
    </w:p>
    <w:p>
      <w:pPr>
        <w:ind w:left="3160"/>
        <w:spacing w:after="0"/>
        <w:tabs>
          <w:tab w:leader="none" w:pos="3680" w:val="left"/>
          <w:tab w:leader="none" w:pos="5140" w:val="left"/>
          <w:tab w:leader="none" w:pos="5680" w:val="left"/>
          <w:tab w:leader="none" w:pos="6520" w:val="left"/>
        </w:tabs>
        <w:rPr>
          <w:sz w:val="20"/>
          <w:szCs w:val="20"/>
          <w:color w:val="auto"/>
        </w:rPr>
      </w:pPr>
      <w:r>
        <w:rPr>
          <w:rFonts w:ascii="Courier New" w:cs="Courier New" w:eastAsia="Courier New" w:hAnsi="Courier New"/>
          <w:sz w:val="18"/>
          <w:szCs w:val="18"/>
          <w:color w:val="auto"/>
        </w:rPr>
        <w:t>WAM</w:t>
        <w:tab/>
        <w:t>Acquisition</w:t>
        <w:tab/>
        <w:t>GP,</w:t>
        <w:tab/>
        <w:t>Inc.,</w:t>
      </w:r>
      <w:r>
        <w:rPr>
          <w:sz w:val="20"/>
          <w:szCs w:val="20"/>
          <w:color w:val="auto"/>
        </w:rPr>
        <w:tab/>
      </w:r>
      <w:r>
        <w:rPr>
          <w:rFonts w:ascii="Courier New" w:cs="Courier New" w:eastAsia="Courier New" w:hAnsi="Courier New"/>
          <w:sz w:val="16"/>
          <w:szCs w:val="16"/>
          <w:color w:val="auto"/>
        </w:rPr>
        <w:t>General</w:t>
      </w:r>
    </w:p>
    <w:p>
      <w:pPr>
        <w:ind w:left="3160"/>
        <w:spacing w:after="0"/>
        <w:rPr>
          <w:sz w:val="20"/>
          <w:szCs w:val="20"/>
          <w:color w:val="auto"/>
        </w:rPr>
      </w:pPr>
      <w:r>
        <w:rPr>
          <w:rFonts w:ascii="Courier New" w:cs="Courier New" w:eastAsia="Courier New" w:hAnsi="Courier New"/>
          <w:sz w:val="18"/>
          <w:szCs w:val="18"/>
          <w:color w:val="auto"/>
        </w:rPr>
        <w:t>Partner</w:t>
      </w: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Columbia Acorn Trust</w:t>
      </w:r>
    </w:p>
    <w:p>
      <w:pPr>
        <w:spacing w:after="0" w:line="201" w:lineRule="exact"/>
        <w:rPr>
          <w:sz w:val="20"/>
          <w:szCs w:val="20"/>
          <w:color w:val="auto"/>
        </w:rPr>
      </w:pPr>
    </w:p>
    <w:p>
      <w:pPr>
        <w:ind w:left="3160"/>
        <w:spacing w:after="0"/>
        <w:tabs>
          <w:tab w:leader="none" w:pos="37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Bruce H. Lauer</w:t>
      </w:r>
    </w:p>
    <w:p>
      <w:pPr>
        <w:ind w:left="338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3160"/>
        <w:spacing w:after="0"/>
        <w:rPr>
          <w:sz w:val="20"/>
          <w:szCs w:val="20"/>
          <w:color w:val="auto"/>
        </w:rPr>
      </w:pPr>
      <w:r>
        <w:rPr>
          <w:rFonts w:ascii="Courier New" w:cs="Courier New" w:eastAsia="Courier New" w:hAnsi="Courier New"/>
          <w:sz w:val="18"/>
          <w:szCs w:val="18"/>
          <w:color w:val="auto"/>
        </w:rPr>
        <w:t>Bruce H. Lauer,</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Vice President, Treasurer and Secretary</w:t>
      </w:r>
    </w:p>
    <w:p>
      <w:pPr>
        <w:sectPr>
          <w:pgSz w:w="11900" w:h="16838" w:orient="portrait"/>
          <w:cols w:equalWidth="0" w:num="1">
            <w:col w:w="10219"/>
          </w:cols>
          <w:pgMar w:left="240" w:top="1352" w:right="1440" w:bottom="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lvl w:ilvl="1">
      <w:lvlJc w:val="left"/>
      <w:lvlText w:val="[%2]"/>
      <w:numFmt w:val="upperLetter"/>
      <w:start w:val="24"/>
    </w:lvl>
  </w:abstractNum>
  <w:abstractNum w:abstractNumId="1">
    <w:nsid w:val="7545E146"/>
    <w:multiLevelType w:val="hybridMultilevel"/>
    <w:lvl w:ilvl="0">
      <w:lvlJc w:val="left"/>
      <w:lvlText w:val="-"/>
      <w:numFmt w:val="bullet"/>
      <w:start w:val="1"/>
    </w:lvl>
    <w:lvl w:ilvl="1">
      <w:lvlJc w:val="left"/>
      <w:lvlText w:val="%2"/>
      <w:numFmt w:val="decimal"/>
      <w:start w:val="1"/>
    </w:lvl>
  </w:abstractNum>
  <w:abstractNum w:abstractNumId="2">
    <w:nsid w:val="515F007C"/>
    <w:multiLevelType w:val="hybridMultilevel"/>
    <w:lvl w:ilvl="0">
      <w:lvlJc w:val="left"/>
      <w:lvlText w:val="-"/>
      <w:numFmt w:val="bullet"/>
      <w:start w:val="1"/>
    </w:lvl>
    <w:lvl w:ilvl="1">
      <w:lvlJc w:val="left"/>
      <w:lvlText w:val="2"/>
      <w:numFmt w:val="bullet"/>
      <w:start w:val="1"/>
    </w:lvl>
    <w:lvl w:ilvl="2">
      <w:lvlJc w:val="left"/>
      <w:lvlText w:val="(%3)"/>
      <w:numFmt w:val="lowerLetter"/>
      <w:start w:val="1"/>
    </w:lvl>
    <w:lvl w:ilvl="3">
      <w:lvlJc w:val="left"/>
      <w:lvlText w:val="(%4)"/>
      <w:numFmt w:val="lowerLetter"/>
      <w:start w:val="2"/>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5"/>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lvl w:ilvl="1">
      <w:lvlJc w:val="left"/>
      <w:lvlText w:val="6"/>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2019-12-15T14:08:21Z</dcterms:created>
  <dcterms:modified xsi:type="dcterms:W3CDTF">2019-12-15T14:08:21Z</dcterms:modified>
</cp:coreProperties>
</file>